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E" w:rsidRDefault="00E025FF" w:rsidP="00733CE5">
      <w:pPr>
        <w:jc w:val="center"/>
        <w:rPr>
          <w:rFonts w:ascii="Times New Roman" w:hAnsi="Times New Roman"/>
          <w:b/>
          <w:bCs/>
          <w:szCs w:val="28"/>
        </w:rPr>
      </w:pPr>
      <w:r w:rsidRPr="00552ABE">
        <w:rPr>
          <w:rFonts w:ascii="Times New Roman" w:hAnsi="Times New Roman"/>
          <w:b/>
          <w:bCs/>
          <w:szCs w:val="28"/>
        </w:rPr>
        <w:t xml:space="preserve">Ministru kabineta noteikumu projekta </w:t>
      </w:r>
    </w:p>
    <w:p w:rsidR="00C76B83" w:rsidRPr="00552ABE" w:rsidRDefault="00E025FF" w:rsidP="00733CE5">
      <w:pPr>
        <w:jc w:val="center"/>
        <w:rPr>
          <w:rFonts w:ascii="Times New Roman" w:hAnsi="Times New Roman"/>
          <w:b/>
          <w:bCs/>
          <w:szCs w:val="28"/>
          <w:lang w:eastAsia="lv-LV"/>
        </w:rPr>
      </w:pPr>
      <w:r w:rsidRPr="00552ABE">
        <w:rPr>
          <w:rFonts w:ascii="Times New Roman" w:hAnsi="Times New Roman"/>
          <w:b/>
          <w:bCs/>
          <w:szCs w:val="28"/>
        </w:rPr>
        <w:t>„</w:t>
      </w:r>
      <w:r w:rsidR="00DF71C3" w:rsidRPr="00552ABE">
        <w:rPr>
          <w:rFonts w:ascii="Times New Roman" w:hAnsi="Times New Roman"/>
          <w:b/>
          <w:bCs/>
          <w:szCs w:val="28"/>
        </w:rPr>
        <w:t xml:space="preserve">Grozījumi </w:t>
      </w:r>
      <w:r w:rsidR="00DF71C3" w:rsidRPr="00552ABE">
        <w:rPr>
          <w:rFonts w:ascii="Times New Roman" w:hAnsi="Times New Roman"/>
          <w:b/>
          <w:szCs w:val="28"/>
        </w:rPr>
        <w:t>Ministru kabineta 20</w:t>
      </w:r>
      <w:r w:rsidR="00CD39F9" w:rsidRPr="00552ABE">
        <w:rPr>
          <w:rFonts w:ascii="Times New Roman" w:hAnsi="Times New Roman"/>
          <w:b/>
          <w:szCs w:val="28"/>
        </w:rPr>
        <w:t>10</w:t>
      </w:r>
      <w:r w:rsidR="00DF71C3" w:rsidRPr="00552ABE">
        <w:rPr>
          <w:rFonts w:ascii="Times New Roman" w:hAnsi="Times New Roman"/>
          <w:b/>
          <w:szCs w:val="28"/>
        </w:rPr>
        <w:t xml:space="preserve">.gada </w:t>
      </w:r>
      <w:r w:rsidR="00CD39F9" w:rsidRPr="00552ABE">
        <w:rPr>
          <w:rFonts w:ascii="Times New Roman" w:hAnsi="Times New Roman"/>
          <w:b/>
          <w:szCs w:val="28"/>
        </w:rPr>
        <w:t>29.jūnija</w:t>
      </w:r>
      <w:r w:rsidR="00DF71C3" w:rsidRPr="00552ABE">
        <w:rPr>
          <w:rFonts w:ascii="Times New Roman" w:hAnsi="Times New Roman"/>
          <w:b/>
          <w:szCs w:val="28"/>
        </w:rPr>
        <w:t xml:space="preserve"> noteikumos Nr.</w:t>
      </w:r>
      <w:r w:rsidR="00CD39F9" w:rsidRPr="00552ABE">
        <w:rPr>
          <w:rFonts w:ascii="Times New Roman" w:hAnsi="Times New Roman"/>
          <w:b/>
          <w:szCs w:val="28"/>
        </w:rPr>
        <w:t>578</w:t>
      </w:r>
      <w:r w:rsidR="00DF71C3" w:rsidRPr="00552ABE">
        <w:rPr>
          <w:rFonts w:ascii="Times New Roman" w:hAnsi="Times New Roman"/>
          <w:b/>
          <w:szCs w:val="28"/>
        </w:rPr>
        <w:t xml:space="preserve"> „Noteikumi </w:t>
      </w:r>
      <w:r w:rsidR="00E8520B" w:rsidRPr="00552ABE">
        <w:rPr>
          <w:rFonts w:ascii="Times New Roman" w:hAnsi="Times New Roman"/>
          <w:b/>
          <w:bCs/>
          <w:szCs w:val="28"/>
        </w:rPr>
        <w:t xml:space="preserve">par </w:t>
      </w:r>
      <w:r w:rsidR="00CD39F9" w:rsidRPr="00552ABE">
        <w:rPr>
          <w:rFonts w:ascii="Times New Roman" w:hAnsi="Times New Roman"/>
          <w:b/>
          <w:bCs/>
          <w:szCs w:val="28"/>
        </w:rPr>
        <w:t>izdevumiem, kas saistīti ar karavīra vai zemessarga apbedīšanu un karavīra kapa pieminekļa uzstādīšanu, un minēto izdevumu apmēru</w:t>
      </w:r>
      <w:r w:rsidRPr="00552ABE">
        <w:rPr>
          <w:rFonts w:ascii="Times New Roman" w:hAnsi="Times New Roman"/>
          <w:b/>
          <w:bCs/>
          <w:szCs w:val="28"/>
        </w:rPr>
        <w:t>”</w:t>
      </w:r>
      <w:r w:rsidR="007826EE">
        <w:rPr>
          <w:rFonts w:ascii="Times New Roman" w:hAnsi="Times New Roman"/>
          <w:b/>
          <w:bCs/>
          <w:szCs w:val="28"/>
        </w:rPr>
        <w:t>”</w:t>
      </w:r>
      <w:r w:rsidR="00552ABE">
        <w:rPr>
          <w:rFonts w:ascii="Times New Roman" w:hAnsi="Times New Roman"/>
          <w:b/>
          <w:bCs/>
          <w:szCs w:val="28"/>
        </w:rPr>
        <w:t xml:space="preserve"> sākotnējās ietekmes novērtējuma ziņojums</w:t>
      </w:r>
      <w:r w:rsidR="00733CE5" w:rsidRPr="00552ABE">
        <w:rPr>
          <w:rFonts w:ascii="Times New Roman" w:hAnsi="Times New Roman"/>
          <w:b/>
          <w:bCs/>
          <w:szCs w:val="28"/>
        </w:rPr>
        <w:t xml:space="preserve"> </w:t>
      </w:r>
      <w:r w:rsidR="00552ABE">
        <w:rPr>
          <w:rFonts w:ascii="Times New Roman" w:hAnsi="Times New Roman"/>
          <w:b/>
          <w:bCs/>
          <w:szCs w:val="28"/>
        </w:rPr>
        <w:t>(</w:t>
      </w:r>
      <w:r w:rsidR="00C76B83" w:rsidRPr="00552ABE">
        <w:rPr>
          <w:rFonts w:ascii="Times New Roman" w:hAnsi="Times New Roman"/>
          <w:b/>
          <w:bCs/>
          <w:szCs w:val="28"/>
          <w:lang w:eastAsia="lv-LV"/>
        </w:rPr>
        <w:t>anotācija</w:t>
      </w:r>
      <w:r w:rsidR="00552ABE">
        <w:rPr>
          <w:rFonts w:ascii="Times New Roman" w:hAnsi="Times New Roman"/>
          <w:b/>
          <w:bCs/>
          <w:szCs w:val="28"/>
          <w:lang w:eastAsia="lv-LV"/>
        </w:rPr>
        <w:t>)</w:t>
      </w:r>
    </w:p>
    <w:p w:rsidR="00F64CBE" w:rsidRPr="00552ABE" w:rsidRDefault="00F64CBE" w:rsidP="00CA451D">
      <w:pPr>
        <w:jc w:val="center"/>
        <w:rPr>
          <w:rFonts w:ascii="Times New Roman" w:hAnsi="Times New Roman"/>
          <w:szCs w:val="28"/>
          <w:lang w:eastAsia="lv-LV"/>
        </w:rPr>
      </w:pPr>
    </w:p>
    <w:tbl>
      <w:tblPr>
        <w:tblW w:w="9192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3259"/>
        <w:gridCol w:w="5483"/>
      </w:tblGrid>
      <w:tr w:rsidR="00687F2D" w:rsidRPr="00552ABE" w:rsidTr="00687F2D"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87F2D" w:rsidRPr="00552ABE" w:rsidRDefault="00687F2D" w:rsidP="00AB34D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52ABE">
              <w:rPr>
                <w:rFonts w:ascii="Times New Roman" w:hAnsi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Pamatojums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i/>
                <w:iCs/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="00552ABE">
              <w:rPr>
                <w:sz w:val="28"/>
                <w:szCs w:val="28"/>
              </w:rPr>
              <w:t>7.</w:t>
            </w:r>
            <w:r w:rsidRPr="00552ABE">
              <w:rPr>
                <w:sz w:val="28"/>
                <w:szCs w:val="28"/>
              </w:rPr>
              <w:t>1.</w:t>
            </w:r>
            <w:r w:rsidR="00552ABE">
              <w:rPr>
                <w:sz w:val="28"/>
                <w:szCs w:val="28"/>
              </w:rPr>
              <w:t>apakš</w:t>
            </w:r>
            <w:r w:rsidRPr="00552ABE">
              <w:rPr>
                <w:sz w:val="28"/>
                <w:szCs w:val="28"/>
              </w:rPr>
              <w:t xml:space="preserve">punkts un Latvijas Nacionālā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i/>
                <w:iCs/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>ieviešanas plāna (apstiprināts ar Ministru kabineta 2013.gada 4.aprīļa rīkojumu Nr.136) 1.pielikuma J2.2.</w:t>
            </w:r>
            <w:r w:rsidR="00552ABE">
              <w:rPr>
                <w:sz w:val="28"/>
                <w:szCs w:val="28"/>
              </w:rPr>
              <w:t>2.</w:t>
            </w:r>
            <w:r w:rsidRPr="00552ABE">
              <w:rPr>
                <w:sz w:val="28"/>
                <w:szCs w:val="28"/>
              </w:rPr>
              <w:t>apakšpunkta pasākums.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CD39F9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552ABE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sz w:val="28"/>
                <w:szCs w:val="28"/>
              </w:rPr>
              <w:t>, ir nepieciešams veikt grozījumus Ministru kabineta 20</w:t>
            </w:r>
            <w:r w:rsidR="00CD39F9" w:rsidRPr="00552ABE">
              <w:rPr>
                <w:sz w:val="28"/>
                <w:szCs w:val="28"/>
              </w:rPr>
              <w:t>10</w:t>
            </w:r>
            <w:r w:rsidRPr="00552ABE">
              <w:rPr>
                <w:sz w:val="28"/>
                <w:szCs w:val="28"/>
              </w:rPr>
              <w:t xml:space="preserve">.gada </w:t>
            </w:r>
            <w:r w:rsidR="00CD39F9" w:rsidRPr="00552ABE">
              <w:rPr>
                <w:sz w:val="28"/>
                <w:szCs w:val="28"/>
              </w:rPr>
              <w:t>29.jūnija</w:t>
            </w:r>
            <w:r w:rsidRPr="00552ABE">
              <w:rPr>
                <w:sz w:val="28"/>
                <w:szCs w:val="28"/>
              </w:rPr>
              <w:t xml:space="preserve"> noteikumos Nr.</w:t>
            </w:r>
            <w:r w:rsidR="00CD39F9" w:rsidRPr="00552ABE">
              <w:rPr>
                <w:sz w:val="28"/>
                <w:szCs w:val="28"/>
              </w:rPr>
              <w:t>578</w:t>
            </w:r>
            <w:r w:rsidRPr="00552ABE">
              <w:rPr>
                <w:sz w:val="28"/>
                <w:szCs w:val="28"/>
              </w:rPr>
              <w:t xml:space="preserve"> „Noteikumi </w:t>
            </w:r>
            <w:r w:rsidR="00CD39F9" w:rsidRPr="00552ABE">
              <w:rPr>
                <w:sz w:val="28"/>
                <w:szCs w:val="28"/>
              </w:rPr>
              <w:t>par izdevumiem, kas saistīti ar karavīra vai zemessarga apbedīšanu un karavīra kapa pieminekļa uzstādīšanu, un minēto izdevumu apmēru</w:t>
            </w:r>
            <w:r w:rsidRPr="00552ABE">
              <w:rPr>
                <w:sz w:val="28"/>
                <w:szCs w:val="28"/>
              </w:rPr>
              <w:t>”</w:t>
            </w:r>
            <w:r w:rsidR="008152C6">
              <w:rPr>
                <w:sz w:val="28"/>
                <w:szCs w:val="28"/>
              </w:rPr>
              <w:t xml:space="preserve"> (turpmāk – MK noteikumi Nr.578)</w:t>
            </w:r>
            <w:r w:rsidR="008679B5">
              <w:rPr>
                <w:sz w:val="28"/>
                <w:szCs w:val="28"/>
              </w:rPr>
              <w:t>, aizstājot tajos</w:t>
            </w:r>
            <w:r w:rsidRPr="00552ABE">
              <w:rPr>
                <w:sz w:val="28"/>
                <w:szCs w:val="28"/>
              </w:rPr>
              <w:t xml:space="preserve"> latus ar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sz w:val="28"/>
                <w:szCs w:val="28"/>
              </w:rPr>
              <w:t>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552ABE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52C6" w:rsidRPr="00552ABE" w:rsidRDefault="00687F2D" w:rsidP="00882659">
            <w:pPr>
              <w:pStyle w:val="Default"/>
              <w:ind w:firstLine="395"/>
              <w:jc w:val="both"/>
              <w:rPr>
                <w:rFonts w:ascii="Dutch TL" w:hAnsi="Dutch TL"/>
                <w:sz w:val="28"/>
                <w:szCs w:val="28"/>
                <w:lang w:eastAsia="zh-TW"/>
              </w:rPr>
            </w:pPr>
            <w:r w:rsidRPr="00552ABE">
              <w:rPr>
                <w:sz w:val="28"/>
                <w:szCs w:val="28"/>
              </w:rPr>
              <w:t>Šis projekts paredz aizstāt</w:t>
            </w:r>
            <w:proofErr w:type="gramStart"/>
            <w:r w:rsidRPr="00552ABE">
              <w:rPr>
                <w:sz w:val="28"/>
                <w:szCs w:val="28"/>
              </w:rPr>
              <w:t xml:space="preserve"> </w:t>
            </w:r>
            <w:r w:rsidR="00AF1798">
              <w:rPr>
                <w:sz w:val="28"/>
                <w:szCs w:val="28"/>
              </w:rPr>
              <w:t xml:space="preserve"> </w:t>
            </w:r>
            <w:proofErr w:type="gramEnd"/>
            <w:r w:rsidR="00AF1798">
              <w:rPr>
                <w:sz w:val="28"/>
                <w:szCs w:val="28"/>
              </w:rPr>
              <w:t>MK</w:t>
            </w:r>
            <w:r w:rsidR="00CD39F9" w:rsidRPr="00552ABE">
              <w:rPr>
                <w:sz w:val="28"/>
                <w:szCs w:val="28"/>
              </w:rPr>
              <w:t xml:space="preserve"> noteikumos Nr.578</w:t>
            </w:r>
            <w:r w:rsidR="00552ABE">
              <w:rPr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 xml:space="preserve">latus ar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i/>
                <w:iCs/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 xml:space="preserve">atbilstoši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i/>
                <w:iCs/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 xml:space="preserve">ieviešanas kārtības likuma 6.pantā paredzētajiem principiem. </w:t>
            </w:r>
          </w:p>
          <w:p w:rsidR="00535DBC" w:rsidRPr="00552ABE" w:rsidRDefault="00687F2D" w:rsidP="00535DBC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552ABE">
              <w:rPr>
                <w:sz w:val="28"/>
                <w:szCs w:val="28"/>
              </w:rPr>
              <w:t xml:space="preserve">Grozītās tiesību normas </w:t>
            </w:r>
            <w:proofErr w:type="spellStart"/>
            <w:r w:rsidRPr="00552AB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552ABE">
              <w:rPr>
                <w:i/>
                <w:iCs/>
                <w:sz w:val="28"/>
                <w:szCs w:val="28"/>
              </w:rPr>
              <w:t xml:space="preserve"> </w:t>
            </w:r>
            <w:r w:rsidRPr="00552ABE">
              <w:rPr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552ABE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Projekts šo jomu neskar.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AF1798" w:rsidRDefault="00687F2D" w:rsidP="00AF1798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552ABE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687F2D" w:rsidRPr="00552ABE" w:rsidTr="00AF1798"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552ABE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552ABE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552ABE">
              <w:rPr>
                <w:rFonts w:ascii="Times New Roman" w:hAnsi="Times New Roman"/>
                <w:szCs w:val="28"/>
                <w:lang w:eastAsia="lv-LV"/>
              </w:rPr>
              <w:t>Cita informācija</w:t>
            </w:r>
          </w:p>
        </w:tc>
        <w:tc>
          <w:tcPr>
            <w:tcW w:w="5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552ABE">
              <w:rPr>
                <w:sz w:val="28"/>
                <w:szCs w:val="28"/>
              </w:rPr>
              <w:t xml:space="preserve">Šis projekts tiks virzīts izskatīšanai </w:t>
            </w:r>
            <w:r w:rsidRPr="00552ABE">
              <w:rPr>
                <w:sz w:val="28"/>
                <w:szCs w:val="28"/>
              </w:rPr>
              <w:lastRenderedPageBreak/>
              <w:t>Ministru kabinetā pēc tam, kad Eiropas Savienības Padomē saskaņā ar Līguma par Eiropas Savienības darbību 140.panta 2.punktu tiks pieņemts lēmums par izņēmuma statusa atcelšanu Latvijas Republikai</w:t>
            </w:r>
            <w:r w:rsidR="00AF1798">
              <w:rPr>
                <w:sz w:val="28"/>
                <w:szCs w:val="28"/>
              </w:rPr>
              <w:t xml:space="preserve"> un Eiropas Savienības Padome būs noteikusi lata maiņas kursu</w:t>
            </w:r>
            <w:r w:rsidRPr="00552ABE">
              <w:rPr>
                <w:sz w:val="28"/>
                <w:szCs w:val="28"/>
              </w:rPr>
              <w:t>.</w:t>
            </w:r>
          </w:p>
          <w:p w:rsidR="004472BC" w:rsidRPr="00F11F6F" w:rsidRDefault="00537847" w:rsidP="004472BC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 projektam ir jābūt apstiprinātam un publicētam oficiālajā izdevumā „Latvijas Vēstnesis” līdz </w:t>
            </w:r>
            <w:proofErr w:type="spellStart"/>
            <w:r w:rsidRPr="00AF1798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ieviešanas dienai.</w:t>
            </w:r>
          </w:p>
        </w:tc>
      </w:tr>
    </w:tbl>
    <w:p w:rsidR="00AF1798" w:rsidRDefault="00AF1798"/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55"/>
        <w:gridCol w:w="5953"/>
      </w:tblGrid>
      <w:tr w:rsidR="00AF1798" w:rsidRPr="00E2470B" w:rsidTr="00AF1798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98" w:rsidRPr="00576D9F" w:rsidRDefault="00AF1798" w:rsidP="003C45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8"/>
                <w:lang w:eastAsia="lv-LV"/>
              </w:rPr>
            </w:pPr>
            <w:r w:rsidRPr="00576D9F">
              <w:rPr>
                <w:rFonts w:ascii="Times New Roman" w:hAnsi="Times New Roman"/>
                <w:b/>
                <w:szCs w:val="28"/>
                <w:lang w:eastAsia="lv-LV"/>
              </w:rPr>
              <w:t xml:space="preserve">III. </w:t>
            </w:r>
            <w:r w:rsidRPr="00576D9F">
              <w:rPr>
                <w:rFonts w:ascii="Times New Roman" w:hAnsi="Times New Roman"/>
                <w:b/>
                <w:color w:val="000000"/>
                <w:szCs w:val="28"/>
                <w:lang w:eastAsia="lv-LV"/>
              </w:rPr>
              <w:t>Tiesību akta projekta ietekme uz valsts budžetu un pašvaldību budžetiem</w:t>
            </w:r>
          </w:p>
        </w:tc>
      </w:tr>
      <w:tr w:rsidR="00AF1798" w:rsidRPr="00E2470B" w:rsidTr="00AF1798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98" w:rsidRPr="00576D9F" w:rsidRDefault="00AF1798" w:rsidP="003C453E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576D9F">
              <w:rPr>
                <w:rFonts w:ascii="Times New Roman" w:hAnsi="Times New Roman"/>
                <w:szCs w:val="28"/>
                <w:lang w:eastAsia="lv-LV"/>
              </w:rPr>
              <w:t>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98" w:rsidRPr="00576D9F" w:rsidRDefault="00AF1798" w:rsidP="003C453E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576D9F">
              <w:rPr>
                <w:rFonts w:ascii="Times New Roman" w:hAnsi="Times New Roman"/>
                <w:szCs w:val="28"/>
                <w:lang w:eastAsia="lv-LV"/>
              </w:rPr>
              <w:t> Cita informācija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98" w:rsidRPr="00576D9F" w:rsidRDefault="00AF1798" w:rsidP="003C453E">
            <w:pPr>
              <w:jc w:val="both"/>
              <w:rPr>
                <w:rFonts w:ascii="Times New Roman" w:hAnsi="Times New Roman"/>
                <w:szCs w:val="28"/>
              </w:rPr>
            </w:pPr>
            <w:r w:rsidRPr="00576D9F">
              <w:rPr>
                <w:rFonts w:ascii="Times New Roman" w:hAnsi="Times New Roman"/>
                <w:szCs w:val="28"/>
                <w:lang w:eastAsia="lv-LV"/>
              </w:rPr>
              <w:t> P</w:t>
            </w:r>
            <w:r w:rsidRPr="00576D9F">
              <w:rPr>
                <w:rFonts w:ascii="Times New Roman" w:hAnsi="Times New Roman"/>
                <w:szCs w:val="28"/>
              </w:rPr>
              <w:t>rojekts neparedz izdevumu samazinājumu/palielinājumu, tas tiks īstenots Aizsardzības ministrijai piešķirto valsts budžeta līdzekļu ietvaros, nemainot Aizsardzības ministrijas budžeta programmā 31.00.00 „Militārpersonu pensiju fonds” finansējuma sadalījumu pa ieņēmumu, izdevumu vai finansēšanas klasifikācijas kodiem.</w:t>
            </w:r>
          </w:p>
          <w:p w:rsidR="00AF1798" w:rsidRPr="00576D9F" w:rsidRDefault="00AF1798" w:rsidP="00AF1798">
            <w:pPr>
              <w:jc w:val="both"/>
              <w:rPr>
                <w:rFonts w:ascii="Times New Roman" w:hAnsi="Times New Roman"/>
                <w:szCs w:val="28"/>
                <w:lang w:eastAsia="lv-LV"/>
              </w:rPr>
            </w:pPr>
            <w:r w:rsidRPr="00576D9F">
              <w:rPr>
                <w:rFonts w:ascii="Times New Roman" w:hAnsi="Times New Roman"/>
                <w:szCs w:val="28"/>
              </w:rPr>
              <w:t>Informācija par MK noteikumos Nr.578 5., 6., 8. un 9.punktā ietvertās naudas summas latos pārrēķinu</w:t>
            </w:r>
            <w:r w:rsidRPr="00576D9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576D9F">
              <w:rPr>
                <w:rFonts w:ascii="Times New Roman" w:hAnsi="Times New Roman"/>
                <w:szCs w:val="28"/>
              </w:rPr>
              <w:t xml:space="preserve">uz </w:t>
            </w:r>
            <w:proofErr w:type="spellStart"/>
            <w:r w:rsidRPr="00576D9F">
              <w:rPr>
                <w:rFonts w:ascii="Times New Roman" w:hAnsi="Times New Roman"/>
                <w:i/>
                <w:szCs w:val="28"/>
              </w:rPr>
              <w:t>euro</w:t>
            </w:r>
            <w:proofErr w:type="spellEnd"/>
            <w:r w:rsidRPr="00576D9F">
              <w:rPr>
                <w:rFonts w:ascii="Times New Roman" w:hAnsi="Times New Roman"/>
                <w:szCs w:val="28"/>
              </w:rPr>
              <w:t xml:space="preserve"> pievienota anotācijas pielikumā. </w:t>
            </w:r>
          </w:p>
        </w:tc>
      </w:tr>
    </w:tbl>
    <w:p w:rsidR="00AF1798" w:rsidRDefault="00AF1798"/>
    <w:p w:rsidR="00AF1798" w:rsidRDefault="00AF1798"/>
    <w:p w:rsidR="009C188C" w:rsidRDefault="009C188C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552ABE" w:rsidRDefault="00552ABE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  <w:r>
        <w:rPr>
          <w:rFonts w:ascii="Times New Roman" w:hAnsi="Times New Roman"/>
          <w:szCs w:val="28"/>
          <w:lang w:eastAsia="lv-LV"/>
        </w:rPr>
        <w:t>Anot</w:t>
      </w:r>
      <w:r w:rsidR="00BD37A5">
        <w:rPr>
          <w:rFonts w:ascii="Times New Roman" w:hAnsi="Times New Roman"/>
          <w:szCs w:val="28"/>
          <w:lang w:eastAsia="lv-LV"/>
        </w:rPr>
        <w:t xml:space="preserve">ācijas </w:t>
      </w:r>
      <w:r w:rsidR="00882659">
        <w:rPr>
          <w:rFonts w:ascii="Times New Roman" w:hAnsi="Times New Roman"/>
          <w:szCs w:val="28"/>
          <w:lang w:eastAsia="lv-LV"/>
        </w:rPr>
        <w:t xml:space="preserve">II, </w:t>
      </w:r>
      <w:r>
        <w:rPr>
          <w:rFonts w:ascii="Times New Roman" w:hAnsi="Times New Roman"/>
          <w:szCs w:val="28"/>
          <w:lang w:eastAsia="lv-LV"/>
        </w:rPr>
        <w:t>IV, V, VI un VII sadaļa – projekts šīs jomas neskar.</w:t>
      </w:r>
    </w:p>
    <w:p w:rsidR="00552ABE" w:rsidRPr="00552ABE" w:rsidRDefault="00552ABE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9B5B0C" w:rsidRPr="00552ABE" w:rsidRDefault="009B5B0C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CA451D" w:rsidRPr="00552ABE" w:rsidRDefault="00552ABE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>A</w:t>
      </w:r>
      <w:r w:rsidR="00E025FF" w:rsidRPr="00552ABE">
        <w:rPr>
          <w:rFonts w:ascii="Times New Roman" w:hAnsi="Times New Roman"/>
          <w:spacing w:val="-1"/>
          <w:szCs w:val="28"/>
        </w:rPr>
        <w:t xml:space="preserve">izsardzības </w:t>
      </w:r>
      <w:r w:rsidR="00CA451D" w:rsidRPr="00552ABE">
        <w:rPr>
          <w:rFonts w:ascii="Times New Roman" w:hAnsi="Times New Roman"/>
          <w:spacing w:val="-1"/>
          <w:szCs w:val="28"/>
        </w:rPr>
        <w:t>ministrs</w:t>
      </w:r>
      <w:r w:rsidR="00CA451D" w:rsidRPr="00552ABE">
        <w:rPr>
          <w:rFonts w:ascii="Times New Roman" w:hAnsi="Times New Roman"/>
          <w:spacing w:val="-1"/>
          <w:szCs w:val="28"/>
        </w:rPr>
        <w:tab/>
      </w:r>
      <w:r w:rsidR="00E91806" w:rsidRPr="00552ABE">
        <w:rPr>
          <w:rFonts w:ascii="Times New Roman" w:hAnsi="Times New Roman"/>
          <w:szCs w:val="28"/>
        </w:rPr>
        <w:t xml:space="preserve">A. </w:t>
      </w:r>
      <w:proofErr w:type="spellStart"/>
      <w:r w:rsidR="00E91806" w:rsidRPr="00552ABE">
        <w:rPr>
          <w:rFonts w:ascii="Times New Roman" w:hAnsi="Times New Roman"/>
          <w:szCs w:val="28"/>
        </w:rPr>
        <w:t>Pabriks</w:t>
      </w:r>
      <w:proofErr w:type="spellEnd"/>
    </w:p>
    <w:p w:rsidR="00DF71C3" w:rsidRPr="00552ABE" w:rsidRDefault="00DF71C3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F953B7" w:rsidRPr="00552ABE" w:rsidRDefault="00F953B7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DF71C3" w:rsidRPr="00552ABE" w:rsidRDefault="007826EE" w:rsidP="00F953B7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F953B7" w:rsidRPr="00552ABE">
        <w:rPr>
          <w:sz w:val="28"/>
          <w:szCs w:val="28"/>
        </w:rPr>
        <w:tab/>
      </w:r>
      <w:r>
        <w:rPr>
          <w:sz w:val="28"/>
          <w:szCs w:val="28"/>
        </w:rPr>
        <w:t>E.Palma-</w:t>
      </w:r>
      <w:proofErr w:type="spellStart"/>
      <w:r>
        <w:rPr>
          <w:sz w:val="28"/>
          <w:szCs w:val="28"/>
        </w:rPr>
        <w:t>Jansone</w:t>
      </w:r>
      <w:proofErr w:type="spellEnd"/>
    </w:p>
    <w:p w:rsidR="00DF71C3" w:rsidRDefault="00DF71C3" w:rsidP="00CA451D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CD39F9" w:rsidRDefault="00CD39F9" w:rsidP="00CA451D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CD39F9" w:rsidRPr="00317E36" w:rsidRDefault="00CD39F9" w:rsidP="00CA451D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317E36" w:rsidRPr="00342CF5" w:rsidRDefault="00FE1030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7826EE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.0</w:t>
      </w:r>
      <w:r w:rsidR="007826EE">
        <w:rPr>
          <w:rFonts w:ascii="Times New Roman" w:hAnsi="Times New Roman"/>
          <w:sz w:val="20"/>
        </w:rPr>
        <w:t>7.2013 15</w:t>
      </w:r>
      <w:r>
        <w:rPr>
          <w:rFonts w:ascii="Times New Roman" w:hAnsi="Times New Roman"/>
          <w:sz w:val="20"/>
        </w:rPr>
        <w:t>:</w:t>
      </w:r>
      <w:r w:rsidR="007826EE">
        <w:rPr>
          <w:rFonts w:ascii="Times New Roman" w:hAnsi="Times New Roman"/>
          <w:sz w:val="20"/>
        </w:rPr>
        <w:t>41</w:t>
      </w:r>
    </w:p>
    <w:p w:rsidR="00317E36" w:rsidRDefault="007826EE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380</w:t>
      </w:r>
      <w:bookmarkStart w:id="0" w:name="_GoBack"/>
      <w:bookmarkEnd w:id="0"/>
    </w:p>
    <w:p w:rsidR="00317E36" w:rsidRPr="008E577B" w:rsidRDefault="00FC1448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317E36" w:rsidRPr="008E577B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Obrum</w:t>
      </w:r>
      <w:r w:rsidR="00317E36" w:rsidRPr="008E577B">
        <w:rPr>
          <w:rFonts w:ascii="Times New Roman" w:hAnsi="Times New Roman"/>
          <w:sz w:val="20"/>
        </w:rPr>
        <w:t>ān</w:t>
      </w:r>
      <w:r>
        <w:rPr>
          <w:rFonts w:ascii="Times New Roman" w:hAnsi="Times New Roman"/>
          <w:sz w:val="20"/>
        </w:rPr>
        <w:t>e</w:t>
      </w:r>
      <w:proofErr w:type="spellEnd"/>
      <w:r w:rsidR="00317E36" w:rsidRPr="008E577B">
        <w:rPr>
          <w:rFonts w:ascii="Times New Roman" w:hAnsi="Times New Roman"/>
          <w:sz w:val="20"/>
        </w:rPr>
        <w:t xml:space="preserve">, </w:t>
      </w:r>
      <w:proofErr w:type="spellStart"/>
      <w:r w:rsidR="00317E36" w:rsidRPr="008E577B">
        <w:rPr>
          <w:rFonts w:ascii="Times New Roman" w:hAnsi="Times New Roman"/>
          <w:sz w:val="20"/>
        </w:rPr>
        <w:t>tel</w:t>
      </w:r>
      <w:proofErr w:type="spellEnd"/>
      <w:r w:rsidR="00317E36" w:rsidRPr="008E577B">
        <w:rPr>
          <w:rFonts w:ascii="Times New Roman" w:hAnsi="Times New Roman"/>
          <w:sz w:val="20"/>
        </w:rPr>
        <w:t>. 67335</w:t>
      </w:r>
      <w:r>
        <w:rPr>
          <w:rFonts w:ascii="Times New Roman" w:hAnsi="Times New Roman"/>
          <w:sz w:val="20"/>
        </w:rPr>
        <w:t>236</w:t>
      </w:r>
      <w:r w:rsidR="00317E36" w:rsidRPr="008E577B">
        <w:rPr>
          <w:rFonts w:ascii="Times New Roman" w:hAnsi="Times New Roman"/>
          <w:sz w:val="20"/>
        </w:rPr>
        <w:t xml:space="preserve">, </w:t>
      </w:r>
      <w:r w:rsidR="00317E36">
        <w:rPr>
          <w:rFonts w:ascii="Times New Roman" w:hAnsi="Times New Roman"/>
          <w:sz w:val="20"/>
        </w:rPr>
        <w:t>fakss</w:t>
      </w:r>
      <w:r w:rsidR="00317E36" w:rsidRPr="008E577B">
        <w:rPr>
          <w:rFonts w:ascii="Times New Roman" w:hAnsi="Times New Roman"/>
          <w:sz w:val="20"/>
        </w:rPr>
        <w:t>:</w:t>
      </w:r>
      <w:r w:rsidR="00317E36">
        <w:rPr>
          <w:rFonts w:ascii="Times New Roman" w:hAnsi="Times New Roman"/>
          <w:sz w:val="20"/>
        </w:rPr>
        <w:t xml:space="preserve"> </w:t>
      </w:r>
      <w:r w:rsidR="00317E36" w:rsidRPr="008E577B">
        <w:rPr>
          <w:rFonts w:ascii="Times New Roman" w:hAnsi="Times New Roman"/>
          <w:sz w:val="20"/>
        </w:rPr>
        <w:t>67</w:t>
      </w:r>
      <w:r>
        <w:rPr>
          <w:rFonts w:ascii="Times New Roman" w:hAnsi="Times New Roman"/>
          <w:sz w:val="20"/>
        </w:rPr>
        <w:t>210454</w:t>
      </w:r>
    </w:p>
    <w:p w:rsidR="007549C8" w:rsidRPr="00500D3B" w:rsidRDefault="007826EE" w:rsidP="00317E36">
      <w:pPr>
        <w:tabs>
          <w:tab w:val="left" w:pos="720"/>
          <w:tab w:val="left" w:pos="1440"/>
          <w:tab w:val="left" w:pos="3705"/>
        </w:tabs>
      </w:pPr>
      <w:hyperlink r:id="rId9" w:history="1">
        <w:r w:rsidR="00FC1448" w:rsidRPr="00CF247C">
          <w:rPr>
            <w:rStyle w:val="Hyperlink"/>
            <w:rFonts w:ascii="Times New Roman" w:hAnsi="Times New Roman"/>
            <w:sz w:val="20"/>
          </w:rPr>
          <w:t>Sanita.Obrumane@mod.gov.lv</w:t>
        </w:r>
      </w:hyperlink>
      <w:r w:rsidR="00317E36">
        <w:rPr>
          <w:rFonts w:ascii="Times New Roman" w:hAnsi="Times New Roman"/>
          <w:sz w:val="20"/>
        </w:rPr>
        <w:t xml:space="preserve"> </w:t>
      </w:r>
    </w:p>
    <w:sectPr w:rsidR="007549C8" w:rsidRPr="00500D3B" w:rsidSect="00CD39F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5" w:right="1134" w:bottom="993" w:left="1701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56" w:rsidRDefault="007B2B56">
      <w:r>
        <w:separator/>
      </w:r>
    </w:p>
  </w:endnote>
  <w:endnote w:type="continuationSeparator" w:id="0">
    <w:p w:rsidR="007B2B56" w:rsidRDefault="007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65" w:rsidRDefault="00F12D65" w:rsidP="00102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D65" w:rsidRDefault="00F12D65" w:rsidP="00102D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2" w:rsidRDefault="00102D02" w:rsidP="00CB5D49">
    <w:pPr>
      <w:pStyle w:val="Footer"/>
      <w:framePr w:wrap="around" w:vAnchor="text" w:hAnchor="margin" w:xAlign="right" w:y="1"/>
      <w:rPr>
        <w:rStyle w:val="PageNumber"/>
      </w:rPr>
    </w:pPr>
  </w:p>
  <w:p w:rsidR="000C1807" w:rsidRPr="000C1807" w:rsidRDefault="00CD39F9" w:rsidP="00CD39F9">
    <w:pPr>
      <w:rPr>
        <w:rFonts w:ascii="Times New Roman" w:hAnsi="Times New Roman"/>
        <w:bCs/>
        <w:sz w:val="20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7826EE">
      <w:rPr>
        <w:rFonts w:ascii="Times New Roman" w:hAnsi="Times New Roman"/>
        <w:noProof/>
        <w:sz w:val="20"/>
      </w:rPr>
      <w:t>AIMAnot_050713_grozMK578.docx</w:t>
    </w:r>
    <w:r w:rsidRPr="009C1864">
      <w:rPr>
        <w:rFonts w:ascii="Times New Roman" w:hAnsi="Times New Roman"/>
        <w:sz w:val="20"/>
      </w:rPr>
      <w:fldChar w:fldCharType="end"/>
    </w:r>
    <w:r w:rsidRPr="009C1864">
      <w:rPr>
        <w:rFonts w:ascii="Times New Roman" w:hAnsi="Times New Roman"/>
        <w:sz w:val="20"/>
      </w:rPr>
      <w:t xml:space="preserve">; </w:t>
    </w:r>
    <w:r w:rsidRPr="009C1864">
      <w:rPr>
        <w:rFonts w:ascii="Times New Roman" w:hAnsi="Times New Roman"/>
        <w:bCs/>
        <w:sz w:val="20"/>
      </w:rPr>
      <w:t xml:space="preserve">Ministru kabineta noteikumu projekta </w:t>
    </w:r>
    <w:r w:rsidRPr="008349E5">
      <w:rPr>
        <w:rFonts w:ascii="Times New Roman" w:hAnsi="Times New Roman"/>
        <w:bCs/>
        <w:sz w:val="20"/>
      </w:rPr>
      <w:t>„Grozījumi Ministru kabineta 20</w:t>
    </w:r>
    <w:r>
      <w:rPr>
        <w:rFonts w:ascii="Times New Roman" w:hAnsi="Times New Roman"/>
        <w:bCs/>
        <w:sz w:val="20"/>
      </w:rPr>
      <w:t>10</w:t>
    </w:r>
    <w:r w:rsidRPr="008349E5">
      <w:rPr>
        <w:rFonts w:ascii="Times New Roman" w:hAnsi="Times New Roman"/>
        <w:bCs/>
        <w:sz w:val="20"/>
      </w:rPr>
      <w:t xml:space="preserve">.gada </w:t>
    </w:r>
    <w:r>
      <w:rPr>
        <w:rFonts w:ascii="Times New Roman" w:hAnsi="Times New Roman"/>
        <w:bCs/>
        <w:sz w:val="20"/>
      </w:rPr>
      <w:t>29.jūnija</w:t>
    </w:r>
    <w:r w:rsidRPr="008349E5">
      <w:rPr>
        <w:rFonts w:ascii="Times New Roman" w:hAnsi="Times New Roman"/>
        <w:bCs/>
        <w:sz w:val="20"/>
      </w:rPr>
      <w:t xml:space="preserve"> noteikumos Nr.</w:t>
    </w:r>
    <w:r>
      <w:rPr>
        <w:rFonts w:ascii="Times New Roman" w:hAnsi="Times New Roman"/>
        <w:bCs/>
        <w:sz w:val="20"/>
      </w:rPr>
      <w:t>578</w:t>
    </w:r>
    <w:r w:rsidRPr="008349E5">
      <w:rPr>
        <w:rFonts w:ascii="Times New Roman" w:hAnsi="Times New Roman"/>
        <w:bCs/>
        <w:sz w:val="20"/>
      </w:rPr>
      <w:t xml:space="preserve"> „</w:t>
    </w:r>
    <w:r>
      <w:rPr>
        <w:rFonts w:ascii="Times New Roman" w:hAnsi="Times New Roman"/>
        <w:bCs/>
        <w:sz w:val="20"/>
      </w:rPr>
      <w:t xml:space="preserve">Noteikumi </w:t>
    </w:r>
    <w:r w:rsidRPr="00CD39F9">
      <w:rPr>
        <w:rFonts w:ascii="Times New Roman" w:hAnsi="Times New Roman"/>
        <w:bCs/>
        <w:sz w:val="20"/>
      </w:rPr>
      <w:t>par izdevumiem, kas saistīti ar karavīra vai zemessarga apbedīšanu un karavīra kapa pieminekļa uzstādīšanu, un minēto izdevumu apmēru</w:t>
    </w:r>
    <w:r w:rsidRPr="008349E5">
      <w:rPr>
        <w:rFonts w:ascii="Times New Roman" w:hAnsi="Times New Roman"/>
        <w:bCs/>
        <w:sz w:val="20"/>
      </w:rPr>
      <w:t>”</w:t>
    </w:r>
    <w:r w:rsidR="007826EE">
      <w:rPr>
        <w:rFonts w:ascii="Times New Roman" w:hAnsi="Times New Roman"/>
        <w:bCs/>
        <w:sz w:val="20"/>
      </w:rPr>
      <w:t>”</w:t>
    </w:r>
    <w:proofErr w:type="gramStart"/>
    <w:r>
      <w:rPr>
        <w:rFonts w:ascii="Times New Roman" w:hAnsi="Times New Roman"/>
        <w:bCs/>
        <w:sz w:val="20"/>
      </w:rPr>
      <w:t xml:space="preserve"> </w:t>
    </w:r>
    <w:r w:rsidR="001A5A72">
      <w:rPr>
        <w:rFonts w:ascii="Times New Roman" w:hAnsi="Times New Roman"/>
        <w:bCs/>
        <w:sz w:val="20"/>
      </w:rPr>
      <w:t xml:space="preserve"> </w:t>
    </w:r>
    <w:proofErr w:type="gramEnd"/>
    <w:r w:rsidR="001A5A72">
      <w:rPr>
        <w:rFonts w:ascii="Times New Roman" w:hAnsi="Times New Roman"/>
        <w:bCs/>
        <w:sz w:val="20"/>
      </w:rPr>
      <w:t>sākotnējās ietekmes novērtējuma ziņojums (</w:t>
    </w:r>
    <w:r w:rsidRPr="009C1864">
      <w:rPr>
        <w:rFonts w:ascii="Times New Roman" w:hAnsi="Times New Roman"/>
        <w:bCs/>
        <w:sz w:val="20"/>
        <w:lang w:eastAsia="lv-LV"/>
      </w:rPr>
      <w:t>anotācija</w:t>
    </w:r>
    <w:r w:rsidR="001A5A72">
      <w:rPr>
        <w:rFonts w:ascii="Times New Roman" w:hAnsi="Times New Roman"/>
        <w:bCs/>
        <w:sz w:val="20"/>
        <w:lang w:eastAsia="lv-LV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C0" w:rsidRPr="00CD39F9" w:rsidRDefault="00B06DC0" w:rsidP="00CD39F9">
    <w:pPr>
      <w:jc w:val="both"/>
      <w:rPr>
        <w:rFonts w:ascii="Times New Roman" w:hAnsi="Times New Roman"/>
        <w:bCs/>
        <w:sz w:val="20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7826EE">
      <w:rPr>
        <w:rFonts w:ascii="Times New Roman" w:hAnsi="Times New Roman"/>
        <w:noProof/>
        <w:sz w:val="20"/>
      </w:rPr>
      <w:t>AIMAnot_050713_grozMK578.docx</w:t>
    </w:r>
    <w:r w:rsidRPr="009C1864">
      <w:rPr>
        <w:rFonts w:ascii="Times New Roman" w:hAnsi="Times New Roman"/>
        <w:sz w:val="20"/>
      </w:rPr>
      <w:fldChar w:fldCharType="end"/>
    </w:r>
    <w:r w:rsidR="006476E2" w:rsidRPr="009C1864">
      <w:rPr>
        <w:rFonts w:ascii="Times New Roman" w:hAnsi="Times New Roman"/>
        <w:sz w:val="20"/>
      </w:rPr>
      <w:t xml:space="preserve">; </w:t>
    </w:r>
    <w:r w:rsidR="00A062CB" w:rsidRPr="009C1864">
      <w:rPr>
        <w:rFonts w:ascii="Times New Roman" w:hAnsi="Times New Roman"/>
        <w:bCs/>
        <w:sz w:val="20"/>
      </w:rPr>
      <w:t xml:space="preserve">Ministru kabineta noteikumu projekta </w:t>
    </w:r>
    <w:r w:rsidR="00A062CB" w:rsidRPr="008349E5">
      <w:rPr>
        <w:rFonts w:ascii="Times New Roman" w:hAnsi="Times New Roman"/>
        <w:bCs/>
        <w:sz w:val="20"/>
      </w:rPr>
      <w:t>„Grozījumi Ministru kabineta 20</w:t>
    </w:r>
    <w:r w:rsidR="00CD39F9">
      <w:rPr>
        <w:rFonts w:ascii="Times New Roman" w:hAnsi="Times New Roman"/>
        <w:bCs/>
        <w:sz w:val="20"/>
      </w:rPr>
      <w:t>10</w:t>
    </w:r>
    <w:r w:rsidR="00A062CB" w:rsidRPr="008349E5">
      <w:rPr>
        <w:rFonts w:ascii="Times New Roman" w:hAnsi="Times New Roman"/>
        <w:bCs/>
        <w:sz w:val="20"/>
      </w:rPr>
      <w:t xml:space="preserve">.gada </w:t>
    </w:r>
    <w:r w:rsidR="00CD39F9">
      <w:rPr>
        <w:rFonts w:ascii="Times New Roman" w:hAnsi="Times New Roman"/>
        <w:bCs/>
        <w:sz w:val="20"/>
      </w:rPr>
      <w:t>29.jūnija</w:t>
    </w:r>
    <w:r w:rsidR="00A062CB" w:rsidRPr="008349E5">
      <w:rPr>
        <w:rFonts w:ascii="Times New Roman" w:hAnsi="Times New Roman"/>
        <w:bCs/>
        <w:sz w:val="20"/>
      </w:rPr>
      <w:t xml:space="preserve"> noteikumos Nr.</w:t>
    </w:r>
    <w:r w:rsidR="00CD39F9">
      <w:rPr>
        <w:rFonts w:ascii="Times New Roman" w:hAnsi="Times New Roman"/>
        <w:bCs/>
        <w:sz w:val="20"/>
      </w:rPr>
      <w:t>578</w:t>
    </w:r>
    <w:r w:rsidR="00A062CB" w:rsidRPr="008349E5">
      <w:rPr>
        <w:rFonts w:ascii="Times New Roman" w:hAnsi="Times New Roman"/>
        <w:bCs/>
        <w:sz w:val="20"/>
      </w:rPr>
      <w:t xml:space="preserve"> „</w:t>
    </w:r>
    <w:r w:rsidR="00CD39F9">
      <w:rPr>
        <w:rFonts w:ascii="Times New Roman" w:hAnsi="Times New Roman"/>
        <w:bCs/>
        <w:sz w:val="20"/>
      </w:rPr>
      <w:t xml:space="preserve">Noteikumi </w:t>
    </w:r>
    <w:r w:rsidR="00CD39F9" w:rsidRPr="00CD39F9">
      <w:rPr>
        <w:rFonts w:ascii="Times New Roman" w:hAnsi="Times New Roman"/>
        <w:bCs/>
        <w:sz w:val="20"/>
      </w:rPr>
      <w:t>par izdevumiem, kas saistīti ar karavīra vai zemessarga apbedīšanu un karavīra kapa pieminekļa uzstādīšanu, un minēto izdevumu apmēru</w:t>
    </w:r>
    <w:r w:rsidR="00A062CB" w:rsidRPr="008349E5">
      <w:rPr>
        <w:rFonts w:ascii="Times New Roman" w:hAnsi="Times New Roman"/>
        <w:bCs/>
        <w:sz w:val="20"/>
      </w:rPr>
      <w:t>”</w:t>
    </w:r>
    <w:r w:rsidR="007826EE">
      <w:rPr>
        <w:rFonts w:ascii="Times New Roman" w:hAnsi="Times New Roman"/>
        <w:bCs/>
        <w:sz w:val="20"/>
      </w:rPr>
      <w:t>”</w:t>
    </w:r>
    <w:r w:rsidR="00A062CB">
      <w:rPr>
        <w:rFonts w:ascii="Times New Roman" w:hAnsi="Times New Roman"/>
        <w:bCs/>
        <w:sz w:val="20"/>
      </w:rPr>
      <w:t xml:space="preserve"> </w:t>
    </w:r>
    <w:r w:rsidR="001A5A72">
      <w:rPr>
        <w:rFonts w:ascii="Times New Roman" w:hAnsi="Times New Roman"/>
        <w:bCs/>
        <w:sz w:val="20"/>
      </w:rPr>
      <w:t>sākotnējās ietekmes novērtējuma ziņojums (</w:t>
    </w:r>
    <w:r w:rsidR="00A062CB" w:rsidRPr="009C1864">
      <w:rPr>
        <w:rFonts w:ascii="Times New Roman" w:hAnsi="Times New Roman"/>
        <w:bCs/>
        <w:sz w:val="20"/>
        <w:lang w:eastAsia="lv-LV"/>
      </w:rPr>
      <w:t>anotācija</w:t>
    </w:r>
    <w:r w:rsidR="001A5A72">
      <w:rPr>
        <w:rFonts w:ascii="Times New Roman" w:hAnsi="Times New Roman"/>
        <w:bCs/>
        <w:sz w:val="20"/>
        <w:lang w:eastAsia="lv-LV"/>
      </w:rPr>
      <w:t>)</w:t>
    </w:r>
  </w:p>
  <w:p w:rsidR="00DF0B1C" w:rsidRPr="000C1807" w:rsidRDefault="00DF0B1C" w:rsidP="0096494A">
    <w:pPr>
      <w:rPr>
        <w:rFonts w:ascii="Times New Roman" w:hAnsi="Times New Roman"/>
        <w:bCs/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56" w:rsidRDefault="007B2B56">
      <w:r>
        <w:separator/>
      </w:r>
    </w:p>
  </w:footnote>
  <w:footnote w:type="continuationSeparator" w:id="0">
    <w:p w:rsidR="007B2B56" w:rsidRDefault="007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9" w:rsidRDefault="003F21C9" w:rsidP="00B108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1C9" w:rsidRDefault="003F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F2" w:rsidRPr="00B108F2" w:rsidRDefault="00B108F2" w:rsidP="00D41BC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108F2">
      <w:rPr>
        <w:rStyle w:val="PageNumber"/>
        <w:rFonts w:ascii="Times New Roman" w:hAnsi="Times New Roman"/>
        <w:sz w:val="24"/>
        <w:szCs w:val="24"/>
      </w:rPr>
      <w:fldChar w:fldCharType="begin"/>
    </w:r>
    <w:r w:rsidRPr="00B108F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108F2">
      <w:rPr>
        <w:rStyle w:val="PageNumber"/>
        <w:rFonts w:ascii="Times New Roman" w:hAnsi="Times New Roman"/>
        <w:sz w:val="24"/>
        <w:szCs w:val="24"/>
      </w:rPr>
      <w:fldChar w:fldCharType="separate"/>
    </w:r>
    <w:r w:rsidR="007826EE">
      <w:rPr>
        <w:rStyle w:val="PageNumber"/>
        <w:rFonts w:ascii="Times New Roman" w:hAnsi="Times New Roman"/>
        <w:noProof/>
        <w:sz w:val="24"/>
        <w:szCs w:val="24"/>
      </w:rPr>
      <w:t>2</w:t>
    </w:r>
    <w:r w:rsidRPr="00B108F2">
      <w:rPr>
        <w:rStyle w:val="PageNumber"/>
        <w:rFonts w:ascii="Times New Roman" w:hAnsi="Times New Roman"/>
        <w:sz w:val="24"/>
        <w:szCs w:val="24"/>
      </w:rPr>
      <w:fldChar w:fldCharType="end"/>
    </w:r>
  </w:p>
  <w:p w:rsidR="00B108F2" w:rsidRDefault="00B10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40ED"/>
    <w:multiLevelType w:val="hybridMultilevel"/>
    <w:tmpl w:val="DA56B34A"/>
    <w:lvl w:ilvl="0" w:tplc="2A8EE99E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8" w:hanging="360"/>
      </w:pPr>
    </w:lvl>
    <w:lvl w:ilvl="2" w:tplc="0426001B" w:tentative="1">
      <w:start w:val="1"/>
      <w:numFmt w:val="lowerRoman"/>
      <w:lvlText w:val="%3."/>
      <w:lvlJc w:val="right"/>
      <w:pPr>
        <w:ind w:left="2308" w:hanging="180"/>
      </w:pPr>
    </w:lvl>
    <w:lvl w:ilvl="3" w:tplc="0426000F" w:tentative="1">
      <w:start w:val="1"/>
      <w:numFmt w:val="decimal"/>
      <w:lvlText w:val="%4."/>
      <w:lvlJc w:val="left"/>
      <w:pPr>
        <w:ind w:left="3028" w:hanging="360"/>
      </w:pPr>
    </w:lvl>
    <w:lvl w:ilvl="4" w:tplc="04260019" w:tentative="1">
      <w:start w:val="1"/>
      <w:numFmt w:val="lowerLetter"/>
      <w:lvlText w:val="%5."/>
      <w:lvlJc w:val="left"/>
      <w:pPr>
        <w:ind w:left="3748" w:hanging="360"/>
      </w:pPr>
    </w:lvl>
    <w:lvl w:ilvl="5" w:tplc="0426001B" w:tentative="1">
      <w:start w:val="1"/>
      <w:numFmt w:val="lowerRoman"/>
      <w:lvlText w:val="%6."/>
      <w:lvlJc w:val="right"/>
      <w:pPr>
        <w:ind w:left="4468" w:hanging="180"/>
      </w:pPr>
    </w:lvl>
    <w:lvl w:ilvl="6" w:tplc="0426000F" w:tentative="1">
      <w:start w:val="1"/>
      <w:numFmt w:val="decimal"/>
      <w:lvlText w:val="%7."/>
      <w:lvlJc w:val="left"/>
      <w:pPr>
        <w:ind w:left="5188" w:hanging="360"/>
      </w:pPr>
    </w:lvl>
    <w:lvl w:ilvl="7" w:tplc="04260019" w:tentative="1">
      <w:start w:val="1"/>
      <w:numFmt w:val="lowerLetter"/>
      <w:lvlText w:val="%8."/>
      <w:lvlJc w:val="left"/>
      <w:pPr>
        <w:ind w:left="5908" w:hanging="360"/>
      </w:pPr>
    </w:lvl>
    <w:lvl w:ilvl="8" w:tplc="0426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>
    <w:nsid w:val="5D9A2465"/>
    <w:multiLevelType w:val="multilevel"/>
    <w:tmpl w:val="C80AAA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924C9D"/>
    <w:multiLevelType w:val="multilevel"/>
    <w:tmpl w:val="AB962D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8"/>
    <w:rsid w:val="00007F21"/>
    <w:rsid w:val="00010DE1"/>
    <w:rsid w:val="000173F6"/>
    <w:rsid w:val="00023D9B"/>
    <w:rsid w:val="0002765A"/>
    <w:rsid w:val="0004117E"/>
    <w:rsid w:val="00042036"/>
    <w:rsid w:val="000527BE"/>
    <w:rsid w:val="000702B2"/>
    <w:rsid w:val="00075A5B"/>
    <w:rsid w:val="00092241"/>
    <w:rsid w:val="000964E5"/>
    <w:rsid w:val="000B0B5D"/>
    <w:rsid w:val="000C1807"/>
    <w:rsid w:val="000E245D"/>
    <w:rsid w:val="000E2593"/>
    <w:rsid w:val="000E3023"/>
    <w:rsid w:val="000E5B55"/>
    <w:rsid w:val="000E6426"/>
    <w:rsid w:val="00101E62"/>
    <w:rsid w:val="00101F08"/>
    <w:rsid w:val="00102D02"/>
    <w:rsid w:val="0010728A"/>
    <w:rsid w:val="00110395"/>
    <w:rsid w:val="00110746"/>
    <w:rsid w:val="00112811"/>
    <w:rsid w:val="001222E4"/>
    <w:rsid w:val="00126155"/>
    <w:rsid w:val="00126F1D"/>
    <w:rsid w:val="00136AB5"/>
    <w:rsid w:val="00137999"/>
    <w:rsid w:val="0014026B"/>
    <w:rsid w:val="00141F61"/>
    <w:rsid w:val="001458F2"/>
    <w:rsid w:val="00146C2D"/>
    <w:rsid w:val="001525EA"/>
    <w:rsid w:val="001540FE"/>
    <w:rsid w:val="001566BC"/>
    <w:rsid w:val="00156986"/>
    <w:rsid w:val="00160EAE"/>
    <w:rsid w:val="00161DEB"/>
    <w:rsid w:val="00173441"/>
    <w:rsid w:val="00176F40"/>
    <w:rsid w:val="00182BB6"/>
    <w:rsid w:val="00192817"/>
    <w:rsid w:val="00197271"/>
    <w:rsid w:val="00197E86"/>
    <w:rsid w:val="001A1478"/>
    <w:rsid w:val="001A46D6"/>
    <w:rsid w:val="001A5A72"/>
    <w:rsid w:val="001D282A"/>
    <w:rsid w:val="001E0901"/>
    <w:rsid w:val="001E27ED"/>
    <w:rsid w:val="001E30F8"/>
    <w:rsid w:val="001F5275"/>
    <w:rsid w:val="001F6198"/>
    <w:rsid w:val="001F7939"/>
    <w:rsid w:val="00200C76"/>
    <w:rsid w:val="0020528F"/>
    <w:rsid w:val="00212A0F"/>
    <w:rsid w:val="00220845"/>
    <w:rsid w:val="00222C9F"/>
    <w:rsid w:val="00230FDE"/>
    <w:rsid w:val="002310FA"/>
    <w:rsid w:val="00232790"/>
    <w:rsid w:val="002403A9"/>
    <w:rsid w:val="00240A00"/>
    <w:rsid w:val="00241CFC"/>
    <w:rsid w:val="00251AAB"/>
    <w:rsid w:val="00252D63"/>
    <w:rsid w:val="00252DC7"/>
    <w:rsid w:val="00255274"/>
    <w:rsid w:val="002567BB"/>
    <w:rsid w:val="002642D9"/>
    <w:rsid w:val="0026651A"/>
    <w:rsid w:val="00270A99"/>
    <w:rsid w:val="00285083"/>
    <w:rsid w:val="00287D82"/>
    <w:rsid w:val="002A1703"/>
    <w:rsid w:val="002A193A"/>
    <w:rsid w:val="002A7CAA"/>
    <w:rsid w:val="002B6E7D"/>
    <w:rsid w:val="002C79ED"/>
    <w:rsid w:val="002D519C"/>
    <w:rsid w:val="002D59FD"/>
    <w:rsid w:val="002E46FF"/>
    <w:rsid w:val="002E772B"/>
    <w:rsid w:val="002F120B"/>
    <w:rsid w:val="00301B51"/>
    <w:rsid w:val="0030352F"/>
    <w:rsid w:val="00303B70"/>
    <w:rsid w:val="00317E36"/>
    <w:rsid w:val="0032254F"/>
    <w:rsid w:val="003236B0"/>
    <w:rsid w:val="003339EF"/>
    <w:rsid w:val="00336B0E"/>
    <w:rsid w:val="00346E6D"/>
    <w:rsid w:val="00357A48"/>
    <w:rsid w:val="0036114B"/>
    <w:rsid w:val="003708E7"/>
    <w:rsid w:val="00371CF8"/>
    <w:rsid w:val="003726B9"/>
    <w:rsid w:val="00384F49"/>
    <w:rsid w:val="00397A47"/>
    <w:rsid w:val="00397DDB"/>
    <w:rsid w:val="003A4FCE"/>
    <w:rsid w:val="003A6DE3"/>
    <w:rsid w:val="003B2CAB"/>
    <w:rsid w:val="003B2E79"/>
    <w:rsid w:val="003B7607"/>
    <w:rsid w:val="003C0D71"/>
    <w:rsid w:val="003D14F7"/>
    <w:rsid w:val="003D25C4"/>
    <w:rsid w:val="003E31F1"/>
    <w:rsid w:val="003E40E9"/>
    <w:rsid w:val="003E6B47"/>
    <w:rsid w:val="003F21C9"/>
    <w:rsid w:val="00402642"/>
    <w:rsid w:val="00404F81"/>
    <w:rsid w:val="0042047A"/>
    <w:rsid w:val="00420D8F"/>
    <w:rsid w:val="0042564D"/>
    <w:rsid w:val="0042670F"/>
    <w:rsid w:val="00431A4B"/>
    <w:rsid w:val="00433F45"/>
    <w:rsid w:val="004428E5"/>
    <w:rsid w:val="0044449B"/>
    <w:rsid w:val="004472BC"/>
    <w:rsid w:val="00452AFB"/>
    <w:rsid w:val="00456533"/>
    <w:rsid w:val="00461433"/>
    <w:rsid w:val="00466D20"/>
    <w:rsid w:val="0047497D"/>
    <w:rsid w:val="00476168"/>
    <w:rsid w:val="00491E75"/>
    <w:rsid w:val="004933ED"/>
    <w:rsid w:val="00494C6E"/>
    <w:rsid w:val="00495098"/>
    <w:rsid w:val="004A2186"/>
    <w:rsid w:val="004B1792"/>
    <w:rsid w:val="004B414A"/>
    <w:rsid w:val="004C01F2"/>
    <w:rsid w:val="004C5B06"/>
    <w:rsid w:val="004C7DBF"/>
    <w:rsid w:val="004D3D2F"/>
    <w:rsid w:val="004D76CD"/>
    <w:rsid w:val="004E045D"/>
    <w:rsid w:val="004E433D"/>
    <w:rsid w:val="004F3405"/>
    <w:rsid w:val="00500D3B"/>
    <w:rsid w:val="00504967"/>
    <w:rsid w:val="0050656D"/>
    <w:rsid w:val="005109C3"/>
    <w:rsid w:val="00517683"/>
    <w:rsid w:val="0053538C"/>
    <w:rsid w:val="00535DBC"/>
    <w:rsid w:val="00535DC4"/>
    <w:rsid w:val="00537847"/>
    <w:rsid w:val="00540761"/>
    <w:rsid w:val="0054092F"/>
    <w:rsid w:val="0054366D"/>
    <w:rsid w:val="00545AA0"/>
    <w:rsid w:val="0054685B"/>
    <w:rsid w:val="00552ABE"/>
    <w:rsid w:val="005540B0"/>
    <w:rsid w:val="00576D9F"/>
    <w:rsid w:val="005920A3"/>
    <w:rsid w:val="005C7E0E"/>
    <w:rsid w:val="005D32E6"/>
    <w:rsid w:val="005D3446"/>
    <w:rsid w:val="005F069A"/>
    <w:rsid w:val="0060319C"/>
    <w:rsid w:val="0060742C"/>
    <w:rsid w:val="00607FEE"/>
    <w:rsid w:val="00610C98"/>
    <w:rsid w:val="00611766"/>
    <w:rsid w:val="00613FF4"/>
    <w:rsid w:val="0061470B"/>
    <w:rsid w:val="00630806"/>
    <w:rsid w:val="006310CF"/>
    <w:rsid w:val="00631145"/>
    <w:rsid w:val="006365F9"/>
    <w:rsid w:val="00641872"/>
    <w:rsid w:val="00643B25"/>
    <w:rsid w:val="006476E2"/>
    <w:rsid w:val="00654DF5"/>
    <w:rsid w:val="00656BF0"/>
    <w:rsid w:val="00660127"/>
    <w:rsid w:val="00666682"/>
    <w:rsid w:val="00670670"/>
    <w:rsid w:val="0067685A"/>
    <w:rsid w:val="0068258C"/>
    <w:rsid w:val="00684A25"/>
    <w:rsid w:val="00687F2D"/>
    <w:rsid w:val="00697407"/>
    <w:rsid w:val="006C4652"/>
    <w:rsid w:val="006D422C"/>
    <w:rsid w:val="006E168E"/>
    <w:rsid w:val="006F0563"/>
    <w:rsid w:val="006F1198"/>
    <w:rsid w:val="006F61C4"/>
    <w:rsid w:val="007051ED"/>
    <w:rsid w:val="00712CE7"/>
    <w:rsid w:val="007135D1"/>
    <w:rsid w:val="00715A51"/>
    <w:rsid w:val="00716530"/>
    <w:rsid w:val="007170F1"/>
    <w:rsid w:val="00725FAE"/>
    <w:rsid w:val="007308CB"/>
    <w:rsid w:val="00731066"/>
    <w:rsid w:val="00733CE5"/>
    <w:rsid w:val="007348A2"/>
    <w:rsid w:val="00736846"/>
    <w:rsid w:val="0074118E"/>
    <w:rsid w:val="0074450F"/>
    <w:rsid w:val="00744EBD"/>
    <w:rsid w:val="007512AF"/>
    <w:rsid w:val="0075315F"/>
    <w:rsid w:val="007549C8"/>
    <w:rsid w:val="00762A3D"/>
    <w:rsid w:val="00777D97"/>
    <w:rsid w:val="007807AF"/>
    <w:rsid w:val="007812EE"/>
    <w:rsid w:val="00781910"/>
    <w:rsid w:val="007826EE"/>
    <w:rsid w:val="00783E52"/>
    <w:rsid w:val="0079407E"/>
    <w:rsid w:val="00794E4A"/>
    <w:rsid w:val="00795743"/>
    <w:rsid w:val="00797686"/>
    <w:rsid w:val="007A5379"/>
    <w:rsid w:val="007B2B56"/>
    <w:rsid w:val="007B63CD"/>
    <w:rsid w:val="007C2E0F"/>
    <w:rsid w:val="007D4F33"/>
    <w:rsid w:val="007E2CCD"/>
    <w:rsid w:val="007E3684"/>
    <w:rsid w:val="007E445C"/>
    <w:rsid w:val="007F4FB1"/>
    <w:rsid w:val="007F6BBA"/>
    <w:rsid w:val="007F738F"/>
    <w:rsid w:val="00800469"/>
    <w:rsid w:val="00800E5C"/>
    <w:rsid w:val="008039D2"/>
    <w:rsid w:val="008152C6"/>
    <w:rsid w:val="00821E6F"/>
    <w:rsid w:val="0083059A"/>
    <w:rsid w:val="008342E3"/>
    <w:rsid w:val="008443D3"/>
    <w:rsid w:val="0085422D"/>
    <w:rsid w:val="008679B5"/>
    <w:rsid w:val="008753F9"/>
    <w:rsid w:val="00882659"/>
    <w:rsid w:val="00887198"/>
    <w:rsid w:val="008876A7"/>
    <w:rsid w:val="00890C09"/>
    <w:rsid w:val="00893D07"/>
    <w:rsid w:val="008A1DD9"/>
    <w:rsid w:val="008D5C18"/>
    <w:rsid w:val="008D7E0B"/>
    <w:rsid w:val="008E33F1"/>
    <w:rsid w:val="008F0B3C"/>
    <w:rsid w:val="008F2F22"/>
    <w:rsid w:val="008F469B"/>
    <w:rsid w:val="00907868"/>
    <w:rsid w:val="00922485"/>
    <w:rsid w:val="00925342"/>
    <w:rsid w:val="00927261"/>
    <w:rsid w:val="0093175C"/>
    <w:rsid w:val="009330FC"/>
    <w:rsid w:val="00936057"/>
    <w:rsid w:val="00940F19"/>
    <w:rsid w:val="009424DF"/>
    <w:rsid w:val="00945F7C"/>
    <w:rsid w:val="009468EA"/>
    <w:rsid w:val="00953BE2"/>
    <w:rsid w:val="00956773"/>
    <w:rsid w:val="0096245E"/>
    <w:rsid w:val="00962529"/>
    <w:rsid w:val="00963134"/>
    <w:rsid w:val="0096494A"/>
    <w:rsid w:val="00973478"/>
    <w:rsid w:val="009752F9"/>
    <w:rsid w:val="00981A5C"/>
    <w:rsid w:val="00987E1E"/>
    <w:rsid w:val="009905AA"/>
    <w:rsid w:val="009A03EA"/>
    <w:rsid w:val="009B240E"/>
    <w:rsid w:val="009B5A71"/>
    <w:rsid w:val="009B5B0C"/>
    <w:rsid w:val="009C1864"/>
    <w:rsid w:val="009C188C"/>
    <w:rsid w:val="009C18D1"/>
    <w:rsid w:val="009C74C9"/>
    <w:rsid w:val="009C77E3"/>
    <w:rsid w:val="009D7959"/>
    <w:rsid w:val="009E3354"/>
    <w:rsid w:val="009F351F"/>
    <w:rsid w:val="009F452F"/>
    <w:rsid w:val="009F7FAA"/>
    <w:rsid w:val="00A062CB"/>
    <w:rsid w:val="00A102A6"/>
    <w:rsid w:val="00A23206"/>
    <w:rsid w:val="00A24087"/>
    <w:rsid w:val="00A258CB"/>
    <w:rsid w:val="00A26AA3"/>
    <w:rsid w:val="00A27507"/>
    <w:rsid w:val="00A31FEE"/>
    <w:rsid w:val="00A45BFB"/>
    <w:rsid w:val="00A4698C"/>
    <w:rsid w:val="00A473FC"/>
    <w:rsid w:val="00A567A2"/>
    <w:rsid w:val="00A8402B"/>
    <w:rsid w:val="00A93997"/>
    <w:rsid w:val="00A9438C"/>
    <w:rsid w:val="00AA063B"/>
    <w:rsid w:val="00AA4EED"/>
    <w:rsid w:val="00AA6E8C"/>
    <w:rsid w:val="00AD2007"/>
    <w:rsid w:val="00AD28F4"/>
    <w:rsid w:val="00AD4100"/>
    <w:rsid w:val="00AD559A"/>
    <w:rsid w:val="00AD66FC"/>
    <w:rsid w:val="00AE273D"/>
    <w:rsid w:val="00AE764B"/>
    <w:rsid w:val="00AE7A90"/>
    <w:rsid w:val="00AF1798"/>
    <w:rsid w:val="00AF37FB"/>
    <w:rsid w:val="00B060B1"/>
    <w:rsid w:val="00B06DC0"/>
    <w:rsid w:val="00B108F2"/>
    <w:rsid w:val="00B2230E"/>
    <w:rsid w:val="00B43F98"/>
    <w:rsid w:val="00B61DB2"/>
    <w:rsid w:val="00B65423"/>
    <w:rsid w:val="00B67CAC"/>
    <w:rsid w:val="00B72F12"/>
    <w:rsid w:val="00B77ADC"/>
    <w:rsid w:val="00B83145"/>
    <w:rsid w:val="00B84D85"/>
    <w:rsid w:val="00B879A2"/>
    <w:rsid w:val="00B9520A"/>
    <w:rsid w:val="00BA625A"/>
    <w:rsid w:val="00BB2585"/>
    <w:rsid w:val="00BC0916"/>
    <w:rsid w:val="00BD37A5"/>
    <w:rsid w:val="00BF20B6"/>
    <w:rsid w:val="00BF4D69"/>
    <w:rsid w:val="00BF5A77"/>
    <w:rsid w:val="00BF69BE"/>
    <w:rsid w:val="00C01588"/>
    <w:rsid w:val="00C01A6C"/>
    <w:rsid w:val="00C1220D"/>
    <w:rsid w:val="00C1597A"/>
    <w:rsid w:val="00C221BD"/>
    <w:rsid w:val="00C22244"/>
    <w:rsid w:val="00C24432"/>
    <w:rsid w:val="00C271B6"/>
    <w:rsid w:val="00C310E7"/>
    <w:rsid w:val="00C34DA6"/>
    <w:rsid w:val="00C42303"/>
    <w:rsid w:val="00C431B8"/>
    <w:rsid w:val="00C4500A"/>
    <w:rsid w:val="00C53089"/>
    <w:rsid w:val="00C54B14"/>
    <w:rsid w:val="00C56708"/>
    <w:rsid w:val="00C70767"/>
    <w:rsid w:val="00C76B83"/>
    <w:rsid w:val="00C8519B"/>
    <w:rsid w:val="00C8722D"/>
    <w:rsid w:val="00C9096D"/>
    <w:rsid w:val="00C95B51"/>
    <w:rsid w:val="00CA451D"/>
    <w:rsid w:val="00CA685F"/>
    <w:rsid w:val="00CA7C6C"/>
    <w:rsid w:val="00CB5D49"/>
    <w:rsid w:val="00CB71E5"/>
    <w:rsid w:val="00CC094F"/>
    <w:rsid w:val="00CD39F9"/>
    <w:rsid w:val="00CD621B"/>
    <w:rsid w:val="00CD64AC"/>
    <w:rsid w:val="00CE0CE8"/>
    <w:rsid w:val="00CE17E6"/>
    <w:rsid w:val="00CE5A2E"/>
    <w:rsid w:val="00CF1360"/>
    <w:rsid w:val="00CF7E26"/>
    <w:rsid w:val="00D007F6"/>
    <w:rsid w:val="00D0468F"/>
    <w:rsid w:val="00D11E22"/>
    <w:rsid w:val="00D20463"/>
    <w:rsid w:val="00D239F3"/>
    <w:rsid w:val="00D2666D"/>
    <w:rsid w:val="00D27505"/>
    <w:rsid w:val="00D3308B"/>
    <w:rsid w:val="00D41BC0"/>
    <w:rsid w:val="00D420D9"/>
    <w:rsid w:val="00D4291D"/>
    <w:rsid w:val="00D55489"/>
    <w:rsid w:val="00D61F6A"/>
    <w:rsid w:val="00D705D6"/>
    <w:rsid w:val="00D712EF"/>
    <w:rsid w:val="00D71B99"/>
    <w:rsid w:val="00D76DA1"/>
    <w:rsid w:val="00D830A1"/>
    <w:rsid w:val="00D963DA"/>
    <w:rsid w:val="00DC4AEE"/>
    <w:rsid w:val="00DC6F7E"/>
    <w:rsid w:val="00DC7F1E"/>
    <w:rsid w:val="00DD3907"/>
    <w:rsid w:val="00DF0B1C"/>
    <w:rsid w:val="00DF71C3"/>
    <w:rsid w:val="00E025FF"/>
    <w:rsid w:val="00E17FB1"/>
    <w:rsid w:val="00E2110F"/>
    <w:rsid w:val="00E30809"/>
    <w:rsid w:val="00E35CA5"/>
    <w:rsid w:val="00E43E1A"/>
    <w:rsid w:val="00E5503C"/>
    <w:rsid w:val="00E56F98"/>
    <w:rsid w:val="00E721CC"/>
    <w:rsid w:val="00E76A63"/>
    <w:rsid w:val="00E77D4C"/>
    <w:rsid w:val="00E83FCC"/>
    <w:rsid w:val="00E8520B"/>
    <w:rsid w:val="00E91806"/>
    <w:rsid w:val="00E96AB8"/>
    <w:rsid w:val="00E96F9F"/>
    <w:rsid w:val="00EC196B"/>
    <w:rsid w:val="00EF0622"/>
    <w:rsid w:val="00F00C3F"/>
    <w:rsid w:val="00F11F6F"/>
    <w:rsid w:val="00F12D65"/>
    <w:rsid w:val="00F2262F"/>
    <w:rsid w:val="00F3019F"/>
    <w:rsid w:val="00F3762F"/>
    <w:rsid w:val="00F51F94"/>
    <w:rsid w:val="00F61BE5"/>
    <w:rsid w:val="00F64CBE"/>
    <w:rsid w:val="00F71D5B"/>
    <w:rsid w:val="00F91342"/>
    <w:rsid w:val="00F94FB9"/>
    <w:rsid w:val="00F953B7"/>
    <w:rsid w:val="00F95F99"/>
    <w:rsid w:val="00FA6D28"/>
    <w:rsid w:val="00FA7094"/>
    <w:rsid w:val="00FB16B2"/>
    <w:rsid w:val="00FB7C8B"/>
    <w:rsid w:val="00FC1448"/>
    <w:rsid w:val="00FC6817"/>
    <w:rsid w:val="00FD12F9"/>
    <w:rsid w:val="00FD4D0F"/>
    <w:rsid w:val="00FE1030"/>
    <w:rsid w:val="00FE2C07"/>
    <w:rsid w:val="00FF087B"/>
    <w:rsid w:val="00FF36C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ita.Obrumane@mod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7B20-694C-4F72-9D68-92717F9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EE147B63.dotm</Template>
  <TotalTime>2</TotalTime>
  <Pages>2</Pages>
  <Words>380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29.jūnija noteikumos Nr.578 "Noteikumi par izdevumiem, kas saistīti ar karavīra vai zemessarga apbedīšanu un karavīra kapa pieminekļa uzstādīšanu, un minēto izdevumu apmēru"</vt:lpstr>
    </vt:vector>
  </TitlesOfParts>
  <Manager>Personāla attīstības departaments</Manager>
  <Company>Aizsardzības ministrija</Company>
  <LinksUpToDate>false</LinksUpToDate>
  <CharactersWithSpaces>3115</CharactersWithSpaces>
  <SharedDoc>false</SharedDoc>
  <HLinks>
    <vt:vector size="6" baseType="variant"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mailto:Sanita.Obrumane@mod.gov.lv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Nr.578 "Noteikumi par izdevumiem, kas saistīti ar karavīra vai zemessarga apbedīšanu un karavīra kapa pieminekļa uzstādīšanu, un minēto izdevumu apmēru"</dc:title>
  <dc:subject>Sākotnējās ietekmes novērtējuma ziņojusm (anotācija)</dc:subject>
  <dc:creator>Sanita Obrumāne</dc:creator>
  <dc:description>Sanita.Obrumane@mod.gov.lv, 67335236</dc:description>
  <cp:lastModifiedBy>Sanita Obrumane</cp:lastModifiedBy>
  <cp:revision>3</cp:revision>
  <cp:lastPrinted>2013-07-05T12:42:00Z</cp:lastPrinted>
  <dcterms:created xsi:type="dcterms:W3CDTF">2013-07-05T12:41:00Z</dcterms:created>
  <dcterms:modified xsi:type="dcterms:W3CDTF">2013-07-05T12:42:00Z</dcterms:modified>
</cp:coreProperties>
</file>