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C7" w:rsidRPr="003340A2" w:rsidRDefault="003A21C7" w:rsidP="004205C0">
      <w:pPr>
        <w:pStyle w:val="Header"/>
        <w:ind w:right="360"/>
        <w:jc w:val="right"/>
        <w:rPr>
          <w:rFonts w:ascii="Times New Roman" w:hAnsi="Times New Roman"/>
          <w:sz w:val="26"/>
          <w:szCs w:val="26"/>
        </w:rPr>
      </w:pPr>
      <w:r w:rsidRPr="003340A2">
        <w:rPr>
          <w:rFonts w:ascii="Times New Roman" w:hAnsi="Times New Roman"/>
          <w:sz w:val="26"/>
          <w:szCs w:val="26"/>
        </w:rPr>
        <w:t>Projekts</w:t>
      </w:r>
    </w:p>
    <w:p w:rsidR="003A21C7" w:rsidRPr="003340A2" w:rsidRDefault="003A21C7" w:rsidP="00533FC4">
      <w:pPr>
        <w:pStyle w:val="Header"/>
        <w:ind w:right="360"/>
        <w:jc w:val="center"/>
        <w:rPr>
          <w:rFonts w:ascii="Times New Roman" w:hAnsi="Times New Roman"/>
          <w:sz w:val="26"/>
          <w:szCs w:val="26"/>
        </w:rPr>
      </w:pPr>
      <w:r w:rsidRPr="003340A2">
        <w:rPr>
          <w:rFonts w:ascii="Times New Roman" w:hAnsi="Times New Roman"/>
          <w:b/>
          <w:sz w:val="26"/>
          <w:szCs w:val="26"/>
        </w:rPr>
        <w:t>Ministru kabineta noteikumu</w:t>
      </w:r>
    </w:p>
    <w:p w:rsidR="003A21C7" w:rsidRPr="003340A2" w:rsidRDefault="003A21C7" w:rsidP="00C91177">
      <w:pPr>
        <w:autoSpaceDE w:val="0"/>
        <w:autoSpaceDN w:val="0"/>
        <w:adjustRightInd w:val="0"/>
        <w:jc w:val="center"/>
        <w:rPr>
          <w:b/>
          <w:color w:val="000000"/>
          <w:sz w:val="26"/>
          <w:szCs w:val="26"/>
        </w:rPr>
      </w:pPr>
      <w:r w:rsidRPr="003340A2">
        <w:rPr>
          <w:b/>
          <w:bCs/>
          <w:sz w:val="26"/>
          <w:szCs w:val="26"/>
        </w:rPr>
        <w:t xml:space="preserve">„Grozījumi Ministru kabineta 2009.gada 17.februāra noteikumos Nr.166 </w:t>
      </w:r>
      <w:r w:rsidRPr="003340A2">
        <w:rPr>
          <w:b/>
          <w:color w:val="000000"/>
          <w:sz w:val="26"/>
          <w:szCs w:val="26"/>
        </w:rPr>
        <w:t>„Kārtība, kādā veidojamas, finansējamas un sagatavojamas Latvijas Nacionālo bruņoto spēku vienības, kas piedalās starptautiskajās operācijās un ātrās reaģēšanas spēkos””</w:t>
      </w:r>
    </w:p>
    <w:p w:rsidR="003A21C7" w:rsidRPr="003340A2" w:rsidRDefault="003A21C7" w:rsidP="00533FC4">
      <w:pPr>
        <w:pStyle w:val="Header"/>
        <w:ind w:right="360"/>
        <w:jc w:val="center"/>
        <w:rPr>
          <w:rFonts w:ascii="Times New Roman" w:hAnsi="Times New Roman"/>
          <w:b/>
          <w:sz w:val="26"/>
          <w:szCs w:val="26"/>
        </w:rPr>
      </w:pPr>
      <w:r w:rsidRPr="003340A2">
        <w:rPr>
          <w:rFonts w:ascii="Times New Roman" w:hAnsi="Times New Roman"/>
          <w:b/>
          <w:sz w:val="26"/>
          <w:szCs w:val="26"/>
        </w:rPr>
        <w:t xml:space="preserve">projekta </w:t>
      </w:r>
    </w:p>
    <w:p w:rsidR="003A21C7" w:rsidRPr="003340A2" w:rsidRDefault="003A21C7" w:rsidP="00533FC4">
      <w:pPr>
        <w:pStyle w:val="Header"/>
        <w:ind w:right="360"/>
        <w:jc w:val="center"/>
        <w:rPr>
          <w:rFonts w:ascii="Times New Roman" w:hAnsi="Times New Roman"/>
          <w:b/>
          <w:sz w:val="26"/>
          <w:szCs w:val="26"/>
        </w:rPr>
      </w:pPr>
      <w:r w:rsidRPr="003340A2">
        <w:rPr>
          <w:rFonts w:ascii="Times New Roman" w:hAnsi="Times New Roman"/>
          <w:b/>
          <w:sz w:val="26"/>
          <w:szCs w:val="26"/>
        </w:rPr>
        <w:t>sākotnējās ietekmes izvērtējums</w:t>
      </w:r>
    </w:p>
    <w:p w:rsidR="003A21C7" w:rsidRPr="003340A2" w:rsidRDefault="003A21C7" w:rsidP="00533FC4">
      <w:pPr>
        <w:pStyle w:val="Header"/>
        <w:ind w:right="360"/>
        <w:jc w:val="center"/>
        <w:rPr>
          <w:rFonts w:ascii="Times New Roman" w:hAnsi="Times New Roman"/>
          <w:sz w:val="26"/>
          <w:szCs w:val="26"/>
        </w:rPr>
      </w:pPr>
      <w:r w:rsidRPr="003340A2">
        <w:rPr>
          <w:rFonts w:ascii="Times New Roman" w:hAnsi="Times New Roman"/>
          <w:b/>
          <w:sz w:val="26"/>
          <w:szCs w:val="26"/>
        </w:rPr>
        <w:t>(anotācija)</w:t>
      </w:r>
    </w:p>
    <w:p w:rsidR="003A21C7" w:rsidRPr="003340A2" w:rsidRDefault="003A21C7">
      <w:pP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1"/>
        <w:gridCol w:w="1696"/>
        <w:gridCol w:w="6419"/>
      </w:tblGrid>
      <w:tr w:rsidR="003A21C7" w:rsidRPr="003340A2" w:rsidTr="00B86476">
        <w:trPr>
          <w:tblCellSpacing w:w="15" w:type="dxa"/>
        </w:trPr>
        <w:tc>
          <w:tcPr>
            <w:tcW w:w="4965" w:type="pct"/>
            <w:gridSpan w:val="3"/>
            <w:tcBorders>
              <w:top w:val="single" w:sz="6" w:space="0" w:color="auto"/>
              <w:left w:val="single" w:sz="6" w:space="0" w:color="auto"/>
              <w:bottom w:val="outset" w:sz="6" w:space="0" w:color="auto"/>
              <w:right w:val="single" w:sz="6" w:space="0" w:color="auto"/>
            </w:tcBorders>
            <w:vAlign w:val="center"/>
          </w:tcPr>
          <w:p w:rsidR="003A21C7" w:rsidRPr="003340A2" w:rsidRDefault="003A21C7" w:rsidP="00B35009">
            <w:pPr>
              <w:pStyle w:val="tvhtmlmktable"/>
              <w:jc w:val="center"/>
              <w:rPr>
                <w:sz w:val="26"/>
                <w:szCs w:val="26"/>
              </w:rPr>
            </w:pPr>
            <w:r w:rsidRPr="003340A2">
              <w:rPr>
                <w:b/>
                <w:bCs/>
                <w:sz w:val="26"/>
                <w:szCs w:val="26"/>
              </w:rPr>
              <w:t>I. Tiesību akta projekta izstrādes nepieciešamība</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1.</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Pamatojums</w:t>
            </w:r>
          </w:p>
        </w:tc>
        <w:tc>
          <w:tcPr>
            <w:tcW w:w="3759" w:type="pct"/>
            <w:tcBorders>
              <w:top w:val="outset" w:sz="6" w:space="0" w:color="auto"/>
              <w:left w:val="outset" w:sz="6" w:space="0" w:color="auto"/>
              <w:bottom w:val="outset" w:sz="6" w:space="0" w:color="auto"/>
            </w:tcBorders>
          </w:tcPr>
          <w:p w:rsidR="003A21C7" w:rsidRPr="003340A2" w:rsidRDefault="003A21C7" w:rsidP="00A1521D">
            <w:pPr>
              <w:autoSpaceDE w:val="0"/>
              <w:autoSpaceDN w:val="0"/>
              <w:adjustRightInd w:val="0"/>
              <w:jc w:val="both"/>
              <w:rPr>
                <w:bCs/>
                <w:sz w:val="26"/>
                <w:szCs w:val="26"/>
              </w:rPr>
            </w:pPr>
            <w:r w:rsidRPr="003340A2">
              <w:rPr>
                <w:sz w:val="26"/>
                <w:szCs w:val="26"/>
              </w:rPr>
              <w:t>Noteikumu „</w:t>
            </w:r>
            <w:r w:rsidRPr="003340A2">
              <w:rPr>
                <w:bCs/>
                <w:sz w:val="26"/>
                <w:szCs w:val="26"/>
              </w:rPr>
              <w:t xml:space="preserve">Grozījumi Ministru kabineta 2009.gada 17.februāra noteikumos Nr.166 </w:t>
            </w:r>
            <w:r w:rsidRPr="003340A2">
              <w:rPr>
                <w:color w:val="000000"/>
                <w:sz w:val="26"/>
                <w:szCs w:val="26"/>
              </w:rPr>
              <w:t>„Kārtība, kādā veidojamas, finansējamas un sagatavojamas Latvijas Nacionālo bruņoto spēku vienības, kas piedalās starptautiskajās operācijās un ātrās reaģēšanas spēkos””</w:t>
            </w:r>
            <w:r w:rsidRPr="003340A2">
              <w:rPr>
                <w:bCs/>
                <w:sz w:val="26"/>
                <w:szCs w:val="26"/>
              </w:rPr>
              <w:t xml:space="preserve"> </w:t>
            </w:r>
            <w:r w:rsidRPr="003340A2">
              <w:rPr>
                <w:sz w:val="26"/>
                <w:szCs w:val="26"/>
              </w:rPr>
              <w:t>projekts</w:t>
            </w:r>
            <w:r w:rsidRPr="003340A2">
              <w:rPr>
                <w:bCs/>
                <w:sz w:val="26"/>
                <w:szCs w:val="26"/>
              </w:rPr>
              <w:t xml:space="preserve"> (turpmāk – projekts) nepieciešams, lai noteiktu starptautiskajās operācijās iesaistīto Nacionālo bruņoto spēku (turpmāk – NBS) vienību un ātrās reaģēšanas spēku (turpmāk – militārie formējumi) speciālo, drošības un kaujas atbalsta uzdevumu izpildei nepieciešamo valsts finanšu līdzekļu piešķiršanas un izlietojuma pamatojumu.</w:t>
            </w:r>
          </w:p>
          <w:p w:rsidR="003A21C7" w:rsidRPr="003340A2" w:rsidRDefault="003A21C7" w:rsidP="00A1521D">
            <w:pPr>
              <w:autoSpaceDE w:val="0"/>
              <w:autoSpaceDN w:val="0"/>
              <w:adjustRightInd w:val="0"/>
              <w:jc w:val="both"/>
              <w:rPr>
                <w:bCs/>
                <w:sz w:val="26"/>
                <w:szCs w:val="26"/>
              </w:rPr>
            </w:pP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2.</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Pašreizējā situācija un problēmas</w:t>
            </w:r>
          </w:p>
        </w:tc>
        <w:tc>
          <w:tcPr>
            <w:tcW w:w="3759" w:type="pct"/>
            <w:tcBorders>
              <w:top w:val="outset" w:sz="6" w:space="0" w:color="auto"/>
              <w:left w:val="outset" w:sz="6" w:space="0" w:color="auto"/>
              <w:bottom w:val="outset" w:sz="6" w:space="0" w:color="auto"/>
            </w:tcBorders>
          </w:tcPr>
          <w:p w:rsidR="004F3252" w:rsidRPr="003340A2" w:rsidRDefault="003A21C7" w:rsidP="00A04024">
            <w:pPr>
              <w:jc w:val="both"/>
              <w:rPr>
                <w:bCs/>
                <w:sz w:val="26"/>
                <w:szCs w:val="26"/>
              </w:rPr>
            </w:pPr>
            <w:r w:rsidRPr="003340A2">
              <w:rPr>
                <w:bCs/>
                <w:sz w:val="26"/>
                <w:szCs w:val="26"/>
              </w:rPr>
              <w:t xml:space="preserve">Ministru kabineta 2009.gada 17.februāra noteikumi Nr.166 </w:t>
            </w:r>
            <w:r w:rsidRPr="003340A2">
              <w:rPr>
                <w:color w:val="000000"/>
                <w:sz w:val="26"/>
                <w:szCs w:val="26"/>
              </w:rPr>
              <w:t xml:space="preserve">„Kārtība, kādā veidojamas, finansējamas un sagatavojamas Latvijas Nacionālo bruņoto spēku vienības, kas piedalās starptautiskajās operācijās un ātrās reaģēšanas spēkos (turpmāk – </w:t>
            </w:r>
            <w:r w:rsidRPr="003340A2">
              <w:rPr>
                <w:sz w:val="26"/>
                <w:szCs w:val="26"/>
              </w:rPr>
              <w:t xml:space="preserve">Noteikumi) nosaka, ka militāro formējumu komplektē no profesionālā dienesta karavīriem, zemessargiem un militārajiem darbiniekiem. Taču </w:t>
            </w:r>
            <w:r w:rsidRPr="003340A2">
              <w:rPr>
                <w:color w:val="000000"/>
                <w:sz w:val="26"/>
                <w:szCs w:val="26"/>
              </w:rPr>
              <w:t>saistībā ar NBS reorganizāciju no 2011.gada 1.janvāra NBS vienības vairs nav paredzēts komplektēt ar militārajiem darbiniekiem. Līdz ar to nepieciešams izdarīt attiecīgu grozījumu.</w:t>
            </w:r>
            <w:r w:rsidR="007706AC" w:rsidRPr="003340A2">
              <w:rPr>
                <w:bCs/>
                <w:sz w:val="26"/>
                <w:szCs w:val="26"/>
              </w:rPr>
              <w:t xml:space="preserve"> </w:t>
            </w:r>
          </w:p>
          <w:p w:rsidR="003A21C7" w:rsidRPr="003340A2" w:rsidRDefault="000C4C24" w:rsidP="00A04024">
            <w:pPr>
              <w:jc w:val="both"/>
              <w:rPr>
                <w:color w:val="000000"/>
                <w:sz w:val="26"/>
                <w:szCs w:val="26"/>
              </w:rPr>
            </w:pPr>
            <w:r w:rsidRPr="003340A2">
              <w:rPr>
                <w:bCs/>
                <w:sz w:val="26"/>
                <w:szCs w:val="26"/>
              </w:rPr>
              <w:t>NBS</w:t>
            </w:r>
            <w:r w:rsidR="007706AC" w:rsidRPr="003340A2">
              <w:rPr>
                <w:bCs/>
                <w:sz w:val="26"/>
                <w:szCs w:val="26"/>
              </w:rPr>
              <w:t xml:space="preserve"> likumā ir noteikts, ka </w:t>
            </w:r>
            <w:r w:rsidRPr="003340A2">
              <w:rPr>
                <w:sz w:val="26"/>
                <w:szCs w:val="26"/>
              </w:rPr>
              <w:t>NBS</w:t>
            </w:r>
            <w:r w:rsidR="007706AC" w:rsidRPr="003340A2">
              <w:rPr>
                <w:sz w:val="26"/>
                <w:szCs w:val="26"/>
              </w:rPr>
              <w:t xml:space="preserve"> finansē no valsts budžeta, </w:t>
            </w:r>
            <w:r w:rsidRPr="003340A2">
              <w:rPr>
                <w:sz w:val="26"/>
                <w:szCs w:val="26"/>
              </w:rPr>
              <w:t>NBS</w:t>
            </w:r>
            <w:r w:rsidR="007706AC" w:rsidRPr="003340A2">
              <w:rPr>
                <w:sz w:val="26"/>
                <w:szCs w:val="26"/>
              </w:rPr>
              <w:t xml:space="preserve"> apgāde ar materiāltehniskajiem resursiem notiek vienotas iegādes un apgādes sistēmas ietvaros, ievērojot normatīvo aktu prasības.</w:t>
            </w:r>
          </w:p>
          <w:p w:rsidR="003F30DF" w:rsidRPr="003340A2" w:rsidRDefault="003A21C7" w:rsidP="007706AC">
            <w:pPr>
              <w:jc w:val="both"/>
              <w:rPr>
                <w:sz w:val="26"/>
                <w:szCs w:val="26"/>
              </w:rPr>
            </w:pPr>
            <w:r w:rsidRPr="003340A2">
              <w:rPr>
                <w:sz w:val="26"/>
                <w:szCs w:val="26"/>
              </w:rPr>
              <w:t>Noteikumi nosaka, ka Aizsardzības ministrija nodrošina militāro formējumu ar materiālte</w:t>
            </w:r>
            <w:r w:rsidR="004F3252" w:rsidRPr="003340A2">
              <w:rPr>
                <w:sz w:val="26"/>
                <w:szCs w:val="26"/>
              </w:rPr>
              <w:t>hniskajiem un finanšu resursiem</w:t>
            </w:r>
            <w:r w:rsidR="003F30DF" w:rsidRPr="003340A2">
              <w:rPr>
                <w:sz w:val="26"/>
                <w:szCs w:val="26"/>
              </w:rPr>
              <w:t xml:space="preserve">. </w:t>
            </w:r>
            <w:r w:rsidR="004F3252" w:rsidRPr="003340A2">
              <w:rPr>
                <w:sz w:val="26"/>
                <w:szCs w:val="26"/>
              </w:rPr>
              <w:t>Līdz ar to</w:t>
            </w:r>
            <w:r w:rsidR="006120D4" w:rsidRPr="003340A2">
              <w:rPr>
                <w:sz w:val="26"/>
                <w:szCs w:val="26"/>
              </w:rPr>
              <w:t xml:space="preserve"> </w:t>
            </w:r>
            <w:r w:rsidR="003F30DF" w:rsidRPr="003340A2">
              <w:rPr>
                <w:sz w:val="26"/>
                <w:szCs w:val="26"/>
              </w:rPr>
              <w:t>Noteikum</w:t>
            </w:r>
            <w:r w:rsidR="006120D4" w:rsidRPr="003340A2">
              <w:rPr>
                <w:sz w:val="26"/>
                <w:szCs w:val="26"/>
              </w:rPr>
              <w:t xml:space="preserve">i </w:t>
            </w:r>
            <w:r w:rsidR="003F30DF" w:rsidRPr="003340A2">
              <w:rPr>
                <w:sz w:val="26"/>
                <w:szCs w:val="26"/>
              </w:rPr>
              <w:t xml:space="preserve">paredz </w:t>
            </w:r>
            <w:r w:rsidR="006E47EB" w:rsidRPr="003340A2">
              <w:rPr>
                <w:sz w:val="26"/>
                <w:szCs w:val="26"/>
              </w:rPr>
              <w:t>militāro formējumu apgādi</w:t>
            </w:r>
            <w:r w:rsidR="004F3252" w:rsidRPr="003340A2">
              <w:rPr>
                <w:sz w:val="26"/>
                <w:szCs w:val="26"/>
              </w:rPr>
              <w:t xml:space="preserve"> </w:t>
            </w:r>
            <w:r w:rsidR="006E47EB" w:rsidRPr="003340A2">
              <w:rPr>
                <w:sz w:val="26"/>
                <w:szCs w:val="26"/>
              </w:rPr>
              <w:t xml:space="preserve">ar </w:t>
            </w:r>
            <w:r w:rsidR="003F30DF" w:rsidRPr="003340A2">
              <w:rPr>
                <w:sz w:val="26"/>
                <w:szCs w:val="26"/>
              </w:rPr>
              <w:t>finanšu līdzekļ</w:t>
            </w:r>
            <w:r w:rsidR="006E47EB" w:rsidRPr="003340A2">
              <w:rPr>
                <w:sz w:val="26"/>
                <w:szCs w:val="26"/>
              </w:rPr>
              <w:t>iem</w:t>
            </w:r>
            <w:r w:rsidR="003F30DF" w:rsidRPr="003340A2">
              <w:rPr>
                <w:sz w:val="26"/>
                <w:szCs w:val="26"/>
              </w:rPr>
              <w:t xml:space="preserve">, kas </w:t>
            </w:r>
            <w:r w:rsidR="006E47EB" w:rsidRPr="003340A2">
              <w:rPr>
                <w:sz w:val="26"/>
                <w:szCs w:val="26"/>
              </w:rPr>
              <w:t>militārajiem formējumiem</w:t>
            </w:r>
            <w:r w:rsidR="003F30DF" w:rsidRPr="003340A2">
              <w:rPr>
                <w:sz w:val="26"/>
                <w:szCs w:val="26"/>
              </w:rPr>
              <w:t xml:space="preserve"> nepieciešami</w:t>
            </w:r>
            <w:r w:rsidR="006E47EB" w:rsidRPr="003340A2">
              <w:rPr>
                <w:sz w:val="26"/>
                <w:szCs w:val="26"/>
              </w:rPr>
              <w:t xml:space="preserve"> </w:t>
            </w:r>
            <w:r w:rsidR="003F30DF" w:rsidRPr="003340A2">
              <w:rPr>
                <w:sz w:val="26"/>
                <w:szCs w:val="26"/>
              </w:rPr>
              <w:t xml:space="preserve">arī </w:t>
            </w:r>
            <w:r w:rsidR="006E47EB" w:rsidRPr="003340A2">
              <w:rPr>
                <w:sz w:val="26"/>
                <w:szCs w:val="26"/>
              </w:rPr>
              <w:t>speciālo</w:t>
            </w:r>
            <w:r w:rsidR="003F30DF" w:rsidRPr="003340A2">
              <w:rPr>
                <w:sz w:val="26"/>
                <w:szCs w:val="26"/>
              </w:rPr>
              <w:t>, drošīb</w:t>
            </w:r>
            <w:r w:rsidR="006E47EB" w:rsidRPr="003340A2">
              <w:rPr>
                <w:sz w:val="26"/>
                <w:szCs w:val="26"/>
              </w:rPr>
              <w:t>as un kaujas atbalsta uzdevumu veikšanai</w:t>
            </w:r>
            <w:r w:rsidR="003F30DF" w:rsidRPr="003340A2">
              <w:rPr>
                <w:sz w:val="26"/>
                <w:szCs w:val="26"/>
              </w:rPr>
              <w:t>.</w:t>
            </w:r>
          </w:p>
          <w:p w:rsidR="007706AC" w:rsidRPr="003340A2" w:rsidRDefault="000C4C24" w:rsidP="007706AC">
            <w:pPr>
              <w:pStyle w:val="ListParagraph"/>
              <w:ind w:left="0"/>
              <w:jc w:val="both"/>
              <w:rPr>
                <w:color w:val="000000"/>
                <w:sz w:val="26"/>
                <w:szCs w:val="26"/>
              </w:rPr>
            </w:pPr>
            <w:r w:rsidRPr="003340A2">
              <w:rPr>
                <w:sz w:val="26"/>
                <w:szCs w:val="26"/>
              </w:rPr>
              <w:lastRenderedPageBreak/>
              <w:t>Prak</w:t>
            </w:r>
            <w:r w:rsidR="006E47EB" w:rsidRPr="003340A2">
              <w:rPr>
                <w:sz w:val="26"/>
                <w:szCs w:val="26"/>
              </w:rPr>
              <w:t>sē</w:t>
            </w:r>
            <w:r w:rsidRPr="003340A2">
              <w:rPr>
                <w:sz w:val="26"/>
                <w:szCs w:val="26"/>
              </w:rPr>
              <w:t xml:space="preserve"> </w:t>
            </w:r>
            <w:r w:rsidR="007706AC" w:rsidRPr="003340A2">
              <w:rPr>
                <w:sz w:val="26"/>
                <w:szCs w:val="26"/>
              </w:rPr>
              <w:t>Latvijas NBS</w:t>
            </w:r>
            <w:r w:rsidR="006E47EB" w:rsidRPr="003340A2">
              <w:rPr>
                <w:sz w:val="26"/>
                <w:szCs w:val="26"/>
              </w:rPr>
              <w:t xml:space="preserve"> </w:t>
            </w:r>
            <w:r w:rsidR="007706AC" w:rsidRPr="003340A2">
              <w:rPr>
                <w:sz w:val="26"/>
                <w:szCs w:val="26"/>
              </w:rPr>
              <w:t>piedaloties</w:t>
            </w:r>
            <w:r w:rsidR="006E47EB" w:rsidRPr="003340A2">
              <w:rPr>
                <w:sz w:val="26"/>
                <w:szCs w:val="26"/>
              </w:rPr>
              <w:t>,</w:t>
            </w:r>
            <w:r w:rsidR="007706AC" w:rsidRPr="003340A2">
              <w:rPr>
                <w:sz w:val="26"/>
                <w:szCs w:val="26"/>
              </w:rPr>
              <w:t xml:space="preserve"> </w:t>
            </w:r>
            <w:r w:rsidR="006E47EB" w:rsidRPr="003340A2">
              <w:rPr>
                <w:sz w:val="26"/>
                <w:szCs w:val="26"/>
              </w:rPr>
              <w:t xml:space="preserve">piemēram, </w:t>
            </w:r>
            <w:r w:rsidR="007706AC" w:rsidRPr="003340A2">
              <w:rPr>
                <w:sz w:val="26"/>
                <w:szCs w:val="26"/>
              </w:rPr>
              <w:t xml:space="preserve">Ziemeļatlantijas līguma organizācijas vadītajā starptautiskajā operācijā Afganistānā Starptautisko drošības atbalsta spēku sastāvā, </w:t>
            </w:r>
            <w:r w:rsidR="006E47EB" w:rsidRPr="003340A2">
              <w:rPr>
                <w:sz w:val="26"/>
                <w:szCs w:val="26"/>
              </w:rPr>
              <w:t xml:space="preserve">šie speciālo, drošības un kaujas atbalsta uzdevumu veikšanai </w:t>
            </w:r>
            <w:r w:rsidR="007706AC" w:rsidRPr="003340A2">
              <w:rPr>
                <w:sz w:val="26"/>
                <w:szCs w:val="26"/>
              </w:rPr>
              <w:t>nepieciešami</w:t>
            </w:r>
            <w:r w:rsidR="0053188C" w:rsidRPr="003340A2">
              <w:rPr>
                <w:sz w:val="26"/>
                <w:szCs w:val="26"/>
              </w:rPr>
              <w:t>e</w:t>
            </w:r>
            <w:r w:rsidR="007706AC" w:rsidRPr="003340A2">
              <w:rPr>
                <w:sz w:val="26"/>
                <w:szCs w:val="26"/>
              </w:rPr>
              <w:t xml:space="preserve"> finanšu līdzekļi</w:t>
            </w:r>
            <w:r w:rsidR="0053188C" w:rsidRPr="003340A2">
              <w:rPr>
                <w:sz w:val="26"/>
                <w:szCs w:val="26"/>
              </w:rPr>
              <w:t xml:space="preserve"> novirzāmi</w:t>
            </w:r>
            <w:r w:rsidR="007706AC" w:rsidRPr="003340A2">
              <w:rPr>
                <w:sz w:val="26"/>
                <w:szCs w:val="26"/>
              </w:rPr>
              <w:t xml:space="preserve"> tādiem izdevumiem, kā</w:t>
            </w:r>
            <w:r w:rsidR="0053188C" w:rsidRPr="003340A2">
              <w:rPr>
                <w:sz w:val="26"/>
                <w:szCs w:val="26"/>
              </w:rPr>
              <w:t>, piemēram,</w:t>
            </w:r>
            <w:r w:rsidR="007706AC" w:rsidRPr="003340A2">
              <w:rPr>
                <w:sz w:val="26"/>
                <w:szCs w:val="26"/>
              </w:rPr>
              <w:t xml:space="preserve"> </w:t>
            </w:r>
            <w:r w:rsidR="007706AC" w:rsidRPr="003340A2">
              <w:rPr>
                <w:color w:val="000000"/>
                <w:sz w:val="26"/>
                <w:szCs w:val="26"/>
              </w:rPr>
              <w:t>karavīru dienesta pienākumu izpildes gaitā civiliedzīvotājiem nodarīto materiālo zaudējumu segšana, dienesta uzdevumu izpildei nepieciešamas drošas informācijas ieguves nolūkā vietējiem drošības spēkiem un informācijas sniedzējiem izsniegto mobilo tālruņu sarunu priekšapmaksas karšu izmaksas, pārtikas produktu iegāde kopējām ēdienreizēm ar vietējiem drošības spēkiem sadarbības nodrošināšanai, dienesta pienākumu izpildei nepieciešamās informācijas ieguvei, vietējo drošības spēku būvju (fortifikāciju), kurās atrodas Latvijas NBS kontingents, pilnveidošana, lai nodrošinātu Latvijas NBS kontingenta fizisko drošību un veicinātu pozitīvu civiliedzīvotāju attieksmi, atsevišķu nepieciešamības preču, piemēram, gāzes balonu, pārtikas produktu, materiāli tehnisko līdzekļu iegāde pie vietējiem pārdevējiem gadījumos, ja nav iespējama Latvijas kont</w:t>
            </w:r>
            <w:r w:rsidR="004F3252" w:rsidRPr="003340A2">
              <w:rPr>
                <w:color w:val="000000"/>
                <w:sz w:val="26"/>
                <w:szCs w:val="26"/>
              </w:rPr>
              <w:t xml:space="preserve">ingenta vienības </w:t>
            </w:r>
            <w:proofErr w:type="spellStart"/>
            <w:r w:rsidR="004F3252" w:rsidRPr="003340A2">
              <w:rPr>
                <w:color w:val="000000"/>
                <w:sz w:val="26"/>
                <w:szCs w:val="26"/>
              </w:rPr>
              <w:t>pārapgāde</w:t>
            </w:r>
            <w:proofErr w:type="spellEnd"/>
            <w:r w:rsidR="004F3252" w:rsidRPr="003340A2">
              <w:rPr>
                <w:color w:val="000000"/>
                <w:sz w:val="26"/>
                <w:szCs w:val="26"/>
              </w:rPr>
              <w:t xml:space="preserve"> </w:t>
            </w:r>
            <w:proofErr w:type="spellStart"/>
            <w:r w:rsidR="004F3252" w:rsidRPr="003340A2">
              <w:rPr>
                <w:color w:val="000000"/>
                <w:sz w:val="26"/>
                <w:szCs w:val="26"/>
              </w:rPr>
              <w:t>u.c</w:t>
            </w:r>
            <w:proofErr w:type="spellEnd"/>
            <w:r w:rsidR="004F3252" w:rsidRPr="003340A2">
              <w:rPr>
                <w:color w:val="000000"/>
                <w:sz w:val="26"/>
                <w:szCs w:val="26"/>
              </w:rPr>
              <w:t>.,</w:t>
            </w:r>
            <w:r w:rsidR="007706AC" w:rsidRPr="003340A2">
              <w:rPr>
                <w:color w:val="000000"/>
                <w:sz w:val="26"/>
                <w:szCs w:val="26"/>
              </w:rPr>
              <w:t xml:space="preserve"> tā nodrošinot vienības karavīru darbaspēju uzturēša</w:t>
            </w:r>
            <w:r w:rsidR="004F3252" w:rsidRPr="003340A2">
              <w:rPr>
                <w:color w:val="000000"/>
                <w:sz w:val="26"/>
                <w:szCs w:val="26"/>
              </w:rPr>
              <w:t>nu un dienesta uzdevumu izpildi</w:t>
            </w:r>
          </w:p>
          <w:p w:rsidR="007706AC" w:rsidRPr="003340A2" w:rsidRDefault="007706AC" w:rsidP="007706AC">
            <w:pPr>
              <w:jc w:val="both"/>
              <w:rPr>
                <w:bCs/>
                <w:sz w:val="26"/>
                <w:szCs w:val="26"/>
              </w:rPr>
            </w:pPr>
            <w:r w:rsidRPr="003340A2">
              <w:rPr>
                <w:color w:val="000000"/>
                <w:sz w:val="26"/>
                <w:szCs w:val="26"/>
              </w:rPr>
              <w:t xml:space="preserve">Līdz šim NBS vienības Afganistānā minētajā starptautiskajā operācijā </w:t>
            </w:r>
            <w:r w:rsidR="0053188C" w:rsidRPr="003340A2">
              <w:rPr>
                <w:color w:val="000000"/>
                <w:sz w:val="26"/>
                <w:szCs w:val="26"/>
              </w:rPr>
              <w:t xml:space="preserve">šo </w:t>
            </w:r>
            <w:r w:rsidRPr="003340A2">
              <w:rPr>
                <w:color w:val="000000"/>
                <w:sz w:val="26"/>
                <w:szCs w:val="26"/>
              </w:rPr>
              <w:t xml:space="preserve">izdevumu segšanai izmantoja </w:t>
            </w:r>
            <w:r w:rsidRPr="003340A2">
              <w:rPr>
                <w:sz w:val="26"/>
                <w:szCs w:val="26"/>
              </w:rPr>
              <w:t xml:space="preserve">Starptautisko drošības atbalsta spēku </w:t>
            </w:r>
            <w:r w:rsidRPr="003340A2">
              <w:rPr>
                <w:color w:val="000000"/>
                <w:sz w:val="26"/>
                <w:szCs w:val="26"/>
              </w:rPr>
              <w:t>partnervalstu atbalstu, taču</w:t>
            </w:r>
            <w:r w:rsidRPr="003340A2">
              <w:rPr>
                <w:bCs/>
                <w:sz w:val="26"/>
                <w:szCs w:val="26"/>
              </w:rPr>
              <w:t xml:space="preserve"> konceptuāli </w:t>
            </w:r>
            <w:r w:rsidR="004F3252" w:rsidRPr="003340A2">
              <w:rPr>
                <w:bCs/>
                <w:sz w:val="26"/>
                <w:szCs w:val="26"/>
              </w:rPr>
              <w:t xml:space="preserve">jebkuras </w:t>
            </w:r>
            <w:r w:rsidRPr="003340A2">
              <w:rPr>
                <w:color w:val="000000"/>
                <w:sz w:val="26"/>
                <w:szCs w:val="26"/>
              </w:rPr>
              <w:t xml:space="preserve">starptautiskās operācijas rajonā </w:t>
            </w:r>
            <w:r w:rsidRPr="003340A2">
              <w:rPr>
                <w:bCs/>
                <w:sz w:val="26"/>
                <w:szCs w:val="26"/>
              </w:rPr>
              <w:t>speciālo, drošības un kaujas atbalsta uzdevumu veikšanai nepieciešamo finanšu līdzekļu plānošana un nodrošināšana ir katras nācijas atbildība.</w:t>
            </w:r>
            <w:r w:rsidR="006E47EB" w:rsidRPr="003340A2">
              <w:rPr>
                <w:bCs/>
                <w:sz w:val="26"/>
                <w:szCs w:val="26"/>
              </w:rPr>
              <w:t xml:space="preserve"> </w:t>
            </w:r>
          </w:p>
          <w:p w:rsidR="00E152BF" w:rsidRPr="003340A2" w:rsidRDefault="0053188C" w:rsidP="006120D4">
            <w:pPr>
              <w:jc w:val="both"/>
              <w:rPr>
                <w:color w:val="000000"/>
                <w:sz w:val="26"/>
                <w:szCs w:val="26"/>
              </w:rPr>
            </w:pPr>
            <w:r w:rsidRPr="003340A2">
              <w:rPr>
                <w:sz w:val="26"/>
                <w:szCs w:val="26"/>
              </w:rPr>
              <w:t xml:space="preserve">Taču, lai gan patlaban, saskaņā ar Noteikumiem, ir iespējams piešķirt finanšu līdzekļus speciālo, drošības un kaujas atbalsta uzdevumu veikšanai, </w:t>
            </w:r>
            <w:r w:rsidR="006120D4" w:rsidRPr="003340A2">
              <w:rPr>
                <w:sz w:val="26"/>
                <w:szCs w:val="26"/>
              </w:rPr>
              <w:t xml:space="preserve">šobrīd </w:t>
            </w:r>
            <w:r w:rsidRPr="003340A2">
              <w:rPr>
                <w:sz w:val="26"/>
                <w:szCs w:val="26"/>
              </w:rPr>
              <w:t xml:space="preserve">nav </w:t>
            </w:r>
            <w:r w:rsidR="006120D4" w:rsidRPr="003340A2">
              <w:rPr>
                <w:sz w:val="26"/>
                <w:szCs w:val="26"/>
              </w:rPr>
              <w:t>nevien</w:t>
            </w:r>
            <w:r w:rsidRPr="003340A2">
              <w:rPr>
                <w:sz w:val="26"/>
                <w:szCs w:val="26"/>
              </w:rPr>
              <w:t>a</w:t>
            </w:r>
            <w:r w:rsidR="006120D4" w:rsidRPr="003340A2">
              <w:rPr>
                <w:sz w:val="26"/>
                <w:szCs w:val="26"/>
              </w:rPr>
              <w:t xml:space="preserve"> ārējā normatīv</w:t>
            </w:r>
            <w:r w:rsidRPr="003340A2">
              <w:rPr>
                <w:sz w:val="26"/>
                <w:szCs w:val="26"/>
              </w:rPr>
              <w:t xml:space="preserve">ā </w:t>
            </w:r>
            <w:r w:rsidR="006120D4" w:rsidRPr="003340A2">
              <w:rPr>
                <w:sz w:val="26"/>
                <w:szCs w:val="26"/>
              </w:rPr>
              <w:t>akta, kas nosaka kārtīb</w:t>
            </w:r>
            <w:r w:rsidR="006775EA" w:rsidRPr="003340A2">
              <w:rPr>
                <w:sz w:val="26"/>
                <w:szCs w:val="26"/>
              </w:rPr>
              <w:t>u</w:t>
            </w:r>
            <w:r w:rsidR="006120D4" w:rsidRPr="003340A2">
              <w:rPr>
                <w:sz w:val="26"/>
                <w:szCs w:val="26"/>
              </w:rPr>
              <w:t xml:space="preserve">, kādā NBS plāno, organizē un nodrošina militāros formējumus ar speciālo, drošības un kaujas atbalsta uzdevumu </w:t>
            </w:r>
            <w:r w:rsidR="006120D4" w:rsidRPr="003340A2">
              <w:rPr>
                <w:color w:val="000000"/>
                <w:sz w:val="26"/>
                <w:szCs w:val="26"/>
              </w:rPr>
              <w:t xml:space="preserve">veikšanai nepieciešamajiem </w:t>
            </w:r>
            <w:r w:rsidRPr="003340A2">
              <w:rPr>
                <w:color w:val="000000"/>
                <w:sz w:val="26"/>
                <w:szCs w:val="26"/>
              </w:rPr>
              <w:t>finanšu</w:t>
            </w:r>
            <w:r w:rsidR="006120D4" w:rsidRPr="003340A2">
              <w:rPr>
                <w:color w:val="000000"/>
                <w:sz w:val="26"/>
                <w:szCs w:val="26"/>
              </w:rPr>
              <w:t xml:space="preserve"> līdzekļiem.</w:t>
            </w:r>
          </w:p>
          <w:p w:rsidR="000B1DD2" w:rsidRPr="003340A2" w:rsidRDefault="006120D4" w:rsidP="00E152BF">
            <w:pPr>
              <w:jc w:val="both"/>
              <w:rPr>
                <w:bCs/>
                <w:sz w:val="26"/>
                <w:szCs w:val="26"/>
              </w:rPr>
            </w:pPr>
            <w:r w:rsidRPr="003340A2">
              <w:rPr>
                <w:bCs/>
                <w:sz w:val="26"/>
                <w:szCs w:val="26"/>
              </w:rPr>
              <w:t>L</w:t>
            </w:r>
            <w:r w:rsidR="00BC0D87" w:rsidRPr="003340A2">
              <w:rPr>
                <w:bCs/>
                <w:sz w:val="26"/>
                <w:szCs w:val="26"/>
              </w:rPr>
              <w:t xml:space="preserve">ai </w:t>
            </w:r>
            <w:r w:rsidR="0018187C" w:rsidRPr="003340A2">
              <w:rPr>
                <w:color w:val="000000"/>
                <w:sz w:val="26"/>
                <w:szCs w:val="26"/>
              </w:rPr>
              <w:t>nodrošinātu NBS vienību, kas šobrīd piedalās un turpmāk tiks iesaistītas starptautiskajās operācijās, uzdevumu, drošu,</w:t>
            </w:r>
            <w:r w:rsidR="00E152BF" w:rsidRPr="003340A2">
              <w:rPr>
                <w:color w:val="000000"/>
                <w:sz w:val="26"/>
                <w:szCs w:val="26"/>
              </w:rPr>
              <w:t xml:space="preserve"> </w:t>
            </w:r>
            <w:r w:rsidR="0018187C" w:rsidRPr="003340A2">
              <w:rPr>
                <w:color w:val="000000"/>
                <w:sz w:val="26"/>
                <w:szCs w:val="26"/>
              </w:rPr>
              <w:t>efektīvu</w:t>
            </w:r>
            <w:r w:rsidR="00E152BF" w:rsidRPr="003340A2">
              <w:rPr>
                <w:color w:val="000000"/>
                <w:sz w:val="26"/>
                <w:szCs w:val="26"/>
              </w:rPr>
              <w:t xml:space="preserve"> un</w:t>
            </w:r>
            <w:r w:rsidR="0018187C" w:rsidRPr="003340A2">
              <w:rPr>
                <w:color w:val="000000"/>
                <w:sz w:val="26"/>
                <w:szCs w:val="26"/>
              </w:rPr>
              <w:t xml:space="preserve"> tiesiski pamatotu izpildi</w:t>
            </w:r>
            <w:r w:rsidR="004F6961" w:rsidRPr="003340A2">
              <w:rPr>
                <w:bCs/>
                <w:sz w:val="26"/>
                <w:szCs w:val="26"/>
              </w:rPr>
              <w:t>, kā arī</w:t>
            </w:r>
            <w:r w:rsidR="000B1DD2" w:rsidRPr="003340A2">
              <w:rPr>
                <w:bCs/>
                <w:sz w:val="26"/>
                <w:szCs w:val="26"/>
              </w:rPr>
              <w:t>,</w:t>
            </w:r>
            <w:r w:rsidR="004F6961" w:rsidRPr="003340A2">
              <w:rPr>
                <w:bCs/>
                <w:sz w:val="26"/>
                <w:szCs w:val="26"/>
              </w:rPr>
              <w:t xml:space="preserve"> lai</w:t>
            </w:r>
            <w:proofErr w:type="gramStart"/>
            <w:r w:rsidR="004F6961" w:rsidRPr="003340A2">
              <w:rPr>
                <w:bCs/>
                <w:sz w:val="26"/>
                <w:szCs w:val="26"/>
              </w:rPr>
              <w:t xml:space="preserve"> </w:t>
            </w:r>
            <w:r w:rsidRPr="003340A2">
              <w:rPr>
                <w:bCs/>
                <w:sz w:val="26"/>
                <w:szCs w:val="26"/>
              </w:rPr>
              <w:t xml:space="preserve"> </w:t>
            </w:r>
            <w:proofErr w:type="gramEnd"/>
            <w:r w:rsidRPr="003340A2">
              <w:rPr>
                <w:bCs/>
                <w:sz w:val="26"/>
                <w:szCs w:val="26"/>
              </w:rPr>
              <w:t>nodrošinātu</w:t>
            </w:r>
            <w:r w:rsidR="004F6961" w:rsidRPr="003340A2">
              <w:rPr>
                <w:bCs/>
                <w:sz w:val="26"/>
                <w:szCs w:val="26"/>
              </w:rPr>
              <w:t xml:space="preserve"> </w:t>
            </w:r>
            <w:r w:rsidRPr="003340A2">
              <w:rPr>
                <w:bCs/>
                <w:sz w:val="26"/>
                <w:szCs w:val="26"/>
              </w:rPr>
              <w:t xml:space="preserve">no valsts budžeta piešķirto </w:t>
            </w:r>
            <w:r w:rsidR="004F6961" w:rsidRPr="003340A2">
              <w:rPr>
                <w:bCs/>
                <w:sz w:val="26"/>
                <w:szCs w:val="26"/>
              </w:rPr>
              <w:t>finanšu līdzekļu tiesisk</w:t>
            </w:r>
            <w:r w:rsidR="0018187C" w:rsidRPr="003340A2">
              <w:rPr>
                <w:bCs/>
                <w:sz w:val="26"/>
                <w:szCs w:val="26"/>
              </w:rPr>
              <w:t>i pamatot</w:t>
            </w:r>
            <w:r w:rsidR="000B1DD2" w:rsidRPr="003340A2">
              <w:rPr>
                <w:bCs/>
                <w:sz w:val="26"/>
                <w:szCs w:val="26"/>
              </w:rPr>
              <w:t>u</w:t>
            </w:r>
            <w:r w:rsidR="004F6961" w:rsidRPr="003340A2">
              <w:rPr>
                <w:bCs/>
                <w:sz w:val="26"/>
                <w:szCs w:val="26"/>
              </w:rPr>
              <w:t xml:space="preserve"> izlietojum</w:t>
            </w:r>
            <w:r w:rsidR="000B1DD2" w:rsidRPr="003340A2">
              <w:rPr>
                <w:bCs/>
                <w:sz w:val="26"/>
                <w:szCs w:val="26"/>
              </w:rPr>
              <w:t>u</w:t>
            </w:r>
            <w:r w:rsidR="004F6961" w:rsidRPr="003340A2">
              <w:rPr>
                <w:bCs/>
                <w:sz w:val="26"/>
                <w:szCs w:val="26"/>
              </w:rPr>
              <w:t xml:space="preserve"> </w:t>
            </w:r>
            <w:r w:rsidR="000B1DD2" w:rsidRPr="003340A2">
              <w:rPr>
                <w:bCs/>
                <w:sz w:val="26"/>
                <w:szCs w:val="26"/>
              </w:rPr>
              <w:t xml:space="preserve">un tā </w:t>
            </w:r>
            <w:r w:rsidR="004F6961" w:rsidRPr="003340A2">
              <w:rPr>
                <w:bCs/>
                <w:sz w:val="26"/>
                <w:szCs w:val="26"/>
              </w:rPr>
              <w:t>caurskatāmību,</w:t>
            </w:r>
            <w:r w:rsidR="0018187C" w:rsidRPr="003340A2">
              <w:rPr>
                <w:bCs/>
                <w:sz w:val="26"/>
                <w:szCs w:val="26"/>
              </w:rPr>
              <w:t xml:space="preserve"> </w:t>
            </w:r>
            <w:r w:rsidR="0018187C" w:rsidRPr="003340A2">
              <w:rPr>
                <w:color w:val="000000"/>
                <w:sz w:val="26"/>
                <w:szCs w:val="26"/>
              </w:rPr>
              <w:t xml:space="preserve">atbilstoši likuma „Par valsts un pašvaldības līdzekļu un mantas izšķērdēšanas novēršanu” 2.panta otrās daļas </w:t>
            </w:r>
            <w:r w:rsidR="0018187C" w:rsidRPr="003340A2">
              <w:rPr>
                <w:color w:val="000000"/>
                <w:sz w:val="26"/>
                <w:szCs w:val="26"/>
              </w:rPr>
              <w:lastRenderedPageBreak/>
              <w:t xml:space="preserve">prasībai, ka jebkurai rīcībai ar valsts finanšu līdzekļiem un mantu ir jābūt likumīgai, tas ir, ar tiem drīkst rīkoties tikai atbilstoši likumos, Ministru kabineta noteikumos, nolikumos un citos normatīvajos aktos noteiktajiem mērķiem un paredzētajā kārtībā, nepieciešams izdarīt grozījumus Noteikumos, </w:t>
            </w:r>
            <w:r w:rsidR="0018187C" w:rsidRPr="003340A2">
              <w:rPr>
                <w:bCs/>
                <w:sz w:val="26"/>
                <w:szCs w:val="26"/>
              </w:rPr>
              <w:t>nosakot militāro formējumu</w:t>
            </w:r>
            <w:r w:rsidR="004F6961" w:rsidRPr="003340A2">
              <w:rPr>
                <w:bCs/>
                <w:sz w:val="26"/>
                <w:szCs w:val="26"/>
              </w:rPr>
              <w:t xml:space="preserve"> </w:t>
            </w:r>
            <w:r w:rsidR="0018187C" w:rsidRPr="003340A2">
              <w:rPr>
                <w:bCs/>
                <w:sz w:val="26"/>
                <w:szCs w:val="26"/>
              </w:rPr>
              <w:t xml:space="preserve">speciālo, drošības un kaujas atbalsta uzdevumu veikšanai nepieciešamo </w:t>
            </w:r>
            <w:r w:rsidR="004F6961" w:rsidRPr="003340A2">
              <w:rPr>
                <w:bCs/>
                <w:sz w:val="26"/>
                <w:szCs w:val="26"/>
              </w:rPr>
              <w:t>finanšu līdzekļu piešķiršanas kārtību.</w:t>
            </w:r>
            <w:r w:rsidR="00BC0D87" w:rsidRPr="003340A2">
              <w:rPr>
                <w:bCs/>
                <w:sz w:val="26"/>
                <w:szCs w:val="26"/>
              </w:rPr>
              <w:t xml:space="preserve"> </w:t>
            </w:r>
          </w:p>
          <w:p w:rsidR="00E152BF" w:rsidRPr="003340A2" w:rsidRDefault="004F3252" w:rsidP="00E152BF">
            <w:pPr>
              <w:jc w:val="both"/>
              <w:rPr>
                <w:color w:val="000000"/>
                <w:sz w:val="26"/>
                <w:szCs w:val="26"/>
              </w:rPr>
            </w:pPr>
            <w:r w:rsidRPr="003340A2">
              <w:rPr>
                <w:sz w:val="26"/>
                <w:szCs w:val="26"/>
              </w:rPr>
              <w:t>Pēc attiecīgo grozījumu izdarīšanas Noteikumi,</w:t>
            </w:r>
            <w:r w:rsidRPr="003340A2">
              <w:rPr>
                <w:color w:val="000000"/>
                <w:sz w:val="26"/>
                <w:szCs w:val="26"/>
              </w:rPr>
              <w:t xml:space="preserve"> līdzīgi</w:t>
            </w:r>
            <w:r w:rsidR="00E152BF" w:rsidRPr="003340A2">
              <w:rPr>
                <w:color w:val="000000"/>
                <w:sz w:val="26"/>
                <w:szCs w:val="26"/>
              </w:rPr>
              <w:t xml:space="preserve"> kā attiecībā </w:t>
            </w:r>
            <w:r w:rsidR="00E152BF" w:rsidRPr="003340A2">
              <w:rPr>
                <w:sz w:val="26"/>
                <w:szCs w:val="26"/>
              </w:rPr>
              <w:t xml:space="preserve">uz reprezentācijas pasākumiem starptautiskās operācijas rajonā paredzētajiem finanšu līdzekļiem, būs vienīgais ārējais normatīvais akts, kas nosaka kārtību, kādā militāros formējumus nodrošina ar speciālo, drošības un kaujas atbalsta uzdevumu veikšanai nepieciešamajiem finanšu līdzekļiem. </w:t>
            </w:r>
          </w:p>
          <w:p w:rsidR="003A21C7" w:rsidRPr="003340A2" w:rsidRDefault="003A21C7" w:rsidP="00337EBD">
            <w:pPr>
              <w:jc w:val="both"/>
              <w:rPr>
                <w:color w:val="000000"/>
                <w:sz w:val="26"/>
                <w:szCs w:val="26"/>
              </w:rPr>
            </w:pPr>
          </w:p>
          <w:p w:rsidR="00CD31CD" w:rsidRPr="003340A2" w:rsidRDefault="003A21C7" w:rsidP="008F048A">
            <w:pPr>
              <w:jc w:val="both"/>
              <w:rPr>
                <w:sz w:val="26"/>
                <w:szCs w:val="26"/>
              </w:rPr>
            </w:pPr>
            <w:r w:rsidRPr="003340A2">
              <w:rPr>
                <w:color w:val="000000"/>
                <w:sz w:val="26"/>
                <w:szCs w:val="26"/>
              </w:rPr>
              <w:t xml:space="preserve">Noteikumi paredz, ka </w:t>
            </w:r>
            <w:r w:rsidRPr="003340A2">
              <w:rPr>
                <w:sz w:val="26"/>
                <w:szCs w:val="26"/>
              </w:rPr>
              <w:t>starptautiskās operācijas rajonā reprezentācijas pasākumiem paredzētos līdzekļus izsniedz militārā formējuma komandierim. Šobrīd</w:t>
            </w:r>
            <w:r w:rsidR="00D21645" w:rsidRPr="003340A2">
              <w:rPr>
                <w:sz w:val="26"/>
                <w:szCs w:val="26"/>
              </w:rPr>
              <w:t xml:space="preserve"> praksē</w:t>
            </w:r>
            <w:r w:rsidRPr="003340A2">
              <w:rPr>
                <w:sz w:val="26"/>
                <w:szCs w:val="26"/>
              </w:rPr>
              <w:t>, ja militārā formējuma komandieris ir prombūtnē, attiecīgajā militārajā formējumā nav iespējas saņemt šos finanšu līdzekļus.</w:t>
            </w:r>
            <w:r w:rsidR="000965FE" w:rsidRPr="003340A2">
              <w:rPr>
                <w:sz w:val="26"/>
                <w:szCs w:val="26"/>
              </w:rPr>
              <w:t xml:space="preserve"> </w:t>
            </w:r>
            <w:r w:rsidR="004F3252" w:rsidRPr="003340A2">
              <w:rPr>
                <w:sz w:val="26"/>
                <w:szCs w:val="26"/>
              </w:rPr>
              <w:t>A</w:t>
            </w:r>
            <w:r w:rsidR="00D21645" w:rsidRPr="003340A2">
              <w:rPr>
                <w:sz w:val="26"/>
                <w:szCs w:val="26"/>
              </w:rPr>
              <w:t xml:space="preserve">rī </w:t>
            </w:r>
            <w:r w:rsidR="000965FE" w:rsidRPr="003340A2">
              <w:rPr>
                <w:sz w:val="26"/>
                <w:szCs w:val="26"/>
              </w:rPr>
              <w:t>militārā formējuma komandiera funkcionālās slodzes</w:t>
            </w:r>
            <w:r w:rsidR="00D21645" w:rsidRPr="003340A2">
              <w:rPr>
                <w:sz w:val="26"/>
                <w:szCs w:val="26"/>
              </w:rPr>
              <w:t xml:space="preserve"> līdzsvarošanai lietderīgi</w:t>
            </w:r>
            <w:r w:rsidR="000965FE" w:rsidRPr="003340A2">
              <w:rPr>
                <w:sz w:val="26"/>
                <w:szCs w:val="26"/>
              </w:rPr>
              <w:t xml:space="preserve"> </w:t>
            </w:r>
            <w:r w:rsidR="00D21645" w:rsidRPr="003340A2">
              <w:rPr>
                <w:sz w:val="26"/>
                <w:szCs w:val="26"/>
              </w:rPr>
              <w:t>noteikt iespēju finanšu līdzekļu saņemšanai pilnvarot citu amatpersonu.</w:t>
            </w:r>
            <w:r w:rsidR="004F3252" w:rsidRPr="003340A2">
              <w:rPr>
                <w:sz w:val="26"/>
                <w:szCs w:val="26"/>
              </w:rPr>
              <w:t xml:space="preserve"> </w:t>
            </w:r>
          </w:p>
          <w:p w:rsidR="00CD31CD" w:rsidRPr="003340A2" w:rsidRDefault="00CD31CD" w:rsidP="008F048A">
            <w:pPr>
              <w:jc w:val="both"/>
              <w:rPr>
                <w:sz w:val="26"/>
                <w:szCs w:val="26"/>
              </w:rPr>
            </w:pPr>
            <w:r w:rsidRPr="003340A2">
              <w:rPr>
                <w:sz w:val="26"/>
                <w:szCs w:val="26"/>
              </w:rPr>
              <w:t>Saskaņā ar Militārā dienesta likuma 21.pantu karavīram var uzdot pildīt prombūtnē esoša karavīra amata pienākumus uz noteiktu laiku. Tiesības uzdot karavīram amata pagaidu izpildi ir vienības komandierim (priekšniekam) vai augstākam komandierim (priekšniekam). Ja neparedzētu apstākļu dēļ komandieris (priekšnieks) sava amata pildīšanu pārtraucis, neieceldams amatā pagaidu izpildītāju, viņa amata pildīšanu uzņemas pēc amata (dienesta pakāpes) vecākais un paziņo par to pakļautības kārtībā.</w:t>
            </w:r>
          </w:p>
          <w:p w:rsidR="003A21C7" w:rsidRPr="003340A2" w:rsidRDefault="00CD31CD" w:rsidP="00CD31CD">
            <w:pPr>
              <w:jc w:val="both"/>
              <w:rPr>
                <w:sz w:val="26"/>
                <w:szCs w:val="26"/>
              </w:rPr>
            </w:pPr>
            <w:r w:rsidRPr="003340A2">
              <w:rPr>
                <w:sz w:val="26"/>
                <w:szCs w:val="26"/>
              </w:rPr>
              <w:t xml:space="preserve">Līdz ar to un ņemot vērā, ka arī </w:t>
            </w:r>
            <w:r w:rsidR="004F3252" w:rsidRPr="003340A2">
              <w:rPr>
                <w:sz w:val="26"/>
                <w:szCs w:val="26"/>
              </w:rPr>
              <w:t>speciālo, drošības un kaujas atbalsta uzdevumu veikšanai paredzēto finanšu līdzekļu</w:t>
            </w:r>
            <w:r w:rsidRPr="003340A2">
              <w:rPr>
                <w:sz w:val="26"/>
                <w:szCs w:val="26"/>
              </w:rPr>
              <w:t xml:space="preserve"> saņemšanu plānots uzdot</w:t>
            </w:r>
            <w:r w:rsidR="004F3252" w:rsidRPr="003340A2">
              <w:rPr>
                <w:sz w:val="26"/>
                <w:szCs w:val="26"/>
              </w:rPr>
              <w:t xml:space="preserve"> militārā formējuma komandierim, </w:t>
            </w:r>
            <w:r w:rsidR="003A21C7" w:rsidRPr="003340A2">
              <w:rPr>
                <w:sz w:val="26"/>
                <w:szCs w:val="26"/>
              </w:rPr>
              <w:t>nepieciešams izdarīt grozījumus Noteikumos, paredzot, ka finanšu līdzekļus tiesīga saņemt arī militārā formējuma komandiera pilnvarota amatpersona</w:t>
            </w:r>
            <w:r w:rsidR="004F3252" w:rsidRPr="003340A2">
              <w:rPr>
                <w:sz w:val="26"/>
                <w:szCs w:val="26"/>
              </w:rPr>
              <w:t>.</w:t>
            </w:r>
            <w:r w:rsidR="003A21C7" w:rsidRPr="003340A2">
              <w:rPr>
                <w:sz w:val="26"/>
                <w:szCs w:val="26"/>
              </w:rPr>
              <w:t xml:space="preserve"> </w:t>
            </w:r>
            <w:r w:rsidR="00D21645" w:rsidRPr="003340A2">
              <w:rPr>
                <w:sz w:val="26"/>
                <w:szCs w:val="26"/>
              </w:rPr>
              <w:t>Izdarot</w:t>
            </w:r>
            <w:r w:rsidRPr="003340A2">
              <w:rPr>
                <w:sz w:val="26"/>
                <w:szCs w:val="26"/>
              </w:rPr>
              <w:t xml:space="preserve"> šos</w:t>
            </w:r>
            <w:r w:rsidR="00D21645" w:rsidRPr="003340A2">
              <w:rPr>
                <w:sz w:val="26"/>
                <w:szCs w:val="26"/>
              </w:rPr>
              <w:t xml:space="preserve"> grozījumus,</w:t>
            </w:r>
            <w:r w:rsidR="003A21C7" w:rsidRPr="003340A2">
              <w:rPr>
                <w:sz w:val="26"/>
                <w:szCs w:val="26"/>
              </w:rPr>
              <w:t xml:space="preserve"> </w:t>
            </w:r>
            <w:r w:rsidRPr="003340A2">
              <w:rPr>
                <w:sz w:val="26"/>
                <w:szCs w:val="26"/>
              </w:rPr>
              <w:t xml:space="preserve">būs nodrošināta </w:t>
            </w:r>
            <w:r w:rsidR="00D21645" w:rsidRPr="003340A2">
              <w:rPr>
                <w:sz w:val="26"/>
                <w:szCs w:val="26"/>
              </w:rPr>
              <w:t xml:space="preserve">starptautiskās operācijas rajonā </w:t>
            </w:r>
            <w:r w:rsidR="008F048A" w:rsidRPr="003340A2">
              <w:rPr>
                <w:sz w:val="26"/>
                <w:szCs w:val="26"/>
              </w:rPr>
              <w:t xml:space="preserve">speciālo, drošības un kaujas atbalsta uzdevumu veikšanai </w:t>
            </w:r>
            <w:r w:rsidR="003A21C7" w:rsidRPr="003340A2">
              <w:rPr>
                <w:sz w:val="26"/>
                <w:szCs w:val="26"/>
              </w:rPr>
              <w:t>paredzēto finanšu līdzekļu saņemšan</w:t>
            </w:r>
            <w:r w:rsidR="00D21645" w:rsidRPr="003340A2">
              <w:rPr>
                <w:sz w:val="26"/>
                <w:szCs w:val="26"/>
              </w:rPr>
              <w:t xml:space="preserve">as nepārtrauktība - to </w:t>
            </w:r>
            <w:r w:rsidR="003A21C7" w:rsidRPr="003340A2">
              <w:rPr>
                <w:sz w:val="26"/>
                <w:szCs w:val="26"/>
              </w:rPr>
              <w:t>varēs organizēt</w:t>
            </w:r>
            <w:proofErr w:type="gramStart"/>
            <w:r w:rsidR="00D21645" w:rsidRPr="003340A2">
              <w:rPr>
                <w:sz w:val="26"/>
                <w:szCs w:val="26"/>
              </w:rPr>
              <w:t xml:space="preserve"> arī</w:t>
            </w:r>
            <w:r w:rsidR="003A21C7" w:rsidRPr="003340A2">
              <w:rPr>
                <w:sz w:val="26"/>
                <w:szCs w:val="26"/>
              </w:rPr>
              <w:t xml:space="preserve"> ar militārā formējuma komandiera vai augstāka komandiera pavēli pilnvarojot citu karavīru</w:t>
            </w:r>
            <w:proofErr w:type="gramEnd"/>
            <w:r w:rsidR="003A21C7" w:rsidRPr="003340A2">
              <w:rPr>
                <w:sz w:val="26"/>
                <w:szCs w:val="26"/>
              </w:rPr>
              <w:t>.</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lastRenderedPageBreak/>
              <w:t>3.</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Saistītie politikas ietekmes novērtējumi un pētījumi</w:t>
            </w:r>
          </w:p>
        </w:tc>
        <w:tc>
          <w:tcPr>
            <w:tcW w:w="3759" w:type="pct"/>
            <w:tcBorders>
              <w:top w:val="outset" w:sz="6" w:space="0" w:color="auto"/>
              <w:left w:val="outset" w:sz="6" w:space="0" w:color="auto"/>
              <w:bottom w:val="outset" w:sz="6" w:space="0" w:color="auto"/>
            </w:tcBorders>
          </w:tcPr>
          <w:p w:rsidR="003A21C7" w:rsidRPr="003340A2" w:rsidRDefault="003A21C7" w:rsidP="00B35009">
            <w:pPr>
              <w:pStyle w:val="tvhtmlmktable"/>
              <w:rPr>
                <w:sz w:val="26"/>
                <w:szCs w:val="26"/>
              </w:rPr>
            </w:pPr>
            <w:r w:rsidRPr="003340A2">
              <w:rPr>
                <w:sz w:val="26"/>
                <w:szCs w:val="26"/>
              </w:rPr>
              <w:t>Nav attiecināms.</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4.</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5447DB">
            <w:pPr>
              <w:pStyle w:val="tvhtmlmktable"/>
              <w:spacing w:before="0" w:beforeAutospacing="0" w:after="0" w:afterAutospacing="0"/>
              <w:rPr>
                <w:sz w:val="26"/>
                <w:szCs w:val="26"/>
              </w:rPr>
            </w:pPr>
            <w:r w:rsidRPr="003340A2">
              <w:rPr>
                <w:sz w:val="26"/>
                <w:szCs w:val="26"/>
              </w:rPr>
              <w:t>Tiesiskā regulējuma mērķis un būtība</w:t>
            </w:r>
          </w:p>
        </w:tc>
        <w:tc>
          <w:tcPr>
            <w:tcW w:w="3759" w:type="pct"/>
            <w:tcBorders>
              <w:top w:val="outset" w:sz="6" w:space="0" w:color="auto"/>
              <w:left w:val="outset" w:sz="6" w:space="0" w:color="auto"/>
              <w:bottom w:val="outset" w:sz="6" w:space="0" w:color="auto"/>
            </w:tcBorders>
          </w:tcPr>
          <w:p w:rsidR="003A21C7" w:rsidRPr="003340A2" w:rsidRDefault="00CD31CD" w:rsidP="005447DB">
            <w:pPr>
              <w:pStyle w:val="tvhtmlmktable"/>
              <w:jc w:val="both"/>
              <w:rPr>
                <w:noProof/>
                <w:color w:val="000000"/>
                <w:sz w:val="26"/>
                <w:szCs w:val="26"/>
              </w:rPr>
            </w:pPr>
            <w:r w:rsidRPr="003340A2">
              <w:rPr>
                <w:sz w:val="26"/>
                <w:szCs w:val="26"/>
              </w:rPr>
              <w:t>P</w:t>
            </w:r>
            <w:r w:rsidR="003A21C7" w:rsidRPr="003340A2">
              <w:rPr>
                <w:sz w:val="26"/>
                <w:szCs w:val="26"/>
              </w:rPr>
              <w:t>rojekta mērķis ir nostiprināt faktisko situāciju, ka</w:t>
            </w:r>
            <w:proofErr w:type="gramStart"/>
            <w:r w:rsidR="003A21C7" w:rsidRPr="003340A2">
              <w:rPr>
                <w:sz w:val="26"/>
                <w:szCs w:val="26"/>
              </w:rPr>
              <w:t xml:space="preserve">  </w:t>
            </w:r>
            <w:proofErr w:type="gramEnd"/>
            <w:r w:rsidR="003A21C7" w:rsidRPr="003340A2">
              <w:rPr>
                <w:sz w:val="26"/>
                <w:szCs w:val="26"/>
              </w:rPr>
              <w:t xml:space="preserve">šobrīd militāros formējumus komplektācijā iekļauj profesionālā </w:t>
            </w:r>
            <w:r w:rsidR="003A21C7" w:rsidRPr="003340A2">
              <w:rPr>
                <w:noProof/>
                <w:color w:val="000000"/>
                <w:sz w:val="26"/>
                <w:szCs w:val="26"/>
              </w:rPr>
              <w:t>dienesta karavīrus un zemessargus, neiekļaujot militāros darbiniekus. Līdz ar to tiek svītrota</w:t>
            </w:r>
            <w:r w:rsidR="003A21C7" w:rsidRPr="003340A2">
              <w:rPr>
                <w:sz w:val="26"/>
                <w:szCs w:val="26"/>
              </w:rPr>
              <w:t xml:space="preserve"> </w:t>
            </w:r>
            <w:r w:rsidR="003A21C7" w:rsidRPr="003340A2">
              <w:rPr>
                <w:noProof/>
                <w:color w:val="000000"/>
                <w:sz w:val="26"/>
                <w:szCs w:val="26"/>
              </w:rPr>
              <w:t>militāro darbinieku iekļaušana militārajos formējumos un attiecīgi – norma par militāro darbinieku tiesībām pēc atgriešanās no starptautiskā operācijas ieņemt iepriekšējo amatu.</w:t>
            </w:r>
          </w:p>
          <w:p w:rsidR="00E152BF" w:rsidRPr="003340A2" w:rsidRDefault="00CD31CD" w:rsidP="00E152BF">
            <w:pPr>
              <w:jc w:val="both"/>
              <w:rPr>
                <w:color w:val="000000"/>
                <w:sz w:val="26"/>
                <w:szCs w:val="26"/>
              </w:rPr>
            </w:pPr>
            <w:r w:rsidRPr="003340A2">
              <w:rPr>
                <w:noProof/>
                <w:color w:val="000000"/>
                <w:sz w:val="26"/>
                <w:szCs w:val="26"/>
              </w:rPr>
              <w:t>P</w:t>
            </w:r>
            <w:r w:rsidR="003A21C7" w:rsidRPr="003340A2">
              <w:rPr>
                <w:noProof/>
                <w:color w:val="000000"/>
                <w:sz w:val="26"/>
                <w:szCs w:val="26"/>
              </w:rPr>
              <w:t xml:space="preserve">rojekts </w:t>
            </w:r>
            <w:r w:rsidR="00E152BF" w:rsidRPr="003340A2">
              <w:rPr>
                <w:noProof/>
                <w:color w:val="000000"/>
                <w:sz w:val="26"/>
                <w:szCs w:val="26"/>
              </w:rPr>
              <w:t xml:space="preserve">nodrošina tāda ārējā regulējuma ieviešanu, kas </w:t>
            </w:r>
            <w:r w:rsidR="00E152BF" w:rsidRPr="003340A2">
              <w:rPr>
                <w:sz w:val="26"/>
                <w:szCs w:val="26"/>
              </w:rPr>
              <w:t xml:space="preserve">nosaka kārtību, kādā militāros formējumus nodrošina ar speciālo, drošības un kaujas atbalsta uzdevumu veikšanai nepieciešamajiem finanšu līdzekļiem. </w:t>
            </w:r>
          </w:p>
          <w:p w:rsidR="003A21C7" w:rsidRPr="003340A2" w:rsidRDefault="00CD31CD" w:rsidP="00F208A9">
            <w:pPr>
              <w:pStyle w:val="tvhtmlmktable"/>
              <w:jc w:val="both"/>
              <w:rPr>
                <w:noProof/>
                <w:color w:val="000000"/>
                <w:sz w:val="26"/>
                <w:szCs w:val="26"/>
              </w:rPr>
            </w:pPr>
            <w:r w:rsidRPr="003340A2">
              <w:rPr>
                <w:bCs/>
                <w:sz w:val="26"/>
                <w:szCs w:val="26"/>
              </w:rPr>
              <w:t>P</w:t>
            </w:r>
            <w:r w:rsidR="003A21C7" w:rsidRPr="003340A2">
              <w:rPr>
                <w:bCs/>
                <w:sz w:val="26"/>
                <w:szCs w:val="26"/>
              </w:rPr>
              <w:t xml:space="preserve">rojekts nosaka šo izdevumu tāmes un mērķu apstiprināšanas kārtību, kā arī finanšu līdzekļu izsniegšanas kārtību - </w:t>
            </w:r>
            <w:r w:rsidR="003A21C7" w:rsidRPr="003340A2">
              <w:rPr>
                <w:noProof/>
                <w:color w:val="000000"/>
                <w:sz w:val="26"/>
                <w:szCs w:val="26"/>
              </w:rPr>
              <w:t>izdevumu tāmi un izdevumu mērķus apstiprina NBS komandieris, paredzētos līdzekļus izsniedz militārā formējuma komandierim vai militārā formējuma komandiera pilnvarotai amatpersonai.</w:t>
            </w:r>
          </w:p>
          <w:p w:rsidR="003A21C7" w:rsidRPr="003340A2" w:rsidRDefault="003A21C7" w:rsidP="00933CB5">
            <w:pPr>
              <w:jc w:val="both"/>
              <w:rPr>
                <w:sz w:val="26"/>
                <w:szCs w:val="26"/>
              </w:rPr>
            </w:pPr>
            <w:r w:rsidRPr="003340A2">
              <w:rPr>
                <w:noProof/>
                <w:color w:val="000000"/>
                <w:sz w:val="26"/>
                <w:szCs w:val="26"/>
              </w:rPr>
              <w:t xml:space="preserve"> </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5.</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Projekta izstrādē iesaistītās institūcijas</w:t>
            </w:r>
          </w:p>
        </w:tc>
        <w:tc>
          <w:tcPr>
            <w:tcW w:w="3759" w:type="pct"/>
            <w:tcBorders>
              <w:top w:val="outset" w:sz="6" w:space="0" w:color="auto"/>
              <w:left w:val="outset" w:sz="6" w:space="0" w:color="auto"/>
              <w:bottom w:val="outset" w:sz="6" w:space="0" w:color="auto"/>
            </w:tcBorders>
          </w:tcPr>
          <w:p w:rsidR="003A21C7" w:rsidRPr="003340A2" w:rsidRDefault="00CD31CD" w:rsidP="002E1638">
            <w:pPr>
              <w:pStyle w:val="tvhtmlmktable"/>
              <w:rPr>
                <w:sz w:val="26"/>
                <w:szCs w:val="26"/>
              </w:rPr>
            </w:pPr>
            <w:r w:rsidRPr="003340A2">
              <w:rPr>
                <w:sz w:val="26"/>
                <w:szCs w:val="26"/>
              </w:rPr>
              <w:t>P</w:t>
            </w:r>
            <w:r w:rsidR="003A21C7" w:rsidRPr="003340A2">
              <w:rPr>
                <w:sz w:val="26"/>
                <w:szCs w:val="26"/>
              </w:rPr>
              <w:t>rojekts izstrādāts Aizsardzības ministrijā.</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6.</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Iemesli, kādēļ netika nodrošināta sabiedrības līdzdalība</w:t>
            </w:r>
          </w:p>
        </w:tc>
        <w:tc>
          <w:tcPr>
            <w:tcW w:w="3759" w:type="pct"/>
            <w:tcBorders>
              <w:top w:val="outset" w:sz="6" w:space="0" w:color="auto"/>
              <w:left w:val="outset" w:sz="6" w:space="0" w:color="auto"/>
              <w:bottom w:val="outset" w:sz="6" w:space="0" w:color="auto"/>
            </w:tcBorders>
          </w:tcPr>
          <w:p w:rsidR="003A21C7" w:rsidRPr="003340A2" w:rsidRDefault="003A21C7" w:rsidP="00FD0B08">
            <w:pPr>
              <w:pStyle w:val="tvhtmlmktable"/>
              <w:jc w:val="both"/>
              <w:rPr>
                <w:sz w:val="26"/>
                <w:szCs w:val="26"/>
              </w:rPr>
            </w:pPr>
            <w:r w:rsidRPr="003340A2">
              <w:rPr>
                <w:sz w:val="26"/>
                <w:szCs w:val="26"/>
              </w:rPr>
              <w:t>Projekts skar tikai Nacionālo bruņoto spēku personālu. Citas sabiedrības grupas projekts neietekmē.</w:t>
            </w:r>
          </w:p>
        </w:tc>
      </w:tr>
      <w:tr w:rsidR="003A21C7" w:rsidRPr="003340A2" w:rsidTr="00B86476">
        <w:trPr>
          <w:tblCellSpacing w:w="15" w:type="dxa"/>
        </w:trPr>
        <w:tc>
          <w:tcPr>
            <w:tcW w:w="177" w:type="pct"/>
            <w:tcBorders>
              <w:top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7.</w:t>
            </w:r>
          </w:p>
        </w:tc>
        <w:tc>
          <w:tcPr>
            <w:tcW w:w="992" w:type="pct"/>
            <w:tcBorders>
              <w:top w:val="outset" w:sz="6" w:space="0" w:color="auto"/>
              <w:left w:val="outset" w:sz="6" w:space="0" w:color="auto"/>
              <w:bottom w:val="outset" w:sz="6" w:space="0" w:color="auto"/>
              <w:right w:val="outset" w:sz="6" w:space="0" w:color="auto"/>
            </w:tcBorders>
          </w:tcPr>
          <w:p w:rsidR="003A21C7" w:rsidRPr="003340A2" w:rsidRDefault="003A21C7" w:rsidP="00B35009">
            <w:pPr>
              <w:pStyle w:val="tvhtmlmktable"/>
              <w:rPr>
                <w:sz w:val="26"/>
                <w:szCs w:val="26"/>
              </w:rPr>
            </w:pPr>
            <w:r w:rsidRPr="003340A2">
              <w:rPr>
                <w:sz w:val="26"/>
                <w:szCs w:val="26"/>
              </w:rPr>
              <w:t>Cita informācija</w:t>
            </w:r>
          </w:p>
        </w:tc>
        <w:tc>
          <w:tcPr>
            <w:tcW w:w="3759" w:type="pct"/>
            <w:tcBorders>
              <w:top w:val="outset" w:sz="6" w:space="0" w:color="auto"/>
              <w:left w:val="outset" w:sz="6" w:space="0" w:color="auto"/>
              <w:bottom w:val="outset" w:sz="6" w:space="0" w:color="auto"/>
            </w:tcBorders>
          </w:tcPr>
          <w:p w:rsidR="003A21C7" w:rsidRPr="003340A2" w:rsidRDefault="003A21C7" w:rsidP="00EE4060">
            <w:pPr>
              <w:autoSpaceDE w:val="0"/>
              <w:autoSpaceDN w:val="0"/>
              <w:adjustRightInd w:val="0"/>
              <w:rPr>
                <w:color w:val="000000"/>
                <w:sz w:val="26"/>
                <w:szCs w:val="26"/>
              </w:rPr>
            </w:pPr>
            <w:r w:rsidRPr="003340A2">
              <w:rPr>
                <w:color w:val="000000"/>
                <w:sz w:val="26"/>
                <w:szCs w:val="26"/>
              </w:rPr>
              <w:t>Aizsardzības ministrija nodrošinās Latvijas saistības atbilstoši piešķirtajiem valsts budžeta līdzekļiem budžeta programmas 22.00.00 "Nacionālie bruņotie spēki" ietvaros.</w:t>
            </w:r>
          </w:p>
          <w:p w:rsidR="003A21C7" w:rsidRPr="003340A2" w:rsidRDefault="003A21C7" w:rsidP="00B35009">
            <w:pPr>
              <w:pStyle w:val="tvhtmlmktable"/>
              <w:rPr>
                <w:sz w:val="26"/>
                <w:szCs w:val="26"/>
              </w:rPr>
            </w:pPr>
          </w:p>
        </w:tc>
      </w:tr>
    </w:tbl>
    <w:p w:rsidR="003A21C7" w:rsidRPr="003340A2" w:rsidRDefault="003A21C7">
      <w:pPr>
        <w:rPr>
          <w:sz w:val="26"/>
          <w:szCs w:val="26"/>
        </w:rPr>
      </w:pPr>
    </w:p>
    <w:p w:rsidR="003A21C7" w:rsidRPr="003340A2" w:rsidRDefault="003A21C7">
      <w:pPr>
        <w:rPr>
          <w:sz w:val="26"/>
          <w:szCs w:val="26"/>
        </w:rPr>
      </w:pPr>
      <w:r w:rsidRPr="003340A2">
        <w:rPr>
          <w:sz w:val="26"/>
          <w:szCs w:val="26"/>
        </w:rPr>
        <w:t>Anotācijas II, III, IV, V un VI sadaļa – nav attiecināms.</w:t>
      </w:r>
    </w:p>
    <w:p w:rsidR="003A21C7" w:rsidRPr="003340A2" w:rsidRDefault="003A21C7">
      <w:pP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0"/>
        <w:gridCol w:w="4302"/>
        <w:gridCol w:w="3824"/>
      </w:tblGrid>
      <w:tr w:rsidR="003A21C7" w:rsidRPr="003340A2">
        <w:trPr>
          <w:tblCellSpacing w:w="15" w:type="dxa"/>
        </w:trPr>
        <w:tc>
          <w:tcPr>
            <w:tcW w:w="0" w:type="auto"/>
            <w:gridSpan w:val="3"/>
            <w:tcBorders>
              <w:top w:val="outset" w:sz="6" w:space="0" w:color="auto"/>
              <w:bottom w:val="outset" w:sz="6" w:space="0" w:color="auto"/>
            </w:tcBorders>
          </w:tcPr>
          <w:p w:rsidR="003A21C7" w:rsidRPr="003340A2" w:rsidRDefault="003A21C7" w:rsidP="00E82260">
            <w:pPr>
              <w:pStyle w:val="tvhtmlmktable"/>
              <w:jc w:val="center"/>
              <w:rPr>
                <w:sz w:val="26"/>
                <w:szCs w:val="26"/>
              </w:rPr>
            </w:pPr>
            <w:r w:rsidRPr="003340A2">
              <w:rPr>
                <w:b/>
                <w:bCs/>
                <w:sz w:val="26"/>
                <w:szCs w:val="26"/>
              </w:rPr>
              <w:lastRenderedPageBreak/>
              <w:t>VII. Tiesību akta projekta izpildes nodrošināšana un tās ietekme uz institūcijām</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1.</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Projekta izpildē iesaistītās institūcijas</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Nacionālie bruņotie spēki</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2.</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Projekta izpildes ietekme uz pārvaldes funkcijām</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Projekta izpilde notiks esošo pārvaldes funkciju ietvaros.</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3.</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Projekta izpildes ietekme uz pārvaldes institucionālo struktūru.</w:t>
            </w:r>
          </w:p>
          <w:p w:rsidR="003A21C7" w:rsidRPr="003340A2" w:rsidRDefault="003A21C7" w:rsidP="00E82260">
            <w:pPr>
              <w:pStyle w:val="tvhtmlmktable"/>
              <w:rPr>
                <w:sz w:val="26"/>
                <w:szCs w:val="26"/>
              </w:rPr>
            </w:pPr>
            <w:r w:rsidRPr="003340A2">
              <w:rPr>
                <w:sz w:val="26"/>
                <w:szCs w:val="26"/>
              </w:rPr>
              <w:t>Jaunu institūciju izveide</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Projekts šo jomu neskar.</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4.</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Projekta izpildes ietekme uz pārvaldes institucionālo struktūru.</w:t>
            </w:r>
          </w:p>
          <w:p w:rsidR="003A21C7" w:rsidRPr="003340A2" w:rsidRDefault="003A21C7" w:rsidP="00E82260">
            <w:pPr>
              <w:pStyle w:val="tvhtmlmktable"/>
              <w:rPr>
                <w:sz w:val="26"/>
                <w:szCs w:val="26"/>
              </w:rPr>
            </w:pPr>
            <w:r w:rsidRPr="003340A2">
              <w:rPr>
                <w:sz w:val="26"/>
                <w:szCs w:val="26"/>
              </w:rPr>
              <w:t>Esošu institūciju likvidācija</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Projekts šo jomu neskar.</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5.</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Projekta izpildes ietekme uz pārvaldes institucionālo struktūru.</w:t>
            </w:r>
          </w:p>
          <w:p w:rsidR="003A21C7" w:rsidRPr="003340A2" w:rsidRDefault="003A21C7" w:rsidP="00E82260">
            <w:pPr>
              <w:pStyle w:val="tvhtmlmktable"/>
              <w:rPr>
                <w:sz w:val="26"/>
                <w:szCs w:val="26"/>
              </w:rPr>
            </w:pPr>
            <w:r w:rsidRPr="003340A2">
              <w:rPr>
                <w:sz w:val="26"/>
                <w:szCs w:val="26"/>
              </w:rPr>
              <w:t>Esošu institūciju reorganizācija</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Projekts šo jomu neskar.</w:t>
            </w:r>
          </w:p>
        </w:tc>
      </w:tr>
      <w:tr w:rsidR="003A21C7" w:rsidRPr="003340A2">
        <w:trPr>
          <w:tblCellSpacing w:w="15" w:type="dxa"/>
        </w:trPr>
        <w:tc>
          <w:tcPr>
            <w:tcW w:w="0" w:type="auto"/>
            <w:tcBorders>
              <w:top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6.</w:t>
            </w:r>
          </w:p>
        </w:tc>
        <w:tc>
          <w:tcPr>
            <w:tcW w:w="0" w:type="auto"/>
            <w:tcBorders>
              <w:top w:val="outset" w:sz="6" w:space="0" w:color="auto"/>
              <w:left w:val="outset" w:sz="6" w:space="0" w:color="auto"/>
              <w:bottom w:val="outset" w:sz="6" w:space="0" w:color="auto"/>
              <w:right w:val="outset" w:sz="6" w:space="0" w:color="auto"/>
            </w:tcBorders>
          </w:tcPr>
          <w:p w:rsidR="003A21C7" w:rsidRPr="003340A2" w:rsidRDefault="003A21C7" w:rsidP="00E82260">
            <w:pPr>
              <w:pStyle w:val="tvhtmlmktable"/>
              <w:rPr>
                <w:sz w:val="26"/>
                <w:szCs w:val="26"/>
              </w:rPr>
            </w:pPr>
            <w:r w:rsidRPr="003340A2">
              <w:rPr>
                <w:sz w:val="26"/>
                <w:szCs w:val="26"/>
              </w:rPr>
              <w:t>Cita informācija</w:t>
            </w:r>
          </w:p>
        </w:tc>
        <w:tc>
          <w:tcPr>
            <w:tcW w:w="0" w:type="auto"/>
            <w:tcBorders>
              <w:top w:val="outset" w:sz="6" w:space="0" w:color="auto"/>
              <w:left w:val="outset" w:sz="6" w:space="0" w:color="auto"/>
              <w:bottom w:val="outset" w:sz="6" w:space="0" w:color="auto"/>
            </w:tcBorders>
          </w:tcPr>
          <w:p w:rsidR="003A21C7" w:rsidRPr="003340A2" w:rsidRDefault="003A21C7" w:rsidP="00E82260">
            <w:pPr>
              <w:pStyle w:val="tvhtmlmktable"/>
              <w:rPr>
                <w:sz w:val="26"/>
                <w:szCs w:val="26"/>
              </w:rPr>
            </w:pPr>
            <w:r w:rsidRPr="003340A2">
              <w:rPr>
                <w:sz w:val="26"/>
                <w:szCs w:val="26"/>
              </w:rPr>
              <w:t>Nav.</w:t>
            </w:r>
          </w:p>
        </w:tc>
      </w:tr>
    </w:tbl>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r w:rsidRPr="003340A2">
        <w:rPr>
          <w:sz w:val="26"/>
          <w:szCs w:val="26"/>
        </w:rPr>
        <w:t>Aizsardzības ministrs</w:t>
      </w:r>
      <w:r w:rsidRPr="003340A2">
        <w:rPr>
          <w:sz w:val="26"/>
          <w:szCs w:val="26"/>
        </w:rPr>
        <w:tab/>
      </w:r>
      <w:proofErr w:type="spellStart"/>
      <w:r w:rsidRPr="003340A2">
        <w:rPr>
          <w:sz w:val="26"/>
          <w:szCs w:val="26"/>
        </w:rPr>
        <w:t>A.Pabriks</w:t>
      </w:r>
      <w:proofErr w:type="spellEnd"/>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p>
    <w:p w:rsidR="003A21C7" w:rsidRPr="003340A2" w:rsidRDefault="003A21C7" w:rsidP="00551387">
      <w:pPr>
        <w:tabs>
          <w:tab w:val="left" w:pos="7020"/>
        </w:tabs>
        <w:rPr>
          <w:sz w:val="26"/>
          <w:szCs w:val="26"/>
        </w:rPr>
      </w:pPr>
      <w:r w:rsidRPr="003340A2">
        <w:rPr>
          <w:sz w:val="26"/>
          <w:szCs w:val="26"/>
        </w:rPr>
        <w:t>Vīza: Aizsardzības ministrijas valsts sekretārs</w:t>
      </w:r>
      <w:r w:rsidRPr="003340A2">
        <w:rPr>
          <w:sz w:val="26"/>
          <w:szCs w:val="26"/>
        </w:rPr>
        <w:tab/>
        <w:t>J.Sārts</w:t>
      </w:r>
    </w:p>
    <w:p w:rsidR="003A21C7" w:rsidRPr="003340A2" w:rsidRDefault="003A21C7">
      <w:pPr>
        <w:rPr>
          <w:sz w:val="26"/>
          <w:szCs w:val="26"/>
        </w:rPr>
      </w:pPr>
    </w:p>
    <w:p w:rsidR="003A21C7" w:rsidRPr="003340A2" w:rsidRDefault="003A21C7">
      <w:pPr>
        <w:rPr>
          <w:sz w:val="26"/>
          <w:szCs w:val="26"/>
        </w:rPr>
      </w:pPr>
    </w:p>
    <w:p w:rsidR="003A21C7" w:rsidRPr="003340A2" w:rsidRDefault="003A21C7">
      <w:pPr>
        <w:rPr>
          <w:sz w:val="26"/>
          <w:szCs w:val="26"/>
        </w:rPr>
      </w:pPr>
    </w:p>
    <w:p w:rsidR="003A21C7" w:rsidRPr="003340A2" w:rsidRDefault="003340A2" w:rsidP="008C18A7">
      <w:pPr>
        <w:jc w:val="both"/>
      </w:pPr>
      <w:r w:rsidRPr="003340A2">
        <w:t>09.01</w:t>
      </w:r>
      <w:r w:rsidR="006775EA" w:rsidRPr="003340A2">
        <w:t>.</w:t>
      </w:r>
      <w:r w:rsidRPr="003340A2">
        <w:t>2013.</w:t>
      </w:r>
    </w:p>
    <w:p w:rsidR="003A21C7" w:rsidRPr="003340A2" w:rsidRDefault="003340A2" w:rsidP="008C18A7">
      <w:pPr>
        <w:ind w:right="2"/>
        <w:jc w:val="both"/>
      </w:pPr>
      <w:r w:rsidRPr="003340A2">
        <w:fldChar w:fldCharType="begin"/>
      </w:r>
      <w:r w:rsidRPr="003340A2">
        <w:instrText xml:space="preserve"> NUMWORDS   \* MERGEFORMAT </w:instrText>
      </w:r>
      <w:r w:rsidRPr="003340A2">
        <w:fldChar w:fldCharType="separate"/>
      </w:r>
      <w:r>
        <w:rPr>
          <w:noProof/>
        </w:rPr>
        <w:t>1067</w:t>
      </w:r>
      <w:r w:rsidRPr="003340A2">
        <w:rPr>
          <w:noProof/>
        </w:rPr>
        <w:fldChar w:fldCharType="end"/>
      </w:r>
      <w:bookmarkStart w:id="0" w:name="_GoBack"/>
      <w:bookmarkEnd w:id="0"/>
    </w:p>
    <w:p w:rsidR="003A21C7" w:rsidRPr="003340A2" w:rsidRDefault="003A21C7" w:rsidP="008C18A7">
      <w:pPr>
        <w:jc w:val="both"/>
      </w:pPr>
      <w:r w:rsidRPr="003340A2">
        <w:t>Sigita Atvara</w:t>
      </w:r>
    </w:p>
    <w:p w:rsidR="003A21C7" w:rsidRPr="003340A2" w:rsidRDefault="003A21C7" w:rsidP="008C18A7">
      <w:pPr>
        <w:jc w:val="both"/>
      </w:pPr>
      <w:r w:rsidRPr="003340A2">
        <w:fldChar w:fldCharType="begin"/>
      </w:r>
      <w:r w:rsidRPr="003340A2">
        <w:instrText xml:space="preserve"> COMMENTS   \* MERGEFORMAT </w:instrText>
      </w:r>
      <w:r w:rsidRPr="003340A2">
        <w:fldChar w:fldCharType="separate"/>
      </w:r>
      <w:r w:rsidRPr="003340A2">
        <w:t>sigita.atvara@mod.gov.lv</w:t>
      </w:r>
    </w:p>
    <w:p w:rsidR="003A21C7" w:rsidRPr="003340A2" w:rsidRDefault="003A21C7" w:rsidP="00F81532">
      <w:pPr>
        <w:jc w:val="both"/>
      </w:pPr>
      <w:r w:rsidRPr="003340A2">
        <w:t>tel</w:t>
      </w:r>
      <w:proofErr w:type="gramStart"/>
      <w:r w:rsidRPr="003340A2">
        <w:t>:.</w:t>
      </w:r>
      <w:proofErr w:type="gramEnd"/>
      <w:r w:rsidRPr="003340A2">
        <w:t xml:space="preserve">67335169 </w:t>
      </w:r>
      <w:r w:rsidRPr="003340A2">
        <w:fldChar w:fldCharType="end"/>
      </w:r>
    </w:p>
    <w:p w:rsidR="003A21C7" w:rsidRPr="003340A2" w:rsidRDefault="003A21C7">
      <w:pPr>
        <w:jc w:val="both"/>
        <w:rPr>
          <w:sz w:val="26"/>
          <w:szCs w:val="26"/>
        </w:rPr>
      </w:pPr>
    </w:p>
    <w:sectPr w:rsidR="003A21C7" w:rsidRPr="003340A2" w:rsidSect="003D39DE">
      <w:footerReference w:type="even"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52" w:rsidRDefault="004F3252">
      <w:r>
        <w:separator/>
      </w:r>
    </w:p>
  </w:endnote>
  <w:endnote w:type="continuationSeparator" w:id="0">
    <w:p w:rsidR="004F3252" w:rsidRDefault="004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2" w:rsidRDefault="004F3252"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252" w:rsidRDefault="004F3252" w:rsidP="003D3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2" w:rsidRDefault="004F3252"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BF7">
      <w:rPr>
        <w:rStyle w:val="PageNumber"/>
        <w:noProof/>
      </w:rPr>
      <w:t>5</w:t>
    </w:r>
    <w:r>
      <w:rPr>
        <w:rStyle w:val="PageNumber"/>
      </w:rPr>
      <w:fldChar w:fldCharType="end"/>
    </w:r>
  </w:p>
  <w:p w:rsidR="004F3252" w:rsidRPr="00DF28F2" w:rsidRDefault="004F3252" w:rsidP="00232319">
    <w:pPr>
      <w:pStyle w:val="Header"/>
      <w:ind w:right="360"/>
      <w:jc w:val="both"/>
      <w:rPr>
        <w:rFonts w:ascii="Times New Roman" w:hAnsi="Times New Roman"/>
        <w:sz w:val="20"/>
      </w:rPr>
    </w:pPr>
    <w:r w:rsidRPr="00DF28F2">
      <w:rPr>
        <w:sz w:val="20"/>
      </w:rPr>
      <w:t>AIMAnot_</w:t>
    </w:r>
    <w:r w:rsidR="003A408D">
      <w:rPr>
        <w:sz w:val="20"/>
      </w:rPr>
      <w:t>1412</w:t>
    </w:r>
    <w:r w:rsidRPr="00DF28F2">
      <w:rPr>
        <w:sz w:val="20"/>
      </w:rPr>
      <w:t xml:space="preserve">12_grozMK166; </w:t>
    </w:r>
    <w:r w:rsidRPr="00DF28F2">
      <w:rPr>
        <w:bCs/>
        <w:sz w:val="20"/>
      </w:rPr>
      <w:t xml:space="preserve">Ministru kabineta noteikumu „Grozījumi 2009.gada 17.februāra noteikumos Nr.166 </w:t>
    </w:r>
    <w:r w:rsidRPr="00DF28F2">
      <w:rPr>
        <w:color w:val="000000"/>
        <w:sz w:val="20"/>
      </w:rPr>
      <w:t>„Kārtība, kādā veidojamas, finansējamas un sagatavojamas Latvijas Nacionālo bruņoto spēku vienības, kas piedalās starptautiskajās operācijās un ātrās reaģēšanas spēkos”</w:t>
    </w:r>
    <w:r w:rsidRPr="00DF28F2">
      <w:rPr>
        <w:bCs/>
        <w:sz w:val="20"/>
      </w:rPr>
      <w:t xml:space="preserve">” </w:t>
    </w:r>
    <w:r w:rsidRPr="00DF28F2">
      <w:rPr>
        <w:rFonts w:ascii="Times New Roman" w:hAnsi="Times New Roman"/>
        <w:sz w:val="20"/>
      </w:rPr>
      <w:t>projekta sākotnējās ietekmes izvērtējums</w:t>
    </w:r>
    <w:proofErr w:type="gramStart"/>
    <w:r w:rsidRPr="00DF28F2">
      <w:rPr>
        <w:rFonts w:ascii="Times New Roman" w:hAnsi="Times New Roman"/>
        <w:sz w:val="20"/>
      </w:rPr>
      <w:t xml:space="preserve">  </w:t>
    </w:r>
    <w:proofErr w:type="gramEnd"/>
    <w:r w:rsidRPr="00DF28F2">
      <w:rPr>
        <w:rFonts w:ascii="Times New Roman" w:hAnsi="Times New Roman"/>
        <w:sz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2" w:rsidRPr="00232319" w:rsidRDefault="004F3252" w:rsidP="00232319">
    <w:pPr>
      <w:pStyle w:val="Header"/>
      <w:ind w:right="360"/>
      <w:jc w:val="both"/>
      <w:rPr>
        <w:rFonts w:ascii="Times New Roman" w:hAnsi="Times New Roman"/>
        <w:sz w:val="20"/>
      </w:rPr>
    </w:pPr>
    <w:r w:rsidRPr="00974603">
      <w:rPr>
        <w:sz w:val="20"/>
      </w:rPr>
      <w:t>A</w:t>
    </w:r>
    <w:r>
      <w:rPr>
        <w:sz w:val="20"/>
      </w:rPr>
      <w:t>I</w:t>
    </w:r>
    <w:r w:rsidRPr="00974603">
      <w:rPr>
        <w:sz w:val="20"/>
      </w:rPr>
      <w:t>M</w:t>
    </w:r>
    <w:r>
      <w:rPr>
        <w:sz w:val="20"/>
      </w:rPr>
      <w:t>Anot</w:t>
    </w:r>
    <w:r w:rsidRPr="00974603">
      <w:rPr>
        <w:sz w:val="20"/>
      </w:rPr>
      <w:t>_</w:t>
    </w:r>
    <w:r w:rsidR="003A408D">
      <w:rPr>
        <w:sz w:val="20"/>
      </w:rPr>
      <w:t>1412</w:t>
    </w:r>
    <w:r w:rsidRPr="00974603">
      <w:rPr>
        <w:sz w:val="20"/>
      </w:rPr>
      <w:t>12_</w:t>
    </w:r>
    <w:r>
      <w:rPr>
        <w:sz w:val="20"/>
      </w:rPr>
      <w:t>grozMK166</w:t>
    </w:r>
    <w:r w:rsidRPr="00974603">
      <w:rPr>
        <w:sz w:val="20"/>
      </w:rPr>
      <w:t xml:space="preserve">; </w:t>
    </w:r>
    <w:r w:rsidRPr="00974603">
      <w:rPr>
        <w:bCs/>
        <w:sz w:val="20"/>
      </w:rPr>
      <w:t>Ministru kabineta noteikumu „</w:t>
    </w:r>
    <w:r w:rsidRPr="00807532">
      <w:rPr>
        <w:bCs/>
        <w:sz w:val="20"/>
      </w:rPr>
      <w:t>Grozījumi 2009.gada 17.</w:t>
    </w:r>
    <w:r>
      <w:rPr>
        <w:bCs/>
        <w:sz w:val="20"/>
      </w:rPr>
      <w:t>februāra</w:t>
    </w:r>
    <w:r w:rsidRPr="00807532">
      <w:rPr>
        <w:bCs/>
        <w:sz w:val="20"/>
      </w:rPr>
      <w:t xml:space="preserve"> noteikumos Nr.166 </w:t>
    </w:r>
    <w:r>
      <w:rPr>
        <w:color w:val="000000"/>
        <w:sz w:val="20"/>
      </w:rPr>
      <w:t>„</w:t>
    </w:r>
    <w:r w:rsidRPr="00807532">
      <w:rPr>
        <w:color w:val="000000"/>
        <w:sz w:val="20"/>
      </w:rPr>
      <w:t>Kārtība, kādā veidojamas, finansējamas un sagatavojamas Latvijas Nacionālo bruņoto spēku vienības, kas piedalās starptautiskajās operācijās un ātrās reaģēšanas spēkos</w:t>
    </w:r>
    <w:r>
      <w:rPr>
        <w:color w:val="000000"/>
        <w:sz w:val="20"/>
      </w:rPr>
      <w:t>”</w:t>
    </w:r>
    <w:r w:rsidRPr="00807532">
      <w:rPr>
        <w:bCs/>
        <w:sz w:val="20"/>
      </w:rPr>
      <w:t>”</w:t>
    </w:r>
    <w:r>
      <w:rPr>
        <w:bCs/>
        <w:sz w:val="20"/>
      </w:rPr>
      <w:t xml:space="preserve"> </w:t>
    </w:r>
    <w:r w:rsidRPr="00232319">
      <w:rPr>
        <w:rFonts w:ascii="Times New Roman" w:hAnsi="Times New Roman"/>
        <w:sz w:val="20"/>
      </w:rPr>
      <w:t>projekta sākotnējās ietekmes izvērtējums</w:t>
    </w:r>
    <w:proofErr w:type="gramStart"/>
    <w:r>
      <w:rPr>
        <w:rFonts w:ascii="Times New Roman" w:hAnsi="Times New Roman"/>
        <w:sz w:val="20"/>
      </w:rPr>
      <w:t xml:space="preserve"> </w:t>
    </w:r>
    <w:r w:rsidRPr="00232319">
      <w:rPr>
        <w:rFonts w:ascii="Times New Roman" w:hAnsi="Times New Roman"/>
        <w:sz w:val="20"/>
      </w:rPr>
      <w:t xml:space="preserve"> </w:t>
    </w:r>
    <w:proofErr w:type="gramEnd"/>
    <w:r w:rsidRPr="00232319">
      <w:rPr>
        <w:rFonts w:ascii="Times New Roman" w:hAnsi="Times New Roman"/>
        <w:sz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52" w:rsidRDefault="004F3252">
      <w:r>
        <w:separator/>
      </w:r>
    </w:p>
  </w:footnote>
  <w:footnote w:type="continuationSeparator" w:id="0">
    <w:p w:rsidR="004F3252" w:rsidRDefault="004F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BCE"/>
    <w:multiLevelType w:val="hybridMultilevel"/>
    <w:tmpl w:val="B2B44494"/>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C4"/>
    <w:rsid w:val="000009A5"/>
    <w:rsid w:val="00003D42"/>
    <w:rsid w:val="00011DD7"/>
    <w:rsid w:val="00034E67"/>
    <w:rsid w:val="00082ACF"/>
    <w:rsid w:val="000965FE"/>
    <w:rsid w:val="000B1DD2"/>
    <w:rsid w:val="000C4C24"/>
    <w:rsid w:val="0011171C"/>
    <w:rsid w:val="00132493"/>
    <w:rsid w:val="0018187C"/>
    <w:rsid w:val="001B4EE1"/>
    <w:rsid w:val="001D4785"/>
    <w:rsid w:val="001F496F"/>
    <w:rsid w:val="00213CDC"/>
    <w:rsid w:val="00215F89"/>
    <w:rsid w:val="002241C5"/>
    <w:rsid w:val="00232319"/>
    <w:rsid w:val="00244838"/>
    <w:rsid w:val="002453D3"/>
    <w:rsid w:val="00247AD7"/>
    <w:rsid w:val="00270867"/>
    <w:rsid w:val="0027107F"/>
    <w:rsid w:val="00283D6A"/>
    <w:rsid w:val="0028692B"/>
    <w:rsid w:val="002979FE"/>
    <w:rsid w:val="002B0691"/>
    <w:rsid w:val="002E1638"/>
    <w:rsid w:val="002E226D"/>
    <w:rsid w:val="002F1E5E"/>
    <w:rsid w:val="002F4C33"/>
    <w:rsid w:val="00311A51"/>
    <w:rsid w:val="00315D29"/>
    <w:rsid w:val="003274EA"/>
    <w:rsid w:val="003340A2"/>
    <w:rsid w:val="00337EBD"/>
    <w:rsid w:val="003441B4"/>
    <w:rsid w:val="00346187"/>
    <w:rsid w:val="00356E0F"/>
    <w:rsid w:val="003643CF"/>
    <w:rsid w:val="00381745"/>
    <w:rsid w:val="003A21C7"/>
    <w:rsid w:val="003A408D"/>
    <w:rsid w:val="003B0C3A"/>
    <w:rsid w:val="003C13BC"/>
    <w:rsid w:val="003C2874"/>
    <w:rsid w:val="003D39DE"/>
    <w:rsid w:val="003F30DF"/>
    <w:rsid w:val="00415AE0"/>
    <w:rsid w:val="004205C0"/>
    <w:rsid w:val="004462A4"/>
    <w:rsid w:val="00487D25"/>
    <w:rsid w:val="004B4537"/>
    <w:rsid w:val="004B4637"/>
    <w:rsid w:val="004C13A3"/>
    <w:rsid w:val="004C40DC"/>
    <w:rsid w:val="004E1F38"/>
    <w:rsid w:val="004F3252"/>
    <w:rsid w:val="004F42A4"/>
    <w:rsid w:val="004F6961"/>
    <w:rsid w:val="00520E18"/>
    <w:rsid w:val="0053188C"/>
    <w:rsid w:val="00533FC4"/>
    <w:rsid w:val="00537033"/>
    <w:rsid w:val="005447DB"/>
    <w:rsid w:val="00551387"/>
    <w:rsid w:val="00556A76"/>
    <w:rsid w:val="00571E41"/>
    <w:rsid w:val="00593B4A"/>
    <w:rsid w:val="005A68EF"/>
    <w:rsid w:val="005B4FBD"/>
    <w:rsid w:val="005E5858"/>
    <w:rsid w:val="005F4271"/>
    <w:rsid w:val="005F5162"/>
    <w:rsid w:val="00601CF0"/>
    <w:rsid w:val="006120D4"/>
    <w:rsid w:val="00633EA7"/>
    <w:rsid w:val="006475FA"/>
    <w:rsid w:val="00655213"/>
    <w:rsid w:val="00676088"/>
    <w:rsid w:val="006775EA"/>
    <w:rsid w:val="00682437"/>
    <w:rsid w:val="00685256"/>
    <w:rsid w:val="006B569F"/>
    <w:rsid w:val="006B7372"/>
    <w:rsid w:val="006C635B"/>
    <w:rsid w:val="006D566E"/>
    <w:rsid w:val="006D6778"/>
    <w:rsid w:val="006E47EB"/>
    <w:rsid w:val="006E7A07"/>
    <w:rsid w:val="00716051"/>
    <w:rsid w:val="00744142"/>
    <w:rsid w:val="00744834"/>
    <w:rsid w:val="00764AC3"/>
    <w:rsid w:val="00766CBE"/>
    <w:rsid w:val="007706AC"/>
    <w:rsid w:val="00776510"/>
    <w:rsid w:val="007A08FE"/>
    <w:rsid w:val="007A2FD4"/>
    <w:rsid w:val="007A487A"/>
    <w:rsid w:val="007A699A"/>
    <w:rsid w:val="007B7E8D"/>
    <w:rsid w:val="007C0FB5"/>
    <w:rsid w:val="007C6CA4"/>
    <w:rsid w:val="007E176E"/>
    <w:rsid w:val="007F6B79"/>
    <w:rsid w:val="00807532"/>
    <w:rsid w:val="00815986"/>
    <w:rsid w:val="00815DA3"/>
    <w:rsid w:val="00817B68"/>
    <w:rsid w:val="0082216E"/>
    <w:rsid w:val="008261AF"/>
    <w:rsid w:val="00831C00"/>
    <w:rsid w:val="008370DC"/>
    <w:rsid w:val="00856687"/>
    <w:rsid w:val="00880B73"/>
    <w:rsid w:val="00891545"/>
    <w:rsid w:val="008A3C53"/>
    <w:rsid w:val="008A56D3"/>
    <w:rsid w:val="008C18A7"/>
    <w:rsid w:val="008C4355"/>
    <w:rsid w:val="008C4E4A"/>
    <w:rsid w:val="008D2A71"/>
    <w:rsid w:val="008E37D2"/>
    <w:rsid w:val="008F048A"/>
    <w:rsid w:val="00910B97"/>
    <w:rsid w:val="009252A4"/>
    <w:rsid w:val="00933CB5"/>
    <w:rsid w:val="009348A3"/>
    <w:rsid w:val="00935FD7"/>
    <w:rsid w:val="009403DD"/>
    <w:rsid w:val="009427E0"/>
    <w:rsid w:val="00965DB1"/>
    <w:rsid w:val="00974603"/>
    <w:rsid w:val="00975EFB"/>
    <w:rsid w:val="00976BF7"/>
    <w:rsid w:val="0097712C"/>
    <w:rsid w:val="009830C4"/>
    <w:rsid w:val="00983ACC"/>
    <w:rsid w:val="00986F6C"/>
    <w:rsid w:val="00995ABF"/>
    <w:rsid w:val="009C14FF"/>
    <w:rsid w:val="009E16F5"/>
    <w:rsid w:val="009E36CD"/>
    <w:rsid w:val="009E5814"/>
    <w:rsid w:val="009F2D94"/>
    <w:rsid w:val="00A0299B"/>
    <w:rsid w:val="00A04024"/>
    <w:rsid w:val="00A1521D"/>
    <w:rsid w:val="00A15F82"/>
    <w:rsid w:val="00A40DE5"/>
    <w:rsid w:val="00A6331B"/>
    <w:rsid w:val="00A74676"/>
    <w:rsid w:val="00A766D1"/>
    <w:rsid w:val="00AA45A8"/>
    <w:rsid w:val="00AB1EAD"/>
    <w:rsid w:val="00AC75A9"/>
    <w:rsid w:val="00AF06A0"/>
    <w:rsid w:val="00AF1B81"/>
    <w:rsid w:val="00B17819"/>
    <w:rsid w:val="00B2098B"/>
    <w:rsid w:val="00B243A2"/>
    <w:rsid w:val="00B25A20"/>
    <w:rsid w:val="00B30481"/>
    <w:rsid w:val="00B30BC8"/>
    <w:rsid w:val="00B35009"/>
    <w:rsid w:val="00B41BA4"/>
    <w:rsid w:val="00B62FF0"/>
    <w:rsid w:val="00B773A2"/>
    <w:rsid w:val="00B77BD4"/>
    <w:rsid w:val="00B855F8"/>
    <w:rsid w:val="00B86476"/>
    <w:rsid w:val="00B91519"/>
    <w:rsid w:val="00B93C6C"/>
    <w:rsid w:val="00BA2BED"/>
    <w:rsid w:val="00BA7405"/>
    <w:rsid w:val="00BC0D87"/>
    <w:rsid w:val="00BD0E9E"/>
    <w:rsid w:val="00BD3ED0"/>
    <w:rsid w:val="00BD702D"/>
    <w:rsid w:val="00C47B03"/>
    <w:rsid w:val="00C51DF3"/>
    <w:rsid w:val="00C57670"/>
    <w:rsid w:val="00C80211"/>
    <w:rsid w:val="00C91177"/>
    <w:rsid w:val="00C97235"/>
    <w:rsid w:val="00CA75E0"/>
    <w:rsid w:val="00CB0F8C"/>
    <w:rsid w:val="00CB2DC4"/>
    <w:rsid w:val="00CD0603"/>
    <w:rsid w:val="00CD0A2C"/>
    <w:rsid w:val="00CD31CD"/>
    <w:rsid w:val="00CD451E"/>
    <w:rsid w:val="00CD608C"/>
    <w:rsid w:val="00CE4244"/>
    <w:rsid w:val="00CF187B"/>
    <w:rsid w:val="00CF3D45"/>
    <w:rsid w:val="00CF3F35"/>
    <w:rsid w:val="00D11D49"/>
    <w:rsid w:val="00D15412"/>
    <w:rsid w:val="00D21645"/>
    <w:rsid w:val="00D424B9"/>
    <w:rsid w:val="00D429F0"/>
    <w:rsid w:val="00D473EA"/>
    <w:rsid w:val="00D5136E"/>
    <w:rsid w:val="00D61601"/>
    <w:rsid w:val="00D64E76"/>
    <w:rsid w:val="00D675B0"/>
    <w:rsid w:val="00D71770"/>
    <w:rsid w:val="00D812D3"/>
    <w:rsid w:val="00D83153"/>
    <w:rsid w:val="00DA41D7"/>
    <w:rsid w:val="00DC3266"/>
    <w:rsid w:val="00DD5A10"/>
    <w:rsid w:val="00DD61AB"/>
    <w:rsid w:val="00DE6920"/>
    <w:rsid w:val="00DF28F2"/>
    <w:rsid w:val="00E152BF"/>
    <w:rsid w:val="00E172F6"/>
    <w:rsid w:val="00E24C9F"/>
    <w:rsid w:val="00E26B25"/>
    <w:rsid w:val="00E72AE4"/>
    <w:rsid w:val="00E80052"/>
    <w:rsid w:val="00E82260"/>
    <w:rsid w:val="00EB7E1F"/>
    <w:rsid w:val="00EC0CD6"/>
    <w:rsid w:val="00EC3F1E"/>
    <w:rsid w:val="00EE4060"/>
    <w:rsid w:val="00F05FF9"/>
    <w:rsid w:val="00F208A9"/>
    <w:rsid w:val="00F518D7"/>
    <w:rsid w:val="00F6563C"/>
    <w:rsid w:val="00F669C7"/>
    <w:rsid w:val="00F67199"/>
    <w:rsid w:val="00F81532"/>
    <w:rsid w:val="00F831F6"/>
    <w:rsid w:val="00F90BCF"/>
    <w:rsid w:val="00FA4868"/>
    <w:rsid w:val="00FB4D75"/>
    <w:rsid w:val="00FD0B08"/>
    <w:rsid w:val="00FD6BC8"/>
    <w:rsid w:val="00FE3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09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vhtmlmktable">
    <w:name w:val="tv_html mk_table"/>
    <w:basedOn w:val="Normal"/>
    <w:uiPriority w:val="99"/>
    <w:rsid w:val="00533FC4"/>
    <w:pPr>
      <w:spacing w:before="100" w:beforeAutospacing="1" w:after="100" w:afterAutospacing="1"/>
    </w:pPr>
  </w:style>
  <w:style w:type="paragraph" w:styleId="Header">
    <w:name w:val="header"/>
    <w:basedOn w:val="Normal"/>
    <w:link w:val="HeaderChar"/>
    <w:uiPriority w:val="99"/>
    <w:rsid w:val="00533FC4"/>
    <w:pPr>
      <w:tabs>
        <w:tab w:val="center" w:pos="4153"/>
        <w:tab w:val="right" w:pos="8306"/>
      </w:tabs>
    </w:pPr>
    <w:rPr>
      <w:rFonts w:ascii="Dutch TL" w:hAnsi="Dutch TL"/>
      <w:sz w:val="28"/>
      <w:szCs w:val="20"/>
      <w:lang w:eastAsia="zh-TW"/>
    </w:rPr>
  </w:style>
  <w:style w:type="character" w:customStyle="1" w:styleId="HeaderChar">
    <w:name w:val="Header Char"/>
    <w:basedOn w:val="DefaultParagraphFont"/>
    <w:link w:val="Header"/>
    <w:uiPriority w:val="99"/>
    <w:locked/>
    <w:rsid w:val="000009A5"/>
    <w:rPr>
      <w:rFonts w:ascii="Dutch TL" w:hAnsi="Dutch TL" w:cs="Times New Roman"/>
      <w:sz w:val="28"/>
      <w:lang w:eastAsia="zh-TW"/>
    </w:rPr>
  </w:style>
  <w:style w:type="paragraph" w:styleId="Footer">
    <w:name w:val="footer"/>
    <w:basedOn w:val="Normal"/>
    <w:link w:val="FooterChar"/>
    <w:uiPriority w:val="99"/>
    <w:rsid w:val="0074483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B41BA4"/>
    <w:rPr>
      <w:rFonts w:cs="Times New Roman"/>
      <w:sz w:val="16"/>
    </w:rPr>
  </w:style>
  <w:style w:type="paragraph" w:styleId="CommentText">
    <w:name w:val="annotation text"/>
    <w:basedOn w:val="Normal"/>
    <w:link w:val="CommentTextChar"/>
    <w:uiPriority w:val="99"/>
    <w:semiHidden/>
    <w:rsid w:val="00B41BA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41BA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PageNumber">
    <w:name w:val="page number"/>
    <w:basedOn w:val="DefaultParagraphFont"/>
    <w:uiPriority w:val="99"/>
    <w:rsid w:val="003D39DE"/>
    <w:rPr>
      <w:rFonts w:cs="Times New Roman"/>
    </w:rPr>
  </w:style>
  <w:style w:type="paragraph" w:styleId="ListParagraph">
    <w:name w:val="List Paragraph"/>
    <w:basedOn w:val="Normal"/>
    <w:uiPriority w:val="99"/>
    <w:qFormat/>
    <w:rsid w:val="00D15412"/>
    <w:pPr>
      <w:ind w:left="720"/>
      <w:contextualSpacing/>
    </w:pPr>
  </w:style>
  <w:style w:type="character" w:styleId="Emphasis">
    <w:name w:val="Emphasis"/>
    <w:basedOn w:val="DefaultParagraphFont"/>
    <w:qFormat/>
    <w:locked/>
    <w:rsid w:val="00976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09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vhtmlmktable">
    <w:name w:val="tv_html mk_table"/>
    <w:basedOn w:val="Normal"/>
    <w:uiPriority w:val="99"/>
    <w:rsid w:val="00533FC4"/>
    <w:pPr>
      <w:spacing w:before="100" w:beforeAutospacing="1" w:after="100" w:afterAutospacing="1"/>
    </w:pPr>
  </w:style>
  <w:style w:type="paragraph" w:styleId="Header">
    <w:name w:val="header"/>
    <w:basedOn w:val="Normal"/>
    <w:link w:val="HeaderChar"/>
    <w:uiPriority w:val="99"/>
    <w:rsid w:val="00533FC4"/>
    <w:pPr>
      <w:tabs>
        <w:tab w:val="center" w:pos="4153"/>
        <w:tab w:val="right" w:pos="8306"/>
      </w:tabs>
    </w:pPr>
    <w:rPr>
      <w:rFonts w:ascii="Dutch TL" w:hAnsi="Dutch TL"/>
      <w:sz w:val="28"/>
      <w:szCs w:val="20"/>
      <w:lang w:eastAsia="zh-TW"/>
    </w:rPr>
  </w:style>
  <w:style w:type="character" w:customStyle="1" w:styleId="HeaderChar">
    <w:name w:val="Header Char"/>
    <w:basedOn w:val="DefaultParagraphFont"/>
    <w:link w:val="Header"/>
    <w:uiPriority w:val="99"/>
    <w:locked/>
    <w:rsid w:val="000009A5"/>
    <w:rPr>
      <w:rFonts w:ascii="Dutch TL" w:hAnsi="Dutch TL" w:cs="Times New Roman"/>
      <w:sz w:val="28"/>
      <w:lang w:eastAsia="zh-TW"/>
    </w:rPr>
  </w:style>
  <w:style w:type="paragraph" w:styleId="Footer">
    <w:name w:val="footer"/>
    <w:basedOn w:val="Normal"/>
    <w:link w:val="FooterChar"/>
    <w:uiPriority w:val="99"/>
    <w:rsid w:val="0074483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B41BA4"/>
    <w:rPr>
      <w:rFonts w:cs="Times New Roman"/>
      <w:sz w:val="16"/>
    </w:rPr>
  </w:style>
  <w:style w:type="paragraph" w:styleId="CommentText">
    <w:name w:val="annotation text"/>
    <w:basedOn w:val="Normal"/>
    <w:link w:val="CommentTextChar"/>
    <w:uiPriority w:val="99"/>
    <w:semiHidden/>
    <w:rsid w:val="00B41BA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41BA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PageNumber">
    <w:name w:val="page number"/>
    <w:basedOn w:val="DefaultParagraphFont"/>
    <w:uiPriority w:val="99"/>
    <w:rsid w:val="003D39DE"/>
    <w:rPr>
      <w:rFonts w:cs="Times New Roman"/>
    </w:rPr>
  </w:style>
  <w:style w:type="paragraph" w:styleId="ListParagraph">
    <w:name w:val="List Paragraph"/>
    <w:basedOn w:val="Normal"/>
    <w:uiPriority w:val="99"/>
    <w:qFormat/>
    <w:rsid w:val="00D15412"/>
    <w:pPr>
      <w:ind w:left="720"/>
      <w:contextualSpacing/>
    </w:pPr>
  </w:style>
  <w:style w:type="character" w:styleId="Emphasis">
    <w:name w:val="Emphasis"/>
    <w:basedOn w:val="DefaultParagraphFont"/>
    <w:qFormat/>
    <w:locked/>
    <w:rsid w:val="00976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4892">
      <w:marLeft w:val="0"/>
      <w:marRight w:val="0"/>
      <w:marTop w:val="0"/>
      <w:marBottom w:val="0"/>
      <w:divBdr>
        <w:top w:val="none" w:sz="0" w:space="0" w:color="auto"/>
        <w:left w:val="none" w:sz="0" w:space="0" w:color="auto"/>
        <w:bottom w:val="none" w:sz="0" w:space="0" w:color="auto"/>
        <w:right w:val="none" w:sz="0" w:space="0" w:color="auto"/>
      </w:divBdr>
    </w:div>
    <w:div w:id="1655834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3D00-31D7-4679-9D03-EF80E2B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ACC7FB0A.dotm</Template>
  <TotalTime>31</TotalTime>
  <Pages>5</Pages>
  <Words>1067</Words>
  <Characters>8150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AIMAnot141212_grozMK166</vt:lpstr>
    </vt:vector>
  </TitlesOfParts>
  <Manager>JD</Manager>
  <Company>AIM</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AIMAnot141212_grozMK166</dc:title>
  <dc:subject>Ministru kabineta noteikumu „Grozījumi 2009.gada 17.februāra noteikumos Nr.166 „Kārtība, kādā veidojamas, finansējamas un sagatavojamas Latvijas Nacionālo bruņoto spēku vienības, kas piedalās starptautiskajās operācijās un ātrās reaģēšanas spēkos”” projek</dc:subject>
  <dc:creator>Sigita Atvara</dc:creator>
  <dc:description>Sigita Atvara_x000d_
sigita.atvara@mod.gov.lv_x000d_
tel:.67335169</dc:description>
  <cp:lastModifiedBy>Irēna Kalna</cp:lastModifiedBy>
  <cp:revision>11</cp:revision>
  <cp:lastPrinted>2012-03-28T06:44:00Z</cp:lastPrinted>
  <dcterms:created xsi:type="dcterms:W3CDTF">2012-11-28T09:38:00Z</dcterms:created>
  <dcterms:modified xsi:type="dcterms:W3CDTF">2013-01-16T09:30:00Z</dcterms:modified>
</cp:coreProperties>
</file>