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DA77" w14:textId="77777777" w:rsidR="00325E23" w:rsidRPr="00F5458C" w:rsidRDefault="00325E23" w:rsidP="00325E23">
      <w:pPr>
        <w:tabs>
          <w:tab w:val="left" w:pos="6663"/>
        </w:tabs>
        <w:rPr>
          <w:sz w:val="28"/>
          <w:szCs w:val="28"/>
        </w:rPr>
      </w:pPr>
    </w:p>
    <w:p w14:paraId="02F5BBC2" w14:textId="77777777" w:rsidR="00325E23" w:rsidRPr="00F5458C" w:rsidRDefault="00325E23" w:rsidP="00325E23">
      <w:pPr>
        <w:tabs>
          <w:tab w:val="left" w:pos="6663"/>
        </w:tabs>
        <w:rPr>
          <w:sz w:val="28"/>
          <w:szCs w:val="28"/>
        </w:rPr>
      </w:pPr>
    </w:p>
    <w:p w14:paraId="2830C19E" w14:textId="06FEC85C" w:rsidR="00325E23" w:rsidRPr="00B42413" w:rsidRDefault="00325E23" w:rsidP="00325E23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2013.gada</w:t>
      </w:r>
      <w:r w:rsidR="0096281B">
        <w:rPr>
          <w:sz w:val="28"/>
          <w:szCs w:val="28"/>
        </w:rPr>
        <w:t xml:space="preserve"> </w:t>
      </w:r>
      <w:r w:rsidR="0096281B">
        <w:rPr>
          <w:sz w:val="28"/>
          <w:szCs w:val="28"/>
        </w:rPr>
        <w:t>29.oktobrī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96281B">
        <w:rPr>
          <w:sz w:val="28"/>
          <w:szCs w:val="28"/>
        </w:rPr>
        <w:t xml:space="preserve"> 1201</w:t>
      </w:r>
    </w:p>
    <w:p w14:paraId="71809075" w14:textId="3D22FED3" w:rsidR="00325E23" w:rsidRPr="00F5458C" w:rsidRDefault="00325E23" w:rsidP="00325E23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96281B">
        <w:rPr>
          <w:sz w:val="28"/>
          <w:szCs w:val="28"/>
        </w:rPr>
        <w:t>56 50</w:t>
      </w:r>
      <w:r w:rsidRPr="00F5458C">
        <w:rPr>
          <w:sz w:val="28"/>
          <w:szCs w:val="28"/>
        </w:rPr>
        <w:t>.§)</w:t>
      </w:r>
    </w:p>
    <w:p w14:paraId="5BBC4378" w14:textId="77777777" w:rsidR="00D0741B" w:rsidRDefault="00D0741B" w:rsidP="00325E23">
      <w:pPr>
        <w:ind w:right="-315"/>
        <w:rPr>
          <w:b/>
          <w:bCs/>
          <w:sz w:val="28"/>
          <w:szCs w:val="28"/>
        </w:rPr>
      </w:pPr>
    </w:p>
    <w:p w14:paraId="5BBC4379" w14:textId="777E4E2B" w:rsidR="000457A7" w:rsidRDefault="000457A7" w:rsidP="00325E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3F166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Ministru kabineta 2010.gada 29.jūnija noteikumos Nr.606 </w:t>
      </w:r>
      <w:r w:rsidR="00325E23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Noteikumi par karavīra un zemessarga uzturdevas kompensācijas apmēru un izmaksāšanas kārtību</w:t>
      </w:r>
      <w:r w:rsidR="00325E23">
        <w:rPr>
          <w:b/>
          <w:bCs/>
          <w:sz w:val="28"/>
          <w:szCs w:val="28"/>
        </w:rPr>
        <w:t>"</w:t>
      </w:r>
    </w:p>
    <w:p w14:paraId="5BBC437A" w14:textId="77777777" w:rsidR="000457A7" w:rsidRDefault="000457A7" w:rsidP="00325E23">
      <w:pPr>
        <w:ind w:right="-315"/>
        <w:rPr>
          <w:sz w:val="28"/>
          <w:szCs w:val="28"/>
        </w:rPr>
      </w:pPr>
    </w:p>
    <w:p w14:paraId="5BBC437B" w14:textId="77777777" w:rsidR="00D0741B" w:rsidRDefault="000457A7" w:rsidP="00325E23">
      <w:pPr>
        <w:pStyle w:val="naisf"/>
        <w:tabs>
          <w:tab w:val="left" w:pos="6840"/>
        </w:tabs>
        <w:spacing w:before="0" w:after="0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Izdoti saskaņā ar Valsts un pašvaldību</w:t>
      </w:r>
      <w:r w:rsidR="00D0741B">
        <w:rPr>
          <w:iCs/>
          <w:spacing w:val="-3"/>
          <w:sz w:val="28"/>
          <w:szCs w:val="28"/>
        </w:rPr>
        <w:t xml:space="preserve"> </w:t>
      </w:r>
      <w:r w:rsidR="00CD6971">
        <w:rPr>
          <w:iCs/>
          <w:spacing w:val="-3"/>
          <w:sz w:val="28"/>
          <w:szCs w:val="28"/>
        </w:rPr>
        <w:t>i</w:t>
      </w:r>
      <w:r>
        <w:rPr>
          <w:iCs/>
          <w:spacing w:val="-3"/>
          <w:sz w:val="28"/>
          <w:szCs w:val="28"/>
        </w:rPr>
        <w:t xml:space="preserve">nstitūciju </w:t>
      </w:r>
    </w:p>
    <w:p w14:paraId="5BBC437C" w14:textId="77777777" w:rsidR="00D0741B" w:rsidRDefault="000457A7" w:rsidP="00325E23">
      <w:pPr>
        <w:pStyle w:val="naisf"/>
        <w:tabs>
          <w:tab w:val="left" w:pos="6840"/>
        </w:tabs>
        <w:spacing w:before="0" w:after="0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amatpersonu un darbinieku</w:t>
      </w:r>
      <w:r w:rsidR="00D0741B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 xml:space="preserve">atlīdzības likuma </w:t>
      </w:r>
    </w:p>
    <w:p w14:paraId="5BBC437D" w14:textId="77777777" w:rsidR="00D0741B" w:rsidRDefault="000457A7" w:rsidP="00325E23">
      <w:pPr>
        <w:pStyle w:val="naisf"/>
        <w:tabs>
          <w:tab w:val="left" w:pos="6840"/>
        </w:tabs>
        <w:spacing w:before="0" w:after="0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35.panta pirmo daļu un</w:t>
      </w:r>
      <w:r w:rsidR="00D0741B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>Latvijas Republikas</w:t>
      </w:r>
    </w:p>
    <w:p w14:paraId="5BBC437E" w14:textId="77777777" w:rsidR="000457A7" w:rsidRDefault="000457A7" w:rsidP="00325E23">
      <w:pPr>
        <w:pStyle w:val="naisf"/>
        <w:tabs>
          <w:tab w:val="left" w:pos="6840"/>
        </w:tabs>
        <w:spacing w:before="0" w:after="0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 Zemessardzes</w:t>
      </w:r>
      <w:r w:rsidR="00D0741B">
        <w:rPr>
          <w:iCs/>
          <w:spacing w:val="-3"/>
          <w:sz w:val="28"/>
          <w:szCs w:val="28"/>
        </w:rPr>
        <w:t xml:space="preserve"> </w:t>
      </w:r>
      <w:r w:rsidR="006F3B47">
        <w:rPr>
          <w:iCs/>
          <w:spacing w:val="-3"/>
          <w:sz w:val="28"/>
          <w:szCs w:val="28"/>
        </w:rPr>
        <w:t>l</w:t>
      </w:r>
      <w:r>
        <w:rPr>
          <w:iCs/>
          <w:spacing w:val="-3"/>
          <w:sz w:val="28"/>
          <w:szCs w:val="28"/>
        </w:rPr>
        <w:t>ikuma 33.panta pirmo daļu</w:t>
      </w:r>
    </w:p>
    <w:p w14:paraId="5BBC4380" w14:textId="77777777" w:rsidR="009C5153" w:rsidRDefault="009C5153" w:rsidP="00325E23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14:paraId="5BBC4381" w14:textId="29C935EC" w:rsidR="00031904" w:rsidRPr="00325E23" w:rsidRDefault="00325E23" w:rsidP="0032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457A7" w:rsidRPr="00325E23">
        <w:rPr>
          <w:sz w:val="28"/>
          <w:szCs w:val="28"/>
        </w:rPr>
        <w:t xml:space="preserve">Izdarīt Ministru kabineta </w:t>
      </w:r>
      <w:r w:rsidR="000457A7" w:rsidRPr="00325E23">
        <w:rPr>
          <w:bCs/>
          <w:sz w:val="28"/>
          <w:szCs w:val="28"/>
        </w:rPr>
        <w:t xml:space="preserve">2010.gada 29.jūnija noteikumos Nr.606 </w:t>
      </w:r>
      <w:r w:rsidRPr="00325E23">
        <w:rPr>
          <w:bCs/>
          <w:sz w:val="28"/>
          <w:szCs w:val="28"/>
        </w:rPr>
        <w:t>"</w:t>
      </w:r>
      <w:r w:rsidR="000457A7" w:rsidRPr="00325E23">
        <w:rPr>
          <w:bCs/>
          <w:sz w:val="28"/>
          <w:szCs w:val="28"/>
        </w:rPr>
        <w:t>Noteikumi par karavīra un zemessarga uzturdevas kompensācijas apmēru un izmaksāšanas kārtību</w:t>
      </w:r>
      <w:r w:rsidRPr="00325E23">
        <w:rPr>
          <w:bCs/>
          <w:sz w:val="28"/>
          <w:szCs w:val="28"/>
        </w:rPr>
        <w:t>"</w:t>
      </w:r>
      <w:r w:rsidR="000457A7" w:rsidRPr="00325E23">
        <w:rPr>
          <w:b/>
          <w:bCs/>
          <w:sz w:val="28"/>
          <w:szCs w:val="28"/>
        </w:rPr>
        <w:t xml:space="preserve"> </w:t>
      </w:r>
      <w:r w:rsidR="000457A7" w:rsidRPr="00325E23">
        <w:rPr>
          <w:sz w:val="28"/>
          <w:szCs w:val="28"/>
        </w:rPr>
        <w:t>(Latvijas Vēstnesis, 201</w:t>
      </w:r>
      <w:r w:rsidR="002615BC" w:rsidRPr="00325E23">
        <w:rPr>
          <w:sz w:val="28"/>
          <w:szCs w:val="28"/>
        </w:rPr>
        <w:t>0</w:t>
      </w:r>
      <w:r w:rsidR="000457A7" w:rsidRPr="00325E23">
        <w:rPr>
          <w:sz w:val="28"/>
          <w:szCs w:val="28"/>
        </w:rPr>
        <w:t xml:space="preserve">, </w:t>
      </w:r>
      <w:r w:rsidR="009C5153" w:rsidRPr="00325E23">
        <w:rPr>
          <w:sz w:val="28"/>
          <w:szCs w:val="28"/>
        </w:rPr>
        <w:t xml:space="preserve">104., </w:t>
      </w:r>
      <w:r w:rsidR="002615BC" w:rsidRPr="00325E23">
        <w:rPr>
          <w:bCs/>
          <w:sz w:val="28"/>
          <w:szCs w:val="28"/>
        </w:rPr>
        <w:t>148</w:t>
      </w:r>
      <w:r w:rsidR="005974D6" w:rsidRPr="00325E23">
        <w:rPr>
          <w:bCs/>
          <w:sz w:val="28"/>
          <w:szCs w:val="28"/>
        </w:rPr>
        <w:t>.</w:t>
      </w:r>
      <w:r w:rsidR="002615BC" w:rsidRPr="00325E23">
        <w:rPr>
          <w:bCs/>
          <w:sz w:val="28"/>
          <w:szCs w:val="28"/>
        </w:rPr>
        <w:t>nr.</w:t>
      </w:r>
      <w:r w:rsidR="005974D6" w:rsidRPr="00325E23">
        <w:rPr>
          <w:bCs/>
          <w:sz w:val="28"/>
          <w:szCs w:val="28"/>
        </w:rPr>
        <w:t>;</w:t>
      </w:r>
      <w:r w:rsidR="002615BC" w:rsidRPr="00325E23">
        <w:rPr>
          <w:bCs/>
          <w:sz w:val="28"/>
          <w:szCs w:val="28"/>
        </w:rPr>
        <w:t xml:space="preserve"> 2011, </w:t>
      </w:r>
      <w:r w:rsidR="002D40CB" w:rsidRPr="00325E23">
        <w:rPr>
          <w:bCs/>
          <w:sz w:val="28"/>
          <w:szCs w:val="28"/>
        </w:rPr>
        <w:t>192</w:t>
      </w:r>
      <w:r w:rsidR="009C5153" w:rsidRPr="00325E23">
        <w:rPr>
          <w:bCs/>
          <w:sz w:val="28"/>
          <w:szCs w:val="28"/>
        </w:rPr>
        <w:t>.</w:t>
      </w:r>
      <w:r w:rsidR="002615BC" w:rsidRPr="00325E23">
        <w:rPr>
          <w:bCs/>
          <w:sz w:val="28"/>
          <w:szCs w:val="28"/>
        </w:rPr>
        <w:t>nr.</w:t>
      </w:r>
      <w:r w:rsidR="005974D6" w:rsidRPr="00325E23">
        <w:rPr>
          <w:bCs/>
          <w:sz w:val="28"/>
          <w:szCs w:val="28"/>
        </w:rPr>
        <w:t>;</w:t>
      </w:r>
      <w:r w:rsidR="00BC30B7" w:rsidRPr="00325E23">
        <w:rPr>
          <w:bCs/>
          <w:sz w:val="28"/>
          <w:szCs w:val="28"/>
        </w:rPr>
        <w:t xml:space="preserve"> 2012, </w:t>
      </w:r>
      <w:r w:rsidR="002D40CB" w:rsidRPr="00325E23">
        <w:rPr>
          <w:bCs/>
          <w:sz w:val="28"/>
          <w:szCs w:val="28"/>
        </w:rPr>
        <w:t>106</w:t>
      </w:r>
      <w:r w:rsidR="005974D6" w:rsidRPr="00325E23">
        <w:rPr>
          <w:bCs/>
          <w:sz w:val="28"/>
          <w:szCs w:val="28"/>
        </w:rPr>
        <w:t>.</w:t>
      </w:r>
      <w:r w:rsidR="00BC30B7" w:rsidRPr="00325E23">
        <w:rPr>
          <w:bCs/>
          <w:sz w:val="28"/>
          <w:szCs w:val="28"/>
        </w:rPr>
        <w:t>nr</w:t>
      </w:r>
      <w:r w:rsidR="003F1662" w:rsidRPr="00325E23">
        <w:rPr>
          <w:bCs/>
          <w:sz w:val="28"/>
          <w:szCs w:val="28"/>
        </w:rPr>
        <w:t>.) šādus grozījumus</w:t>
      </w:r>
      <w:r w:rsidR="002D40CB" w:rsidRPr="00325E23">
        <w:rPr>
          <w:bCs/>
          <w:sz w:val="28"/>
          <w:szCs w:val="28"/>
        </w:rPr>
        <w:t>:</w:t>
      </w:r>
    </w:p>
    <w:p w14:paraId="5BBC4383" w14:textId="39EE0FB2" w:rsidR="003F1662" w:rsidRPr="00325E23" w:rsidRDefault="00325E23" w:rsidP="00325E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F1662" w:rsidRPr="00325E23">
        <w:rPr>
          <w:sz w:val="28"/>
          <w:szCs w:val="28"/>
        </w:rPr>
        <w:t xml:space="preserve">aizstāt 3.1.apakšpunktā skaitli un vārdu </w:t>
      </w:r>
      <w:r w:rsidRPr="00325E23">
        <w:rPr>
          <w:sz w:val="28"/>
          <w:szCs w:val="28"/>
        </w:rPr>
        <w:t>"</w:t>
      </w:r>
      <w:r w:rsidR="003F1662" w:rsidRPr="00325E23">
        <w:rPr>
          <w:sz w:val="28"/>
          <w:szCs w:val="28"/>
        </w:rPr>
        <w:t>7 lati</w:t>
      </w:r>
      <w:r w:rsidRPr="00325E23">
        <w:rPr>
          <w:sz w:val="28"/>
          <w:szCs w:val="28"/>
        </w:rPr>
        <w:t>"</w:t>
      </w:r>
      <w:r w:rsidR="003F1662" w:rsidRPr="00325E23">
        <w:rPr>
          <w:sz w:val="28"/>
          <w:szCs w:val="28"/>
        </w:rPr>
        <w:t xml:space="preserve"> ar skaitli un vārdu </w:t>
      </w:r>
      <w:r w:rsidRPr="00325E23">
        <w:rPr>
          <w:sz w:val="28"/>
          <w:szCs w:val="28"/>
        </w:rPr>
        <w:t>"</w:t>
      </w:r>
      <w:r w:rsidR="003F1662" w:rsidRPr="00325E23">
        <w:rPr>
          <w:sz w:val="28"/>
          <w:szCs w:val="28"/>
        </w:rPr>
        <w:t>9,96 </w:t>
      </w:r>
      <w:proofErr w:type="spellStart"/>
      <w:r w:rsidR="003F1662" w:rsidRPr="00325E23">
        <w:rPr>
          <w:i/>
          <w:sz w:val="28"/>
          <w:szCs w:val="28"/>
        </w:rPr>
        <w:t>euro</w:t>
      </w:r>
      <w:proofErr w:type="spellEnd"/>
      <w:r w:rsidRPr="00325E2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5BBC4385" w14:textId="43490D3A" w:rsidR="003F1662" w:rsidRPr="00325E23" w:rsidRDefault="00325E23" w:rsidP="00325E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F1662" w:rsidRPr="00325E23">
        <w:rPr>
          <w:sz w:val="28"/>
          <w:szCs w:val="28"/>
        </w:rPr>
        <w:t xml:space="preserve">aizstāt 3.2.apakšpunktā skaitli un vārdu </w:t>
      </w:r>
      <w:r w:rsidRPr="00325E23">
        <w:rPr>
          <w:sz w:val="28"/>
          <w:szCs w:val="28"/>
        </w:rPr>
        <w:t>"</w:t>
      </w:r>
      <w:r w:rsidR="003F1662" w:rsidRPr="00325E23">
        <w:rPr>
          <w:sz w:val="28"/>
          <w:szCs w:val="28"/>
        </w:rPr>
        <w:t>0,45 lati</w:t>
      </w:r>
      <w:r w:rsidRPr="00325E23">
        <w:rPr>
          <w:sz w:val="28"/>
          <w:szCs w:val="28"/>
        </w:rPr>
        <w:t>"</w:t>
      </w:r>
      <w:r w:rsidR="003F1662" w:rsidRPr="00325E23">
        <w:rPr>
          <w:sz w:val="28"/>
          <w:szCs w:val="28"/>
        </w:rPr>
        <w:t xml:space="preserve"> ar skaitli un vārdu </w:t>
      </w:r>
      <w:r w:rsidRPr="00325E23">
        <w:rPr>
          <w:sz w:val="28"/>
          <w:szCs w:val="28"/>
        </w:rPr>
        <w:t>"</w:t>
      </w:r>
      <w:r w:rsidR="003F1662" w:rsidRPr="00325E23">
        <w:rPr>
          <w:sz w:val="28"/>
          <w:szCs w:val="28"/>
        </w:rPr>
        <w:t>0,64 </w:t>
      </w:r>
      <w:proofErr w:type="spellStart"/>
      <w:r w:rsidR="003F1662" w:rsidRPr="00325E23">
        <w:rPr>
          <w:i/>
          <w:sz w:val="28"/>
          <w:szCs w:val="28"/>
        </w:rPr>
        <w:t>euro</w:t>
      </w:r>
      <w:proofErr w:type="spellEnd"/>
      <w:r w:rsidRPr="00325E2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5BBC4387" w14:textId="0EACD2CC" w:rsidR="003F1662" w:rsidRPr="00325E23" w:rsidRDefault="00325E23" w:rsidP="00325E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3F1662" w:rsidRPr="00325E23">
        <w:rPr>
          <w:sz w:val="28"/>
          <w:szCs w:val="28"/>
        </w:rPr>
        <w:t xml:space="preserve">aizstāt 3.3.apakšpunktā skaitli un vārdu </w:t>
      </w:r>
      <w:r w:rsidRPr="00325E23">
        <w:rPr>
          <w:sz w:val="28"/>
          <w:szCs w:val="28"/>
        </w:rPr>
        <w:t>"</w:t>
      </w:r>
      <w:r w:rsidR="00AC0FDF">
        <w:rPr>
          <w:sz w:val="28"/>
          <w:szCs w:val="28"/>
        </w:rPr>
        <w:t>1,60 latu</w:t>
      </w:r>
      <w:r w:rsidRPr="00325E23">
        <w:rPr>
          <w:sz w:val="28"/>
          <w:szCs w:val="28"/>
        </w:rPr>
        <w:t>"</w:t>
      </w:r>
      <w:r w:rsidR="003F1662" w:rsidRPr="00325E23">
        <w:rPr>
          <w:sz w:val="28"/>
          <w:szCs w:val="28"/>
        </w:rPr>
        <w:t xml:space="preserve"> ar skaitli un vārdu </w:t>
      </w:r>
      <w:r w:rsidRPr="00325E23">
        <w:rPr>
          <w:sz w:val="28"/>
          <w:szCs w:val="28"/>
        </w:rPr>
        <w:t>"</w:t>
      </w:r>
      <w:r w:rsidR="003F1662" w:rsidRPr="00325E23">
        <w:rPr>
          <w:sz w:val="28"/>
          <w:szCs w:val="28"/>
        </w:rPr>
        <w:t>2,28 </w:t>
      </w:r>
      <w:proofErr w:type="spellStart"/>
      <w:r w:rsidR="003F1662" w:rsidRPr="00325E23">
        <w:rPr>
          <w:i/>
          <w:sz w:val="28"/>
          <w:szCs w:val="28"/>
        </w:rPr>
        <w:t>euro</w:t>
      </w:r>
      <w:proofErr w:type="spellEnd"/>
      <w:r w:rsidRPr="00325E23">
        <w:rPr>
          <w:sz w:val="28"/>
          <w:szCs w:val="28"/>
        </w:rPr>
        <w:t>"</w:t>
      </w:r>
      <w:r w:rsidR="00AC0FDF">
        <w:rPr>
          <w:sz w:val="28"/>
          <w:szCs w:val="28"/>
        </w:rPr>
        <w:t>;</w:t>
      </w:r>
    </w:p>
    <w:p w14:paraId="5BBC4389" w14:textId="41D2E060" w:rsidR="003F1662" w:rsidRDefault="00325E23" w:rsidP="00325E23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1.4. i</w:t>
      </w:r>
      <w:r w:rsidR="003F1662" w:rsidRPr="009C5153">
        <w:rPr>
          <w:sz w:val="28"/>
          <w:szCs w:val="28"/>
        </w:rPr>
        <w:t>zteikt 9.punktu šādā redakcijā:</w:t>
      </w:r>
    </w:p>
    <w:p w14:paraId="5BC9D013" w14:textId="77777777" w:rsidR="00325E23" w:rsidRPr="009C5153" w:rsidRDefault="00325E23" w:rsidP="00325E23">
      <w:pPr>
        <w:pStyle w:val="naisf"/>
        <w:spacing w:before="0" w:after="0"/>
        <w:ind w:firstLine="709"/>
        <w:rPr>
          <w:sz w:val="28"/>
          <w:szCs w:val="28"/>
        </w:rPr>
      </w:pPr>
    </w:p>
    <w:p w14:paraId="5BBC438A" w14:textId="27EE98F8" w:rsidR="000457A7" w:rsidRDefault="00325E23" w:rsidP="00325E23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031904" w:rsidRPr="009C5153">
        <w:rPr>
          <w:sz w:val="28"/>
          <w:szCs w:val="28"/>
        </w:rPr>
        <w:t>9.</w:t>
      </w:r>
      <w:r w:rsidR="00D0741B" w:rsidRPr="009C5153">
        <w:rPr>
          <w:sz w:val="28"/>
          <w:szCs w:val="28"/>
        </w:rPr>
        <w:t xml:space="preserve"> </w:t>
      </w:r>
      <w:r w:rsidR="00BC30B7" w:rsidRPr="009C5153">
        <w:rPr>
          <w:sz w:val="28"/>
          <w:szCs w:val="28"/>
        </w:rPr>
        <w:t>Šo noteikumu 3.1.apakšpunktā un 4.</w:t>
      </w:r>
      <w:r w:rsidR="00BC30B7" w:rsidRPr="009C5153">
        <w:rPr>
          <w:sz w:val="28"/>
          <w:szCs w:val="28"/>
          <w:vertAlign w:val="superscript"/>
        </w:rPr>
        <w:t>1</w:t>
      </w:r>
      <w:r w:rsidR="00AC0FDF">
        <w:rPr>
          <w:sz w:val="28"/>
          <w:szCs w:val="28"/>
          <w:vertAlign w:val="superscript"/>
        </w:rPr>
        <w:t> </w:t>
      </w:r>
      <w:r w:rsidR="00BC30B7" w:rsidRPr="009C5153">
        <w:rPr>
          <w:sz w:val="28"/>
          <w:szCs w:val="28"/>
        </w:rPr>
        <w:t>punktā noteikto uzturdevas kompensācijas apmēru nepiemēro 2010.</w:t>
      </w:r>
      <w:r w:rsidR="00D515B4">
        <w:rPr>
          <w:sz w:val="28"/>
          <w:szCs w:val="28"/>
        </w:rPr>
        <w:t>, 2011., 2012., 2013. un</w:t>
      </w:r>
      <w:r w:rsidR="00BC30B7" w:rsidRPr="009C5153">
        <w:rPr>
          <w:sz w:val="28"/>
          <w:szCs w:val="28"/>
        </w:rPr>
        <w:t xml:space="preserve"> 2014.gad</w:t>
      </w:r>
      <w:r w:rsidR="00D515B4">
        <w:rPr>
          <w:sz w:val="28"/>
          <w:szCs w:val="28"/>
        </w:rPr>
        <w:t>ā</w:t>
      </w:r>
      <w:r w:rsidR="00BC30B7" w:rsidRPr="009C5153">
        <w:rPr>
          <w:sz w:val="28"/>
          <w:szCs w:val="28"/>
        </w:rPr>
        <w:t xml:space="preserve">. Kompensācijas apmērs </w:t>
      </w:r>
      <w:r w:rsidR="00D515B4">
        <w:rPr>
          <w:sz w:val="28"/>
          <w:szCs w:val="28"/>
        </w:rPr>
        <w:t xml:space="preserve">2010., 2011. un </w:t>
      </w:r>
      <w:r w:rsidR="00BC30B7" w:rsidRPr="009C5153">
        <w:rPr>
          <w:sz w:val="28"/>
          <w:szCs w:val="28"/>
        </w:rPr>
        <w:t>2012.gad</w:t>
      </w:r>
      <w:r w:rsidR="00D515B4">
        <w:rPr>
          <w:sz w:val="28"/>
          <w:szCs w:val="28"/>
        </w:rPr>
        <w:t>ā</w:t>
      </w:r>
      <w:r w:rsidR="00BC30B7" w:rsidRPr="009C5153">
        <w:rPr>
          <w:sz w:val="28"/>
          <w:szCs w:val="28"/>
        </w:rPr>
        <w:t xml:space="preserve"> ir 4 lati, 2013.gadā – 5 lati, </w:t>
      </w:r>
      <w:r w:rsidR="003F1662" w:rsidRPr="009C5153">
        <w:rPr>
          <w:sz w:val="28"/>
          <w:szCs w:val="28"/>
        </w:rPr>
        <w:t xml:space="preserve">no </w:t>
      </w:r>
      <w:r w:rsidR="00BC30B7" w:rsidRPr="009C5153">
        <w:rPr>
          <w:sz w:val="28"/>
          <w:szCs w:val="28"/>
        </w:rPr>
        <w:t>2014.gad</w:t>
      </w:r>
      <w:r w:rsidR="003F1662" w:rsidRPr="009C5153">
        <w:rPr>
          <w:sz w:val="28"/>
          <w:szCs w:val="28"/>
        </w:rPr>
        <w:t>a 1.janvāra līdz 30.jūnijam</w:t>
      </w:r>
      <w:r w:rsidR="006325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F1662" w:rsidRPr="009C5153">
        <w:rPr>
          <w:sz w:val="28"/>
          <w:szCs w:val="28"/>
        </w:rPr>
        <w:t xml:space="preserve"> 7,11 </w:t>
      </w:r>
      <w:proofErr w:type="spellStart"/>
      <w:r w:rsidR="003F1662" w:rsidRPr="009C5153">
        <w:rPr>
          <w:i/>
          <w:sz w:val="28"/>
          <w:szCs w:val="28"/>
        </w:rPr>
        <w:t>euro</w:t>
      </w:r>
      <w:proofErr w:type="spellEnd"/>
      <w:r w:rsidR="003F1662" w:rsidRPr="009C5153">
        <w:rPr>
          <w:sz w:val="28"/>
          <w:szCs w:val="28"/>
        </w:rPr>
        <w:t xml:space="preserve">, bet no 2014.gada 1.jūlija līdz 31.decembrim </w:t>
      </w:r>
      <w:r>
        <w:rPr>
          <w:sz w:val="28"/>
          <w:szCs w:val="28"/>
        </w:rPr>
        <w:t>–</w:t>
      </w:r>
      <w:r w:rsidR="006325A0">
        <w:rPr>
          <w:sz w:val="28"/>
          <w:szCs w:val="28"/>
        </w:rPr>
        <w:t xml:space="preserve"> </w:t>
      </w:r>
      <w:r w:rsidR="003F1662" w:rsidRPr="009C5153">
        <w:rPr>
          <w:sz w:val="28"/>
          <w:szCs w:val="28"/>
        </w:rPr>
        <w:t xml:space="preserve">8,54 </w:t>
      </w:r>
      <w:proofErr w:type="spellStart"/>
      <w:r w:rsidR="003F1662" w:rsidRPr="009C5153">
        <w:rPr>
          <w:i/>
          <w:sz w:val="28"/>
          <w:szCs w:val="28"/>
        </w:rPr>
        <w:t>euro</w:t>
      </w:r>
      <w:proofErr w:type="spellEnd"/>
      <w:r w:rsidR="009C5153">
        <w:rPr>
          <w:i/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BBC438B" w14:textId="77777777" w:rsidR="009C5153" w:rsidRDefault="009C5153" w:rsidP="00325E23">
      <w:pPr>
        <w:pStyle w:val="naisf"/>
        <w:spacing w:before="0" w:after="0"/>
        <w:ind w:firstLine="709"/>
        <w:rPr>
          <w:sz w:val="28"/>
          <w:szCs w:val="28"/>
        </w:rPr>
      </w:pPr>
    </w:p>
    <w:p w14:paraId="5BBC438C" w14:textId="24ADE22C" w:rsidR="009C5153" w:rsidRPr="009C5153" w:rsidRDefault="00325E23" w:rsidP="00325E23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9C5153">
        <w:rPr>
          <w:sz w:val="28"/>
          <w:szCs w:val="28"/>
        </w:rPr>
        <w:t>Noteikum</w:t>
      </w:r>
      <w:r w:rsidR="006325A0">
        <w:rPr>
          <w:sz w:val="28"/>
          <w:szCs w:val="28"/>
        </w:rPr>
        <w:t>i</w:t>
      </w:r>
      <w:r w:rsidR="009C5153">
        <w:rPr>
          <w:sz w:val="28"/>
          <w:szCs w:val="28"/>
        </w:rPr>
        <w:t xml:space="preserve"> stājas spēkā 2014.gada 1.janvārī.</w:t>
      </w:r>
    </w:p>
    <w:p w14:paraId="5BBC438D" w14:textId="77777777" w:rsidR="000457A7" w:rsidRDefault="000457A7" w:rsidP="00325E2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0864A37" w14:textId="77777777" w:rsidR="00325E23" w:rsidRDefault="00325E23" w:rsidP="00325E2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BBC438E" w14:textId="388CDD74" w:rsidR="000457A7" w:rsidRDefault="000457A7" w:rsidP="00325E23">
      <w:pPr>
        <w:pStyle w:val="naisf"/>
        <w:tabs>
          <w:tab w:val="left" w:pos="6521"/>
          <w:tab w:val="right" w:pos="9000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9C5153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="00982C5D">
        <w:rPr>
          <w:sz w:val="28"/>
          <w:szCs w:val="28"/>
        </w:rPr>
        <w:t xml:space="preserve">aldis </w:t>
      </w:r>
      <w:r>
        <w:rPr>
          <w:sz w:val="28"/>
          <w:szCs w:val="28"/>
        </w:rPr>
        <w:t>Dombrovskis</w:t>
      </w:r>
    </w:p>
    <w:p w14:paraId="5BBC438F" w14:textId="77777777" w:rsidR="000457A7" w:rsidRDefault="000457A7" w:rsidP="00325E23">
      <w:pPr>
        <w:tabs>
          <w:tab w:val="left" w:pos="6521"/>
        </w:tabs>
        <w:ind w:firstLine="709"/>
        <w:rPr>
          <w:sz w:val="28"/>
          <w:szCs w:val="28"/>
        </w:rPr>
      </w:pPr>
    </w:p>
    <w:p w14:paraId="0E0E5996" w14:textId="77777777" w:rsidR="004A45ED" w:rsidRDefault="004A45ED" w:rsidP="004A45E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szCs w:val="28"/>
          <w:lang w:val="lv-LV"/>
        </w:rPr>
      </w:pPr>
      <w:r w:rsidRPr="00883FE3">
        <w:rPr>
          <w:sz w:val="28"/>
          <w:szCs w:val="28"/>
          <w:lang w:val="lv-LV"/>
        </w:rPr>
        <w:t>Aizsardzības ministr</w:t>
      </w:r>
      <w:r>
        <w:rPr>
          <w:sz w:val="28"/>
          <w:szCs w:val="28"/>
          <w:lang w:val="lv-LV"/>
        </w:rPr>
        <w:t>a vietā –</w:t>
      </w:r>
    </w:p>
    <w:p w14:paraId="5BBC4393" w14:textId="39B11DF8" w:rsidR="000457A7" w:rsidRDefault="004A45ED" w:rsidP="004A45ED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  <w:lang w:val="lv-LV"/>
        </w:rPr>
        <w:t>zemkopības ministre</w:t>
      </w:r>
      <w:r>
        <w:rPr>
          <w:sz w:val="28"/>
          <w:szCs w:val="28"/>
          <w:lang w:val="lv-LV"/>
        </w:rPr>
        <w:tab/>
        <w:t>Laimdota Straujuma</w:t>
      </w:r>
    </w:p>
    <w:sectPr w:rsidR="000457A7" w:rsidSect="00325E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C43A5" w14:textId="77777777" w:rsidR="00FF4774" w:rsidRDefault="00FF4774" w:rsidP="00FF4774">
      <w:r>
        <w:separator/>
      </w:r>
    </w:p>
  </w:endnote>
  <w:endnote w:type="continuationSeparator" w:id="0">
    <w:p w14:paraId="5BBC43A6" w14:textId="77777777" w:rsidR="00FF4774" w:rsidRDefault="00FF4774" w:rsidP="00FF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43A9" w14:textId="7CA4DC93" w:rsidR="00FF4774" w:rsidRPr="00325E23" w:rsidRDefault="00325E23">
    <w:pPr>
      <w:pStyle w:val="Footer"/>
      <w:rPr>
        <w:sz w:val="16"/>
        <w:szCs w:val="16"/>
      </w:rPr>
    </w:pPr>
    <w:r w:rsidRPr="00325E23">
      <w:rPr>
        <w:sz w:val="16"/>
        <w:szCs w:val="16"/>
      </w:rPr>
      <w:t>N2893_3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E8FA6" w14:textId="77777777" w:rsidR="00325E23" w:rsidRPr="00325E23" w:rsidRDefault="00325E23" w:rsidP="00325E23">
    <w:pPr>
      <w:pStyle w:val="Footer"/>
      <w:rPr>
        <w:sz w:val="16"/>
        <w:szCs w:val="16"/>
      </w:rPr>
    </w:pPr>
    <w:r w:rsidRPr="00325E23">
      <w:rPr>
        <w:sz w:val="16"/>
        <w:szCs w:val="16"/>
      </w:rPr>
      <w:t>N2893_3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C43A3" w14:textId="77777777" w:rsidR="00FF4774" w:rsidRDefault="00FF4774" w:rsidP="00FF4774">
      <w:r>
        <w:separator/>
      </w:r>
    </w:p>
  </w:footnote>
  <w:footnote w:type="continuationSeparator" w:id="0">
    <w:p w14:paraId="5BBC43A4" w14:textId="77777777" w:rsidR="00FF4774" w:rsidRDefault="00FF4774" w:rsidP="00FF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5649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F0888C" w14:textId="2B6FBE4C" w:rsidR="00325E23" w:rsidRDefault="00325E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C4D3E" w14:textId="72E68225" w:rsidR="00325E23" w:rsidRDefault="00325E23" w:rsidP="00325E2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02D4" w14:textId="781FC724" w:rsidR="00325E23" w:rsidRDefault="00325E23">
    <w:pPr>
      <w:pStyle w:val="Header"/>
    </w:pPr>
    <w:r>
      <w:rPr>
        <w:noProof/>
      </w:rPr>
      <w:drawing>
        <wp:inline distT="0" distB="0" distL="0" distR="0" wp14:anchorId="1D598181" wp14:editId="6CAB065B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9F3"/>
    <w:multiLevelType w:val="multilevel"/>
    <w:tmpl w:val="B02647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8DC391A"/>
    <w:multiLevelType w:val="multilevel"/>
    <w:tmpl w:val="EBFE0B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6B5271DF"/>
    <w:multiLevelType w:val="hybridMultilevel"/>
    <w:tmpl w:val="AFBC5F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26575"/>
    <w:multiLevelType w:val="hybridMultilevel"/>
    <w:tmpl w:val="3AB461BC"/>
    <w:lvl w:ilvl="0" w:tplc="5F9C38EC">
      <w:start w:val="1"/>
      <w:numFmt w:val="decimal"/>
      <w:lvlText w:val="%1."/>
      <w:lvlJc w:val="left"/>
      <w:pPr>
        <w:ind w:left="1380" w:hanging="84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A7"/>
    <w:rsid w:val="00031904"/>
    <w:rsid w:val="000457A7"/>
    <w:rsid w:val="0019309F"/>
    <w:rsid w:val="001B5622"/>
    <w:rsid w:val="001C25DB"/>
    <w:rsid w:val="002615BC"/>
    <w:rsid w:val="0026236D"/>
    <w:rsid w:val="002906CA"/>
    <w:rsid w:val="002D40CB"/>
    <w:rsid w:val="00304507"/>
    <w:rsid w:val="00325E23"/>
    <w:rsid w:val="003833F0"/>
    <w:rsid w:val="003F1662"/>
    <w:rsid w:val="004120BA"/>
    <w:rsid w:val="004A45ED"/>
    <w:rsid w:val="00505F59"/>
    <w:rsid w:val="00544DFF"/>
    <w:rsid w:val="005974D6"/>
    <w:rsid w:val="0061681D"/>
    <w:rsid w:val="006325A0"/>
    <w:rsid w:val="006F3B47"/>
    <w:rsid w:val="007635F3"/>
    <w:rsid w:val="008804EF"/>
    <w:rsid w:val="009458EB"/>
    <w:rsid w:val="0096281B"/>
    <w:rsid w:val="00982C5D"/>
    <w:rsid w:val="009A48D6"/>
    <w:rsid w:val="009C5153"/>
    <w:rsid w:val="00AC0FDF"/>
    <w:rsid w:val="00AD556B"/>
    <w:rsid w:val="00AF3AC3"/>
    <w:rsid w:val="00B64918"/>
    <w:rsid w:val="00BA7BC0"/>
    <w:rsid w:val="00BB4A6B"/>
    <w:rsid w:val="00BC30B7"/>
    <w:rsid w:val="00C729FB"/>
    <w:rsid w:val="00CD6971"/>
    <w:rsid w:val="00D0741B"/>
    <w:rsid w:val="00D515B4"/>
    <w:rsid w:val="00E31F70"/>
    <w:rsid w:val="00E65543"/>
    <w:rsid w:val="00F22346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BC4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57A7"/>
    <w:pPr>
      <w:ind w:left="720"/>
      <w:contextualSpacing/>
    </w:pPr>
  </w:style>
  <w:style w:type="paragraph" w:customStyle="1" w:styleId="naisf">
    <w:name w:val="naisf"/>
    <w:basedOn w:val="Normal"/>
    <w:rsid w:val="000457A7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0457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57A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FF4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74"/>
    <w:rPr>
      <w:sz w:val="24"/>
      <w:szCs w:val="24"/>
    </w:rPr>
  </w:style>
  <w:style w:type="paragraph" w:styleId="BalloonText">
    <w:name w:val="Balloon Text"/>
    <w:basedOn w:val="Normal"/>
    <w:link w:val="BalloonTextChar"/>
    <w:rsid w:val="00FF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774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4A45ED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57A7"/>
    <w:pPr>
      <w:ind w:left="720"/>
      <w:contextualSpacing/>
    </w:pPr>
  </w:style>
  <w:style w:type="paragraph" w:customStyle="1" w:styleId="naisf">
    <w:name w:val="naisf"/>
    <w:basedOn w:val="Normal"/>
    <w:rsid w:val="000457A7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0457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57A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FF4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74"/>
    <w:rPr>
      <w:sz w:val="24"/>
      <w:szCs w:val="24"/>
    </w:rPr>
  </w:style>
  <w:style w:type="paragraph" w:styleId="BalloonText">
    <w:name w:val="Balloon Text"/>
    <w:basedOn w:val="Normal"/>
    <w:link w:val="BalloonTextChar"/>
    <w:rsid w:val="00FF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774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4A45ED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FBDE-B305-4850-B7CF-A734ED41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Manager>Juridiskais departaments</Manager>
  <Company>AM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Grozījums Ministru kabineta 2010.gada 29.jūnija noteikumos Nr.606 „Noteikumi par karavīra un zemessarga uzturdevas kompensācijas apmēru un izmaksāšanas kārtību”</dc:subject>
  <dc:creator>Marina Baltā</dc:creator>
  <dc:description>Marina.Balta@mod.gov.lv
tel. 67335270</dc:description>
  <cp:lastModifiedBy>Leontīne Babkina</cp:lastModifiedBy>
  <cp:revision>10</cp:revision>
  <cp:lastPrinted>2013-10-25T11:46:00Z</cp:lastPrinted>
  <dcterms:created xsi:type="dcterms:W3CDTF">2013-09-19T09:12:00Z</dcterms:created>
  <dcterms:modified xsi:type="dcterms:W3CDTF">2013-11-01T07:32:00Z</dcterms:modified>
</cp:coreProperties>
</file>