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A8E2" w14:textId="33777732" w:rsidR="000319F3" w:rsidRDefault="000319F3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CD960" w14:textId="77777777" w:rsidR="00A95AA9" w:rsidRDefault="00A95AA9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C0AAC" w14:textId="77777777" w:rsidR="00A95AA9" w:rsidRPr="009D7424" w:rsidRDefault="00A95AA9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6F76C" w14:textId="77777777" w:rsidR="009D7424" w:rsidRDefault="009D7424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4DAE5E" w14:textId="77777777" w:rsidR="00521620" w:rsidRDefault="00521620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72736C5" w14:textId="77777777" w:rsidR="00521620" w:rsidRDefault="00521620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7424" w14:paraId="6123ED10" w14:textId="77777777" w:rsidTr="009D7424">
        <w:tc>
          <w:tcPr>
            <w:tcW w:w="3192" w:type="dxa"/>
          </w:tcPr>
          <w:p w14:paraId="1898876B" w14:textId="66FA31CB" w:rsidR="009D7424" w:rsidRDefault="009D7424" w:rsidP="000319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3192" w:type="dxa"/>
          </w:tcPr>
          <w:p w14:paraId="2E8FE28C" w14:textId="584F5498" w:rsidR="009D7424" w:rsidRDefault="009D7424" w:rsidP="009D74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3192" w:type="dxa"/>
          </w:tcPr>
          <w:p w14:paraId="60F2E40F" w14:textId="29A7BC62" w:rsidR="009D7424" w:rsidRDefault="009D7424" w:rsidP="009D742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2012.gada       .septembrī</w:t>
            </w:r>
          </w:p>
        </w:tc>
      </w:tr>
    </w:tbl>
    <w:p w14:paraId="35AEA055" w14:textId="77777777" w:rsidR="009D7424" w:rsidRDefault="009D7424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93F7651" w14:textId="77777777" w:rsidR="00A95AA9" w:rsidRPr="00B4308E" w:rsidRDefault="00A95AA9" w:rsidP="0003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03A8E3" w14:textId="77777777" w:rsidR="000319F3" w:rsidRDefault="000319F3" w:rsidP="00031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.§</w:t>
      </w:r>
    </w:p>
    <w:p w14:paraId="766D37F9" w14:textId="77777777" w:rsidR="009D7424" w:rsidRPr="009D7424" w:rsidRDefault="009D7424" w:rsidP="00031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2703A8E4" w14:textId="64938051" w:rsidR="007D7216" w:rsidRDefault="00BE6FC5" w:rsidP="00031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1" w:name="OLE_LINK3"/>
      <w:bookmarkStart w:id="2" w:name="OLE_LINK4"/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Par </w:t>
      </w:r>
      <w:r w:rsidR="007D7216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Ministru kabineta 2012</w:t>
      </w:r>
      <w:r w:rsidR="000319F3" w:rsidRPr="000319F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.gada </w:t>
      </w:r>
      <w:r w:rsid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28.februāra sēdes </w:t>
      </w:r>
      <w:proofErr w:type="spellStart"/>
      <w:r w:rsid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protokollēmum</w:t>
      </w:r>
      <w:r w:rsidR="004337D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u</w:t>
      </w:r>
      <w:proofErr w:type="spellEnd"/>
      <w:r w:rsidR="000319F3" w:rsidRPr="000319F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2703A8E5" w14:textId="1FF9364F" w:rsidR="000319F3" w:rsidRDefault="007D7216" w:rsidP="007D72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(prot. Nr.11 26.§) </w:t>
      </w:r>
      <w:r w:rsid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"Informatīvais ziņojums "</w:t>
      </w:r>
      <w:r w:rsidR="000319F3" w:rsidRPr="000319F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Par valsts mantas atsavināšanu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</w:t>
      </w:r>
      <w:r w:rsidR="000319F3" w:rsidRPr="000319F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re</w:t>
      </w:r>
      <w:r w:rsid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 atlīdzību akciju sabiedrības "Latvijas Gāze"</w:t>
      </w:r>
      <w:r w:rsidR="000319F3" w:rsidRPr="000319F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īpašumā</w:t>
      </w:r>
      <w:bookmarkEnd w:id="1"/>
      <w:bookmarkEnd w:id="2"/>
      <w:r w:rsidR="009D742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""</w:t>
      </w:r>
    </w:p>
    <w:p w14:paraId="36A53A75" w14:textId="21DA3E88" w:rsidR="009D7424" w:rsidRPr="00A95AA9" w:rsidRDefault="009D7424" w:rsidP="009D74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val="lv-LV"/>
        </w:rPr>
      </w:pPr>
      <w:r w:rsidRPr="00A95AA9">
        <w:rPr>
          <w:rFonts w:ascii="Times New Roman" w:eastAsia="Times New Roman" w:hAnsi="Times New Roman" w:cs="Times New Roman"/>
          <w:b/>
          <w:sz w:val="24"/>
          <w:szCs w:val="28"/>
          <w:lang w:val="lv-LV"/>
        </w:rPr>
        <w:t>TA-1809</w:t>
      </w:r>
    </w:p>
    <w:p w14:paraId="7BC07876" w14:textId="4C9D9E07" w:rsidR="009D7424" w:rsidRPr="00A95AA9" w:rsidRDefault="009D7424" w:rsidP="009D74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A95AA9">
        <w:rPr>
          <w:rFonts w:ascii="Times New Roman" w:eastAsia="Times New Roman" w:hAnsi="Times New Roman" w:cs="Times New Roman"/>
          <w:sz w:val="24"/>
          <w:szCs w:val="28"/>
          <w:lang w:val="lv-LV"/>
        </w:rPr>
        <w:t>____________________________________________________</w:t>
      </w:r>
    </w:p>
    <w:p w14:paraId="55C45C57" w14:textId="11654A4E" w:rsidR="009D7424" w:rsidRPr="00A95AA9" w:rsidRDefault="009D7424" w:rsidP="009D74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A95AA9">
        <w:rPr>
          <w:rFonts w:ascii="Times New Roman" w:eastAsia="Times New Roman" w:hAnsi="Times New Roman" w:cs="Times New Roman"/>
          <w:sz w:val="24"/>
          <w:szCs w:val="28"/>
          <w:lang w:val="lv-LV"/>
        </w:rPr>
        <w:t>(...)</w:t>
      </w:r>
    </w:p>
    <w:p w14:paraId="2703A8E6" w14:textId="77777777" w:rsidR="000319F3" w:rsidRPr="00A95AA9" w:rsidRDefault="000319F3" w:rsidP="00031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2703A8E8" w14:textId="73D956E1" w:rsidR="000319F3" w:rsidRPr="000319F3" w:rsidRDefault="009D7424" w:rsidP="000319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Ņemot vērā aizsardzības ministra iesniegto informāciju, kā arī p</w:t>
      </w:r>
      <w:r w:rsidR="007D7216">
        <w:rPr>
          <w:rFonts w:ascii="Times New Roman" w:eastAsia="Times New Roman" w:hAnsi="Times New Roman" w:cs="Times New Roman"/>
          <w:sz w:val="28"/>
          <w:szCs w:val="28"/>
          <w:lang w:val="lv-LV"/>
        </w:rPr>
        <w:t>amatojoties uz</w:t>
      </w:r>
      <w:r w:rsidR="00FB04D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likuma "</w:t>
      </w:r>
      <w:r w:rsidR="00BE6FC5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ar pievienotās vērtības nodokli"</w:t>
      </w:r>
      <w:r w:rsidR="00BE6FC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6.panta pirmās daļas 23.punktu,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noteikt, ka </w:t>
      </w:r>
      <w:r w:rsidR="00785433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 2012</w:t>
      </w:r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.gada 28.februāra sēdes </w:t>
      </w:r>
      <w:proofErr w:type="spellStart"/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>protokollēmuma</w:t>
      </w:r>
      <w:proofErr w:type="spellEnd"/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D721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(prot. Nr.11 26.§)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Informatīvais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ziņojums "</w:t>
      </w:r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>Par valsts mantas atsavināšanu pre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t atlīdzību akciju sabiedrības "Latvijas Gāze" īpašumā""</w:t>
      </w:r>
      <w:r w:rsidR="000319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319F3" w:rsidRPr="000319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3.punktā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iekavās iekļautais teksts "</w:t>
      </w:r>
      <w:r w:rsidRPr="000319F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(plus PVN 22%)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nav saistošs</w:t>
      </w:r>
      <w:r w:rsidR="000319F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2703A8E9" w14:textId="77777777" w:rsidR="000319F3" w:rsidRPr="00B4308E" w:rsidRDefault="000319F3" w:rsidP="009D74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3A8EA" w14:textId="77777777" w:rsidR="000319F3" w:rsidRDefault="000319F3" w:rsidP="009D7424">
      <w:pPr>
        <w:widowControl w:val="0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73E6DA37" w14:textId="77777777" w:rsidR="009D7424" w:rsidRPr="00B4308E" w:rsidRDefault="009D7424" w:rsidP="009D7424">
      <w:pPr>
        <w:widowControl w:val="0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2703A8EB" w14:textId="7A4E6025" w:rsidR="000319F3" w:rsidRPr="00B4308E" w:rsidRDefault="000319F3" w:rsidP="009D7424">
      <w:pPr>
        <w:widowControl w:val="0"/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B430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V.Dombrovskis</w:t>
      </w:r>
    </w:p>
    <w:p w14:paraId="2703A8EC" w14:textId="77777777" w:rsidR="000319F3" w:rsidRDefault="000319F3" w:rsidP="009D7424">
      <w:pPr>
        <w:widowControl w:val="0"/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03A8ED" w14:textId="77777777" w:rsidR="000319F3" w:rsidRDefault="000319F3" w:rsidP="009D7424">
      <w:pPr>
        <w:widowControl w:val="0"/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BCB6880" w14:textId="77777777" w:rsidR="009D7424" w:rsidRPr="00B4308E" w:rsidRDefault="009D7424" w:rsidP="009D7424">
      <w:pPr>
        <w:widowControl w:val="0"/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03A8EE" w14:textId="75FF7F32" w:rsidR="000319F3" w:rsidRPr="00B4308E" w:rsidRDefault="009D7424" w:rsidP="009D7424">
      <w:pPr>
        <w:widowControl w:val="0"/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Valsts kancelejas direktore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E.Dreimane</w:t>
      </w:r>
    </w:p>
    <w:sectPr w:rsidR="000319F3" w:rsidRPr="00B4308E" w:rsidSect="002454D8">
      <w:headerReference w:type="default" r:id="rId9"/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A902" w14:textId="77777777" w:rsidR="004337D8" w:rsidRDefault="004337D8">
      <w:pPr>
        <w:spacing w:after="0" w:line="240" w:lineRule="auto"/>
      </w:pPr>
      <w:r>
        <w:separator/>
      </w:r>
    </w:p>
  </w:endnote>
  <w:endnote w:type="continuationSeparator" w:id="0">
    <w:p w14:paraId="2703A903" w14:textId="77777777" w:rsidR="004337D8" w:rsidRDefault="0043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A85C" w14:textId="728302AF" w:rsidR="004337D8" w:rsidRPr="00A95AA9" w:rsidRDefault="004337D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95AA9">
      <w:rPr>
        <w:rFonts w:ascii="Times New Roman" w:hAnsi="Times New Roman" w:cs="Times New Roman"/>
        <w:sz w:val="16"/>
        <w:szCs w:val="16"/>
        <w:lang w:val="lv-LV"/>
      </w:rPr>
      <w:t>1809z2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A900" w14:textId="77777777" w:rsidR="004337D8" w:rsidRDefault="004337D8">
      <w:pPr>
        <w:spacing w:after="0" w:line="240" w:lineRule="auto"/>
      </w:pPr>
      <w:r>
        <w:separator/>
      </w:r>
    </w:p>
  </w:footnote>
  <w:footnote w:type="continuationSeparator" w:id="0">
    <w:p w14:paraId="2703A901" w14:textId="77777777" w:rsidR="004337D8" w:rsidRDefault="0043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8A02" w14:textId="77777777" w:rsidR="004337D8" w:rsidRPr="00521620" w:rsidRDefault="004337D8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521620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12C027AD" w14:textId="77777777" w:rsidR="004337D8" w:rsidRPr="00521620" w:rsidRDefault="004337D8">
    <w:pPr>
      <w:pStyle w:val="Header"/>
      <w:rPr>
        <w:rFonts w:ascii="Times New Roman" w:hAnsi="Times New Roman" w:cs="Times New Roman"/>
        <w:sz w:val="28"/>
        <w:szCs w:val="28"/>
      </w:rPr>
    </w:pPr>
  </w:p>
  <w:p w14:paraId="42055FA2" w14:textId="58642418" w:rsidR="004337D8" w:rsidRPr="00521620" w:rsidRDefault="004337D8" w:rsidP="009D74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49CEC0D9" w14:textId="77777777" w:rsidR="004337D8" w:rsidRPr="00521620" w:rsidRDefault="004337D8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130"/>
    <w:multiLevelType w:val="hybridMultilevel"/>
    <w:tmpl w:val="D088A3EC"/>
    <w:lvl w:ilvl="0" w:tplc="F208A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F3"/>
    <w:rsid w:val="000319F3"/>
    <w:rsid w:val="000C42B4"/>
    <w:rsid w:val="000E2759"/>
    <w:rsid w:val="001A3463"/>
    <w:rsid w:val="002454D8"/>
    <w:rsid w:val="003072F4"/>
    <w:rsid w:val="004337D8"/>
    <w:rsid w:val="00521620"/>
    <w:rsid w:val="0060054A"/>
    <w:rsid w:val="00657E7D"/>
    <w:rsid w:val="00723F42"/>
    <w:rsid w:val="00785433"/>
    <w:rsid w:val="007D7216"/>
    <w:rsid w:val="008C2899"/>
    <w:rsid w:val="00903522"/>
    <w:rsid w:val="009820DF"/>
    <w:rsid w:val="009855AC"/>
    <w:rsid w:val="009D7424"/>
    <w:rsid w:val="00A95AA9"/>
    <w:rsid w:val="00AE07F1"/>
    <w:rsid w:val="00BB5C43"/>
    <w:rsid w:val="00BE6FC5"/>
    <w:rsid w:val="00F1600B"/>
    <w:rsid w:val="00FB04D4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F3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0319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F3"/>
  </w:style>
  <w:style w:type="paragraph" w:styleId="Header">
    <w:name w:val="header"/>
    <w:basedOn w:val="Normal"/>
    <w:link w:val="HeaderChar"/>
    <w:unhideWhenUsed/>
    <w:rsid w:val="00BE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6FC5"/>
  </w:style>
  <w:style w:type="paragraph" w:styleId="BalloonText">
    <w:name w:val="Balloon Text"/>
    <w:basedOn w:val="Normal"/>
    <w:link w:val="BalloonTextChar"/>
    <w:uiPriority w:val="99"/>
    <w:semiHidden/>
    <w:unhideWhenUsed/>
    <w:rsid w:val="009D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F3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0319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F3"/>
  </w:style>
  <w:style w:type="paragraph" w:styleId="Header">
    <w:name w:val="header"/>
    <w:basedOn w:val="Normal"/>
    <w:link w:val="HeaderChar"/>
    <w:unhideWhenUsed/>
    <w:rsid w:val="00BE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6FC5"/>
  </w:style>
  <w:style w:type="paragraph" w:styleId="BalloonText">
    <w:name w:val="Balloon Text"/>
    <w:basedOn w:val="Normal"/>
    <w:link w:val="BalloonTextChar"/>
    <w:uiPriority w:val="99"/>
    <w:semiHidden/>
    <w:unhideWhenUsed/>
    <w:rsid w:val="009D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9CA2-34DF-4A8F-83CB-04B3866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28.februāra sēdes protokollēmumu (prot. Nr.11 26.) "Informatīvais ziņojums "Par valsts mantas atsavināšanu pret atlīdzību akciju sabiedrības "Latvijas Gāze" īpašumā""</vt:lpstr>
    </vt:vector>
  </TitlesOfParts>
  <Manager>Valsts aizsardzības militāro objektu un iepirkumu centrs</Manager>
  <Company>Aizsardzības ministrija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28.februāra sēdes protokollēmumu (prot. Nr.11 26.) "Informatīvais ziņojums "Par valsts mantas atsavināšanu pret atlīdzību akciju sabiedrības "Latvijas Gāze" īpašumā""</dc:title>
  <dc:subject>Ministru kabineta sēdes protokollēmuma projekts</dc:subject>
  <dc:creator>Sarmīte Grizāne</dc:creator>
  <cp:keywords/>
  <dc:description>Sarmite.Grizane@vamoic.gov.lv_x000d_
67300223, fakss 67300207</dc:description>
  <cp:lastModifiedBy>Aija Antenišķe</cp:lastModifiedBy>
  <cp:revision>19</cp:revision>
  <cp:lastPrinted>2012-08-28T13:17:00Z</cp:lastPrinted>
  <dcterms:created xsi:type="dcterms:W3CDTF">2012-05-18T10:38:00Z</dcterms:created>
  <dcterms:modified xsi:type="dcterms:W3CDTF">2012-08-28T13:20:00Z</dcterms:modified>
</cp:coreProperties>
</file>