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2E" w:rsidRPr="003E0616" w:rsidRDefault="00340F2E" w:rsidP="00340F2E">
      <w:pPr>
        <w:jc w:val="center"/>
        <w:rPr>
          <w:b/>
        </w:rPr>
      </w:pPr>
      <w:r w:rsidRPr="003E0616">
        <w:rPr>
          <w:b/>
        </w:rPr>
        <w:t>Ministru kabineta rīkojuma projekta</w:t>
      </w:r>
    </w:p>
    <w:p w:rsidR="00340F2E" w:rsidRPr="003E0616" w:rsidRDefault="00340F2E" w:rsidP="00340F2E">
      <w:pPr>
        <w:jc w:val="center"/>
        <w:rPr>
          <w:b/>
        </w:rPr>
      </w:pPr>
      <w:r w:rsidRPr="003E0616">
        <w:rPr>
          <w:b/>
          <w:bCs/>
        </w:rPr>
        <w:t>„</w:t>
      </w:r>
      <w:bookmarkStart w:id="0" w:name="OLE_LINK10"/>
      <w:bookmarkStart w:id="1" w:name="OLE_LINK11"/>
      <w:r w:rsidRPr="003E0616">
        <w:rPr>
          <w:rStyle w:val="Strong"/>
          <w:bCs w:val="0"/>
        </w:rPr>
        <w:t xml:space="preserve">Par pārstāvju norīkošanu </w:t>
      </w:r>
      <w:r w:rsidR="0089773F">
        <w:rPr>
          <w:rStyle w:val="Strong"/>
          <w:bCs w:val="0"/>
        </w:rPr>
        <w:t xml:space="preserve">darbam </w:t>
      </w:r>
      <w:r w:rsidRPr="003E0616">
        <w:rPr>
          <w:rStyle w:val="Strong"/>
          <w:bCs w:val="0"/>
        </w:rPr>
        <w:t>Latvijas</w:t>
      </w:r>
      <w:r w:rsidR="0089773F">
        <w:rPr>
          <w:rStyle w:val="Strong"/>
          <w:bCs w:val="0"/>
        </w:rPr>
        <w:t>, Baltkrievijas</w:t>
      </w:r>
      <w:r w:rsidRPr="003E0616">
        <w:rPr>
          <w:rStyle w:val="Strong"/>
          <w:bCs w:val="0"/>
        </w:rPr>
        <w:t xml:space="preserve"> un Krievijas kopīgajā komisijā</w:t>
      </w:r>
      <w:bookmarkEnd w:id="0"/>
      <w:bookmarkEnd w:id="1"/>
      <w:r w:rsidR="0089773F">
        <w:rPr>
          <w:rStyle w:val="Strong"/>
          <w:bCs w:val="0"/>
        </w:rPr>
        <w:t xml:space="preserve"> Latvijas, Baltkrievijas un Krievijas valsts robežu krustpunkta demarkācijai</w:t>
      </w:r>
      <w:r w:rsidRPr="003E0616">
        <w:rPr>
          <w:b/>
        </w:rPr>
        <w:t>”</w:t>
      </w:r>
    </w:p>
    <w:p w:rsidR="008C5649" w:rsidRPr="00744BE0" w:rsidRDefault="00340F2E" w:rsidP="00340F2E">
      <w:pPr>
        <w:pStyle w:val="naislab"/>
        <w:spacing w:before="0" w:after="0"/>
        <w:jc w:val="center"/>
        <w:outlineLvl w:val="0"/>
        <w:rPr>
          <w:b/>
        </w:rPr>
      </w:pPr>
      <w:r w:rsidRPr="003E0616">
        <w:rPr>
          <w:b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24"/>
        <w:gridCol w:w="5031"/>
      </w:tblGrid>
      <w:tr w:rsidR="00852042" w:rsidRPr="00744BE0">
        <w:tc>
          <w:tcPr>
            <w:tcW w:w="9005" w:type="dxa"/>
            <w:gridSpan w:val="3"/>
            <w:vAlign w:val="center"/>
          </w:tcPr>
          <w:p w:rsidR="00852042" w:rsidRPr="00744BE0" w:rsidRDefault="00852042" w:rsidP="006062A4">
            <w:pPr>
              <w:pStyle w:val="naisnod"/>
              <w:spacing w:before="0" w:after="0"/>
            </w:pPr>
            <w:r w:rsidRPr="00744BE0">
              <w:t>I</w:t>
            </w:r>
            <w:r w:rsidR="000941C5" w:rsidRPr="00744BE0">
              <w:t>.</w:t>
            </w:r>
            <w:r w:rsidRPr="00744BE0">
              <w:t xml:space="preserve"> Tiesību akta </w:t>
            </w:r>
            <w:r w:rsidR="002E3FF4" w:rsidRPr="00744BE0">
              <w:t xml:space="preserve">projekta </w:t>
            </w:r>
            <w:r w:rsidRPr="00744BE0">
              <w:t>izstrādes nepieciešamība</w:t>
            </w:r>
          </w:p>
        </w:tc>
      </w:tr>
      <w:tr w:rsidR="00814D5E" w:rsidRPr="00744BE0" w:rsidTr="00340F2E">
        <w:trPr>
          <w:trHeight w:val="630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031" w:type="dxa"/>
          </w:tcPr>
          <w:p w:rsidR="00814D5E" w:rsidRPr="0071364A" w:rsidRDefault="00812F29" w:rsidP="00812F2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9773F">
              <w:t>Latvijas Republikas valdības, Baltkrievijas Republikas valdības un Krievijas Federācijas valdības vienošanās par Latvijas Republikas, Baltkrievijas Republikas un Krievijas Federācijas valsts robežu krustpunkta noteikšanu</w:t>
            </w:r>
            <w:r>
              <w:t xml:space="preserve"> 3. pants.</w:t>
            </w:r>
          </w:p>
        </w:tc>
      </w:tr>
      <w:tr w:rsidR="00814D5E" w:rsidRPr="00744BE0" w:rsidTr="00340F2E">
        <w:trPr>
          <w:trHeight w:val="472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</w:p>
        </w:tc>
        <w:tc>
          <w:tcPr>
            <w:tcW w:w="5031" w:type="dxa"/>
          </w:tcPr>
          <w:p w:rsidR="0089773F" w:rsidRPr="00A04D04" w:rsidRDefault="003A5697" w:rsidP="00A04D04">
            <w:pPr>
              <w:jc w:val="both"/>
              <w:rPr>
                <w:bCs/>
              </w:rPr>
            </w:pPr>
            <w:r>
              <w:t xml:space="preserve">2010. gada 28. janvārī tika noslēgta </w:t>
            </w:r>
            <w:r w:rsidR="0089773F" w:rsidRPr="0089773F">
              <w:t>Latvijas Republikas valdības, Baltkrievijas Republikas valdības un Krievijas Federācijas valdības vienošanās par Latvijas Republikas, Baltkrievijas Republikas un Krievijas Federācijas valsts robežu krustpunkta noteikšanu (turpmāk – Vienošanās).</w:t>
            </w:r>
            <w:r w:rsidR="0089773F">
              <w:t xml:space="preserve"> Tā </w:t>
            </w:r>
            <w:r w:rsidR="0089773F" w:rsidRPr="0089773F">
              <w:t>stājās spēkā 2011.</w:t>
            </w:r>
            <w:r w:rsidR="0089773F">
              <w:t> </w:t>
            </w:r>
            <w:r w:rsidR="0089773F" w:rsidRPr="0089773F">
              <w:t>gada 1.</w:t>
            </w:r>
            <w:r w:rsidR="0089773F">
              <w:t> j</w:t>
            </w:r>
            <w:r w:rsidR="0089773F" w:rsidRPr="0089773F">
              <w:t>anvārī</w:t>
            </w:r>
            <w:r w:rsidR="0089773F">
              <w:t>.</w:t>
            </w:r>
            <w:r w:rsidR="0089773F" w:rsidRPr="0089773F">
              <w:t xml:space="preserve"> Saskaņā ar Vienošanās 3.</w:t>
            </w:r>
            <w:r>
              <w:t> </w:t>
            </w:r>
            <w:r w:rsidR="0089773F" w:rsidRPr="0089773F">
              <w:t>pantu Puses izveido kopīgo komisiju.</w:t>
            </w:r>
            <w:r w:rsidR="00A04D04">
              <w:t xml:space="preserve"> </w:t>
            </w:r>
            <w:r w:rsidR="0089773F" w:rsidRPr="00A04D04">
              <w:rPr>
                <w:bCs/>
              </w:rPr>
              <w:t>Gan Baltkrievijas puse, gan Krievijas puse ir informējušas Latvijas pusi par savu pārstāvju norīkošanu darbam</w:t>
            </w:r>
            <w:r w:rsidR="00812F29" w:rsidRPr="00A04D04">
              <w:rPr>
                <w:bCs/>
              </w:rPr>
              <w:t xml:space="preserve"> </w:t>
            </w:r>
            <w:r w:rsidR="0089773F" w:rsidRPr="00A04D04">
              <w:t>Latvijas, Baltkrievijas un Krievijas kopīgajā komisijā Latvijas, Baltkrievijas un Krievijas valsts robežu krustpunkta demarkācijai.</w:t>
            </w:r>
          </w:p>
        </w:tc>
      </w:tr>
      <w:tr w:rsidR="00340F2E" w:rsidRPr="00744BE0" w:rsidTr="00340F2E">
        <w:trPr>
          <w:trHeight w:val="1071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3.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Saistītie politikas ietekmes novērtējumi un pētījumi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after="0" w:afterAutospacing="0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384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4.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Tiesiskā regulējuma mērķis un būtība</w:t>
            </w:r>
          </w:p>
        </w:tc>
        <w:tc>
          <w:tcPr>
            <w:tcW w:w="5031" w:type="dxa"/>
          </w:tcPr>
          <w:p w:rsidR="00340F2E" w:rsidRPr="003E0616" w:rsidRDefault="00340F2E" w:rsidP="0089773F">
            <w:pPr>
              <w:jc w:val="both"/>
            </w:pPr>
            <w:r w:rsidRPr="003E0616">
              <w:t xml:space="preserve">Rīkojuma projekts paredz </w:t>
            </w:r>
            <w:r w:rsidR="0089773F">
              <w:t>apstiprināt Latvijas puses sastāvu Latvijas, Baltkrievijas un Krievijas kopīgajā komisijā Latvijas, Baltkrievijas un Krievijas valsts robežu krustpunkta demarkācijai.</w:t>
            </w:r>
            <w:r w:rsidRPr="003E0616">
              <w:t xml:space="preserve"> </w:t>
            </w:r>
          </w:p>
        </w:tc>
      </w:tr>
      <w:tr w:rsidR="00340F2E" w:rsidRPr="00744BE0" w:rsidTr="00340F2E">
        <w:trPr>
          <w:trHeight w:val="476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5.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031" w:type="dxa"/>
          </w:tcPr>
          <w:p w:rsidR="00340F2E" w:rsidRPr="003E0616" w:rsidRDefault="00812F29" w:rsidP="0089773F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1340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6.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  <w:i/>
                <w:highlight w:val="yellow"/>
              </w:rPr>
            </w:pPr>
            <w:r w:rsidRPr="00814D5E">
              <w:rPr>
                <w:b w:val="0"/>
              </w:rPr>
              <w:t>Iemesli, kādēļ netika nodrošināta sabiedrības līdzdalība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rPr>
                <w:color w:val="000000"/>
              </w:rPr>
              <w:t>R</w:t>
            </w:r>
            <w:r w:rsidRPr="003E0616">
              <w:t>īkojuma projekts neskar būtiskas sabiedriskās intereses, tādēļ</w:t>
            </w:r>
            <w:r w:rsidRPr="003E0616">
              <w:rPr>
                <w:color w:val="000000"/>
              </w:rPr>
              <w:t xml:space="preserve"> sabiedrības līdzdalība netika nodrošināta.</w:t>
            </w:r>
          </w:p>
        </w:tc>
      </w:tr>
      <w:tr w:rsidR="00340F2E" w:rsidRPr="00744BE0" w:rsidTr="00340F2E"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7.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t>Nav.</w:t>
            </w:r>
          </w:p>
        </w:tc>
      </w:tr>
    </w:tbl>
    <w:p w:rsidR="00550421" w:rsidRDefault="00550421" w:rsidP="006C4607">
      <w:pPr>
        <w:pStyle w:val="naisf"/>
        <w:spacing w:before="0" w:after="0"/>
      </w:pPr>
    </w:p>
    <w:tbl>
      <w:tblPr>
        <w:tblW w:w="9132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234"/>
        <w:gridCol w:w="1282"/>
        <w:gridCol w:w="1282"/>
        <w:gridCol w:w="1283"/>
        <w:gridCol w:w="1309"/>
      </w:tblGrid>
      <w:tr w:rsidR="00124F12" w:rsidRPr="00744BE0" w:rsidTr="00340F2E">
        <w:trPr>
          <w:trHeight w:val="303"/>
          <w:jc w:val="center"/>
        </w:trPr>
        <w:tc>
          <w:tcPr>
            <w:tcW w:w="9132" w:type="dxa"/>
            <w:gridSpan w:val="6"/>
          </w:tcPr>
          <w:p w:rsidR="00124F12" w:rsidRPr="00744BE0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744BE0">
              <w:br w:type="page"/>
              <w:t>III</w:t>
            </w:r>
            <w:r w:rsidR="000941C5" w:rsidRPr="00744BE0">
              <w:t>.</w:t>
            </w:r>
            <w:r w:rsidRPr="00744BE0">
              <w:t xml:space="preserve"> Tiesību akta projekta ietekme uz valsts budžetu un pašvaldību budžetiem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 w:val="restart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BE0">
              <w:rPr>
                <w:b/>
              </w:rPr>
              <w:t>Rādītāji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BE0">
              <w:rPr>
                <w:b/>
              </w:rPr>
              <w:t>201</w:t>
            </w:r>
            <w:r w:rsidR="00340F2E">
              <w:rPr>
                <w:b/>
              </w:rPr>
              <w:t>1</w:t>
            </w:r>
            <w:r w:rsidRPr="00744BE0">
              <w:rPr>
                <w:b/>
              </w:rPr>
              <w:t>.</w:t>
            </w:r>
            <w:r w:rsidR="00124F12" w:rsidRPr="00744BE0">
              <w:rPr>
                <w:b/>
              </w:rPr>
              <w:t>gads</w:t>
            </w:r>
          </w:p>
        </w:tc>
        <w:tc>
          <w:tcPr>
            <w:tcW w:w="3874" w:type="dxa"/>
            <w:gridSpan w:val="3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Turpmākie trīs gadi</w:t>
            </w:r>
            <w:r w:rsidR="009E12D7" w:rsidRPr="00744BE0">
              <w:t xml:space="preserve">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="009E12D7" w:rsidRPr="00744BE0">
                <w:t>. latu</w:t>
              </w:r>
            </w:smartTag>
            <w:r w:rsidR="009E12D7" w:rsidRPr="00744BE0">
              <w:t>)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82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2</w:t>
            </w:r>
          </w:p>
        </w:tc>
        <w:tc>
          <w:tcPr>
            <w:tcW w:w="1283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3</w:t>
            </w:r>
          </w:p>
        </w:tc>
        <w:tc>
          <w:tcPr>
            <w:tcW w:w="1309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4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34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Saskaņā ar valsts budžetu kārtējam gadam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 kārtējā gadā</w:t>
            </w:r>
            <w:r w:rsidR="009E12D7" w:rsidRPr="00744BE0">
              <w:t>,</w:t>
            </w:r>
            <w:r w:rsidRPr="00744BE0">
              <w:t xml:space="preserve"> salīdzinot ar budžetu </w:t>
            </w:r>
            <w:r w:rsidRPr="00744BE0">
              <w:lastRenderedPageBreak/>
              <w:t>kārtējam gadam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lastRenderedPageBreak/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  <w:tc>
          <w:tcPr>
            <w:tcW w:w="1283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  <w:tc>
          <w:tcPr>
            <w:tcW w:w="1309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lastRenderedPageBreak/>
              <w:t>1</w:t>
            </w:r>
          </w:p>
        </w:tc>
        <w:tc>
          <w:tcPr>
            <w:tcW w:w="1234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2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3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4</w:t>
            </w:r>
          </w:p>
        </w:tc>
        <w:tc>
          <w:tcPr>
            <w:tcW w:w="1283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5</w:t>
            </w:r>
          </w:p>
        </w:tc>
        <w:tc>
          <w:tcPr>
            <w:tcW w:w="1309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6</w:t>
            </w:r>
          </w:p>
        </w:tc>
      </w:tr>
      <w:tr w:rsidR="00340F2E" w:rsidRPr="00744BE0" w:rsidTr="00340F2E">
        <w:trPr>
          <w:trHeight w:val="145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 Budžeta ieņēmumi: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340F2E" w:rsidRDefault="00340F2E" w:rsidP="006C4607">
            <w:pPr>
              <w:pStyle w:val="naisf"/>
              <w:spacing w:before="0" w:after="0"/>
              <w:ind w:firstLine="0"/>
            </w:pPr>
            <w:r>
              <w:t>Nav attiecināms</w:t>
            </w:r>
          </w:p>
        </w:tc>
      </w:tr>
      <w:tr w:rsidR="00340F2E" w:rsidRPr="00744BE0" w:rsidTr="00340F2E">
        <w:trPr>
          <w:trHeight w:val="1101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1.1. valsts pamatbudžets, tai skaitā ieņēmumi no maksas p</w:t>
            </w:r>
            <w:r>
              <w:t>akalpo</w:t>
            </w:r>
            <w:r w:rsidRPr="00744BE0">
              <w:t>jumiem un citi pašu ieņēmumi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543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1.2. valsts speciālais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1.3. pašvaldību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 Budžeta izdevumi: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340F2E" w:rsidRDefault="00340F2E" w:rsidP="00340F2E">
            <w:pPr>
              <w:pStyle w:val="naisf"/>
              <w:spacing w:before="0" w:after="0"/>
              <w:ind w:firstLine="0"/>
            </w:pPr>
            <w:r>
              <w:t>Nav attiecināms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2.1. valsts pamatbudžets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558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2.2. valsts speciālais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2.3. pašvaldību budžets 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 Finansiālā ietekme:</w:t>
            </w:r>
          </w:p>
        </w:tc>
        <w:tc>
          <w:tcPr>
            <w:tcW w:w="6390" w:type="dxa"/>
            <w:gridSpan w:val="5"/>
            <w:vMerge w:val="restart"/>
            <w:shd w:val="clear" w:color="auto" w:fill="auto"/>
            <w:vAlign w:val="center"/>
          </w:tcPr>
          <w:p w:rsidR="00340F2E" w:rsidRPr="00340F2E" w:rsidRDefault="00340F2E" w:rsidP="00340F2E">
            <w:pPr>
              <w:pStyle w:val="naisf"/>
              <w:spacing w:before="0" w:after="0"/>
              <w:ind w:firstLine="0"/>
            </w:pPr>
            <w:r>
              <w:t>Nav attiecināms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3.1. valsts pamatbudžets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3.2. speciālais budžets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3.3. pašvaldību budžets 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1699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4. Finanšu līdzekļi papildu izde</w:t>
            </w:r>
            <w:r w:rsidRPr="00744BE0">
              <w:softHyphen/>
              <w:t>vumu finansēšanai (kompensējošu izdevumu samazinājumu norāda ar "+" zīmi)</w:t>
            </w:r>
          </w:p>
        </w:tc>
        <w:tc>
          <w:tcPr>
            <w:tcW w:w="6390" w:type="dxa"/>
            <w:gridSpan w:val="5"/>
          </w:tcPr>
          <w:p w:rsidR="00340F2E" w:rsidRPr="00744BE0" w:rsidRDefault="00340F2E" w:rsidP="00340F2E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Nav attiecināms</w:t>
            </w:r>
          </w:p>
        </w:tc>
      </w:tr>
      <w:tr w:rsidR="00340F2E" w:rsidRPr="00744BE0" w:rsidTr="00340F2E">
        <w:trPr>
          <w:trHeight w:val="558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 Precizēta finansiālā ietekme: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744BE0" w:rsidRDefault="00340F2E" w:rsidP="00340F2E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Nav attiecināms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5.1. valsts pamatbudžets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5.2. speciālais budžets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5.3. pašvaldību budžets 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95334F" w:rsidRPr="00744BE0" w:rsidTr="00340F2E">
        <w:trPr>
          <w:trHeight w:val="1659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>6.</w:t>
            </w:r>
            <w:r w:rsidR="00F5139D" w:rsidRPr="00744BE0">
              <w:t> </w:t>
            </w:r>
            <w:r w:rsidRPr="00744BE0">
              <w:t>Detalizēts ieņēmumu un izdevu</w:t>
            </w:r>
            <w:r w:rsidR="009E12D7" w:rsidRPr="00744BE0">
              <w:softHyphen/>
            </w:r>
            <w:r w:rsidRPr="00744BE0">
              <w:t>mu aprēķins (ja nepieciešams, detalizētu ieņēmumu un izdevumu aprēķinu var pievienot anotācijas pielikumā):</w:t>
            </w:r>
          </w:p>
        </w:tc>
        <w:tc>
          <w:tcPr>
            <w:tcW w:w="6390" w:type="dxa"/>
            <w:gridSpan w:val="5"/>
            <w:vMerge w:val="restart"/>
            <w:vAlign w:val="center"/>
          </w:tcPr>
          <w:p w:rsidR="0095334F" w:rsidRPr="00D66DB1" w:rsidRDefault="00340F2E" w:rsidP="00D66DB1">
            <w:pPr>
              <w:pStyle w:val="naisf"/>
              <w:spacing w:before="0" w:after="0"/>
              <w:ind w:firstLine="0"/>
            </w:pPr>
            <w:r>
              <w:t>Nav attiecināms</w:t>
            </w:r>
          </w:p>
        </w:tc>
      </w:tr>
      <w:tr w:rsidR="0095334F" w:rsidRPr="00744BE0" w:rsidTr="00340F2E">
        <w:trPr>
          <w:trHeight w:val="543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>6.1.</w:t>
            </w:r>
            <w:r w:rsidR="00F5139D" w:rsidRPr="00744BE0">
              <w:t> </w:t>
            </w:r>
            <w:r w:rsidR="00D00059" w:rsidRPr="00744BE0">
              <w:t>d</w:t>
            </w:r>
            <w:r w:rsidRPr="00744BE0">
              <w:t>etalizēts ieņēmumu aprēķins</w:t>
            </w:r>
          </w:p>
        </w:tc>
        <w:tc>
          <w:tcPr>
            <w:tcW w:w="6390" w:type="dxa"/>
            <w:gridSpan w:val="5"/>
            <w:vMerge/>
          </w:tcPr>
          <w:p w:rsidR="0095334F" w:rsidRPr="00744BE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5334F" w:rsidRPr="00744BE0" w:rsidTr="00340F2E">
        <w:trPr>
          <w:trHeight w:val="558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 xml:space="preserve">6.2. </w:t>
            </w:r>
            <w:r w:rsidR="00D00059" w:rsidRPr="00744BE0">
              <w:t>d</w:t>
            </w:r>
            <w:r w:rsidRPr="00744BE0">
              <w:t>etalizēts izdevumu aprēķins</w:t>
            </w:r>
          </w:p>
        </w:tc>
        <w:tc>
          <w:tcPr>
            <w:tcW w:w="6390" w:type="dxa"/>
            <w:gridSpan w:val="5"/>
            <w:vMerge/>
          </w:tcPr>
          <w:p w:rsidR="0095334F" w:rsidRPr="00744BE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F3AC7" w:rsidRPr="00744BE0" w:rsidTr="00812F29">
        <w:trPr>
          <w:trHeight w:val="693"/>
          <w:jc w:val="center"/>
        </w:trPr>
        <w:tc>
          <w:tcPr>
            <w:tcW w:w="2742" w:type="dxa"/>
          </w:tcPr>
          <w:p w:rsidR="00FF3AC7" w:rsidRPr="00744BE0" w:rsidRDefault="00FF3AC7" w:rsidP="009E41D4">
            <w:r w:rsidRPr="00744BE0">
              <w:t>7. Cita informācija</w:t>
            </w:r>
          </w:p>
        </w:tc>
        <w:tc>
          <w:tcPr>
            <w:tcW w:w="6390" w:type="dxa"/>
            <w:gridSpan w:val="5"/>
          </w:tcPr>
          <w:p w:rsidR="00812F29" w:rsidRDefault="003A5697" w:rsidP="00812F29">
            <w:pPr>
              <w:pStyle w:val="naiskr"/>
              <w:spacing w:before="0" w:after="0"/>
              <w:jc w:val="both"/>
            </w:pPr>
            <w:r>
              <w:t>I</w:t>
            </w:r>
            <w:r w:rsidRPr="003A5697">
              <w:t>nstitūcijas, kas atbildīgas par likumā</w:t>
            </w:r>
            <w:r>
              <w:t xml:space="preserve"> „Par </w:t>
            </w:r>
            <w:r w:rsidR="00812F29" w:rsidRPr="0089773F">
              <w:t>Latvijas Republikas valdības, Baltkrievijas Republikas valdības un Krievijas Federācijas valdības vienošan</w:t>
            </w:r>
            <w:r w:rsidR="00812F29">
              <w:t>o</w:t>
            </w:r>
            <w:r w:rsidR="00812F29" w:rsidRPr="0089773F">
              <w:t>s par Latvijas Republikas, Baltkrievijas Republikas un Krievijas Federācijas valsts robežu krustpunkta noteikšanu</w:t>
            </w:r>
            <w:r w:rsidR="00812F29">
              <w:t>”</w:t>
            </w:r>
            <w:r w:rsidRPr="003A5697">
              <w:t xml:space="preserve"> un Vienošanās paredzēto pasākumu īstenošanu, to nodrošinās piešķirto valsts budžeta līdzekļu ietvaros. </w:t>
            </w:r>
          </w:p>
          <w:p w:rsidR="00340F2E" w:rsidRPr="003A5697" w:rsidRDefault="003A5697" w:rsidP="00812F29">
            <w:pPr>
              <w:pStyle w:val="naiskr"/>
              <w:spacing w:before="120" w:after="0"/>
              <w:jc w:val="both"/>
            </w:pPr>
            <w:r w:rsidRPr="003A5697">
              <w:t xml:space="preserve">Līdzekļu taupīšanas nolūkā Ārlietu ministrija plāno iespēju </w:t>
            </w:r>
            <w:r w:rsidRPr="003A5697">
              <w:lastRenderedPageBreak/>
              <w:t>robežās trīspusējās komisijas tikšanās organizēt paralēli ar Latvijas un Krievijas kopīgās demarkācijas komisijas sanāksmēm.</w:t>
            </w:r>
          </w:p>
        </w:tc>
      </w:tr>
    </w:tbl>
    <w:p w:rsidR="003A5697" w:rsidRPr="00744BE0" w:rsidRDefault="003A5697" w:rsidP="003A5697">
      <w:pPr>
        <w:pStyle w:val="naiskr"/>
        <w:tabs>
          <w:tab w:val="left" w:pos="2628"/>
        </w:tabs>
        <w:spacing w:before="0" w:after="0"/>
        <w:ind w:right="71"/>
      </w:pPr>
    </w:p>
    <w:tbl>
      <w:tblPr>
        <w:tblStyle w:val="TableGrid"/>
        <w:tblW w:w="9183" w:type="dxa"/>
        <w:jc w:val="center"/>
        <w:tblInd w:w="-342" w:type="dxa"/>
        <w:tblLook w:val="01E0" w:firstRow="1" w:lastRow="1" w:firstColumn="1" w:lastColumn="1" w:noHBand="0" w:noVBand="0"/>
      </w:tblPr>
      <w:tblGrid>
        <w:gridCol w:w="596"/>
        <w:gridCol w:w="3571"/>
        <w:gridCol w:w="5016"/>
      </w:tblGrid>
      <w:tr w:rsidR="003A5697" w:rsidRPr="00744BE0" w:rsidTr="003A5697">
        <w:trPr>
          <w:jc w:val="center"/>
        </w:trPr>
        <w:tc>
          <w:tcPr>
            <w:tcW w:w="9183" w:type="dxa"/>
            <w:gridSpan w:val="3"/>
          </w:tcPr>
          <w:p w:rsidR="003A5697" w:rsidRPr="00744BE0" w:rsidRDefault="003A5697" w:rsidP="003A5697">
            <w:pPr>
              <w:pStyle w:val="naisnod"/>
              <w:spacing w:before="0" w:after="0"/>
              <w:ind w:right="71"/>
            </w:pPr>
            <w:r w:rsidRPr="00744BE0">
              <w:t>V. Tiesību akta projekta atbilstība Latvijas Republikas starptautiskajām saistībām</w:t>
            </w:r>
          </w:p>
        </w:tc>
      </w:tr>
      <w:tr w:rsidR="003A5697" w:rsidRPr="00744BE0" w:rsidTr="003A5697">
        <w:trPr>
          <w:jc w:val="center"/>
        </w:trPr>
        <w:tc>
          <w:tcPr>
            <w:tcW w:w="596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rPr>
                <w:iCs/>
              </w:rPr>
              <w:t>1.</w:t>
            </w:r>
          </w:p>
        </w:tc>
        <w:tc>
          <w:tcPr>
            <w:tcW w:w="3571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t>Saistības pret Eiropas Savienību</w:t>
            </w:r>
          </w:p>
        </w:tc>
        <w:tc>
          <w:tcPr>
            <w:tcW w:w="5016" w:type="dxa"/>
          </w:tcPr>
          <w:p w:rsidR="003A5697" w:rsidRPr="002C5E96" w:rsidRDefault="003A5697" w:rsidP="003A5697">
            <w:pPr>
              <w:rPr>
                <w:i/>
                <w:sz w:val="22"/>
                <w:szCs w:val="22"/>
              </w:rPr>
            </w:pPr>
            <w:r w:rsidRPr="003A5697">
              <w:rPr>
                <w:sz w:val="22"/>
                <w:szCs w:val="22"/>
              </w:rPr>
              <w:t>Nav</w:t>
            </w:r>
            <w:r w:rsidR="000105FD">
              <w:rPr>
                <w:sz w:val="22"/>
                <w:szCs w:val="22"/>
              </w:rPr>
              <w:t xml:space="preserve"> </w:t>
            </w:r>
          </w:p>
        </w:tc>
      </w:tr>
      <w:tr w:rsidR="003A5697" w:rsidRPr="00744BE0" w:rsidTr="003A5697">
        <w:trPr>
          <w:jc w:val="center"/>
        </w:trPr>
        <w:tc>
          <w:tcPr>
            <w:tcW w:w="596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rPr>
                <w:iCs/>
              </w:rPr>
              <w:t>2.</w:t>
            </w:r>
          </w:p>
        </w:tc>
        <w:tc>
          <w:tcPr>
            <w:tcW w:w="3571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t>Citas starptautiskās saistības</w:t>
            </w:r>
          </w:p>
        </w:tc>
        <w:tc>
          <w:tcPr>
            <w:tcW w:w="5016" w:type="dxa"/>
          </w:tcPr>
          <w:p w:rsidR="003A5697" w:rsidRPr="002C5E96" w:rsidRDefault="003A5697" w:rsidP="00210E4A">
            <w:pPr>
              <w:jc w:val="both"/>
              <w:rPr>
                <w:i/>
                <w:sz w:val="22"/>
                <w:szCs w:val="22"/>
              </w:rPr>
            </w:pPr>
            <w:r w:rsidRPr="0089773F">
              <w:t>Latvijas Republikas valdības, Baltkrievijas Republikas valdības un Krievijas Federācijas valdības vienošanās par Latvijas Republikas, Baltkrievijas Republikas un Krievijas Federācijas valsts robežu krustpunkta noteikšanu</w:t>
            </w:r>
          </w:p>
        </w:tc>
      </w:tr>
      <w:tr w:rsidR="003A5697" w:rsidRPr="00744BE0" w:rsidTr="003A5697">
        <w:trPr>
          <w:jc w:val="center"/>
        </w:trPr>
        <w:tc>
          <w:tcPr>
            <w:tcW w:w="596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rPr>
                <w:iCs/>
              </w:rPr>
              <w:t>3.</w:t>
            </w:r>
          </w:p>
        </w:tc>
        <w:tc>
          <w:tcPr>
            <w:tcW w:w="3571" w:type="dxa"/>
          </w:tcPr>
          <w:p w:rsidR="003A5697" w:rsidRPr="00744BE0" w:rsidRDefault="003A5697" w:rsidP="003A5697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</w:pPr>
            <w:r w:rsidRPr="00744BE0">
              <w:t>Cita informācija</w:t>
            </w:r>
          </w:p>
        </w:tc>
        <w:tc>
          <w:tcPr>
            <w:tcW w:w="5016" w:type="dxa"/>
          </w:tcPr>
          <w:p w:rsidR="003A5697" w:rsidRPr="003A5697" w:rsidRDefault="003A5697" w:rsidP="003A5697">
            <w:pPr>
              <w:rPr>
                <w:sz w:val="22"/>
                <w:szCs w:val="22"/>
              </w:rPr>
            </w:pPr>
            <w:r w:rsidRPr="002C5E96">
              <w:rPr>
                <w:i/>
                <w:sz w:val="22"/>
                <w:szCs w:val="22"/>
              </w:rPr>
              <w:t> </w:t>
            </w:r>
            <w:r w:rsidRPr="003A5697">
              <w:rPr>
                <w:sz w:val="22"/>
                <w:szCs w:val="22"/>
              </w:rPr>
              <w:t>Nav</w:t>
            </w:r>
          </w:p>
        </w:tc>
      </w:tr>
    </w:tbl>
    <w:p w:rsidR="0015060C" w:rsidRPr="00744BE0" w:rsidRDefault="0015060C" w:rsidP="006C4607">
      <w:pPr>
        <w:pStyle w:val="naisf"/>
        <w:spacing w:before="0" w:after="0"/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5211"/>
      </w:tblGrid>
      <w:tr w:rsidR="0023436E" w:rsidRPr="00744BE0">
        <w:trPr>
          <w:trHeight w:val="247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23436E" w:rsidRPr="00744BE0" w:rsidRDefault="0023436E" w:rsidP="007D099D">
            <w:pPr>
              <w:pStyle w:val="naisnod"/>
              <w:spacing w:before="0" w:after="0"/>
              <w:ind w:left="57" w:right="57"/>
            </w:pPr>
            <w:r w:rsidRPr="00C81735">
              <w:t>VII</w:t>
            </w:r>
            <w:r w:rsidR="000941C5" w:rsidRPr="00C81735">
              <w:t>.</w:t>
            </w:r>
            <w:r w:rsidRPr="00C81735">
              <w:t xml:space="preserve"> Tiesību akta projekta izpildes nodrošināšana un tās ietekme uz institūcijām</w:t>
            </w:r>
          </w:p>
        </w:tc>
      </w:tr>
      <w:tr w:rsidR="00340F2E" w:rsidRPr="00744BE0" w:rsidTr="00340F2E">
        <w:trPr>
          <w:trHeight w:val="427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1.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izpildē iesaistītās institūcijas </w:t>
            </w:r>
          </w:p>
        </w:tc>
        <w:tc>
          <w:tcPr>
            <w:tcW w:w="5211" w:type="dxa"/>
          </w:tcPr>
          <w:p w:rsidR="00340F2E" w:rsidRPr="003E0616" w:rsidRDefault="00340F2E" w:rsidP="00812F29">
            <w:pPr>
              <w:pStyle w:val="NormalWeb"/>
              <w:jc w:val="both"/>
            </w:pPr>
            <w:r w:rsidRPr="003E0616">
              <w:t xml:space="preserve">Ārlietu ministrija, </w:t>
            </w:r>
            <w:r w:rsidR="00812F29">
              <w:t>Iekšlietu ministrija (</w:t>
            </w:r>
            <w:r w:rsidRPr="003E0616">
              <w:t>valsts aģentūra „Nodrošinājuma valsts aģentūra”</w:t>
            </w:r>
            <w:r w:rsidR="00812F29">
              <w:t>)</w:t>
            </w:r>
            <w:r w:rsidRPr="003E0616">
              <w:t xml:space="preserve">, </w:t>
            </w:r>
            <w:r w:rsidR="00812F29">
              <w:t>Aizsardzības ministrija (</w:t>
            </w:r>
            <w:r w:rsidRPr="003E0616">
              <w:t>valsts aģentūra „Latvijas Ģeotelpiskās informācijas aģentūra”</w:t>
            </w:r>
            <w:r w:rsidR="00812F29">
              <w:t>)</w:t>
            </w:r>
            <w:r w:rsidRPr="003E0616">
              <w:t>.</w:t>
            </w:r>
          </w:p>
        </w:tc>
      </w:tr>
      <w:tr w:rsidR="00340F2E" w:rsidRPr="00744BE0" w:rsidTr="00340F2E">
        <w:trPr>
          <w:trHeight w:val="463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2.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izpildes ietekme uz pārvaldes funkcijām 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725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3.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Jaunu institūciju izveide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780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4.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likvidācija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703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5.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reorganizācija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attiecināms.</w:t>
            </w:r>
          </w:p>
        </w:tc>
      </w:tr>
      <w:tr w:rsidR="00340F2E" w:rsidRPr="00744BE0" w:rsidTr="00340F2E">
        <w:trPr>
          <w:trHeight w:val="476"/>
        </w:trPr>
        <w:tc>
          <w:tcPr>
            <w:tcW w:w="550" w:type="dxa"/>
          </w:tcPr>
          <w:p w:rsidR="00340F2E" w:rsidRPr="00744BE0" w:rsidRDefault="00340F2E" w:rsidP="007D099D">
            <w:pPr>
              <w:pStyle w:val="naiskr"/>
              <w:spacing w:before="0" w:after="0"/>
              <w:ind w:left="57" w:right="57"/>
            </w:pPr>
            <w:r w:rsidRPr="00744BE0">
              <w:t>6.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kr"/>
              <w:spacing w:before="0" w:after="0"/>
              <w:ind w:left="57" w:right="57"/>
            </w:pPr>
            <w:r w:rsidRPr="00744BE0">
              <w:t>Cita informācija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Nav.</w:t>
            </w:r>
          </w:p>
        </w:tc>
      </w:tr>
    </w:tbl>
    <w:p w:rsidR="00214094" w:rsidRPr="00744BE0" w:rsidRDefault="00214094" w:rsidP="006C4607">
      <w:pPr>
        <w:pStyle w:val="naisf"/>
        <w:tabs>
          <w:tab w:val="left" w:pos="5760"/>
        </w:tabs>
        <w:spacing w:before="0" w:after="0"/>
        <w:ind w:firstLine="720"/>
      </w:pPr>
    </w:p>
    <w:p w:rsidR="000105FD" w:rsidRPr="00744BE0" w:rsidRDefault="00340F2E" w:rsidP="000105FD">
      <w:pPr>
        <w:pStyle w:val="naisf"/>
        <w:spacing w:before="0" w:after="0"/>
      </w:pPr>
      <w:r w:rsidRPr="003E0616">
        <w:t>Anotācijas II, IV un VI sadaļa</w:t>
      </w:r>
      <w:r w:rsidR="000105FD">
        <w:t>,</w:t>
      </w:r>
      <w:r w:rsidRPr="003E0616">
        <w:t xml:space="preserve"> </w:t>
      </w:r>
      <w:r w:rsidR="000105FD">
        <w:t>V sadaļas 1. un 2. tabula – nav attiecināms</w:t>
      </w: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</w:pPr>
    </w:p>
    <w:p w:rsidR="00BD1EDF" w:rsidRDefault="00BD1EDF" w:rsidP="00A30604">
      <w:pPr>
        <w:pStyle w:val="naisf"/>
        <w:tabs>
          <w:tab w:val="left" w:pos="5760"/>
        </w:tabs>
        <w:spacing w:before="0" w:after="0"/>
        <w:ind w:firstLine="0"/>
      </w:pPr>
    </w:p>
    <w:p w:rsidR="00BD1EDF" w:rsidRDefault="00BD1EDF" w:rsidP="00A30604">
      <w:pPr>
        <w:pStyle w:val="naisf"/>
        <w:tabs>
          <w:tab w:val="left" w:pos="5760"/>
        </w:tabs>
        <w:spacing w:before="0" w:after="0"/>
        <w:ind w:firstLine="0"/>
      </w:pPr>
    </w:p>
    <w:p w:rsidR="00A30604" w:rsidRDefault="00A30604" w:rsidP="00A30604">
      <w:pPr>
        <w:pStyle w:val="naisf"/>
        <w:spacing w:before="0" w:after="0"/>
        <w:ind w:firstLine="0"/>
      </w:pPr>
      <w:r w:rsidRPr="003E0616">
        <w:t>Ārlietu ministrs</w:t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proofErr w:type="gramStart"/>
      <w:r w:rsidRPr="003E0616">
        <w:t xml:space="preserve">              </w:t>
      </w:r>
      <w:proofErr w:type="gramEnd"/>
      <w:r w:rsidRPr="003E0616">
        <w:t>Ģ.V. Kristovskis</w:t>
      </w:r>
    </w:p>
    <w:p w:rsidR="00EF2A6B" w:rsidRDefault="00EF2A6B" w:rsidP="00EF2A6B"/>
    <w:p w:rsidR="00EF2A6B" w:rsidRDefault="00EF2A6B" w:rsidP="00EF2A6B"/>
    <w:p w:rsidR="00BD1EDF" w:rsidRDefault="0022171E" w:rsidP="00BD1EDF">
      <w:pPr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08.08.2011.</w:t>
      </w:r>
      <w:bookmarkStart w:id="2" w:name="_GoBack"/>
      <w:bookmarkEnd w:id="2"/>
      <w:r w:rsidR="00BD1EDF">
        <w:rPr>
          <w:rFonts w:eastAsia="Arial Unicode MS" w:cs="Arial Unicode MS"/>
          <w:sz w:val="20"/>
          <w:szCs w:val="20"/>
        </w:rPr>
        <w:t xml:space="preserve"> 15:57</w:t>
      </w:r>
    </w:p>
    <w:p w:rsidR="00BD1EDF" w:rsidRPr="00D26689" w:rsidRDefault="00BD1EDF" w:rsidP="00BD1EDF">
      <w:pPr>
        <w:ind w:right="225"/>
        <w:rPr>
          <w:sz w:val="20"/>
          <w:szCs w:val="20"/>
        </w:rPr>
      </w:pPr>
      <w:r>
        <w:rPr>
          <w:sz w:val="20"/>
          <w:szCs w:val="20"/>
        </w:rPr>
        <w:t>601</w:t>
      </w:r>
    </w:p>
    <w:p w:rsidR="00BD1EDF" w:rsidRDefault="00BD1EDF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>K.Svilāns</w:t>
      </w:r>
    </w:p>
    <w:p w:rsidR="00BD1EDF" w:rsidRPr="007B48F6" w:rsidRDefault="00BD1EDF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>Krievijas nodaļas vecākais referents</w:t>
      </w:r>
    </w:p>
    <w:p w:rsidR="00BD1EDF" w:rsidRDefault="00BD1EDF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Tālr.: </w:t>
      </w:r>
      <w:r w:rsidRPr="007B48F6">
        <w:rPr>
          <w:sz w:val="20"/>
          <w:szCs w:val="20"/>
        </w:rPr>
        <w:t>67016</w:t>
      </w:r>
      <w:r>
        <w:rPr>
          <w:sz w:val="20"/>
          <w:szCs w:val="20"/>
        </w:rPr>
        <w:t>158</w:t>
      </w:r>
      <w:r w:rsidRPr="007B48F6">
        <w:rPr>
          <w:sz w:val="20"/>
          <w:szCs w:val="20"/>
        </w:rPr>
        <w:t xml:space="preserve">, </w:t>
      </w:r>
    </w:p>
    <w:p w:rsidR="00BF40ED" w:rsidRPr="00744BE0" w:rsidRDefault="0022171E" w:rsidP="00BD1EDF">
      <w:pPr>
        <w:jc w:val="both"/>
      </w:pPr>
      <w:hyperlink r:id="rId9" w:history="1">
        <w:r w:rsidR="00BD1EDF" w:rsidRPr="00BE62E9">
          <w:rPr>
            <w:rStyle w:val="Hyperlink"/>
            <w:sz w:val="20"/>
            <w:szCs w:val="20"/>
          </w:rPr>
          <w:t>kaspars.svilans@mfa.gov.lv</w:t>
        </w:r>
      </w:hyperlink>
    </w:p>
    <w:sectPr w:rsidR="00BF40ED" w:rsidRPr="00744BE0" w:rsidSect="00406C3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04" w:rsidRDefault="00A04D04">
      <w:r>
        <w:separator/>
      </w:r>
    </w:p>
  </w:endnote>
  <w:endnote w:type="continuationSeparator" w:id="0">
    <w:p w:rsidR="00A04D04" w:rsidRDefault="00A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4" w:rsidRPr="00A30604" w:rsidRDefault="00A04D04" w:rsidP="000105FD">
    <w:pPr>
      <w:pStyle w:val="Footer"/>
      <w:jc w:val="both"/>
    </w:pPr>
    <w:r>
      <w:rPr>
        <w:sz w:val="20"/>
        <w:szCs w:val="20"/>
      </w:rPr>
      <w:t>AMAnot_050811</w:t>
    </w:r>
    <w:r w:rsidRPr="006E6952">
      <w:rPr>
        <w:sz w:val="20"/>
        <w:szCs w:val="20"/>
      </w:rPr>
      <w:t>_</w:t>
    </w:r>
    <w:r>
      <w:rPr>
        <w:sz w:val="20"/>
        <w:szCs w:val="20"/>
      </w:rPr>
      <w:t>krustpunkts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0105FD">
      <w:rPr>
        <w:rStyle w:val="Strong"/>
        <w:b w:val="0"/>
        <w:bCs w:val="0"/>
        <w:sz w:val="20"/>
        <w:szCs w:val="20"/>
      </w:rPr>
      <w:t>Par pārstāvju norīkošanu darbam Latvijas, Baltkrievijas un Krievijas kopīgajā komisijā Latvijas, Baltkrievijas un Krievijas valsts robežu krustpunkta demarkācijai</w:t>
    </w:r>
    <w:r>
      <w:rPr>
        <w:sz w:val="20"/>
        <w:szCs w:val="20"/>
      </w:rPr>
      <w:t>”</w:t>
    </w:r>
    <w:r w:rsidRPr="006E6952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4" w:rsidRPr="00D55FF0" w:rsidRDefault="00A04D04" w:rsidP="000105FD">
    <w:pPr>
      <w:pStyle w:val="Footer"/>
      <w:jc w:val="both"/>
      <w:rPr>
        <w:szCs w:val="16"/>
      </w:rPr>
    </w:pPr>
    <w:r>
      <w:rPr>
        <w:sz w:val="20"/>
        <w:szCs w:val="20"/>
      </w:rPr>
      <w:t>AMAnot_050811</w:t>
    </w:r>
    <w:r w:rsidRPr="006E6952">
      <w:rPr>
        <w:sz w:val="20"/>
        <w:szCs w:val="20"/>
      </w:rPr>
      <w:t>_</w:t>
    </w:r>
    <w:r>
      <w:rPr>
        <w:sz w:val="20"/>
        <w:szCs w:val="20"/>
      </w:rPr>
      <w:t>krustpunkts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0105FD">
      <w:rPr>
        <w:rStyle w:val="Strong"/>
        <w:b w:val="0"/>
        <w:bCs w:val="0"/>
        <w:sz w:val="20"/>
        <w:szCs w:val="20"/>
      </w:rPr>
      <w:t>Par pārstāvju norīkošanu darbam Latvijas, Baltkrievijas un Krievijas kopīgajā komisijā Latvijas, Baltkrievijas un Krievijas valsts robežu krustpunkta demarkācijai</w:t>
    </w:r>
    <w:r>
      <w:rPr>
        <w:sz w:val="20"/>
        <w:szCs w:val="20"/>
      </w:rPr>
      <w:t>”</w:t>
    </w:r>
    <w:r w:rsidRPr="006E6952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04" w:rsidRDefault="00A04D04">
      <w:r>
        <w:separator/>
      </w:r>
    </w:p>
  </w:footnote>
  <w:footnote w:type="continuationSeparator" w:id="0">
    <w:p w:rsidR="00A04D04" w:rsidRDefault="00A0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4" w:rsidRDefault="00A04D0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D04" w:rsidRDefault="00A04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4" w:rsidRDefault="00A04D0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71E">
      <w:rPr>
        <w:rStyle w:val="PageNumber"/>
        <w:noProof/>
      </w:rPr>
      <w:t>3</w:t>
    </w:r>
    <w:r>
      <w:rPr>
        <w:rStyle w:val="PageNumber"/>
      </w:rPr>
      <w:fldChar w:fldCharType="end"/>
    </w:r>
  </w:p>
  <w:p w:rsidR="00A04D04" w:rsidRDefault="00A04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05FD"/>
    <w:rsid w:val="00011573"/>
    <w:rsid w:val="00011D24"/>
    <w:rsid w:val="00013FF4"/>
    <w:rsid w:val="00020FE1"/>
    <w:rsid w:val="00022E13"/>
    <w:rsid w:val="00032388"/>
    <w:rsid w:val="00035CE2"/>
    <w:rsid w:val="0003622E"/>
    <w:rsid w:val="00052045"/>
    <w:rsid w:val="00052CAD"/>
    <w:rsid w:val="0005553B"/>
    <w:rsid w:val="000604D2"/>
    <w:rsid w:val="000625D0"/>
    <w:rsid w:val="000657AB"/>
    <w:rsid w:val="00066DC0"/>
    <w:rsid w:val="0008459D"/>
    <w:rsid w:val="0009005E"/>
    <w:rsid w:val="000941C5"/>
    <w:rsid w:val="00096A20"/>
    <w:rsid w:val="000972FE"/>
    <w:rsid w:val="000A6451"/>
    <w:rsid w:val="000A65E9"/>
    <w:rsid w:val="000B064E"/>
    <w:rsid w:val="000B69CF"/>
    <w:rsid w:val="000C790C"/>
    <w:rsid w:val="000F061D"/>
    <w:rsid w:val="000F4794"/>
    <w:rsid w:val="0012128E"/>
    <w:rsid w:val="00124F12"/>
    <w:rsid w:val="00130189"/>
    <w:rsid w:val="00134822"/>
    <w:rsid w:val="00144E3A"/>
    <w:rsid w:val="0015060C"/>
    <w:rsid w:val="0016018A"/>
    <w:rsid w:val="00161F0E"/>
    <w:rsid w:val="00170E2A"/>
    <w:rsid w:val="00177394"/>
    <w:rsid w:val="00180456"/>
    <w:rsid w:val="00182C18"/>
    <w:rsid w:val="00183CC2"/>
    <w:rsid w:val="001900E4"/>
    <w:rsid w:val="00190F88"/>
    <w:rsid w:val="001A4066"/>
    <w:rsid w:val="001A6AE4"/>
    <w:rsid w:val="001A6EB7"/>
    <w:rsid w:val="001B01FD"/>
    <w:rsid w:val="001B4A71"/>
    <w:rsid w:val="001C27B2"/>
    <w:rsid w:val="001D5B54"/>
    <w:rsid w:val="001E1DBF"/>
    <w:rsid w:val="001E4639"/>
    <w:rsid w:val="001E4A7D"/>
    <w:rsid w:val="001F43A8"/>
    <w:rsid w:val="001F5CD6"/>
    <w:rsid w:val="00210E4A"/>
    <w:rsid w:val="0021263D"/>
    <w:rsid w:val="002135F6"/>
    <w:rsid w:val="00213F0C"/>
    <w:rsid w:val="00214094"/>
    <w:rsid w:val="0021592D"/>
    <w:rsid w:val="0022171E"/>
    <w:rsid w:val="00222D76"/>
    <w:rsid w:val="00223EB1"/>
    <w:rsid w:val="00231344"/>
    <w:rsid w:val="0023436E"/>
    <w:rsid w:val="002347C0"/>
    <w:rsid w:val="00241A6C"/>
    <w:rsid w:val="00242D2B"/>
    <w:rsid w:val="00262E2B"/>
    <w:rsid w:val="00263793"/>
    <w:rsid w:val="00270429"/>
    <w:rsid w:val="002723E9"/>
    <w:rsid w:val="00277929"/>
    <w:rsid w:val="00283B82"/>
    <w:rsid w:val="002846E9"/>
    <w:rsid w:val="00284C34"/>
    <w:rsid w:val="0028775B"/>
    <w:rsid w:val="0029066C"/>
    <w:rsid w:val="002B50DB"/>
    <w:rsid w:val="002C12AB"/>
    <w:rsid w:val="002C7CAC"/>
    <w:rsid w:val="002D0560"/>
    <w:rsid w:val="002D3306"/>
    <w:rsid w:val="002D48AA"/>
    <w:rsid w:val="002D7BAA"/>
    <w:rsid w:val="002D7F54"/>
    <w:rsid w:val="002E12BC"/>
    <w:rsid w:val="002E1807"/>
    <w:rsid w:val="002E3FF4"/>
    <w:rsid w:val="002F00C5"/>
    <w:rsid w:val="002F78C8"/>
    <w:rsid w:val="00301CF3"/>
    <w:rsid w:val="00314E66"/>
    <w:rsid w:val="00325B7E"/>
    <w:rsid w:val="0032715C"/>
    <w:rsid w:val="00337CA5"/>
    <w:rsid w:val="00340F2E"/>
    <w:rsid w:val="003506A0"/>
    <w:rsid w:val="00362478"/>
    <w:rsid w:val="00375B25"/>
    <w:rsid w:val="00396542"/>
    <w:rsid w:val="0039685B"/>
    <w:rsid w:val="003A1C60"/>
    <w:rsid w:val="003A31A6"/>
    <w:rsid w:val="003A5697"/>
    <w:rsid w:val="003A617C"/>
    <w:rsid w:val="003A7F0C"/>
    <w:rsid w:val="003A7F79"/>
    <w:rsid w:val="003B6404"/>
    <w:rsid w:val="003C449B"/>
    <w:rsid w:val="003D21FF"/>
    <w:rsid w:val="003E00F9"/>
    <w:rsid w:val="003E3AE2"/>
    <w:rsid w:val="003E5743"/>
    <w:rsid w:val="003E793A"/>
    <w:rsid w:val="003F0112"/>
    <w:rsid w:val="003F071A"/>
    <w:rsid w:val="003F160B"/>
    <w:rsid w:val="00400032"/>
    <w:rsid w:val="00400B5B"/>
    <w:rsid w:val="00405A00"/>
    <w:rsid w:val="00406C36"/>
    <w:rsid w:val="00420870"/>
    <w:rsid w:val="0043791B"/>
    <w:rsid w:val="00440315"/>
    <w:rsid w:val="00441483"/>
    <w:rsid w:val="00441BCB"/>
    <w:rsid w:val="00443C3D"/>
    <w:rsid w:val="0045176A"/>
    <w:rsid w:val="00452838"/>
    <w:rsid w:val="0045408E"/>
    <w:rsid w:val="00456332"/>
    <w:rsid w:val="00461826"/>
    <w:rsid w:val="00465B23"/>
    <w:rsid w:val="00472F71"/>
    <w:rsid w:val="004800F9"/>
    <w:rsid w:val="00483A20"/>
    <w:rsid w:val="0049007E"/>
    <w:rsid w:val="0049134A"/>
    <w:rsid w:val="004A58CB"/>
    <w:rsid w:val="004B1795"/>
    <w:rsid w:val="004B56DD"/>
    <w:rsid w:val="004C020F"/>
    <w:rsid w:val="004C1AFD"/>
    <w:rsid w:val="004C558B"/>
    <w:rsid w:val="004E3EFF"/>
    <w:rsid w:val="004F04A4"/>
    <w:rsid w:val="004F1F88"/>
    <w:rsid w:val="004F5F1B"/>
    <w:rsid w:val="0050035C"/>
    <w:rsid w:val="00502374"/>
    <w:rsid w:val="005060A1"/>
    <w:rsid w:val="00516072"/>
    <w:rsid w:val="005332EC"/>
    <w:rsid w:val="00534418"/>
    <w:rsid w:val="005353AB"/>
    <w:rsid w:val="00550421"/>
    <w:rsid w:val="005560BC"/>
    <w:rsid w:val="005573BE"/>
    <w:rsid w:val="00572700"/>
    <w:rsid w:val="00580468"/>
    <w:rsid w:val="0058603B"/>
    <w:rsid w:val="0059431B"/>
    <w:rsid w:val="005A39CC"/>
    <w:rsid w:val="005B4730"/>
    <w:rsid w:val="005E05D7"/>
    <w:rsid w:val="005E41E7"/>
    <w:rsid w:val="005E450F"/>
    <w:rsid w:val="005F3B74"/>
    <w:rsid w:val="00600508"/>
    <w:rsid w:val="006062A4"/>
    <w:rsid w:val="0062298A"/>
    <w:rsid w:val="00626514"/>
    <w:rsid w:val="00626589"/>
    <w:rsid w:val="006339A0"/>
    <w:rsid w:val="006413A8"/>
    <w:rsid w:val="00642E56"/>
    <w:rsid w:val="00651E00"/>
    <w:rsid w:val="00662D17"/>
    <w:rsid w:val="00674572"/>
    <w:rsid w:val="00687763"/>
    <w:rsid w:val="00692B0D"/>
    <w:rsid w:val="00693E0E"/>
    <w:rsid w:val="006A1AE3"/>
    <w:rsid w:val="006A2CB2"/>
    <w:rsid w:val="006A49D1"/>
    <w:rsid w:val="006A522C"/>
    <w:rsid w:val="006C30E1"/>
    <w:rsid w:val="006C4607"/>
    <w:rsid w:val="006D1372"/>
    <w:rsid w:val="006D48F1"/>
    <w:rsid w:val="006E12AB"/>
    <w:rsid w:val="006F45BE"/>
    <w:rsid w:val="007004FC"/>
    <w:rsid w:val="00700A5D"/>
    <w:rsid w:val="00706670"/>
    <w:rsid w:val="0072417C"/>
    <w:rsid w:val="00733E43"/>
    <w:rsid w:val="00734450"/>
    <w:rsid w:val="00737763"/>
    <w:rsid w:val="00737770"/>
    <w:rsid w:val="00744BE0"/>
    <w:rsid w:val="00745F67"/>
    <w:rsid w:val="0075039E"/>
    <w:rsid w:val="00752D9D"/>
    <w:rsid w:val="00754784"/>
    <w:rsid w:val="00756937"/>
    <w:rsid w:val="00757C6E"/>
    <w:rsid w:val="00762BDA"/>
    <w:rsid w:val="00773E24"/>
    <w:rsid w:val="007805FD"/>
    <w:rsid w:val="00784422"/>
    <w:rsid w:val="007A24F5"/>
    <w:rsid w:val="007B3B54"/>
    <w:rsid w:val="007B3FA0"/>
    <w:rsid w:val="007C0F2C"/>
    <w:rsid w:val="007C2BCC"/>
    <w:rsid w:val="007C4EF0"/>
    <w:rsid w:val="007D099D"/>
    <w:rsid w:val="007D6048"/>
    <w:rsid w:val="007E2664"/>
    <w:rsid w:val="007E3ABF"/>
    <w:rsid w:val="007E5BFA"/>
    <w:rsid w:val="007E6689"/>
    <w:rsid w:val="007E731C"/>
    <w:rsid w:val="007F0A03"/>
    <w:rsid w:val="008072CF"/>
    <w:rsid w:val="00810040"/>
    <w:rsid w:val="00812F29"/>
    <w:rsid w:val="00814D5E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10FC"/>
    <w:rsid w:val="008918CB"/>
    <w:rsid w:val="0089738E"/>
    <w:rsid w:val="0089773F"/>
    <w:rsid w:val="008A117E"/>
    <w:rsid w:val="008B5FDB"/>
    <w:rsid w:val="008C50F4"/>
    <w:rsid w:val="008C5649"/>
    <w:rsid w:val="008C604B"/>
    <w:rsid w:val="008D4089"/>
    <w:rsid w:val="008E44A2"/>
    <w:rsid w:val="008E697D"/>
    <w:rsid w:val="00903263"/>
    <w:rsid w:val="00906A21"/>
    <w:rsid w:val="009079C3"/>
    <w:rsid w:val="00910462"/>
    <w:rsid w:val="00915AB1"/>
    <w:rsid w:val="00917532"/>
    <w:rsid w:val="00922104"/>
    <w:rsid w:val="00922E69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A01F0"/>
    <w:rsid w:val="009A35EE"/>
    <w:rsid w:val="009B22D7"/>
    <w:rsid w:val="009B3900"/>
    <w:rsid w:val="009B72ED"/>
    <w:rsid w:val="009C61A2"/>
    <w:rsid w:val="009C6DEB"/>
    <w:rsid w:val="009C718D"/>
    <w:rsid w:val="009D6504"/>
    <w:rsid w:val="009E12D7"/>
    <w:rsid w:val="009E41D4"/>
    <w:rsid w:val="009E661A"/>
    <w:rsid w:val="009F5321"/>
    <w:rsid w:val="00A04D04"/>
    <w:rsid w:val="00A06781"/>
    <w:rsid w:val="00A074C3"/>
    <w:rsid w:val="00A1509C"/>
    <w:rsid w:val="00A30384"/>
    <w:rsid w:val="00A30604"/>
    <w:rsid w:val="00A34260"/>
    <w:rsid w:val="00A552B7"/>
    <w:rsid w:val="00A67C99"/>
    <w:rsid w:val="00A70CFD"/>
    <w:rsid w:val="00A72A0B"/>
    <w:rsid w:val="00A75D5A"/>
    <w:rsid w:val="00A81E42"/>
    <w:rsid w:val="00A864FE"/>
    <w:rsid w:val="00A86F41"/>
    <w:rsid w:val="00A87549"/>
    <w:rsid w:val="00A87D04"/>
    <w:rsid w:val="00A950C5"/>
    <w:rsid w:val="00AA1D25"/>
    <w:rsid w:val="00AA5086"/>
    <w:rsid w:val="00AB0927"/>
    <w:rsid w:val="00AB2B1A"/>
    <w:rsid w:val="00AB344E"/>
    <w:rsid w:val="00AB397F"/>
    <w:rsid w:val="00AB5832"/>
    <w:rsid w:val="00AC51F2"/>
    <w:rsid w:val="00AE5066"/>
    <w:rsid w:val="00AE5E24"/>
    <w:rsid w:val="00AE61B7"/>
    <w:rsid w:val="00AE6CBA"/>
    <w:rsid w:val="00AE79AD"/>
    <w:rsid w:val="00AF35E4"/>
    <w:rsid w:val="00AF5CDE"/>
    <w:rsid w:val="00B07ED9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5B40"/>
    <w:rsid w:val="00B56C32"/>
    <w:rsid w:val="00B57ACF"/>
    <w:rsid w:val="00B64BB1"/>
    <w:rsid w:val="00B70BC4"/>
    <w:rsid w:val="00B73166"/>
    <w:rsid w:val="00B80830"/>
    <w:rsid w:val="00B8426C"/>
    <w:rsid w:val="00B91B8D"/>
    <w:rsid w:val="00B94E90"/>
    <w:rsid w:val="00BB0A82"/>
    <w:rsid w:val="00BB7C94"/>
    <w:rsid w:val="00BC0A9D"/>
    <w:rsid w:val="00BC3022"/>
    <w:rsid w:val="00BD1EDF"/>
    <w:rsid w:val="00BF2C31"/>
    <w:rsid w:val="00BF40ED"/>
    <w:rsid w:val="00BF5BC2"/>
    <w:rsid w:val="00C1133D"/>
    <w:rsid w:val="00C13B8D"/>
    <w:rsid w:val="00C27A08"/>
    <w:rsid w:val="00C31312"/>
    <w:rsid w:val="00C326C6"/>
    <w:rsid w:val="00C35295"/>
    <w:rsid w:val="00C36ADD"/>
    <w:rsid w:val="00C36E74"/>
    <w:rsid w:val="00C40595"/>
    <w:rsid w:val="00C4160C"/>
    <w:rsid w:val="00C41621"/>
    <w:rsid w:val="00C449FA"/>
    <w:rsid w:val="00C5384F"/>
    <w:rsid w:val="00C56964"/>
    <w:rsid w:val="00C656D5"/>
    <w:rsid w:val="00C67103"/>
    <w:rsid w:val="00C71BB9"/>
    <w:rsid w:val="00C81735"/>
    <w:rsid w:val="00C94C28"/>
    <w:rsid w:val="00CB0247"/>
    <w:rsid w:val="00CB3261"/>
    <w:rsid w:val="00CB3440"/>
    <w:rsid w:val="00CC1692"/>
    <w:rsid w:val="00CD138B"/>
    <w:rsid w:val="00CD1C9D"/>
    <w:rsid w:val="00CD3E31"/>
    <w:rsid w:val="00CD74A3"/>
    <w:rsid w:val="00CE0527"/>
    <w:rsid w:val="00CE5B23"/>
    <w:rsid w:val="00CF2A59"/>
    <w:rsid w:val="00CF70AD"/>
    <w:rsid w:val="00CF7729"/>
    <w:rsid w:val="00D00059"/>
    <w:rsid w:val="00D107FA"/>
    <w:rsid w:val="00D12275"/>
    <w:rsid w:val="00D12766"/>
    <w:rsid w:val="00D20FF4"/>
    <w:rsid w:val="00D24D2C"/>
    <w:rsid w:val="00D3418F"/>
    <w:rsid w:val="00D35762"/>
    <w:rsid w:val="00D35881"/>
    <w:rsid w:val="00D55FF0"/>
    <w:rsid w:val="00D6574A"/>
    <w:rsid w:val="00D66DB1"/>
    <w:rsid w:val="00D9196D"/>
    <w:rsid w:val="00DA7DA5"/>
    <w:rsid w:val="00DB073B"/>
    <w:rsid w:val="00DB78F0"/>
    <w:rsid w:val="00DC1606"/>
    <w:rsid w:val="00DC2E43"/>
    <w:rsid w:val="00DD095C"/>
    <w:rsid w:val="00DD1020"/>
    <w:rsid w:val="00DD1330"/>
    <w:rsid w:val="00DD7B97"/>
    <w:rsid w:val="00DE0B83"/>
    <w:rsid w:val="00DE1A81"/>
    <w:rsid w:val="00DE1C13"/>
    <w:rsid w:val="00DE4E10"/>
    <w:rsid w:val="00E02ABF"/>
    <w:rsid w:val="00E05359"/>
    <w:rsid w:val="00E12E9A"/>
    <w:rsid w:val="00E14995"/>
    <w:rsid w:val="00E179CD"/>
    <w:rsid w:val="00E23E8D"/>
    <w:rsid w:val="00E37F98"/>
    <w:rsid w:val="00E46559"/>
    <w:rsid w:val="00E55162"/>
    <w:rsid w:val="00E6670C"/>
    <w:rsid w:val="00E776E8"/>
    <w:rsid w:val="00E92C1F"/>
    <w:rsid w:val="00E95D4B"/>
    <w:rsid w:val="00EA48C6"/>
    <w:rsid w:val="00EA7FFE"/>
    <w:rsid w:val="00EB199F"/>
    <w:rsid w:val="00EC23F7"/>
    <w:rsid w:val="00EC4BD8"/>
    <w:rsid w:val="00EC63EB"/>
    <w:rsid w:val="00ED412F"/>
    <w:rsid w:val="00EF2A6B"/>
    <w:rsid w:val="00EF36B2"/>
    <w:rsid w:val="00F201EC"/>
    <w:rsid w:val="00F208A9"/>
    <w:rsid w:val="00F41D75"/>
    <w:rsid w:val="00F51164"/>
    <w:rsid w:val="00F5139D"/>
    <w:rsid w:val="00F51695"/>
    <w:rsid w:val="00F63DAC"/>
    <w:rsid w:val="00F7454F"/>
    <w:rsid w:val="00F768C4"/>
    <w:rsid w:val="00F77988"/>
    <w:rsid w:val="00F77F48"/>
    <w:rsid w:val="00F869B6"/>
    <w:rsid w:val="00F9637E"/>
    <w:rsid w:val="00FB30F1"/>
    <w:rsid w:val="00FB425C"/>
    <w:rsid w:val="00FB53E7"/>
    <w:rsid w:val="00FE3B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pars.svilan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153F-54BC-4B5D-B011-5900DBF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pārstāvju norīkošanu darbam Latvijas, Baltkrievijas un Krievijas kopīgajā komisijā Latvijas, Baltkrievijas un Krievijas valsts robežu krustpunkta demarkācijai” sākotnējās ietekmes novērtējuma ziņojums (anotācija)</vt:lpstr>
    </vt:vector>
  </TitlesOfParts>
  <Company>Ārlietu ministrija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pārstāvju norīkošanu darbam Latvijas, Baltkrievijas un Krievijas kopīgajā komisijā Latvijas, Baltkrievijas un Krievijas valsts robežu krustpunkta demarkācijai” sākotnējās ietekmes novērtējuma ziņojums (anotācija)</dc:title>
  <dc:subject>anotācija</dc:subject>
  <dc:creator>Sanita Ulmane</dc:creator>
  <dc:description>sanita.ulmane@mfa.gov.lv; 67016291</dc:description>
  <cp:lastModifiedBy>Kaspars Svilans</cp:lastModifiedBy>
  <cp:revision>6</cp:revision>
  <cp:lastPrinted>2011-08-08T13:32:00Z</cp:lastPrinted>
  <dcterms:created xsi:type="dcterms:W3CDTF">2011-08-05T12:41:00Z</dcterms:created>
  <dcterms:modified xsi:type="dcterms:W3CDTF">2011-08-09T07:06:00Z</dcterms:modified>
</cp:coreProperties>
</file>