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B6" w:rsidRPr="00C04143" w:rsidRDefault="00D837B6" w:rsidP="00513BAD">
      <w:pPr>
        <w:jc w:val="center"/>
        <w:outlineLvl w:val="0"/>
        <w:rPr>
          <w:b/>
        </w:rPr>
      </w:pPr>
      <w:r w:rsidRPr="00C04143">
        <w:rPr>
          <w:b/>
          <w:bCs/>
        </w:rPr>
        <w:t> </w:t>
      </w:r>
      <w:r w:rsidR="000D15C4" w:rsidRPr="00C04143">
        <w:rPr>
          <w:b/>
        </w:rPr>
        <w:t>Ministru kabineta</w:t>
      </w:r>
      <w:r w:rsidR="004F3218" w:rsidRPr="00C04143">
        <w:rPr>
          <w:b/>
        </w:rPr>
        <w:t xml:space="preserve"> instrukcijas</w:t>
      </w:r>
      <w:r w:rsidR="000D15C4" w:rsidRPr="00C04143">
        <w:rPr>
          <w:b/>
        </w:rPr>
        <w:t xml:space="preserve"> </w:t>
      </w:r>
      <w:r w:rsidRPr="00C04143">
        <w:rPr>
          <w:b/>
        </w:rPr>
        <w:t>projekta</w:t>
      </w:r>
    </w:p>
    <w:p w:rsidR="00D10360" w:rsidRPr="00C04143" w:rsidRDefault="007D3204" w:rsidP="005473D6">
      <w:pPr>
        <w:jc w:val="center"/>
        <w:rPr>
          <w:b/>
          <w:bCs/>
        </w:rPr>
      </w:pPr>
      <w:r w:rsidRPr="00C04143">
        <w:rPr>
          <w:b/>
        </w:rPr>
        <w:t>„Grozījumi Ministru kabineta 2010.gada 29.jūnija instrukcijā Nr.6 „</w:t>
      </w:r>
      <w:r w:rsidR="009C2C5F" w:rsidRPr="00976263">
        <w:rPr>
          <w:b/>
          <w:bCs/>
        </w:rPr>
        <w:t>Kārtība, kādā sedzami Latvijas pārstāvju ceļa izdevumi līdz Eiropas Savienības Padomes darba grupu sanāksmju un Eiropas Savienības Padomes sanāksmju norises vietai un atpakaļ</w:t>
      </w:r>
      <w:r w:rsidR="009C2C5F">
        <w:rPr>
          <w:b/>
          <w:bCs/>
        </w:rPr>
        <w:t xml:space="preserve"> un viesnīcas (naktsmītnes) izdevumi</w:t>
      </w:r>
      <w:r w:rsidRPr="00C04143">
        <w:rPr>
          <w:b/>
          <w:bCs/>
        </w:rPr>
        <w:t>””</w:t>
      </w:r>
      <w:r w:rsidR="0060017A" w:rsidRPr="00C04143">
        <w:rPr>
          <w:b/>
          <w:bCs/>
        </w:rPr>
        <w:t xml:space="preserve"> </w:t>
      </w:r>
      <w:r w:rsidR="00D10360" w:rsidRPr="00C04143">
        <w:rPr>
          <w:b/>
          <w:bCs/>
        </w:rPr>
        <w:t xml:space="preserve">sākotnējās ietekmes novērtējuma </w:t>
      </w:r>
      <w:smartTag w:uri="schemas-tilde-lv/tildestengine" w:element="veidnes">
        <w:smartTagPr>
          <w:attr w:name="id" w:val="-1"/>
          <w:attr w:name="baseform" w:val="ziņojums"/>
          <w:attr w:name="text" w:val="ziņojums"/>
        </w:smartTagPr>
        <w:r w:rsidR="00D10360" w:rsidRPr="00C04143">
          <w:rPr>
            <w:b/>
            <w:bCs/>
          </w:rPr>
          <w:t>ziņojums</w:t>
        </w:r>
      </w:smartTag>
      <w:r w:rsidR="00D10360" w:rsidRPr="00C04143">
        <w:rPr>
          <w:b/>
          <w:bCs/>
        </w:rPr>
        <w:t xml:space="preserve"> (</w:t>
      </w:r>
      <w:r w:rsidR="00D10360" w:rsidRPr="00C04143">
        <w:rPr>
          <w:b/>
        </w:rPr>
        <w:t>anotācija)</w:t>
      </w:r>
    </w:p>
    <w:p w:rsidR="00D837B6" w:rsidRPr="00C04143" w:rsidRDefault="00D837B6" w:rsidP="00BF7970">
      <w:pPr>
        <w:jc w:val="center"/>
        <w:rPr>
          <w:b/>
        </w:rPr>
      </w:pPr>
    </w:p>
    <w:tbl>
      <w:tblPr>
        <w:tblW w:w="495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5"/>
        <w:gridCol w:w="2284"/>
        <w:gridCol w:w="6446"/>
      </w:tblGrid>
      <w:tr w:rsidR="00CB1645" w:rsidRPr="00C04143" w:rsidTr="002A144B">
        <w:tc>
          <w:tcPr>
            <w:tcW w:w="5000" w:type="pct"/>
            <w:gridSpan w:val="3"/>
            <w:vAlign w:val="center"/>
          </w:tcPr>
          <w:p w:rsidR="00CB1645" w:rsidRPr="00C04143" w:rsidRDefault="00CB1645" w:rsidP="002A51E6">
            <w:pPr>
              <w:spacing w:before="120" w:after="120"/>
              <w:jc w:val="center"/>
              <w:rPr>
                <w:b/>
                <w:bCs/>
                <w:color w:val="000000"/>
              </w:rPr>
            </w:pPr>
            <w:r w:rsidRPr="00C04143">
              <w:rPr>
                <w:b/>
                <w:bCs/>
                <w:color w:val="000000"/>
              </w:rPr>
              <w:t>I. Tiesību akta projekta izstrādes nepieciešamība</w:t>
            </w:r>
          </w:p>
        </w:tc>
      </w:tr>
      <w:tr w:rsidR="00CB1645" w:rsidRPr="00C04143" w:rsidTr="002A144B">
        <w:tc>
          <w:tcPr>
            <w:tcW w:w="153" w:type="pct"/>
          </w:tcPr>
          <w:p w:rsidR="00CB1645" w:rsidRPr="00C04143" w:rsidRDefault="00CB1645" w:rsidP="00BF7970">
            <w:pPr>
              <w:jc w:val="both"/>
              <w:rPr>
                <w:color w:val="000000"/>
              </w:rPr>
            </w:pPr>
            <w:r w:rsidRPr="00C04143">
              <w:rPr>
                <w:color w:val="000000"/>
              </w:rPr>
              <w:t>1.</w:t>
            </w:r>
          </w:p>
        </w:tc>
        <w:tc>
          <w:tcPr>
            <w:tcW w:w="1268" w:type="pct"/>
          </w:tcPr>
          <w:p w:rsidR="00CB1645" w:rsidRPr="00C04143" w:rsidRDefault="00CB1645" w:rsidP="00824E82">
            <w:pPr>
              <w:ind w:left="156" w:right="144"/>
              <w:jc w:val="both"/>
              <w:rPr>
                <w:color w:val="000000"/>
              </w:rPr>
            </w:pPr>
            <w:r w:rsidRPr="00C04143">
              <w:rPr>
                <w:color w:val="000000"/>
              </w:rPr>
              <w:t>Pamatojums</w:t>
            </w:r>
          </w:p>
        </w:tc>
        <w:tc>
          <w:tcPr>
            <w:tcW w:w="3579" w:type="pct"/>
          </w:tcPr>
          <w:p w:rsidR="00730BFD" w:rsidRDefault="00730BFD" w:rsidP="00730BFD">
            <w:pPr>
              <w:ind w:left="156" w:right="144"/>
              <w:jc w:val="both"/>
            </w:pPr>
            <w:r>
              <w:t xml:space="preserve">Ministru prezidenta 2012. gada 5. jūnija rezolūcija Nr.18/SAN-109/6440, uzdevums Nr.2012-UZD-1980; </w:t>
            </w:r>
          </w:p>
          <w:p w:rsidR="002A51E6" w:rsidRPr="00702C6E" w:rsidRDefault="00730BFD" w:rsidP="00730BFD">
            <w:pPr>
              <w:ind w:left="156" w:right="144"/>
              <w:jc w:val="both"/>
            </w:pPr>
            <w:r>
              <w:t>Ministru prezidenta 2012. gada 15. decembra rezolūcija Nr.18/SAN-109/15013.</w:t>
            </w:r>
          </w:p>
        </w:tc>
      </w:tr>
      <w:tr w:rsidR="00F43D47" w:rsidRPr="00C04143" w:rsidTr="002A144B">
        <w:tc>
          <w:tcPr>
            <w:tcW w:w="153" w:type="pct"/>
          </w:tcPr>
          <w:p w:rsidR="00F43D47" w:rsidRPr="00C04143" w:rsidRDefault="00F43D47" w:rsidP="00BF7970">
            <w:pPr>
              <w:jc w:val="both"/>
              <w:rPr>
                <w:color w:val="000000"/>
              </w:rPr>
            </w:pPr>
            <w:r w:rsidRPr="00C04143">
              <w:rPr>
                <w:color w:val="000000"/>
              </w:rPr>
              <w:t>2.</w:t>
            </w:r>
          </w:p>
        </w:tc>
        <w:tc>
          <w:tcPr>
            <w:tcW w:w="1268" w:type="pct"/>
          </w:tcPr>
          <w:p w:rsidR="00F43D47" w:rsidRPr="00C04143" w:rsidRDefault="00F43D47" w:rsidP="00824E82">
            <w:pPr>
              <w:ind w:left="156" w:right="144"/>
              <w:jc w:val="both"/>
              <w:rPr>
                <w:color w:val="000000"/>
              </w:rPr>
            </w:pPr>
            <w:r w:rsidRPr="00C04143">
              <w:rPr>
                <w:color w:val="000000"/>
              </w:rPr>
              <w:t>Pašreizējā situācija un problēmas</w:t>
            </w:r>
          </w:p>
        </w:tc>
        <w:tc>
          <w:tcPr>
            <w:tcW w:w="3579" w:type="pct"/>
          </w:tcPr>
          <w:p w:rsidR="007D3204" w:rsidRPr="00C04143" w:rsidRDefault="005473D6" w:rsidP="00824E82">
            <w:pPr>
              <w:ind w:left="156" w:right="144"/>
              <w:jc w:val="both"/>
            </w:pPr>
            <w:r w:rsidRPr="00C04143">
              <w:rPr>
                <w:iCs/>
              </w:rPr>
              <w:t>Šobrīd s</w:t>
            </w:r>
            <w:r w:rsidR="00F43D47" w:rsidRPr="00C04143">
              <w:rPr>
                <w:iCs/>
              </w:rPr>
              <w:t xml:space="preserve">pēkā esošā Ministru kabineta </w:t>
            </w:r>
            <w:r w:rsidR="007D3204" w:rsidRPr="00C04143">
              <w:rPr>
                <w:iCs/>
              </w:rPr>
              <w:t xml:space="preserve">2010.gada 29.jūnija instrukcija Nr.6 </w:t>
            </w:r>
            <w:r w:rsidR="007B02FD" w:rsidRPr="00C04143">
              <w:rPr>
                <w:iCs/>
              </w:rPr>
              <w:t>„Kārtība, kādā sedzami Latvijas pārstāvju Eiropas Savienības Padomes darba grupu sanāksmēs un Eiropas Savienības Padomes sanāksmēs ceļa un viesnīcas (naktsmītnes) izdevumi”</w:t>
            </w:r>
            <w:r w:rsidR="00706B2A">
              <w:rPr>
                <w:iCs/>
              </w:rPr>
              <w:t>, turpmāk – Instrukcija,</w:t>
            </w:r>
            <w:r w:rsidR="007B02FD" w:rsidRPr="00C04143">
              <w:rPr>
                <w:iCs/>
              </w:rPr>
              <w:t xml:space="preserve"> </w:t>
            </w:r>
            <w:r w:rsidR="007D3204" w:rsidRPr="00C04143">
              <w:rPr>
                <w:iCs/>
              </w:rPr>
              <w:t xml:space="preserve">ir izstrādāta saskaņā ar Eiropas Savienības </w:t>
            </w:r>
            <w:r w:rsidR="004F7A17">
              <w:t>Padomes ģenerālsekretāra 2011</w:t>
            </w:r>
            <w:r w:rsidR="007D3204" w:rsidRPr="00C04143">
              <w:t>.</w:t>
            </w:r>
            <w:r w:rsidR="00706B2A">
              <w:t> </w:t>
            </w:r>
            <w:r w:rsidR="007D3204" w:rsidRPr="00C04143">
              <w:t xml:space="preserve">gada </w:t>
            </w:r>
            <w:r w:rsidR="004F7A17">
              <w:t>4.</w:t>
            </w:r>
            <w:r w:rsidR="00706B2A">
              <w:t> </w:t>
            </w:r>
            <w:r w:rsidR="004F7A17">
              <w:t>marta</w:t>
            </w:r>
            <w:r w:rsidR="007D3204" w:rsidRPr="00C04143">
              <w:t xml:space="preserve"> lēmumu </w:t>
            </w:r>
            <w:proofErr w:type="spellStart"/>
            <w:r w:rsidR="007D3204" w:rsidRPr="00C04143">
              <w:t>Nr</w:t>
            </w:r>
            <w:proofErr w:type="spellEnd"/>
            <w:r w:rsidR="007D3204" w:rsidRPr="00C04143">
              <w:t>.</w:t>
            </w:r>
            <w:r w:rsidR="00706B2A">
              <w:t> </w:t>
            </w:r>
            <w:r w:rsidR="007D3204" w:rsidRPr="00C04143">
              <w:t>3</w:t>
            </w:r>
            <w:r w:rsidR="004F7A17">
              <w:t>2</w:t>
            </w:r>
            <w:r w:rsidR="007D3204" w:rsidRPr="00C04143">
              <w:t>/20</w:t>
            </w:r>
            <w:r w:rsidR="004F7A17">
              <w:t>11</w:t>
            </w:r>
            <w:r w:rsidR="007D3204" w:rsidRPr="00C04143">
              <w:t xml:space="preserve"> </w:t>
            </w:r>
            <w:r w:rsidR="00730BFD">
              <w:t>„</w:t>
            </w:r>
            <w:r w:rsidR="007D3204" w:rsidRPr="00C04143">
              <w:t xml:space="preserve">Par </w:t>
            </w:r>
            <w:r w:rsidR="004F7A17">
              <w:t>dalībvalstu</w:t>
            </w:r>
            <w:r w:rsidR="007D3204" w:rsidRPr="00C04143">
              <w:t xml:space="preserve"> delegātu ceļa izdevumu at</w:t>
            </w:r>
            <w:r w:rsidR="004F7A17">
              <w:t>līdzināšanu</w:t>
            </w:r>
            <w:r w:rsidR="00730BFD">
              <w:t>”</w:t>
            </w:r>
            <w:r w:rsidR="007D3204" w:rsidRPr="00C04143">
              <w:t>.</w:t>
            </w:r>
          </w:p>
          <w:p w:rsidR="003F10A6" w:rsidRPr="00C04143" w:rsidRDefault="003F10A6" w:rsidP="00824E82">
            <w:pPr>
              <w:ind w:left="156" w:right="144"/>
              <w:jc w:val="both"/>
            </w:pPr>
          </w:p>
          <w:p w:rsidR="00807334" w:rsidRPr="00DB38F4" w:rsidRDefault="004F7A17" w:rsidP="00824E82">
            <w:pPr>
              <w:ind w:left="156" w:right="144"/>
              <w:jc w:val="both"/>
            </w:pPr>
            <w:r>
              <w:t xml:space="preserve">Instrukcijas </w:t>
            </w:r>
            <w:r w:rsidR="00915D88">
              <w:t>pašreizējā</w:t>
            </w:r>
            <w:r>
              <w:t xml:space="preserve"> redakcija paredz</w:t>
            </w:r>
            <w:r w:rsidR="008633B9">
              <w:t>, ka</w:t>
            </w:r>
            <w:r>
              <w:t xml:space="preserve"> </w:t>
            </w:r>
            <w:r w:rsidR="008633B9">
              <w:t>c</w:t>
            </w:r>
            <w:r w:rsidR="008633B9" w:rsidRPr="008633B9">
              <w:t xml:space="preserve">eļa un viesnīcas (naktsmītnes) izdevumus </w:t>
            </w:r>
            <w:r w:rsidR="008633B9">
              <w:t xml:space="preserve">sākotnēji tiek </w:t>
            </w:r>
            <w:r w:rsidR="008633B9" w:rsidRPr="008633B9">
              <w:t>se</w:t>
            </w:r>
            <w:r w:rsidR="008633B9">
              <w:t>gti</w:t>
            </w:r>
            <w:r w:rsidR="008633B9" w:rsidRPr="008633B9">
              <w:t xml:space="preserve"> no attiecīgās </w:t>
            </w:r>
            <w:r w:rsidR="008633B9" w:rsidRPr="00DB38F4">
              <w:t>institūcijas budžeta līdzekļiem. Ceļa un viesnīcas (naktsmītnes) izdevumiem iztērētos līdzekļus institūcijas budžetā atmaksā Ārlietu ministrija pēc instrukcijā noteiktās informācijas saņemšanas un pārbaudes.</w:t>
            </w:r>
            <w:r w:rsidR="00BA46EB" w:rsidRPr="00DB38F4">
              <w:t xml:space="preserve"> </w:t>
            </w:r>
            <w:r w:rsidR="00807334" w:rsidRPr="00DB38F4">
              <w:t>Šāda norēķinu kārtība nesniedz patiesu priekšstatu par ministriju veiktajiem izdevumiem pēc to ekonomiskās būtības, kā arī rada problēmas ministrijām no koordinējošās institūcijas saņemtos atmaksātos līdzekļus izmantot saimniecisko gadu mijā.</w:t>
            </w:r>
          </w:p>
          <w:p w:rsidR="00807334" w:rsidRPr="00DB38F4" w:rsidRDefault="00807334" w:rsidP="00824E82">
            <w:pPr>
              <w:ind w:left="156" w:right="144"/>
              <w:jc w:val="both"/>
            </w:pPr>
          </w:p>
          <w:p w:rsidR="008633B9" w:rsidRPr="00C04143" w:rsidRDefault="00915D88" w:rsidP="00F34619">
            <w:pPr>
              <w:ind w:left="156" w:right="144"/>
              <w:jc w:val="both"/>
            </w:pPr>
            <w:r w:rsidRPr="00DB38F4">
              <w:t xml:space="preserve">Ņemot vērā </w:t>
            </w:r>
            <w:r w:rsidR="008633B9" w:rsidRPr="00DB38F4">
              <w:t>Ministru prezidenta 2012.gada</w:t>
            </w:r>
            <w:r w:rsidR="008633B9">
              <w:t xml:space="preserve"> 5.jūnija rezolūcijā Nr.18/SAN-109/6440 doto uzdevumu Nr.2012-UZD-1980, kas sagatavots, pamatojoties uz Finanšu ministrijas 2012.gada 21.maija vēstuli </w:t>
            </w:r>
            <w:proofErr w:type="spellStart"/>
            <w:r w:rsidR="008633B9">
              <w:t>Nr</w:t>
            </w:r>
            <w:proofErr w:type="spellEnd"/>
            <w:r w:rsidR="008633B9">
              <w:t xml:space="preserve">. </w:t>
            </w:r>
            <w:r w:rsidR="008633B9" w:rsidRPr="008633B9">
              <w:t>Nr.12-30/3335</w:t>
            </w:r>
            <w:r w:rsidR="008633B9">
              <w:t xml:space="preserve">, nepieciešams izstrādāt jaunu savstarpējo norēķinu </w:t>
            </w:r>
            <w:r w:rsidR="008649B1">
              <w:t>kārtību</w:t>
            </w:r>
            <w:r w:rsidR="008633B9">
              <w:t xml:space="preserve">, paredzot avansa maksājumu veikšanu </w:t>
            </w:r>
            <w:r w:rsidR="00F34619">
              <w:t>ministrijām</w:t>
            </w:r>
            <w:r w:rsidR="008633B9">
              <w:t xml:space="preserve"> un transfertu pielietošanu kā budžetu plānošanā, tā izpildē.</w:t>
            </w:r>
          </w:p>
        </w:tc>
      </w:tr>
      <w:tr w:rsidR="00F43D47" w:rsidRPr="00C04143" w:rsidTr="002A144B">
        <w:tc>
          <w:tcPr>
            <w:tcW w:w="153" w:type="pct"/>
          </w:tcPr>
          <w:p w:rsidR="00F43D47" w:rsidRPr="00C04143" w:rsidRDefault="00F43D47" w:rsidP="00BF7970">
            <w:pPr>
              <w:jc w:val="both"/>
              <w:rPr>
                <w:color w:val="000000"/>
              </w:rPr>
            </w:pPr>
            <w:r w:rsidRPr="00C04143">
              <w:rPr>
                <w:color w:val="000000"/>
              </w:rPr>
              <w:t>3.</w:t>
            </w:r>
          </w:p>
        </w:tc>
        <w:tc>
          <w:tcPr>
            <w:tcW w:w="1268" w:type="pct"/>
          </w:tcPr>
          <w:p w:rsidR="00F43D47" w:rsidRPr="00C04143" w:rsidRDefault="00F43D47" w:rsidP="00824E82">
            <w:pPr>
              <w:ind w:left="156" w:right="144"/>
              <w:jc w:val="both"/>
              <w:rPr>
                <w:color w:val="000000"/>
              </w:rPr>
            </w:pPr>
            <w:r w:rsidRPr="00C04143">
              <w:rPr>
                <w:color w:val="000000"/>
              </w:rPr>
              <w:t>Saistītie politikas ietekmes novērtējumi un pētījumi</w:t>
            </w:r>
          </w:p>
        </w:tc>
        <w:tc>
          <w:tcPr>
            <w:tcW w:w="3579" w:type="pct"/>
          </w:tcPr>
          <w:p w:rsidR="00F43D47" w:rsidRPr="00C04143" w:rsidRDefault="006C68EA" w:rsidP="00DA6929">
            <w:pPr>
              <w:ind w:left="156" w:right="144"/>
              <w:jc w:val="both"/>
              <w:rPr>
                <w:color w:val="000000"/>
              </w:rPr>
            </w:pPr>
            <w:r w:rsidRPr="00C04143">
              <w:rPr>
                <w:color w:val="000000"/>
              </w:rPr>
              <w:t xml:space="preserve">Nav </w:t>
            </w:r>
            <w:r w:rsidR="00DA6929">
              <w:rPr>
                <w:color w:val="000000"/>
              </w:rPr>
              <w:t>nepieciešami</w:t>
            </w:r>
            <w:r w:rsidRPr="00C04143">
              <w:rPr>
                <w:color w:val="000000"/>
              </w:rPr>
              <w:t>.</w:t>
            </w:r>
          </w:p>
        </w:tc>
      </w:tr>
      <w:tr w:rsidR="00F43D47" w:rsidRPr="00C04143" w:rsidTr="002A144B">
        <w:tc>
          <w:tcPr>
            <w:tcW w:w="153" w:type="pct"/>
          </w:tcPr>
          <w:p w:rsidR="00F43D47" w:rsidRPr="00C04143" w:rsidRDefault="00F43D47" w:rsidP="00BF7970">
            <w:pPr>
              <w:jc w:val="both"/>
              <w:rPr>
                <w:color w:val="000000"/>
              </w:rPr>
            </w:pPr>
            <w:r w:rsidRPr="00C04143">
              <w:rPr>
                <w:color w:val="000000"/>
              </w:rPr>
              <w:t>4.</w:t>
            </w:r>
          </w:p>
        </w:tc>
        <w:tc>
          <w:tcPr>
            <w:tcW w:w="1268" w:type="pct"/>
          </w:tcPr>
          <w:p w:rsidR="00F43D47" w:rsidRPr="00F34619" w:rsidRDefault="00F43D47" w:rsidP="00824E82">
            <w:pPr>
              <w:ind w:left="156" w:right="144"/>
              <w:jc w:val="both"/>
              <w:rPr>
                <w:color w:val="000000"/>
              </w:rPr>
            </w:pPr>
            <w:r w:rsidRPr="00F34619">
              <w:rPr>
                <w:color w:val="000000"/>
              </w:rPr>
              <w:t>Tiesiskā regulējuma mērķis un būtība</w:t>
            </w:r>
          </w:p>
        </w:tc>
        <w:tc>
          <w:tcPr>
            <w:tcW w:w="3579" w:type="pct"/>
          </w:tcPr>
          <w:p w:rsidR="00F731BA" w:rsidRPr="00DB38F4" w:rsidRDefault="00A76322" w:rsidP="00A76322">
            <w:pPr>
              <w:tabs>
                <w:tab w:val="left" w:pos="1507"/>
              </w:tabs>
              <w:ind w:left="156" w:right="144"/>
              <w:jc w:val="both"/>
              <w:rPr>
                <w:iCs/>
              </w:rPr>
            </w:pPr>
            <w:r>
              <w:rPr>
                <w:lang w:eastAsia="en-US"/>
              </w:rPr>
              <w:t xml:space="preserve">Instrukcijas grozījumu projektā tiek mainīta finanšu uzskaites </w:t>
            </w:r>
            <w:r w:rsidR="008F4CDE">
              <w:rPr>
                <w:lang w:eastAsia="en-US"/>
              </w:rPr>
              <w:t xml:space="preserve">un plānošanas </w:t>
            </w:r>
            <w:r>
              <w:rPr>
                <w:lang w:eastAsia="en-US"/>
              </w:rPr>
              <w:t>kārtība</w:t>
            </w:r>
            <w:r w:rsidR="00B528F0" w:rsidRPr="00F34619">
              <w:rPr>
                <w:iCs/>
              </w:rPr>
              <w:t xml:space="preserve">, </w:t>
            </w:r>
            <w:r>
              <w:rPr>
                <w:iCs/>
              </w:rPr>
              <w:t xml:space="preserve">paredzot </w:t>
            </w:r>
            <w:r w:rsidRPr="00F34619">
              <w:rPr>
                <w:iCs/>
              </w:rPr>
              <w:t xml:space="preserve">avansa maksājumu veikšanu </w:t>
            </w:r>
            <w:r>
              <w:rPr>
                <w:iCs/>
              </w:rPr>
              <w:t>ministrijām ceļa un viesnīcas (naktsmītnes) izdevumu segšanai</w:t>
            </w:r>
            <w:r w:rsidRPr="00F34619">
              <w:rPr>
                <w:iCs/>
              </w:rPr>
              <w:t xml:space="preserve"> un transfertu pielietošanu </w:t>
            </w:r>
            <w:r>
              <w:rPr>
                <w:iCs/>
              </w:rPr>
              <w:t>ministriju</w:t>
            </w:r>
            <w:r w:rsidRPr="00F34619">
              <w:rPr>
                <w:iCs/>
              </w:rPr>
              <w:t xml:space="preserve"> budžetu plānošan</w:t>
            </w:r>
            <w:r>
              <w:rPr>
                <w:iCs/>
              </w:rPr>
              <w:t>ā</w:t>
            </w:r>
            <w:r w:rsidRPr="00F34619">
              <w:rPr>
                <w:iCs/>
              </w:rPr>
              <w:t xml:space="preserve"> un izpild</w:t>
            </w:r>
            <w:r>
              <w:rPr>
                <w:iCs/>
              </w:rPr>
              <w:t>ē, tādejādi</w:t>
            </w:r>
            <w:r w:rsidR="00B528F0" w:rsidRPr="00F34619">
              <w:rPr>
                <w:iCs/>
              </w:rPr>
              <w:t xml:space="preserve"> </w:t>
            </w:r>
            <w:r w:rsidRPr="00F34619">
              <w:rPr>
                <w:iCs/>
              </w:rPr>
              <w:t>nodrošin</w:t>
            </w:r>
            <w:r>
              <w:rPr>
                <w:iCs/>
              </w:rPr>
              <w:t>o</w:t>
            </w:r>
            <w:r w:rsidRPr="00F34619">
              <w:rPr>
                <w:iCs/>
              </w:rPr>
              <w:t xml:space="preserve">t </w:t>
            </w:r>
            <w:r w:rsidR="00F34619" w:rsidRPr="00F34619">
              <w:rPr>
                <w:iCs/>
              </w:rPr>
              <w:t xml:space="preserve">Ministru prezidenta 2012.gada </w:t>
            </w:r>
            <w:r w:rsidR="00F34619" w:rsidRPr="00F34619">
              <w:rPr>
                <w:iCs/>
              </w:rPr>
              <w:lastRenderedPageBreak/>
              <w:t xml:space="preserve">5.jūnija rezolūcijā Nr.18/SAN-109/6440 noteiktā uzdevuma </w:t>
            </w:r>
            <w:r w:rsidR="00F34619" w:rsidRPr="00DB38F4">
              <w:rPr>
                <w:iCs/>
              </w:rPr>
              <w:t>izpildi.</w:t>
            </w:r>
          </w:p>
          <w:p w:rsidR="00807334" w:rsidRPr="00807334" w:rsidRDefault="00807334" w:rsidP="00807334">
            <w:pPr>
              <w:tabs>
                <w:tab w:val="left" w:pos="1507"/>
              </w:tabs>
              <w:ind w:left="156" w:right="144"/>
              <w:jc w:val="both"/>
              <w:rPr>
                <w:b/>
                <w:iCs/>
              </w:rPr>
            </w:pPr>
            <w:r w:rsidRPr="00DB38F4">
              <w:t xml:space="preserve">Avansu maksājuma veikšana un </w:t>
            </w:r>
            <w:proofErr w:type="gramStart"/>
            <w:r w:rsidRPr="00DB38F4">
              <w:t>transfertu pielietošana</w:t>
            </w:r>
            <w:proofErr w:type="gramEnd"/>
            <w:r w:rsidRPr="00DB38F4">
              <w:t xml:space="preserve"> nodrošinās korektu izdevumu plūsmu atspoguļošanu ministriju budžeta plānā un pārskatos.</w:t>
            </w:r>
          </w:p>
        </w:tc>
      </w:tr>
      <w:tr w:rsidR="00F43D47" w:rsidRPr="00C04143" w:rsidTr="002A144B">
        <w:tc>
          <w:tcPr>
            <w:tcW w:w="153" w:type="pct"/>
          </w:tcPr>
          <w:p w:rsidR="00F43D47" w:rsidRPr="00C04143" w:rsidRDefault="00F43D47" w:rsidP="00BF7970">
            <w:pPr>
              <w:jc w:val="both"/>
              <w:rPr>
                <w:color w:val="000000"/>
              </w:rPr>
            </w:pPr>
            <w:r w:rsidRPr="00C04143">
              <w:rPr>
                <w:color w:val="000000"/>
              </w:rPr>
              <w:lastRenderedPageBreak/>
              <w:t>5.</w:t>
            </w:r>
          </w:p>
        </w:tc>
        <w:tc>
          <w:tcPr>
            <w:tcW w:w="1268" w:type="pct"/>
          </w:tcPr>
          <w:p w:rsidR="00F43D47" w:rsidRPr="00C04143" w:rsidRDefault="00F43D47" w:rsidP="00824E82">
            <w:pPr>
              <w:ind w:left="156" w:right="144"/>
              <w:jc w:val="both"/>
              <w:rPr>
                <w:color w:val="000000"/>
              </w:rPr>
            </w:pPr>
            <w:r w:rsidRPr="00C04143">
              <w:rPr>
                <w:color w:val="000000"/>
              </w:rPr>
              <w:t>Projekta izstrādē iesaistītās institūcijas</w:t>
            </w:r>
          </w:p>
        </w:tc>
        <w:tc>
          <w:tcPr>
            <w:tcW w:w="3579" w:type="pct"/>
          </w:tcPr>
          <w:p w:rsidR="00F43D47" w:rsidRPr="00C04143" w:rsidRDefault="00F43D47" w:rsidP="00824E82">
            <w:pPr>
              <w:ind w:left="156" w:right="144"/>
              <w:jc w:val="both"/>
              <w:rPr>
                <w:color w:val="000000"/>
              </w:rPr>
            </w:pPr>
            <w:r w:rsidRPr="00C04143">
              <w:rPr>
                <w:color w:val="000000"/>
              </w:rPr>
              <w:t xml:space="preserve">Ārlietu </w:t>
            </w:r>
            <w:r w:rsidRPr="00DB38F4">
              <w:rPr>
                <w:color w:val="000000"/>
              </w:rPr>
              <w:t>ministrija</w:t>
            </w:r>
            <w:r w:rsidR="00807334" w:rsidRPr="00DB38F4">
              <w:rPr>
                <w:color w:val="000000"/>
              </w:rPr>
              <w:t xml:space="preserve"> un Finanšu ministrija</w:t>
            </w:r>
            <w:r w:rsidR="00772328" w:rsidRPr="00DB38F4">
              <w:rPr>
                <w:color w:val="000000"/>
              </w:rPr>
              <w:t>.</w:t>
            </w:r>
          </w:p>
        </w:tc>
      </w:tr>
      <w:tr w:rsidR="00F43D47" w:rsidRPr="00C04143" w:rsidTr="002A144B">
        <w:tc>
          <w:tcPr>
            <w:tcW w:w="153" w:type="pct"/>
          </w:tcPr>
          <w:p w:rsidR="00F43D47" w:rsidRPr="00C04143" w:rsidRDefault="00F43D47" w:rsidP="00BF7970">
            <w:pPr>
              <w:jc w:val="both"/>
              <w:rPr>
                <w:color w:val="000000"/>
              </w:rPr>
            </w:pPr>
            <w:r w:rsidRPr="00C04143">
              <w:rPr>
                <w:color w:val="000000"/>
              </w:rPr>
              <w:t>6.</w:t>
            </w:r>
          </w:p>
        </w:tc>
        <w:tc>
          <w:tcPr>
            <w:tcW w:w="1268" w:type="pct"/>
          </w:tcPr>
          <w:p w:rsidR="00F43D47" w:rsidRPr="00C04143" w:rsidRDefault="00F43D47" w:rsidP="00824E82">
            <w:pPr>
              <w:ind w:left="156" w:right="144"/>
              <w:jc w:val="both"/>
              <w:rPr>
                <w:color w:val="000000"/>
              </w:rPr>
            </w:pPr>
            <w:r w:rsidRPr="00C04143">
              <w:rPr>
                <w:color w:val="000000"/>
              </w:rPr>
              <w:t>Iemesli, kādēļ netika nodrošināta sabiedrības līdzdalība</w:t>
            </w:r>
          </w:p>
        </w:tc>
        <w:tc>
          <w:tcPr>
            <w:tcW w:w="3579" w:type="pct"/>
          </w:tcPr>
          <w:p w:rsidR="00F43D47" w:rsidRPr="00C04143" w:rsidRDefault="008757F8" w:rsidP="008757F8">
            <w:pPr>
              <w:ind w:left="156" w:right="144"/>
              <w:jc w:val="both"/>
              <w:rPr>
                <w:color w:val="000000"/>
              </w:rPr>
            </w:pPr>
            <w:r>
              <w:rPr>
                <w:color w:val="000000"/>
              </w:rPr>
              <w:t>Nav nepieciešams, p</w:t>
            </w:r>
            <w:r w:rsidR="00F43D47" w:rsidRPr="00C04143">
              <w:rPr>
                <w:color w:val="000000"/>
              </w:rPr>
              <w:t xml:space="preserve">rojekts attiecas tikai uz </w:t>
            </w:r>
            <w:r w:rsidR="007B02FD" w:rsidRPr="00C04143">
              <w:rPr>
                <w:color w:val="000000"/>
              </w:rPr>
              <w:t xml:space="preserve">Latvijas valsts </w:t>
            </w:r>
            <w:r w:rsidR="00644AD6" w:rsidRPr="00C04143">
              <w:rPr>
                <w:color w:val="000000"/>
              </w:rPr>
              <w:t>amatpersonu</w:t>
            </w:r>
            <w:r w:rsidR="00513BAD" w:rsidRPr="00C04143">
              <w:rPr>
                <w:color w:val="000000"/>
              </w:rPr>
              <w:t xml:space="preserve"> </w:t>
            </w:r>
            <w:r w:rsidR="00F43D47" w:rsidRPr="00C04143">
              <w:rPr>
                <w:color w:val="000000"/>
              </w:rPr>
              <w:t>ceļa</w:t>
            </w:r>
            <w:r w:rsidR="00E2389A" w:rsidRPr="00C04143">
              <w:rPr>
                <w:color w:val="000000"/>
              </w:rPr>
              <w:t xml:space="preserve"> un viesnīcas</w:t>
            </w:r>
            <w:r w:rsidR="00F43D47" w:rsidRPr="00C04143">
              <w:rPr>
                <w:color w:val="000000"/>
              </w:rPr>
              <w:t xml:space="preserve"> izdevumu kompensēšanu</w:t>
            </w:r>
            <w:r w:rsidR="005F0443" w:rsidRPr="00C04143">
              <w:rPr>
                <w:color w:val="000000"/>
              </w:rPr>
              <w:t>.</w:t>
            </w:r>
          </w:p>
        </w:tc>
      </w:tr>
      <w:tr w:rsidR="00F43D47" w:rsidRPr="00C04143" w:rsidTr="002A144B">
        <w:tc>
          <w:tcPr>
            <w:tcW w:w="153" w:type="pct"/>
          </w:tcPr>
          <w:p w:rsidR="00F43D47" w:rsidRPr="00C04143" w:rsidRDefault="00F43D47" w:rsidP="00BF7970">
            <w:pPr>
              <w:jc w:val="both"/>
              <w:rPr>
                <w:color w:val="000000"/>
              </w:rPr>
            </w:pPr>
            <w:r w:rsidRPr="00C04143">
              <w:rPr>
                <w:color w:val="000000"/>
              </w:rPr>
              <w:t>7.</w:t>
            </w:r>
          </w:p>
        </w:tc>
        <w:tc>
          <w:tcPr>
            <w:tcW w:w="1268" w:type="pct"/>
          </w:tcPr>
          <w:p w:rsidR="00F43D47" w:rsidRPr="00C04143" w:rsidRDefault="00F43D47" w:rsidP="00824E82">
            <w:pPr>
              <w:ind w:left="156" w:right="144"/>
              <w:jc w:val="both"/>
              <w:rPr>
                <w:color w:val="000000"/>
              </w:rPr>
            </w:pPr>
            <w:r w:rsidRPr="00C04143">
              <w:rPr>
                <w:color w:val="000000"/>
              </w:rPr>
              <w:t>Cita informācija</w:t>
            </w:r>
          </w:p>
        </w:tc>
        <w:tc>
          <w:tcPr>
            <w:tcW w:w="3579" w:type="pct"/>
          </w:tcPr>
          <w:p w:rsidR="00F43D47" w:rsidRPr="00C04143" w:rsidRDefault="00F43D47" w:rsidP="00824E82">
            <w:pPr>
              <w:ind w:left="156" w:right="144"/>
              <w:jc w:val="both"/>
              <w:rPr>
                <w:color w:val="000000"/>
              </w:rPr>
            </w:pPr>
            <w:r w:rsidRPr="00C04143">
              <w:rPr>
                <w:color w:val="000000"/>
              </w:rPr>
              <w:t>Nav</w:t>
            </w:r>
          </w:p>
        </w:tc>
      </w:tr>
    </w:tbl>
    <w:p w:rsidR="00CB1645" w:rsidRPr="00C04143" w:rsidRDefault="00CB1645" w:rsidP="00BF7970">
      <w:pPr>
        <w:jc w:val="both"/>
        <w:rPr>
          <w:color w:val="000000"/>
        </w:rPr>
      </w:pPr>
      <w:r w:rsidRPr="00C04143">
        <w:rPr>
          <w:color w:val="000000"/>
        </w:rPr>
        <w:t> </w:t>
      </w:r>
    </w:p>
    <w:tbl>
      <w:tblPr>
        <w:tblW w:w="495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67"/>
        <w:gridCol w:w="3240"/>
        <w:gridCol w:w="5402"/>
      </w:tblGrid>
      <w:tr w:rsidR="00CB1645" w:rsidRPr="00C04143" w:rsidTr="002A144B">
        <w:tc>
          <w:tcPr>
            <w:tcW w:w="5000" w:type="pct"/>
            <w:gridSpan w:val="3"/>
            <w:tcBorders>
              <w:top w:val="single" w:sz="6" w:space="0" w:color="auto"/>
              <w:left w:val="single" w:sz="6" w:space="0" w:color="auto"/>
              <w:bottom w:val="outset" w:sz="6" w:space="0" w:color="000000"/>
              <w:right w:val="single" w:sz="6" w:space="0" w:color="auto"/>
            </w:tcBorders>
            <w:vAlign w:val="center"/>
          </w:tcPr>
          <w:p w:rsidR="00CB1645" w:rsidRPr="00C04143" w:rsidRDefault="00CB1645" w:rsidP="00BF7970">
            <w:pPr>
              <w:jc w:val="center"/>
              <w:rPr>
                <w:b/>
                <w:bCs/>
                <w:color w:val="000000"/>
              </w:rPr>
            </w:pPr>
            <w:r w:rsidRPr="00C04143">
              <w:rPr>
                <w:b/>
                <w:bCs/>
                <w:color w:val="000000"/>
              </w:rPr>
              <w:t>II. Tiesību akta projekta ietekme uz sabiedrību</w:t>
            </w:r>
          </w:p>
        </w:tc>
      </w:tr>
      <w:tr w:rsidR="00CB1645" w:rsidRPr="00C04143" w:rsidTr="00DF23F3">
        <w:tc>
          <w:tcPr>
            <w:tcW w:w="204"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1.</w:t>
            </w:r>
          </w:p>
        </w:tc>
        <w:tc>
          <w:tcPr>
            <w:tcW w:w="1798"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 xml:space="preserve">Sabiedrības </w:t>
            </w:r>
            <w:proofErr w:type="spellStart"/>
            <w:r w:rsidRPr="00C04143">
              <w:rPr>
                <w:color w:val="000000"/>
              </w:rPr>
              <w:t>mērķgrupa</w:t>
            </w:r>
            <w:proofErr w:type="spellEnd"/>
          </w:p>
        </w:tc>
        <w:tc>
          <w:tcPr>
            <w:tcW w:w="2998" w:type="pct"/>
            <w:tcBorders>
              <w:top w:val="outset" w:sz="6" w:space="0" w:color="000000"/>
              <w:left w:val="outset" w:sz="6" w:space="0" w:color="000000"/>
              <w:bottom w:val="outset" w:sz="6" w:space="0" w:color="000000"/>
              <w:right w:val="outset" w:sz="6" w:space="0" w:color="000000"/>
            </w:tcBorders>
          </w:tcPr>
          <w:p w:rsidR="00CB1645" w:rsidRPr="00C04143" w:rsidRDefault="003D61D7" w:rsidP="003B6FF6">
            <w:pPr>
              <w:jc w:val="both"/>
              <w:rPr>
                <w:color w:val="000000"/>
              </w:rPr>
            </w:pPr>
            <w:r w:rsidRPr="00C04143">
              <w:rPr>
                <w:color w:val="000000"/>
              </w:rPr>
              <w:t>Tiešās valsts pārvaldes iestāžu</w:t>
            </w:r>
            <w:r w:rsidRPr="00C04143">
              <w:rPr>
                <w:iCs/>
              </w:rPr>
              <w:t xml:space="preserve"> amatpersonas.</w:t>
            </w:r>
          </w:p>
        </w:tc>
      </w:tr>
      <w:tr w:rsidR="00CB1645" w:rsidRPr="00C04143" w:rsidTr="00DF23F3">
        <w:tc>
          <w:tcPr>
            <w:tcW w:w="204"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2.</w:t>
            </w:r>
          </w:p>
        </w:tc>
        <w:tc>
          <w:tcPr>
            <w:tcW w:w="1798"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 xml:space="preserve">Citas sabiedrības grupas (bez </w:t>
            </w:r>
            <w:proofErr w:type="spellStart"/>
            <w:r w:rsidRPr="00C04143">
              <w:rPr>
                <w:color w:val="000000"/>
              </w:rPr>
              <w:t>mērķgrupas</w:t>
            </w:r>
            <w:proofErr w:type="spellEnd"/>
            <w:r w:rsidRPr="00C04143">
              <w:rPr>
                <w:color w:val="000000"/>
              </w:rPr>
              <w:t>), kuras tiesiskais regulējums arī ietekmē vai varētu ietekmēt</w:t>
            </w:r>
          </w:p>
        </w:tc>
        <w:tc>
          <w:tcPr>
            <w:tcW w:w="2998" w:type="pct"/>
            <w:tcBorders>
              <w:top w:val="outset" w:sz="6" w:space="0" w:color="000000"/>
              <w:left w:val="outset" w:sz="6" w:space="0" w:color="000000"/>
              <w:bottom w:val="outset" w:sz="6" w:space="0" w:color="000000"/>
              <w:right w:val="outset" w:sz="6" w:space="0" w:color="000000"/>
            </w:tcBorders>
          </w:tcPr>
          <w:p w:rsidR="00CB1645" w:rsidRPr="00C04143" w:rsidRDefault="003D61D7" w:rsidP="000E565C">
            <w:pPr>
              <w:jc w:val="both"/>
              <w:rPr>
                <w:color w:val="000000"/>
              </w:rPr>
            </w:pPr>
            <w:r w:rsidRPr="00C04143">
              <w:rPr>
                <w:color w:val="000000"/>
              </w:rPr>
              <w:t>Nav.</w:t>
            </w:r>
          </w:p>
        </w:tc>
      </w:tr>
      <w:tr w:rsidR="00CB1645" w:rsidRPr="00C04143" w:rsidTr="00DF23F3">
        <w:tc>
          <w:tcPr>
            <w:tcW w:w="204"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3.</w:t>
            </w:r>
          </w:p>
        </w:tc>
        <w:tc>
          <w:tcPr>
            <w:tcW w:w="1798"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Tiesiskā regulējuma finansiālā ietekme</w:t>
            </w:r>
          </w:p>
        </w:tc>
        <w:tc>
          <w:tcPr>
            <w:tcW w:w="2998" w:type="pct"/>
            <w:tcBorders>
              <w:top w:val="outset" w:sz="6" w:space="0" w:color="000000"/>
              <w:left w:val="outset" w:sz="6" w:space="0" w:color="000000"/>
              <w:bottom w:val="outset" w:sz="6" w:space="0" w:color="000000"/>
              <w:right w:val="outset" w:sz="6" w:space="0" w:color="000000"/>
            </w:tcBorders>
          </w:tcPr>
          <w:p w:rsidR="00CB1645" w:rsidRPr="00C04143" w:rsidRDefault="00702C6E" w:rsidP="00605B1D">
            <w:pPr>
              <w:jc w:val="both"/>
              <w:rPr>
                <w:color w:val="000000"/>
              </w:rPr>
            </w:pPr>
            <w:r>
              <w:rPr>
                <w:color w:val="000000"/>
              </w:rPr>
              <w:t xml:space="preserve">Tiek </w:t>
            </w:r>
            <w:r w:rsidR="00605B1D">
              <w:rPr>
                <w:color w:val="000000"/>
              </w:rPr>
              <w:t xml:space="preserve">precizēta valsts pārvaldes iestāžu </w:t>
            </w:r>
            <w:r w:rsidR="00605B1D" w:rsidRPr="00605B1D">
              <w:rPr>
                <w:color w:val="000000"/>
              </w:rPr>
              <w:t>savstarpējo norēķinu kārtīb</w:t>
            </w:r>
            <w:r w:rsidR="00605B1D">
              <w:rPr>
                <w:color w:val="000000"/>
              </w:rPr>
              <w:t>a</w:t>
            </w:r>
            <w:r w:rsidRPr="00C04143">
              <w:rPr>
                <w:color w:val="000000"/>
              </w:rPr>
              <w:t>.</w:t>
            </w:r>
          </w:p>
        </w:tc>
      </w:tr>
      <w:tr w:rsidR="00CB1645" w:rsidRPr="00C04143" w:rsidTr="00DF23F3">
        <w:tc>
          <w:tcPr>
            <w:tcW w:w="204"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4.</w:t>
            </w:r>
          </w:p>
        </w:tc>
        <w:tc>
          <w:tcPr>
            <w:tcW w:w="1798"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Tiesiskā regulējuma nefinansiālā ietekme</w:t>
            </w:r>
          </w:p>
        </w:tc>
        <w:tc>
          <w:tcPr>
            <w:tcW w:w="2998" w:type="pct"/>
            <w:tcBorders>
              <w:top w:val="outset" w:sz="6" w:space="0" w:color="000000"/>
              <w:left w:val="outset" w:sz="6" w:space="0" w:color="000000"/>
              <w:bottom w:val="outset" w:sz="6" w:space="0" w:color="000000"/>
              <w:right w:val="outset" w:sz="6" w:space="0" w:color="000000"/>
            </w:tcBorders>
          </w:tcPr>
          <w:p w:rsidR="00CB1645" w:rsidRPr="00C04143" w:rsidRDefault="00702C6E" w:rsidP="00807334">
            <w:pPr>
              <w:jc w:val="both"/>
              <w:rPr>
                <w:color w:val="000000"/>
              </w:rPr>
            </w:pPr>
            <w:r w:rsidRPr="00C04143">
              <w:rPr>
                <w:color w:val="000000"/>
              </w:rPr>
              <w:t xml:space="preserve">Tiek nodrošināta </w:t>
            </w:r>
            <w:r w:rsidR="00807334" w:rsidRPr="00DB38F4">
              <w:rPr>
                <w:color w:val="000000"/>
              </w:rPr>
              <w:t>korekta izdevumu plūsmu atspoguļošana ministriju budžeta plānā un pārskatos</w:t>
            </w:r>
            <w:r w:rsidRPr="00DB38F4">
              <w:rPr>
                <w:color w:val="000000"/>
              </w:rPr>
              <w:t>.</w:t>
            </w:r>
          </w:p>
        </w:tc>
      </w:tr>
      <w:tr w:rsidR="00CB1645" w:rsidRPr="00C04143" w:rsidTr="00AC41AD">
        <w:tc>
          <w:tcPr>
            <w:tcW w:w="204"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5.</w:t>
            </w:r>
          </w:p>
        </w:tc>
        <w:tc>
          <w:tcPr>
            <w:tcW w:w="1798"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Administratīvās procedūras raksturojums</w:t>
            </w:r>
          </w:p>
        </w:tc>
        <w:tc>
          <w:tcPr>
            <w:tcW w:w="2998" w:type="pct"/>
            <w:tcBorders>
              <w:top w:val="outset" w:sz="6" w:space="0" w:color="000000"/>
              <w:left w:val="outset" w:sz="6" w:space="0" w:color="000000"/>
              <w:bottom w:val="outset" w:sz="6" w:space="0" w:color="000000"/>
              <w:right w:val="outset" w:sz="6" w:space="0" w:color="000000"/>
            </w:tcBorders>
            <w:shd w:val="clear" w:color="auto" w:fill="auto"/>
          </w:tcPr>
          <w:p w:rsidR="00021B2D" w:rsidRDefault="0074765E" w:rsidP="008F4CDE">
            <w:pPr>
              <w:jc w:val="both"/>
            </w:pPr>
            <w:r w:rsidRPr="00AC41AD">
              <w:t xml:space="preserve">Projekts pēc būtības </w:t>
            </w:r>
            <w:r w:rsidR="00AC41AD" w:rsidRPr="00AC41AD">
              <w:t>maina līdz šim spēkā esošo administratīvo procedūru, kādā sedzami Latvijas pārstāvju ceļa izdevumi līdz ES Padomes darba grupu sanāksmju un ES Padomes sanāksmju norises vietai un atpakaļ un viesnīcas (naktsmītnes) izdevumi, un, ministrijām paredzot avansa maksājuma veikšanu un transferta pielietošanu kā budžeta plānošanā, tā izpildē</w:t>
            </w:r>
            <w:r w:rsidR="008F4CDE">
              <w:t xml:space="preserve"> un savstarpējo norēķinu salīdzināšanā,</w:t>
            </w:r>
            <w:r w:rsidR="00AC41AD" w:rsidRPr="00AC41AD">
              <w:t xml:space="preserve"> palielina finanšu uzskaitē </w:t>
            </w:r>
            <w:r w:rsidR="00F731BA">
              <w:t xml:space="preserve">reģistrējamo un </w:t>
            </w:r>
            <w:r w:rsidR="00AC41AD" w:rsidRPr="00AC41AD">
              <w:t xml:space="preserve">veicamo </w:t>
            </w:r>
            <w:r w:rsidR="00F731BA">
              <w:t xml:space="preserve">darbību un </w:t>
            </w:r>
            <w:r w:rsidR="00AC41AD" w:rsidRPr="00AC41AD">
              <w:t>darījumu skaitu</w:t>
            </w:r>
            <w:r w:rsidRPr="00AC41AD">
              <w:t>.</w:t>
            </w:r>
          </w:p>
          <w:p w:rsidR="007A0061" w:rsidRPr="007A0061" w:rsidRDefault="007A0061" w:rsidP="007A0061">
            <w:pPr>
              <w:jc w:val="both"/>
              <w:rPr>
                <w:b/>
              </w:rPr>
            </w:pPr>
            <w:r w:rsidRPr="007A0061">
              <w:rPr>
                <w:b/>
              </w:rPr>
              <w:t xml:space="preserve">Ārlietu ministrija kā koordinējošā institūcija informē ministrijas par izmaiņām ES Padomes Ģenerālsekretāra lēmumos. </w:t>
            </w:r>
          </w:p>
        </w:tc>
      </w:tr>
      <w:tr w:rsidR="00CB1645" w:rsidRPr="00C04143" w:rsidTr="00DF23F3">
        <w:tc>
          <w:tcPr>
            <w:tcW w:w="204"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6.</w:t>
            </w:r>
          </w:p>
        </w:tc>
        <w:tc>
          <w:tcPr>
            <w:tcW w:w="1798"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Administratīvo izmaksu monetārs novērtējums</w:t>
            </w:r>
          </w:p>
        </w:tc>
        <w:tc>
          <w:tcPr>
            <w:tcW w:w="2998" w:type="pct"/>
            <w:tcBorders>
              <w:top w:val="outset" w:sz="6" w:space="0" w:color="000000"/>
              <w:left w:val="outset" w:sz="6" w:space="0" w:color="000000"/>
              <w:bottom w:val="outset" w:sz="6" w:space="0" w:color="000000"/>
              <w:right w:val="outset" w:sz="6" w:space="0" w:color="000000"/>
            </w:tcBorders>
          </w:tcPr>
          <w:p w:rsidR="00CB1645" w:rsidRPr="00C04143" w:rsidRDefault="009009B9" w:rsidP="006C68EA">
            <w:pPr>
              <w:jc w:val="both"/>
              <w:rPr>
                <w:color w:val="000000"/>
              </w:rPr>
            </w:pPr>
            <w:r w:rsidRPr="00C04143">
              <w:rPr>
                <w:color w:val="000000"/>
              </w:rPr>
              <w:t>Nav</w:t>
            </w:r>
            <w:r w:rsidR="001F5A63" w:rsidRPr="00C04143">
              <w:rPr>
                <w:color w:val="000000"/>
              </w:rPr>
              <w:t xml:space="preserve"> attiecināms</w:t>
            </w:r>
          </w:p>
        </w:tc>
      </w:tr>
      <w:tr w:rsidR="00CB1645" w:rsidRPr="00C04143" w:rsidTr="00DF23F3">
        <w:tc>
          <w:tcPr>
            <w:tcW w:w="204"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7.</w:t>
            </w:r>
          </w:p>
        </w:tc>
        <w:tc>
          <w:tcPr>
            <w:tcW w:w="1798" w:type="pct"/>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Cita informācija</w:t>
            </w:r>
          </w:p>
        </w:tc>
        <w:tc>
          <w:tcPr>
            <w:tcW w:w="2998" w:type="pct"/>
            <w:tcBorders>
              <w:top w:val="outset" w:sz="6" w:space="0" w:color="000000"/>
              <w:left w:val="outset" w:sz="6" w:space="0" w:color="000000"/>
              <w:bottom w:val="outset" w:sz="6" w:space="0" w:color="000000"/>
              <w:right w:val="outset" w:sz="6" w:space="0" w:color="000000"/>
            </w:tcBorders>
          </w:tcPr>
          <w:p w:rsidR="00CB1645" w:rsidRPr="00C04143" w:rsidRDefault="00FB75F4" w:rsidP="006C68EA">
            <w:pPr>
              <w:jc w:val="both"/>
              <w:rPr>
                <w:color w:val="000000"/>
              </w:rPr>
            </w:pPr>
            <w:r w:rsidRPr="00C04143">
              <w:rPr>
                <w:color w:val="000000"/>
              </w:rPr>
              <w:t>Nav</w:t>
            </w:r>
          </w:p>
        </w:tc>
      </w:tr>
    </w:tbl>
    <w:p w:rsidR="00CB1645" w:rsidRDefault="00CB1645" w:rsidP="00BF7970">
      <w:pPr>
        <w:jc w:val="both"/>
        <w:rPr>
          <w:color w:val="000000"/>
        </w:rPr>
      </w:pPr>
      <w:r w:rsidRPr="00C04143">
        <w:rPr>
          <w:color w:val="00000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196"/>
        <w:gridCol w:w="1306"/>
        <w:gridCol w:w="1306"/>
        <w:gridCol w:w="1306"/>
        <w:gridCol w:w="1302"/>
      </w:tblGrid>
      <w:tr w:rsidR="00AC41AD" w:rsidRPr="00AC41AD" w:rsidTr="00AC41AD">
        <w:trPr>
          <w:trHeight w:val="225"/>
          <w:jc w:val="center"/>
        </w:trPr>
        <w:tc>
          <w:tcPr>
            <w:tcW w:w="5000" w:type="pct"/>
            <w:gridSpan w:val="6"/>
          </w:tcPr>
          <w:p w:rsidR="00AC41AD" w:rsidRPr="00AC41AD" w:rsidRDefault="00AC41AD" w:rsidP="00AC41AD">
            <w:pPr>
              <w:jc w:val="center"/>
              <w:rPr>
                <w:b/>
                <w:bCs/>
                <w:i/>
              </w:rPr>
            </w:pPr>
            <w:r w:rsidRPr="00AC41AD">
              <w:rPr>
                <w:b/>
                <w:bCs/>
              </w:rPr>
              <w:br w:type="page"/>
              <w:t>III. Tiesību akta projekta ietekme uz valsts budžetu un pašvaldību budžetiem</w:t>
            </w:r>
          </w:p>
        </w:tc>
      </w:tr>
      <w:tr w:rsidR="00AC41AD" w:rsidRPr="00AC41AD" w:rsidTr="00CF3DE3">
        <w:trPr>
          <w:jc w:val="center"/>
        </w:trPr>
        <w:tc>
          <w:tcPr>
            <w:tcW w:w="1546" w:type="pct"/>
            <w:vMerge w:val="restart"/>
            <w:vAlign w:val="center"/>
          </w:tcPr>
          <w:p w:rsidR="00AC41AD" w:rsidRPr="00AC41AD" w:rsidRDefault="00AC41AD" w:rsidP="00AC41AD">
            <w:pPr>
              <w:jc w:val="center"/>
              <w:rPr>
                <w:b/>
              </w:rPr>
            </w:pPr>
            <w:r w:rsidRPr="00AC41AD">
              <w:rPr>
                <w:b/>
              </w:rPr>
              <w:t>Rādītāji</w:t>
            </w:r>
          </w:p>
        </w:tc>
        <w:tc>
          <w:tcPr>
            <w:tcW w:w="1347" w:type="pct"/>
            <w:gridSpan w:val="2"/>
            <w:vMerge w:val="restart"/>
            <w:vAlign w:val="center"/>
          </w:tcPr>
          <w:p w:rsidR="00AC41AD" w:rsidRPr="00AC41AD" w:rsidRDefault="00AC41AD" w:rsidP="00CF3DE3">
            <w:pPr>
              <w:jc w:val="center"/>
              <w:rPr>
                <w:b/>
              </w:rPr>
            </w:pPr>
            <w:r w:rsidRPr="00AC41AD">
              <w:rPr>
                <w:b/>
              </w:rPr>
              <w:t>201</w:t>
            </w:r>
            <w:r w:rsidR="00CF3DE3">
              <w:rPr>
                <w:b/>
              </w:rPr>
              <w:t>3</w:t>
            </w:r>
            <w:r w:rsidRPr="00AC41AD">
              <w:rPr>
                <w:b/>
              </w:rPr>
              <w:t>.gads</w:t>
            </w:r>
          </w:p>
        </w:tc>
        <w:tc>
          <w:tcPr>
            <w:tcW w:w="2107" w:type="pct"/>
            <w:gridSpan w:val="3"/>
            <w:vAlign w:val="center"/>
          </w:tcPr>
          <w:p w:rsidR="00AC41AD" w:rsidRPr="00AC41AD" w:rsidRDefault="00AC41AD" w:rsidP="00AC41AD">
            <w:pPr>
              <w:jc w:val="center"/>
              <w:rPr>
                <w:b/>
                <w:i/>
              </w:rPr>
            </w:pPr>
            <w:r w:rsidRPr="00AC41AD">
              <w:t>Turpmākie trīs gadi (</w:t>
            </w:r>
            <w:proofErr w:type="spellStart"/>
            <w:r w:rsidRPr="00AC41AD">
              <w:t>tūkst</w:t>
            </w:r>
            <w:proofErr w:type="spellEnd"/>
            <w:smartTag w:uri="schemas-tilde-lv/tildestengine" w:element="currency2">
              <w:smartTagPr>
                <w:attr w:name="currency_text" w:val="latu"/>
                <w:attr w:name="currency_value" w:val="."/>
                <w:attr w:name="currency_key" w:val="LVL"/>
                <w:attr w:name="currency_id" w:val="48"/>
              </w:smartTagPr>
              <w:r w:rsidRPr="00AC41AD">
                <w:t>. latu</w:t>
              </w:r>
            </w:smartTag>
            <w:r w:rsidRPr="00AC41AD">
              <w:t>)</w:t>
            </w:r>
          </w:p>
        </w:tc>
      </w:tr>
      <w:tr w:rsidR="00AC41AD" w:rsidRPr="00AC41AD" w:rsidTr="00CF3DE3">
        <w:trPr>
          <w:jc w:val="center"/>
        </w:trPr>
        <w:tc>
          <w:tcPr>
            <w:tcW w:w="1546" w:type="pct"/>
            <w:vMerge/>
            <w:vAlign w:val="center"/>
          </w:tcPr>
          <w:p w:rsidR="00AC41AD" w:rsidRPr="00AC41AD" w:rsidRDefault="00AC41AD" w:rsidP="00AC41AD">
            <w:pPr>
              <w:rPr>
                <w:b/>
                <w:i/>
              </w:rPr>
            </w:pPr>
          </w:p>
        </w:tc>
        <w:tc>
          <w:tcPr>
            <w:tcW w:w="1347" w:type="pct"/>
            <w:gridSpan w:val="2"/>
            <w:vMerge/>
            <w:vAlign w:val="center"/>
          </w:tcPr>
          <w:p w:rsidR="00AC41AD" w:rsidRPr="00AC41AD" w:rsidRDefault="00AC41AD" w:rsidP="00AC41AD">
            <w:pPr>
              <w:jc w:val="center"/>
              <w:rPr>
                <w:b/>
                <w:i/>
              </w:rPr>
            </w:pPr>
          </w:p>
        </w:tc>
        <w:tc>
          <w:tcPr>
            <w:tcW w:w="703" w:type="pct"/>
            <w:vAlign w:val="center"/>
          </w:tcPr>
          <w:p w:rsidR="00AC41AD" w:rsidRPr="00AC41AD" w:rsidRDefault="00AC41AD" w:rsidP="00CF3DE3">
            <w:pPr>
              <w:jc w:val="center"/>
              <w:rPr>
                <w:b/>
                <w:i/>
              </w:rPr>
            </w:pPr>
            <w:r w:rsidRPr="00AC41AD">
              <w:rPr>
                <w:b/>
                <w:bCs/>
              </w:rPr>
              <w:t>201</w:t>
            </w:r>
            <w:r w:rsidR="00CF3DE3">
              <w:rPr>
                <w:b/>
                <w:bCs/>
              </w:rPr>
              <w:t>4</w:t>
            </w:r>
            <w:r w:rsidRPr="00AC41AD">
              <w:rPr>
                <w:b/>
                <w:bCs/>
              </w:rPr>
              <w:t>.g.</w:t>
            </w:r>
          </w:p>
        </w:tc>
        <w:tc>
          <w:tcPr>
            <w:tcW w:w="703" w:type="pct"/>
            <w:vAlign w:val="center"/>
          </w:tcPr>
          <w:p w:rsidR="00AC41AD" w:rsidRPr="00AC41AD" w:rsidRDefault="00AC41AD" w:rsidP="00CF3DE3">
            <w:pPr>
              <w:jc w:val="center"/>
              <w:rPr>
                <w:b/>
                <w:i/>
              </w:rPr>
            </w:pPr>
            <w:r w:rsidRPr="00AC41AD">
              <w:rPr>
                <w:b/>
                <w:bCs/>
              </w:rPr>
              <w:t>201</w:t>
            </w:r>
            <w:r w:rsidR="00CF3DE3">
              <w:rPr>
                <w:b/>
                <w:bCs/>
              </w:rPr>
              <w:t>5</w:t>
            </w:r>
            <w:r w:rsidRPr="00AC41AD">
              <w:rPr>
                <w:b/>
                <w:bCs/>
              </w:rPr>
              <w:t>.g.</w:t>
            </w:r>
          </w:p>
        </w:tc>
        <w:tc>
          <w:tcPr>
            <w:tcW w:w="701" w:type="pct"/>
            <w:vAlign w:val="center"/>
          </w:tcPr>
          <w:p w:rsidR="00AC41AD" w:rsidRPr="00AC41AD" w:rsidRDefault="00AC41AD" w:rsidP="00CF3DE3">
            <w:pPr>
              <w:jc w:val="center"/>
              <w:rPr>
                <w:b/>
                <w:i/>
              </w:rPr>
            </w:pPr>
            <w:r w:rsidRPr="00AC41AD">
              <w:rPr>
                <w:b/>
                <w:bCs/>
              </w:rPr>
              <w:t>201</w:t>
            </w:r>
            <w:r w:rsidR="00CF3DE3">
              <w:rPr>
                <w:b/>
                <w:bCs/>
              </w:rPr>
              <w:t>6</w:t>
            </w:r>
            <w:r w:rsidRPr="00AC41AD">
              <w:rPr>
                <w:b/>
                <w:bCs/>
              </w:rPr>
              <w:t>.g.</w:t>
            </w:r>
          </w:p>
        </w:tc>
      </w:tr>
      <w:tr w:rsidR="00AC41AD" w:rsidRPr="00AC41AD" w:rsidTr="00CF3DE3">
        <w:trPr>
          <w:jc w:val="center"/>
        </w:trPr>
        <w:tc>
          <w:tcPr>
            <w:tcW w:w="1546" w:type="pct"/>
            <w:vMerge/>
            <w:vAlign w:val="center"/>
          </w:tcPr>
          <w:p w:rsidR="00AC41AD" w:rsidRPr="00AC41AD" w:rsidRDefault="00AC41AD" w:rsidP="00AC41AD">
            <w:pPr>
              <w:rPr>
                <w:b/>
                <w:i/>
              </w:rPr>
            </w:pPr>
          </w:p>
        </w:tc>
        <w:tc>
          <w:tcPr>
            <w:tcW w:w="644" w:type="pct"/>
            <w:vAlign w:val="center"/>
          </w:tcPr>
          <w:p w:rsidR="00AC41AD" w:rsidRPr="00AC41AD" w:rsidRDefault="00AC41AD" w:rsidP="00AC41AD">
            <w:pPr>
              <w:jc w:val="center"/>
              <w:rPr>
                <w:b/>
                <w:i/>
              </w:rPr>
            </w:pPr>
            <w:r w:rsidRPr="00AC41AD">
              <w:t xml:space="preserve">Saskaņā ar valsts budžetu kārtējam </w:t>
            </w:r>
            <w:r w:rsidRPr="00AC41AD">
              <w:lastRenderedPageBreak/>
              <w:t>gadam</w:t>
            </w:r>
          </w:p>
        </w:tc>
        <w:tc>
          <w:tcPr>
            <w:tcW w:w="703" w:type="pct"/>
            <w:vAlign w:val="center"/>
          </w:tcPr>
          <w:p w:rsidR="00AC41AD" w:rsidRPr="00AC41AD" w:rsidRDefault="00AC41AD" w:rsidP="00AC41AD">
            <w:pPr>
              <w:jc w:val="center"/>
              <w:rPr>
                <w:b/>
                <w:i/>
              </w:rPr>
            </w:pPr>
            <w:r w:rsidRPr="00AC41AD">
              <w:lastRenderedPageBreak/>
              <w:t xml:space="preserve">Izmaiņas kārtējā gadā, salīdzinot </w:t>
            </w:r>
            <w:r w:rsidRPr="00AC41AD">
              <w:lastRenderedPageBreak/>
              <w:t>ar budžetu kārtējam gadam</w:t>
            </w:r>
          </w:p>
        </w:tc>
        <w:tc>
          <w:tcPr>
            <w:tcW w:w="703" w:type="pct"/>
            <w:vAlign w:val="center"/>
          </w:tcPr>
          <w:p w:rsidR="00AC41AD" w:rsidRPr="00AC41AD" w:rsidRDefault="00AC41AD" w:rsidP="00CF3DE3">
            <w:pPr>
              <w:jc w:val="center"/>
              <w:rPr>
                <w:b/>
                <w:i/>
              </w:rPr>
            </w:pPr>
            <w:r w:rsidRPr="00AC41AD">
              <w:lastRenderedPageBreak/>
              <w:t>Izmaiņas, salīdzinot ar kārtējo (201</w:t>
            </w:r>
            <w:r w:rsidR="00CF3DE3">
              <w:t>3</w:t>
            </w:r>
            <w:r w:rsidRPr="00AC41AD">
              <w:t xml:space="preserve">) </w:t>
            </w:r>
            <w:r w:rsidRPr="00AC41AD">
              <w:lastRenderedPageBreak/>
              <w:t>gadu</w:t>
            </w:r>
          </w:p>
        </w:tc>
        <w:tc>
          <w:tcPr>
            <w:tcW w:w="703" w:type="pct"/>
            <w:vAlign w:val="center"/>
          </w:tcPr>
          <w:p w:rsidR="00AC41AD" w:rsidRPr="00AC41AD" w:rsidRDefault="00AC41AD" w:rsidP="00CF3DE3">
            <w:pPr>
              <w:jc w:val="center"/>
              <w:rPr>
                <w:b/>
                <w:i/>
              </w:rPr>
            </w:pPr>
            <w:r w:rsidRPr="00AC41AD">
              <w:lastRenderedPageBreak/>
              <w:t>Izmaiņas, salīdzinot ar kārtējo (20</w:t>
            </w:r>
            <w:r w:rsidR="00CF3DE3">
              <w:t>13</w:t>
            </w:r>
            <w:r w:rsidRPr="00AC41AD">
              <w:t xml:space="preserve">) </w:t>
            </w:r>
            <w:r w:rsidRPr="00AC41AD">
              <w:lastRenderedPageBreak/>
              <w:t>gadu</w:t>
            </w:r>
          </w:p>
        </w:tc>
        <w:tc>
          <w:tcPr>
            <w:tcW w:w="701" w:type="pct"/>
            <w:vAlign w:val="center"/>
          </w:tcPr>
          <w:p w:rsidR="00AC41AD" w:rsidRPr="00AC41AD" w:rsidRDefault="00AC41AD" w:rsidP="00CF3DE3">
            <w:pPr>
              <w:jc w:val="center"/>
              <w:rPr>
                <w:b/>
                <w:i/>
              </w:rPr>
            </w:pPr>
            <w:r w:rsidRPr="00AC41AD">
              <w:lastRenderedPageBreak/>
              <w:t>Izmaiņas, salīdzinot ar kārtējo (201</w:t>
            </w:r>
            <w:r w:rsidR="00CF3DE3">
              <w:t>3</w:t>
            </w:r>
            <w:r w:rsidRPr="00AC41AD">
              <w:t xml:space="preserve">) </w:t>
            </w:r>
            <w:r w:rsidRPr="00AC41AD">
              <w:lastRenderedPageBreak/>
              <w:t>gadu</w:t>
            </w:r>
          </w:p>
        </w:tc>
      </w:tr>
      <w:tr w:rsidR="00AC41AD" w:rsidRPr="00AC41AD" w:rsidTr="00CF3DE3">
        <w:trPr>
          <w:jc w:val="center"/>
        </w:trPr>
        <w:tc>
          <w:tcPr>
            <w:tcW w:w="1546" w:type="pct"/>
            <w:vAlign w:val="center"/>
          </w:tcPr>
          <w:p w:rsidR="00AC41AD" w:rsidRPr="00AC41AD" w:rsidRDefault="00AC41AD" w:rsidP="00AC41AD">
            <w:pPr>
              <w:jc w:val="center"/>
              <w:rPr>
                <w:bCs/>
              </w:rPr>
            </w:pPr>
            <w:r w:rsidRPr="00AC41AD">
              <w:rPr>
                <w:bCs/>
              </w:rPr>
              <w:lastRenderedPageBreak/>
              <w:t>1</w:t>
            </w:r>
          </w:p>
        </w:tc>
        <w:tc>
          <w:tcPr>
            <w:tcW w:w="644" w:type="pct"/>
            <w:vAlign w:val="center"/>
          </w:tcPr>
          <w:p w:rsidR="00AC41AD" w:rsidRPr="00AC41AD" w:rsidRDefault="00AC41AD" w:rsidP="00AC41AD">
            <w:pPr>
              <w:jc w:val="center"/>
              <w:rPr>
                <w:bCs/>
              </w:rPr>
            </w:pPr>
            <w:r w:rsidRPr="00AC41AD">
              <w:rPr>
                <w:bCs/>
              </w:rPr>
              <w:t>2</w:t>
            </w:r>
          </w:p>
        </w:tc>
        <w:tc>
          <w:tcPr>
            <w:tcW w:w="703" w:type="pct"/>
            <w:vAlign w:val="center"/>
          </w:tcPr>
          <w:p w:rsidR="00AC41AD" w:rsidRPr="00AC41AD" w:rsidRDefault="00AC41AD" w:rsidP="00AC41AD">
            <w:pPr>
              <w:jc w:val="center"/>
              <w:rPr>
                <w:bCs/>
              </w:rPr>
            </w:pPr>
            <w:r w:rsidRPr="00AC41AD">
              <w:rPr>
                <w:bCs/>
              </w:rPr>
              <w:t>3</w:t>
            </w:r>
          </w:p>
        </w:tc>
        <w:tc>
          <w:tcPr>
            <w:tcW w:w="703" w:type="pct"/>
            <w:vAlign w:val="center"/>
          </w:tcPr>
          <w:p w:rsidR="00AC41AD" w:rsidRPr="00AC41AD" w:rsidRDefault="00AC41AD" w:rsidP="00AC41AD">
            <w:pPr>
              <w:jc w:val="center"/>
              <w:rPr>
                <w:bCs/>
              </w:rPr>
            </w:pPr>
            <w:r w:rsidRPr="00AC41AD">
              <w:rPr>
                <w:bCs/>
              </w:rPr>
              <w:t>4</w:t>
            </w:r>
          </w:p>
        </w:tc>
        <w:tc>
          <w:tcPr>
            <w:tcW w:w="703" w:type="pct"/>
            <w:vAlign w:val="center"/>
          </w:tcPr>
          <w:p w:rsidR="00AC41AD" w:rsidRPr="00AC41AD" w:rsidRDefault="00AC41AD" w:rsidP="00AC41AD">
            <w:pPr>
              <w:jc w:val="center"/>
              <w:rPr>
                <w:bCs/>
              </w:rPr>
            </w:pPr>
            <w:r w:rsidRPr="00AC41AD">
              <w:rPr>
                <w:bCs/>
              </w:rPr>
              <w:t>5</w:t>
            </w:r>
          </w:p>
        </w:tc>
        <w:tc>
          <w:tcPr>
            <w:tcW w:w="701" w:type="pct"/>
            <w:vAlign w:val="center"/>
          </w:tcPr>
          <w:p w:rsidR="00AC41AD" w:rsidRPr="00AC41AD" w:rsidRDefault="00AC41AD" w:rsidP="00AC41AD">
            <w:pPr>
              <w:jc w:val="center"/>
              <w:rPr>
                <w:bCs/>
              </w:rPr>
            </w:pPr>
            <w:r w:rsidRPr="00AC41AD">
              <w:rPr>
                <w:bCs/>
              </w:rPr>
              <w:t>6</w:t>
            </w:r>
          </w:p>
        </w:tc>
      </w:tr>
      <w:tr w:rsidR="00AC41AD" w:rsidRPr="00AC41AD" w:rsidTr="00CF3DE3">
        <w:trPr>
          <w:jc w:val="center"/>
        </w:trPr>
        <w:tc>
          <w:tcPr>
            <w:tcW w:w="1546" w:type="pct"/>
          </w:tcPr>
          <w:p w:rsidR="00AC41AD" w:rsidRPr="00AC41AD" w:rsidRDefault="00AC41AD" w:rsidP="00AC41AD">
            <w:pPr>
              <w:rPr>
                <w:i/>
              </w:rPr>
            </w:pPr>
            <w:r w:rsidRPr="00AC41AD">
              <w:t>1. Budžeta ieņēmumi:</w:t>
            </w:r>
          </w:p>
        </w:tc>
        <w:tc>
          <w:tcPr>
            <w:tcW w:w="644" w:type="pct"/>
          </w:tcPr>
          <w:p w:rsidR="00AC41AD" w:rsidRPr="00AC41AD" w:rsidRDefault="00AC41AD" w:rsidP="00AC41AD">
            <w:pPr>
              <w:jc w:val="center"/>
              <w:rPr>
                <w:b/>
              </w:rPr>
            </w:pPr>
            <w:r w:rsidRPr="00AC41AD">
              <w:rPr>
                <w:b/>
              </w:rPr>
              <w:t>0</w:t>
            </w:r>
          </w:p>
        </w:tc>
        <w:tc>
          <w:tcPr>
            <w:tcW w:w="703" w:type="pct"/>
          </w:tcPr>
          <w:p w:rsidR="00AC41AD" w:rsidRPr="00AC41AD" w:rsidRDefault="00AC41AD" w:rsidP="00AC41AD">
            <w:pPr>
              <w:jc w:val="center"/>
              <w:rPr>
                <w:b/>
              </w:rPr>
            </w:pPr>
            <w:r w:rsidRPr="00AC41AD">
              <w:rPr>
                <w:b/>
              </w:rPr>
              <w:t>0</w:t>
            </w:r>
          </w:p>
        </w:tc>
        <w:tc>
          <w:tcPr>
            <w:tcW w:w="703" w:type="pct"/>
          </w:tcPr>
          <w:p w:rsidR="00AC41AD" w:rsidRPr="00AC41AD" w:rsidRDefault="00AC41AD" w:rsidP="00AC41AD">
            <w:pPr>
              <w:jc w:val="center"/>
              <w:rPr>
                <w:b/>
              </w:rPr>
            </w:pPr>
            <w:r w:rsidRPr="00AC41AD">
              <w:rPr>
                <w:b/>
              </w:rPr>
              <w:t>0</w:t>
            </w:r>
          </w:p>
        </w:tc>
        <w:tc>
          <w:tcPr>
            <w:tcW w:w="703" w:type="pct"/>
          </w:tcPr>
          <w:p w:rsidR="00AC41AD" w:rsidRPr="00AC41AD" w:rsidRDefault="00AC41AD" w:rsidP="00AC41AD">
            <w:pPr>
              <w:jc w:val="center"/>
              <w:rPr>
                <w:b/>
              </w:rPr>
            </w:pPr>
            <w:r w:rsidRPr="00AC41AD">
              <w:rPr>
                <w:b/>
              </w:rPr>
              <w:t>0</w:t>
            </w:r>
          </w:p>
        </w:tc>
        <w:tc>
          <w:tcPr>
            <w:tcW w:w="701" w:type="pct"/>
          </w:tcPr>
          <w:p w:rsidR="00AC41AD" w:rsidRPr="00AC41AD" w:rsidRDefault="00AC41AD" w:rsidP="00AC41AD">
            <w:pPr>
              <w:jc w:val="center"/>
              <w:rPr>
                <w:b/>
              </w:rPr>
            </w:pPr>
            <w:r w:rsidRPr="00AC41AD">
              <w:rPr>
                <w:b/>
              </w:rPr>
              <w:t>0</w:t>
            </w:r>
          </w:p>
        </w:tc>
      </w:tr>
      <w:tr w:rsidR="00AC41AD" w:rsidRPr="00AC41AD" w:rsidTr="00CF3DE3">
        <w:trPr>
          <w:jc w:val="center"/>
        </w:trPr>
        <w:tc>
          <w:tcPr>
            <w:tcW w:w="1546" w:type="pct"/>
          </w:tcPr>
          <w:p w:rsidR="00AC41AD" w:rsidRPr="00AC41AD" w:rsidRDefault="00AC41AD" w:rsidP="00AC41AD">
            <w:pPr>
              <w:rPr>
                <w:i/>
              </w:rPr>
            </w:pPr>
            <w:r w:rsidRPr="00AC41AD">
              <w:t>1.1. valsts pamatbudžets, tai skaitā ieņēmumi no maksas pakalpo-</w:t>
            </w:r>
            <w:proofErr w:type="spellStart"/>
            <w:r w:rsidRPr="00AC41AD">
              <w:t>jumiem</w:t>
            </w:r>
            <w:proofErr w:type="spellEnd"/>
            <w:r w:rsidRPr="00AC41AD">
              <w:t xml:space="preserve"> un citi pašu ieņēmumi</w:t>
            </w:r>
          </w:p>
        </w:tc>
        <w:tc>
          <w:tcPr>
            <w:tcW w:w="644" w:type="pct"/>
          </w:tcPr>
          <w:p w:rsidR="00AC41AD" w:rsidRPr="00AC41AD" w:rsidRDefault="00AC41AD" w:rsidP="00AC41AD">
            <w:pPr>
              <w:jc w:val="center"/>
            </w:pPr>
            <w:r w:rsidRPr="00AC41AD">
              <w:t>0</w:t>
            </w:r>
          </w:p>
          <w:p w:rsidR="00AC41AD" w:rsidRPr="00AC41AD" w:rsidRDefault="00AC41AD" w:rsidP="00AC41AD">
            <w:pPr>
              <w:jc w:val="center"/>
              <w:rPr>
                <w:b/>
              </w:rPr>
            </w:pPr>
          </w:p>
        </w:tc>
        <w:tc>
          <w:tcPr>
            <w:tcW w:w="703" w:type="pct"/>
          </w:tcPr>
          <w:p w:rsidR="00AC41AD" w:rsidRPr="00AC41AD" w:rsidRDefault="00AC41AD" w:rsidP="00AC41AD">
            <w:pPr>
              <w:jc w:val="center"/>
            </w:pPr>
            <w:r w:rsidRPr="00AC41AD">
              <w:t>0</w:t>
            </w:r>
          </w:p>
          <w:p w:rsidR="00AC41AD" w:rsidRPr="00AC41AD" w:rsidRDefault="00AC41AD" w:rsidP="00AC41AD">
            <w:pPr>
              <w:jc w:val="center"/>
            </w:pPr>
          </w:p>
          <w:p w:rsidR="00AC41AD" w:rsidRPr="00AC41AD" w:rsidRDefault="00AC41AD" w:rsidP="00AC41AD">
            <w:pPr>
              <w:jc w:val="center"/>
              <w:rPr>
                <w:b/>
              </w:rPr>
            </w:pPr>
          </w:p>
        </w:tc>
        <w:tc>
          <w:tcPr>
            <w:tcW w:w="703" w:type="pct"/>
          </w:tcPr>
          <w:p w:rsidR="00AC41AD" w:rsidRPr="00AC41AD" w:rsidRDefault="00AC41AD" w:rsidP="00AC41AD">
            <w:pPr>
              <w:jc w:val="center"/>
            </w:pPr>
            <w:r w:rsidRPr="00AC41AD">
              <w:t>0</w:t>
            </w:r>
          </w:p>
          <w:p w:rsidR="00AC41AD" w:rsidRPr="00AC41AD" w:rsidRDefault="00AC41AD" w:rsidP="00AC41AD">
            <w:pPr>
              <w:jc w:val="center"/>
            </w:pPr>
          </w:p>
        </w:tc>
        <w:tc>
          <w:tcPr>
            <w:tcW w:w="703" w:type="pct"/>
          </w:tcPr>
          <w:p w:rsidR="00AC41AD" w:rsidRPr="00AC41AD" w:rsidRDefault="00AC41AD" w:rsidP="00AC41AD">
            <w:pPr>
              <w:jc w:val="center"/>
            </w:pPr>
            <w:r w:rsidRPr="00AC41AD">
              <w:t>0</w:t>
            </w:r>
          </w:p>
          <w:p w:rsidR="00AC41AD" w:rsidRPr="00AC41AD" w:rsidRDefault="00AC41AD" w:rsidP="00AC41AD">
            <w:pPr>
              <w:jc w:val="center"/>
            </w:pPr>
          </w:p>
        </w:tc>
        <w:tc>
          <w:tcPr>
            <w:tcW w:w="701" w:type="pct"/>
          </w:tcPr>
          <w:p w:rsidR="00AC41AD" w:rsidRPr="00AC41AD" w:rsidRDefault="00AC41AD" w:rsidP="00AC41AD">
            <w:pPr>
              <w:jc w:val="center"/>
            </w:pPr>
            <w:r w:rsidRPr="00AC41AD">
              <w:t>0</w:t>
            </w:r>
          </w:p>
          <w:p w:rsidR="00AC41AD" w:rsidRPr="00AC41AD" w:rsidRDefault="00AC41AD" w:rsidP="00AC41AD">
            <w:pPr>
              <w:jc w:val="center"/>
            </w:pPr>
          </w:p>
          <w:p w:rsidR="00AC41AD" w:rsidRPr="00AC41AD" w:rsidRDefault="00AC41AD" w:rsidP="00AC41AD">
            <w:pPr>
              <w:jc w:val="center"/>
            </w:pPr>
          </w:p>
        </w:tc>
      </w:tr>
      <w:tr w:rsidR="00AC41AD" w:rsidRPr="00AC41AD" w:rsidTr="00CF3DE3">
        <w:trPr>
          <w:trHeight w:val="657"/>
          <w:jc w:val="center"/>
        </w:trPr>
        <w:tc>
          <w:tcPr>
            <w:tcW w:w="1546" w:type="pct"/>
          </w:tcPr>
          <w:p w:rsidR="00AC41AD" w:rsidRPr="00AC41AD" w:rsidRDefault="00AC41AD" w:rsidP="00AC41AD">
            <w:pPr>
              <w:rPr>
                <w:i/>
              </w:rPr>
            </w:pPr>
            <w:r w:rsidRPr="00AC41AD">
              <w:t>1.2. valsts speciālais budžets</w:t>
            </w:r>
          </w:p>
        </w:tc>
        <w:tc>
          <w:tcPr>
            <w:tcW w:w="644" w:type="pct"/>
            <w:vAlign w:val="center"/>
          </w:tcPr>
          <w:p w:rsidR="00AC41AD" w:rsidRPr="00AC41AD" w:rsidRDefault="00AC41AD" w:rsidP="00AC41AD">
            <w:pPr>
              <w:jc w:val="center"/>
              <w:rPr>
                <w:b/>
              </w:rPr>
            </w:pPr>
            <w:r w:rsidRPr="00AC41AD">
              <w:t>0</w:t>
            </w:r>
          </w:p>
        </w:tc>
        <w:tc>
          <w:tcPr>
            <w:tcW w:w="703" w:type="pct"/>
            <w:vAlign w:val="center"/>
          </w:tcPr>
          <w:p w:rsidR="00AC41AD" w:rsidRPr="00AC41AD" w:rsidRDefault="00AC41AD" w:rsidP="00AC41AD">
            <w:pPr>
              <w:jc w:val="center"/>
              <w:rPr>
                <w:b/>
              </w:rPr>
            </w:pPr>
            <w:r w:rsidRPr="00AC41AD">
              <w:t>0</w:t>
            </w:r>
          </w:p>
        </w:tc>
        <w:tc>
          <w:tcPr>
            <w:tcW w:w="703" w:type="pct"/>
            <w:vAlign w:val="center"/>
          </w:tcPr>
          <w:p w:rsidR="00AC41AD" w:rsidRPr="00AC41AD" w:rsidRDefault="00AC41AD" w:rsidP="00AC41AD">
            <w:pPr>
              <w:jc w:val="center"/>
              <w:rPr>
                <w:b/>
              </w:rPr>
            </w:pPr>
            <w:r w:rsidRPr="00AC41AD">
              <w:t>0</w:t>
            </w:r>
          </w:p>
        </w:tc>
        <w:tc>
          <w:tcPr>
            <w:tcW w:w="703" w:type="pct"/>
            <w:vAlign w:val="center"/>
          </w:tcPr>
          <w:p w:rsidR="00AC41AD" w:rsidRPr="00AC41AD" w:rsidRDefault="00AC41AD" w:rsidP="00AC41AD">
            <w:pPr>
              <w:jc w:val="center"/>
              <w:rPr>
                <w:b/>
              </w:rPr>
            </w:pPr>
            <w:r w:rsidRPr="00AC41AD">
              <w:t>0</w:t>
            </w:r>
          </w:p>
        </w:tc>
        <w:tc>
          <w:tcPr>
            <w:tcW w:w="701" w:type="pct"/>
            <w:vAlign w:val="center"/>
          </w:tcPr>
          <w:p w:rsidR="00AC41AD" w:rsidRPr="00AC41AD" w:rsidRDefault="00AC41AD" w:rsidP="00AC41AD">
            <w:pPr>
              <w:jc w:val="center"/>
              <w:rPr>
                <w:b/>
              </w:rPr>
            </w:pPr>
            <w:r w:rsidRPr="00AC41AD">
              <w:t>0</w:t>
            </w:r>
          </w:p>
        </w:tc>
      </w:tr>
      <w:tr w:rsidR="00AC41AD" w:rsidRPr="00AC41AD" w:rsidTr="00CF3DE3">
        <w:trPr>
          <w:jc w:val="center"/>
        </w:trPr>
        <w:tc>
          <w:tcPr>
            <w:tcW w:w="1546" w:type="pct"/>
          </w:tcPr>
          <w:p w:rsidR="00AC41AD" w:rsidRPr="00AC41AD" w:rsidRDefault="00AC41AD" w:rsidP="00AC41AD">
            <w:pPr>
              <w:rPr>
                <w:i/>
              </w:rPr>
            </w:pPr>
            <w:r w:rsidRPr="00AC41AD">
              <w:t>1.3. pašvaldību budžets</w:t>
            </w:r>
          </w:p>
        </w:tc>
        <w:tc>
          <w:tcPr>
            <w:tcW w:w="644" w:type="pct"/>
            <w:vAlign w:val="center"/>
          </w:tcPr>
          <w:p w:rsidR="00AC41AD" w:rsidRPr="00AC41AD" w:rsidRDefault="00AC41AD" w:rsidP="00AC41AD">
            <w:pPr>
              <w:jc w:val="center"/>
              <w:rPr>
                <w:b/>
              </w:rPr>
            </w:pPr>
            <w:r w:rsidRPr="00AC41AD">
              <w:t>0</w:t>
            </w:r>
          </w:p>
        </w:tc>
        <w:tc>
          <w:tcPr>
            <w:tcW w:w="703" w:type="pct"/>
            <w:vAlign w:val="center"/>
          </w:tcPr>
          <w:p w:rsidR="00AC41AD" w:rsidRPr="00AC41AD" w:rsidRDefault="00AC41AD" w:rsidP="00AC41AD">
            <w:pPr>
              <w:jc w:val="center"/>
              <w:rPr>
                <w:b/>
              </w:rPr>
            </w:pPr>
            <w:r w:rsidRPr="00AC41AD">
              <w:t>0</w:t>
            </w:r>
          </w:p>
        </w:tc>
        <w:tc>
          <w:tcPr>
            <w:tcW w:w="703" w:type="pct"/>
            <w:vAlign w:val="center"/>
          </w:tcPr>
          <w:p w:rsidR="00AC41AD" w:rsidRPr="00AC41AD" w:rsidRDefault="00AC41AD" w:rsidP="00AC41AD">
            <w:pPr>
              <w:jc w:val="center"/>
              <w:rPr>
                <w:b/>
              </w:rPr>
            </w:pPr>
            <w:r w:rsidRPr="00AC41AD">
              <w:t>0</w:t>
            </w:r>
          </w:p>
        </w:tc>
        <w:tc>
          <w:tcPr>
            <w:tcW w:w="703" w:type="pct"/>
            <w:vAlign w:val="center"/>
          </w:tcPr>
          <w:p w:rsidR="00AC41AD" w:rsidRPr="00AC41AD" w:rsidRDefault="00AC41AD" w:rsidP="00AC41AD">
            <w:pPr>
              <w:jc w:val="center"/>
              <w:rPr>
                <w:b/>
              </w:rPr>
            </w:pPr>
            <w:r w:rsidRPr="00AC41AD">
              <w:t>0</w:t>
            </w:r>
          </w:p>
        </w:tc>
        <w:tc>
          <w:tcPr>
            <w:tcW w:w="701" w:type="pct"/>
            <w:vAlign w:val="center"/>
          </w:tcPr>
          <w:p w:rsidR="00AC41AD" w:rsidRPr="00AC41AD" w:rsidRDefault="00AC41AD" w:rsidP="00AC41AD">
            <w:pPr>
              <w:jc w:val="center"/>
              <w:rPr>
                <w:b/>
              </w:rPr>
            </w:pPr>
            <w:r w:rsidRPr="00AC41AD">
              <w:t>0</w:t>
            </w:r>
          </w:p>
        </w:tc>
      </w:tr>
      <w:tr w:rsidR="00CF3DE3" w:rsidRPr="00AC41AD" w:rsidTr="00CF3DE3">
        <w:trPr>
          <w:jc w:val="center"/>
        </w:trPr>
        <w:tc>
          <w:tcPr>
            <w:tcW w:w="1546" w:type="pct"/>
          </w:tcPr>
          <w:p w:rsidR="00CF3DE3" w:rsidRPr="00AC41AD" w:rsidRDefault="00CF3DE3" w:rsidP="00AC41AD">
            <w:r w:rsidRPr="00AC41AD">
              <w:t>2. Budžeta izdevumi:</w:t>
            </w:r>
          </w:p>
        </w:tc>
        <w:tc>
          <w:tcPr>
            <w:tcW w:w="644" w:type="pct"/>
          </w:tcPr>
          <w:p w:rsidR="00CF3DE3" w:rsidRPr="00AC41AD" w:rsidRDefault="00CF3DE3" w:rsidP="00AC41AD">
            <w:pPr>
              <w:jc w:val="center"/>
              <w:rPr>
                <w:b/>
              </w:rPr>
            </w:pPr>
            <w:r w:rsidRPr="00AC41AD">
              <w:rPr>
                <w:b/>
              </w:rPr>
              <w:t>0</w:t>
            </w:r>
          </w:p>
        </w:tc>
        <w:tc>
          <w:tcPr>
            <w:tcW w:w="703" w:type="pct"/>
          </w:tcPr>
          <w:p w:rsidR="00CF3DE3" w:rsidRPr="00AC41AD" w:rsidRDefault="00CF3DE3" w:rsidP="00AC41AD">
            <w:pPr>
              <w:jc w:val="center"/>
              <w:rPr>
                <w:b/>
              </w:rPr>
            </w:pPr>
            <w:r>
              <w:rPr>
                <w:b/>
              </w:rPr>
              <w:t>0</w:t>
            </w:r>
          </w:p>
        </w:tc>
        <w:tc>
          <w:tcPr>
            <w:tcW w:w="703" w:type="pct"/>
          </w:tcPr>
          <w:p w:rsidR="00CF3DE3" w:rsidRPr="00AC41AD" w:rsidRDefault="00CF3DE3" w:rsidP="00B215FE">
            <w:pPr>
              <w:jc w:val="center"/>
              <w:rPr>
                <w:b/>
              </w:rPr>
            </w:pPr>
            <w:r>
              <w:rPr>
                <w:b/>
              </w:rPr>
              <w:t>14,4</w:t>
            </w:r>
          </w:p>
        </w:tc>
        <w:tc>
          <w:tcPr>
            <w:tcW w:w="703" w:type="pct"/>
          </w:tcPr>
          <w:p w:rsidR="00CF3DE3" w:rsidRPr="00AC41AD" w:rsidRDefault="00CF3DE3" w:rsidP="00B215FE">
            <w:pPr>
              <w:jc w:val="center"/>
              <w:rPr>
                <w:b/>
              </w:rPr>
            </w:pPr>
            <w:r>
              <w:rPr>
                <w:b/>
              </w:rPr>
              <w:t>13,3</w:t>
            </w:r>
          </w:p>
        </w:tc>
        <w:tc>
          <w:tcPr>
            <w:tcW w:w="701" w:type="pct"/>
          </w:tcPr>
          <w:p w:rsidR="00CF3DE3" w:rsidRPr="00AC41AD" w:rsidRDefault="00CF3DE3" w:rsidP="00AC41AD">
            <w:pPr>
              <w:jc w:val="center"/>
              <w:rPr>
                <w:b/>
              </w:rPr>
            </w:pPr>
            <w:r>
              <w:rPr>
                <w:b/>
              </w:rPr>
              <w:t>13,3</w:t>
            </w:r>
          </w:p>
        </w:tc>
      </w:tr>
      <w:tr w:rsidR="00CF3DE3" w:rsidRPr="00AC41AD" w:rsidTr="00CF3DE3">
        <w:trPr>
          <w:trHeight w:val="414"/>
          <w:jc w:val="center"/>
        </w:trPr>
        <w:tc>
          <w:tcPr>
            <w:tcW w:w="1546" w:type="pct"/>
          </w:tcPr>
          <w:p w:rsidR="00CF3DE3" w:rsidRPr="00AC41AD" w:rsidRDefault="00CF3DE3" w:rsidP="00AC41AD">
            <w:r w:rsidRPr="00AC41AD">
              <w:t>2.1. valsts pamatbudžets</w:t>
            </w:r>
          </w:p>
        </w:tc>
        <w:tc>
          <w:tcPr>
            <w:tcW w:w="644" w:type="pct"/>
          </w:tcPr>
          <w:p w:rsidR="00CF3DE3" w:rsidRPr="00AC41AD" w:rsidRDefault="00CF3DE3" w:rsidP="00AC41AD">
            <w:pPr>
              <w:jc w:val="center"/>
            </w:pPr>
            <w:r w:rsidRPr="00AC41AD">
              <w:t>0</w:t>
            </w:r>
          </w:p>
        </w:tc>
        <w:tc>
          <w:tcPr>
            <w:tcW w:w="703" w:type="pct"/>
          </w:tcPr>
          <w:p w:rsidR="00CF3DE3" w:rsidRPr="00AC41AD" w:rsidRDefault="00CF3DE3" w:rsidP="00AC41AD">
            <w:pPr>
              <w:jc w:val="center"/>
            </w:pPr>
            <w:r>
              <w:t>0</w:t>
            </w:r>
          </w:p>
        </w:tc>
        <w:tc>
          <w:tcPr>
            <w:tcW w:w="703" w:type="pct"/>
          </w:tcPr>
          <w:p w:rsidR="00CF3DE3" w:rsidRPr="00AC41AD" w:rsidRDefault="00CF3DE3" w:rsidP="00B215FE">
            <w:pPr>
              <w:jc w:val="center"/>
            </w:pPr>
            <w:r>
              <w:t>14,4</w:t>
            </w:r>
          </w:p>
          <w:p w:rsidR="00CF3DE3" w:rsidRPr="00AC41AD" w:rsidRDefault="00CF3DE3" w:rsidP="00B215FE">
            <w:pPr>
              <w:jc w:val="center"/>
            </w:pPr>
          </w:p>
        </w:tc>
        <w:tc>
          <w:tcPr>
            <w:tcW w:w="703" w:type="pct"/>
          </w:tcPr>
          <w:p w:rsidR="00CF3DE3" w:rsidRPr="00AC41AD" w:rsidRDefault="00CF3DE3" w:rsidP="00B215FE">
            <w:pPr>
              <w:jc w:val="center"/>
            </w:pPr>
            <w:r>
              <w:t>13,3</w:t>
            </w:r>
          </w:p>
          <w:p w:rsidR="00CF3DE3" w:rsidRPr="00AC41AD" w:rsidRDefault="00CF3DE3" w:rsidP="00B215FE">
            <w:pPr>
              <w:jc w:val="center"/>
            </w:pPr>
          </w:p>
        </w:tc>
        <w:tc>
          <w:tcPr>
            <w:tcW w:w="701" w:type="pct"/>
          </w:tcPr>
          <w:p w:rsidR="00CF3DE3" w:rsidRPr="00AC41AD" w:rsidRDefault="00CF3DE3" w:rsidP="00AC41AD">
            <w:pPr>
              <w:jc w:val="center"/>
            </w:pPr>
            <w:r>
              <w:t>13,3</w:t>
            </w:r>
          </w:p>
          <w:p w:rsidR="00CF3DE3" w:rsidRPr="00AC41AD" w:rsidRDefault="00CF3DE3" w:rsidP="00AC41AD">
            <w:pPr>
              <w:jc w:val="center"/>
            </w:pPr>
          </w:p>
        </w:tc>
      </w:tr>
      <w:tr w:rsidR="00CF3DE3" w:rsidRPr="00AC41AD" w:rsidTr="00CF3DE3">
        <w:trPr>
          <w:jc w:val="center"/>
        </w:trPr>
        <w:tc>
          <w:tcPr>
            <w:tcW w:w="1546" w:type="pct"/>
          </w:tcPr>
          <w:p w:rsidR="00CF3DE3" w:rsidRPr="00AC41AD" w:rsidRDefault="00CF3DE3" w:rsidP="00AC41AD">
            <w:r w:rsidRPr="00AC41AD">
              <w:t>2.2. valsts speciālais budžets</w:t>
            </w:r>
          </w:p>
        </w:tc>
        <w:tc>
          <w:tcPr>
            <w:tcW w:w="644"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B215FE">
            <w:pPr>
              <w:jc w:val="center"/>
              <w:rPr>
                <w:b/>
              </w:rPr>
            </w:pPr>
            <w:r w:rsidRPr="00AC41AD">
              <w:t>0</w:t>
            </w:r>
          </w:p>
        </w:tc>
        <w:tc>
          <w:tcPr>
            <w:tcW w:w="703" w:type="pct"/>
            <w:vAlign w:val="center"/>
          </w:tcPr>
          <w:p w:rsidR="00CF3DE3" w:rsidRPr="00AC41AD" w:rsidRDefault="00CF3DE3" w:rsidP="00B215FE">
            <w:pPr>
              <w:jc w:val="center"/>
              <w:rPr>
                <w:b/>
              </w:rPr>
            </w:pPr>
            <w:r w:rsidRPr="00AC41AD">
              <w:t>0</w:t>
            </w:r>
          </w:p>
        </w:tc>
        <w:tc>
          <w:tcPr>
            <w:tcW w:w="701" w:type="pct"/>
            <w:vAlign w:val="center"/>
          </w:tcPr>
          <w:p w:rsidR="00CF3DE3" w:rsidRPr="00AC41AD" w:rsidRDefault="00CF3DE3" w:rsidP="00AC41AD">
            <w:pPr>
              <w:jc w:val="center"/>
              <w:rPr>
                <w:b/>
              </w:rPr>
            </w:pPr>
            <w:r w:rsidRPr="00AC41AD">
              <w:t>0</w:t>
            </w:r>
          </w:p>
        </w:tc>
      </w:tr>
      <w:tr w:rsidR="00CF3DE3" w:rsidRPr="00AC41AD" w:rsidTr="00CF3DE3">
        <w:trPr>
          <w:jc w:val="center"/>
        </w:trPr>
        <w:tc>
          <w:tcPr>
            <w:tcW w:w="1546" w:type="pct"/>
          </w:tcPr>
          <w:p w:rsidR="00CF3DE3" w:rsidRPr="00AC41AD" w:rsidRDefault="00CF3DE3" w:rsidP="00AC41AD">
            <w:r w:rsidRPr="00AC41AD">
              <w:t xml:space="preserve">2.3. pašvaldību budžets </w:t>
            </w:r>
          </w:p>
        </w:tc>
        <w:tc>
          <w:tcPr>
            <w:tcW w:w="644"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B215FE">
            <w:pPr>
              <w:jc w:val="center"/>
              <w:rPr>
                <w:b/>
              </w:rPr>
            </w:pPr>
            <w:r w:rsidRPr="00AC41AD">
              <w:t>0</w:t>
            </w:r>
          </w:p>
        </w:tc>
        <w:tc>
          <w:tcPr>
            <w:tcW w:w="703" w:type="pct"/>
            <w:vAlign w:val="center"/>
          </w:tcPr>
          <w:p w:rsidR="00CF3DE3" w:rsidRPr="00AC41AD" w:rsidRDefault="00CF3DE3" w:rsidP="00B215FE">
            <w:pPr>
              <w:jc w:val="center"/>
              <w:rPr>
                <w:b/>
              </w:rPr>
            </w:pPr>
            <w:r w:rsidRPr="00AC41AD">
              <w:t>0</w:t>
            </w:r>
          </w:p>
        </w:tc>
        <w:tc>
          <w:tcPr>
            <w:tcW w:w="701" w:type="pct"/>
            <w:vAlign w:val="center"/>
          </w:tcPr>
          <w:p w:rsidR="00CF3DE3" w:rsidRPr="00AC41AD" w:rsidRDefault="00CF3DE3" w:rsidP="00AC41AD">
            <w:pPr>
              <w:jc w:val="center"/>
              <w:rPr>
                <w:b/>
              </w:rPr>
            </w:pPr>
            <w:r w:rsidRPr="00AC41AD">
              <w:t>0</w:t>
            </w:r>
          </w:p>
        </w:tc>
      </w:tr>
      <w:tr w:rsidR="00CF3DE3" w:rsidRPr="00AC41AD" w:rsidTr="00CF3DE3">
        <w:trPr>
          <w:jc w:val="center"/>
        </w:trPr>
        <w:tc>
          <w:tcPr>
            <w:tcW w:w="1546" w:type="pct"/>
          </w:tcPr>
          <w:p w:rsidR="00CF3DE3" w:rsidRPr="00AC41AD" w:rsidRDefault="00CF3DE3" w:rsidP="00AC41AD">
            <w:r w:rsidRPr="00AC41AD">
              <w:t>3. Finansiālā ietekme:</w:t>
            </w:r>
          </w:p>
        </w:tc>
        <w:tc>
          <w:tcPr>
            <w:tcW w:w="644" w:type="pct"/>
            <w:shd w:val="clear" w:color="auto" w:fill="auto"/>
            <w:vAlign w:val="center"/>
          </w:tcPr>
          <w:p w:rsidR="00CF3DE3" w:rsidRPr="00AC41AD" w:rsidRDefault="00CF3DE3" w:rsidP="00AC41AD">
            <w:pPr>
              <w:jc w:val="center"/>
              <w:rPr>
                <w:b/>
              </w:rPr>
            </w:pPr>
            <w:r w:rsidRPr="00AC41AD">
              <w:rPr>
                <w:b/>
              </w:rPr>
              <w:t>0</w:t>
            </w:r>
          </w:p>
        </w:tc>
        <w:tc>
          <w:tcPr>
            <w:tcW w:w="703" w:type="pct"/>
          </w:tcPr>
          <w:p w:rsidR="00CF3DE3" w:rsidRPr="00AC41AD" w:rsidRDefault="00CF3DE3" w:rsidP="00AC41AD">
            <w:pPr>
              <w:jc w:val="center"/>
              <w:rPr>
                <w:b/>
              </w:rPr>
            </w:pPr>
            <w:r>
              <w:rPr>
                <w:b/>
              </w:rPr>
              <w:t>0</w:t>
            </w:r>
          </w:p>
        </w:tc>
        <w:tc>
          <w:tcPr>
            <w:tcW w:w="703" w:type="pct"/>
            <w:vAlign w:val="center"/>
          </w:tcPr>
          <w:p w:rsidR="00CF3DE3" w:rsidRPr="00AC41AD" w:rsidRDefault="00CF3DE3" w:rsidP="00B215FE">
            <w:pPr>
              <w:jc w:val="center"/>
              <w:rPr>
                <w:b/>
              </w:rPr>
            </w:pPr>
            <w:r>
              <w:rPr>
                <w:b/>
              </w:rPr>
              <w:t>-14,4</w:t>
            </w:r>
          </w:p>
        </w:tc>
        <w:tc>
          <w:tcPr>
            <w:tcW w:w="703" w:type="pct"/>
            <w:vAlign w:val="center"/>
          </w:tcPr>
          <w:p w:rsidR="00CF3DE3" w:rsidRPr="00AC41AD" w:rsidRDefault="00CF3DE3" w:rsidP="00B215FE">
            <w:pPr>
              <w:jc w:val="center"/>
              <w:rPr>
                <w:b/>
              </w:rPr>
            </w:pPr>
            <w:r>
              <w:rPr>
                <w:b/>
              </w:rPr>
              <w:t>-13,3</w:t>
            </w:r>
          </w:p>
        </w:tc>
        <w:tc>
          <w:tcPr>
            <w:tcW w:w="701" w:type="pct"/>
            <w:vAlign w:val="center"/>
          </w:tcPr>
          <w:p w:rsidR="00CF3DE3" w:rsidRPr="00AC41AD" w:rsidRDefault="00CF3DE3" w:rsidP="00641703">
            <w:pPr>
              <w:jc w:val="center"/>
              <w:rPr>
                <w:b/>
              </w:rPr>
            </w:pPr>
            <w:r>
              <w:rPr>
                <w:b/>
              </w:rPr>
              <w:t>-13,3</w:t>
            </w:r>
          </w:p>
        </w:tc>
      </w:tr>
      <w:tr w:rsidR="00CF3DE3" w:rsidRPr="00AC41AD" w:rsidTr="00CF3DE3">
        <w:trPr>
          <w:jc w:val="center"/>
        </w:trPr>
        <w:tc>
          <w:tcPr>
            <w:tcW w:w="1546" w:type="pct"/>
          </w:tcPr>
          <w:p w:rsidR="00CF3DE3" w:rsidRPr="00AC41AD" w:rsidRDefault="00CF3DE3" w:rsidP="00AC41AD">
            <w:r w:rsidRPr="00AC41AD">
              <w:t>3.1. valsts pamatbudžets</w:t>
            </w:r>
          </w:p>
        </w:tc>
        <w:tc>
          <w:tcPr>
            <w:tcW w:w="644" w:type="pct"/>
            <w:shd w:val="clear" w:color="auto" w:fill="auto"/>
            <w:vAlign w:val="center"/>
          </w:tcPr>
          <w:p w:rsidR="00CF3DE3" w:rsidRPr="00AC41AD" w:rsidRDefault="00CF3DE3" w:rsidP="00AC41AD">
            <w:pPr>
              <w:jc w:val="center"/>
            </w:pPr>
            <w:r w:rsidRPr="00AC41AD">
              <w:t>0</w:t>
            </w:r>
          </w:p>
        </w:tc>
        <w:tc>
          <w:tcPr>
            <w:tcW w:w="703" w:type="pct"/>
            <w:vAlign w:val="center"/>
          </w:tcPr>
          <w:p w:rsidR="00CF3DE3" w:rsidRPr="00AC41AD" w:rsidRDefault="00CF3DE3" w:rsidP="00AC41AD">
            <w:pPr>
              <w:jc w:val="center"/>
              <w:rPr>
                <w:b/>
              </w:rPr>
            </w:pPr>
            <w:r>
              <w:t>0</w:t>
            </w:r>
          </w:p>
        </w:tc>
        <w:tc>
          <w:tcPr>
            <w:tcW w:w="703" w:type="pct"/>
            <w:vAlign w:val="center"/>
          </w:tcPr>
          <w:p w:rsidR="00CF3DE3" w:rsidRPr="00AC41AD" w:rsidRDefault="00CF3DE3" w:rsidP="00B215FE">
            <w:pPr>
              <w:jc w:val="center"/>
              <w:rPr>
                <w:b/>
              </w:rPr>
            </w:pPr>
            <w:r>
              <w:t>-14,4</w:t>
            </w:r>
          </w:p>
        </w:tc>
        <w:tc>
          <w:tcPr>
            <w:tcW w:w="703" w:type="pct"/>
            <w:vAlign w:val="center"/>
          </w:tcPr>
          <w:p w:rsidR="00CF3DE3" w:rsidRPr="00AC41AD" w:rsidRDefault="00CF3DE3" w:rsidP="00B215FE">
            <w:pPr>
              <w:jc w:val="center"/>
              <w:rPr>
                <w:b/>
              </w:rPr>
            </w:pPr>
            <w:r>
              <w:t>-13,3</w:t>
            </w:r>
          </w:p>
        </w:tc>
        <w:tc>
          <w:tcPr>
            <w:tcW w:w="701" w:type="pct"/>
            <w:vAlign w:val="center"/>
          </w:tcPr>
          <w:p w:rsidR="00CF3DE3" w:rsidRPr="00AC41AD" w:rsidRDefault="00CF3DE3" w:rsidP="00641703">
            <w:pPr>
              <w:jc w:val="center"/>
              <w:rPr>
                <w:b/>
              </w:rPr>
            </w:pPr>
            <w:r>
              <w:t>-13,3</w:t>
            </w:r>
          </w:p>
        </w:tc>
      </w:tr>
      <w:tr w:rsidR="00CF3DE3" w:rsidRPr="00AC41AD" w:rsidTr="00CF3DE3">
        <w:trPr>
          <w:jc w:val="center"/>
        </w:trPr>
        <w:tc>
          <w:tcPr>
            <w:tcW w:w="1546" w:type="pct"/>
          </w:tcPr>
          <w:p w:rsidR="00CF3DE3" w:rsidRPr="00AC41AD" w:rsidRDefault="00CF3DE3" w:rsidP="00AC41AD">
            <w:r w:rsidRPr="00AC41AD">
              <w:t>3.2. speciālais budžets</w:t>
            </w:r>
          </w:p>
        </w:tc>
        <w:tc>
          <w:tcPr>
            <w:tcW w:w="644" w:type="pct"/>
            <w:shd w:val="clear" w:color="auto" w:fill="auto"/>
            <w:vAlign w:val="center"/>
          </w:tcPr>
          <w:p w:rsidR="00CF3DE3" w:rsidRPr="00AC41AD" w:rsidRDefault="00CF3DE3" w:rsidP="00AC41AD">
            <w:pPr>
              <w:jc w:val="center"/>
            </w:pPr>
            <w:r w:rsidRPr="00AC41AD">
              <w:t>0</w:t>
            </w:r>
          </w:p>
        </w:tc>
        <w:tc>
          <w:tcPr>
            <w:tcW w:w="703"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B215FE">
            <w:pPr>
              <w:jc w:val="center"/>
              <w:rPr>
                <w:b/>
              </w:rPr>
            </w:pPr>
            <w:r w:rsidRPr="00AC41AD">
              <w:t>0</w:t>
            </w:r>
          </w:p>
        </w:tc>
        <w:tc>
          <w:tcPr>
            <w:tcW w:w="703" w:type="pct"/>
            <w:vAlign w:val="center"/>
          </w:tcPr>
          <w:p w:rsidR="00CF3DE3" w:rsidRPr="00AC41AD" w:rsidRDefault="00CF3DE3" w:rsidP="00B215FE">
            <w:pPr>
              <w:jc w:val="center"/>
              <w:rPr>
                <w:b/>
              </w:rPr>
            </w:pPr>
            <w:r w:rsidRPr="00AC41AD">
              <w:t>0</w:t>
            </w:r>
          </w:p>
        </w:tc>
        <w:tc>
          <w:tcPr>
            <w:tcW w:w="701" w:type="pct"/>
            <w:vAlign w:val="center"/>
          </w:tcPr>
          <w:p w:rsidR="00CF3DE3" w:rsidRPr="00AC41AD" w:rsidRDefault="00CF3DE3" w:rsidP="00AC41AD">
            <w:pPr>
              <w:jc w:val="center"/>
              <w:rPr>
                <w:b/>
              </w:rPr>
            </w:pPr>
            <w:r w:rsidRPr="00AC41AD">
              <w:t>0</w:t>
            </w:r>
          </w:p>
        </w:tc>
      </w:tr>
      <w:tr w:rsidR="00CF3DE3" w:rsidRPr="00AC41AD" w:rsidTr="00CF3DE3">
        <w:trPr>
          <w:jc w:val="center"/>
        </w:trPr>
        <w:tc>
          <w:tcPr>
            <w:tcW w:w="1546" w:type="pct"/>
          </w:tcPr>
          <w:p w:rsidR="00CF3DE3" w:rsidRPr="00AC41AD" w:rsidRDefault="00CF3DE3" w:rsidP="00AC41AD">
            <w:r w:rsidRPr="00AC41AD">
              <w:t xml:space="preserve">3.3. pašvaldību budžets </w:t>
            </w:r>
          </w:p>
        </w:tc>
        <w:tc>
          <w:tcPr>
            <w:tcW w:w="644" w:type="pct"/>
            <w:shd w:val="clear" w:color="auto" w:fill="auto"/>
            <w:vAlign w:val="center"/>
          </w:tcPr>
          <w:p w:rsidR="00CF3DE3" w:rsidRPr="00AC41AD" w:rsidRDefault="00CF3DE3" w:rsidP="00AC41AD">
            <w:pPr>
              <w:jc w:val="center"/>
            </w:pPr>
            <w:r w:rsidRPr="00AC41AD">
              <w:t>0</w:t>
            </w:r>
          </w:p>
        </w:tc>
        <w:tc>
          <w:tcPr>
            <w:tcW w:w="703"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B215FE">
            <w:pPr>
              <w:jc w:val="center"/>
              <w:rPr>
                <w:b/>
              </w:rPr>
            </w:pPr>
            <w:r w:rsidRPr="00AC41AD">
              <w:t>0</w:t>
            </w:r>
          </w:p>
        </w:tc>
        <w:tc>
          <w:tcPr>
            <w:tcW w:w="703" w:type="pct"/>
            <w:vAlign w:val="center"/>
          </w:tcPr>
          <w:p w:rsidR="00CF3DE3" w:rsidRPr="00AC41AD" w:rsidRDefault="00CF3DE3" w:rsidP="00B215FE">
            <w:pPr>
              <w:jc w:val="center"/>
              <w:rPr>
                <w:b/>
              </w:rPr>
            </w:pPr>
            <w:r w:rsidRPr="00AC41AD">
              <w:t>0</w:t>
            </w:r>
          </w:p>
        </w:tc>
        <w:tc>
          <w:tcPr>
            <w:tcW w:w="701" w:type="pct"/>
            <w:vAlign w:val="center"/>
          </w:tcPr>
          <w:p w:rsidR="00CF3DE3" w:rsidRPr="00AC41AD" w:rsidRDefault="00CF3DE3" w:rsidP="00AC41AD">
            <w:pPr>
              <w:jc w:val="center"/>
              <w:rPr>
                <w:b/>
              </w:rPr>
            </w:pPr>
            <w:r w:rsidRPr="00AC41AD">
              <w:t>0</w:t>
            </w:r>
          </w:p>
        </w:tc>
      </w:tr>
      <w:tr w:rsidR="00CF3DE3" w:rsidRPr="00AC41AD" w:rsidTr="00CF3DE3">
        <w:trPr>
          <w:jc w:val="center"/>
        </w:trPr>
        <w:tc>
          <w:tcPr>
            <w:tcW w:w="1546" w:type="pct"/>
            <w:vMerge w:val="restart"/>
          </w:tcPr>
          <w:p w:rsidR="00CF3DE3" w:rsidRPr="00AC41AD" w:rsidRDefault="00CF3DE3" w:rsidP="00AC41AD">
            <w:r w:rsidRPr="00AC41AD">
              <w:t>4. Finanšu līdzekļi papildu izde</w:t>
            </w:r>
            <w:r w:rsidRPr="00AC41AD">
              <w:softHyphen/>
              <w:t>vumu finansēšanai (kompensējošu izdevumu samazinājumu norāda ar "+" zīmi)</w:t>
            </w:r>
          </w:p>
        </w:tc>
        <w:tc>
          <w:tcPr>
            <w:tcW w:w="644" w:type="pct"/>
            <w:vMerge w:val="restart"/>
            <w:vAlign w:val="center"/>
          </w:tcPr>
          <w:p w:rsidR="00CF3DE3" w:rsidRPr="00AC41AD" w:rsidRDefault="00CF3DE3" w:rsidP="00AC41AD">
            <w:pPr>
              <w:jc w:val="center"/>
            </w:pPr>
            <w:r w:rsidRPr="00AC41AD">
              <w:t>X</w:t>
            </w:r>
          </w:p>
        </w:tc>
        <w:tc>
          <w:tcPr>
            <w:tcW w:w="703" w:type="pct"/>
            <w:vMerge w:val="restart"/>
            <w:vAlign w:val="center"/>
          </w:tcPr>
          <w:p w:rsidR="00CF3DE3" w:rsidRPr="00AC41AD" w:rsidRDefault="00CF3DE3" w:rsidP="00AC41AD">
            <w:pPr>
              <w:jc w:val="center"/>
              <w:rPr>
                <w:b/>
              </w:rPr>
            </w:pPr>
            <w:r>
              <w:rPr>
                <w:b/>
              </w:rPr>
              <w:t>0</w:t>
            </w:r>
          </w:p>
        </w:tc>
        <w:tc>
          <w:tcPr>
            <w:tcW w:w="703" w:type="pct"/>
            <w:vAlign w:val="center"/>
          </w:tcPr>
          <w:p w:rsidR="00CF3DE3" w:rsidRPr="00AC41AD" w:rsidRDefault="00CF3DE3" w:rsidP="00B215FE">
            <w:pPr>
              <w:jc w:val="center"/>
              <w:rPr>
                <w:b/>
              </w:rPr>
            </w:pPr>
            <w:r w:rsidRPr="00AC41AD">
              <w:t>0</w:t>
            </w:r>
          </w:p>
        </w:tc>
        <w:tc>
          <w:tcPr>
            <w:tcW w:w="703" w:type="pct"/>
            <w:vAlign w:val="center"/>
          </w:tcPr>
          <w:p w:rsidR="00CF3DE3" w:rsidRPr="00AC41AD" w:rsidRDefault="00CF3DE3" w:rsidP="00B215FE">
            <w:pPr>
              <w:tabs>
                <w:tab w:val="center" w:pos="4153"/>
                <w:tab w:val="right" w:pos="8306"/>
              </w:tabs>
              <w:jc w:val="center"/>
              <w:rPr>
                <w:b/>
              </w:rPr>
            </w:pPr>
            <w:r w:rsidRPr="00AC41AD">
              <w:t>0</w:t>
            </w:r>
          </w:p>
        </w:tc>
        <w:tc>
          <w:tcPr>
            <w:tcW w:w="701" w:type="pct"/>
            <w:vAlign w:val="center"/>
          </w:tcPr>
          <w:p w:rsidR="00CF3DE3" w:rsidRPr="00AC41AD" w:rsidRDefault="00CF3DE3" w:rsidP="00AC41AD">
            <w:pPr>
              <w:tabs>
                <w:tab w:val="center" w:pos="4153"/>
                <w:tab w:val="right" w:pos="8306"/>
              </w:tabs>
              <w:jc w:val="center"/>
              <w:rPr>
                <w:b/>
              </w:rPr>
            </w:pPr>
            <w:r w:rsidRPr="00AC41AD">
              <w:t>0</w:t>
            </w:r>
          </w:p>
        </w:tc>
      </w:tr>
      <w:tr w:rsidR="00CF3DE3" w:rsidRPr="00AC41AD" w:rsidTr="00CF3DE3">
        <w:trPr>
          <w:jc w:val="center"/>
        </w:trPr>
        <w:tc>
          <w:tcPr>
            <w:tcW w:w="1546" w:type="pct"/>
            <w:vMerge/>
          </w:tcPr>
          <w:p w:rsidR="00CF3DE3" w:rsidRPr="00AC41AD" w:rsidRDefault="00CF3DE3" w:rsidP="00AC41AD"/>
        </w:tc>
        <w:tc>
          <w:tcPr>
            <w:tcW w:w="644" w:type="pct"/>
            <w:vMerge/>
          </w:tcPr>
          <w:p w:rsidR="00CF3DE3" w:rsidRPr="00AC41AD" w:rsidRDefault="00CF3DE3" w:rsidP="00AC41AD">
            <w:pPr>
              <w:tabs>
                <w:tab w:val="center" w:pos="4153"/>
                <w:tab w:val="right" w:pos="8306"/>
              </w:tabs>
              <w:jc w:val="center"/>
            </w:pPr>
          </w:p>
        </w:tc>
        <w:tc>
          <w:tcPr>
            <w:tcW w:w="703" w:type="pct"/>
            <w:vMerge/>
            <w:vAlign w:val="center"/>
          </w:tcPr>
          <w:p w:rsidR="00CF3DE3" w:rsidRPr="00AC41AD" w:rsidRDefault="00CF3DE3" w:rsidP="00AC41AD">
            <w:pPr>
              <w:spacing w:before="75" w:after="75"/>
              <w:ind w:firstLine="375"/>
              <w:jc w:val="center"/>
              <w:rPr>
                <w:b/>
              </w:rPr>
            </w:pPr>
          </w:p>
        </w:tc>
        <w:tc>
          <w:tcPr>
            <w:tcW w:w="703" w:type="pct"/>
            <w:vAlign w:val="center"/>
          </w:tcPr>
          <w:p w:rsidR="00CF3DE3" w:rsidRPr="00AC41AD" w:rsidRDefault="00CF3DE3" w:rsidP="00B215FE">
            <w:pPr>
              <w:jc w:val="center"/>
              <w:rPr>
                <w:b/>
              </w:rPr>
            </w:pPr>
            <w:r w:rsidRPr="00AC41AD">
              <w:t>0</w:t>
            </w:r>
          </w:p>
        </w:tc>
        <w:tc>
          <w:tcPr>
            <w:tcW w:w="703" w:type="pct"/>
            <w:vAlign w:val="center"/>
          </w:tcPr>
          <w:p w:rsidR="00CF3DE3" w:rsidRPr="00AC41AD" w:rsidRDefault="00CF3DE3" w:rsidP="00B215FE">
            <w:pPr>
              <w:tabs>
                <w:tab w:val="center" w:pos="4153"/>
                <w:tab w:val="right" w:pos="8306"/>
              </w:tabs>
              <w:jc w:val="center"/>
              <w:rPr>
                <w:b/>
              </w:rPr>
            </w:pPr>
            <w:r w:rsidRPr="00AC41AD">
              <w:t>0</w:t>
            </w:r>
          </w:p>
        </w:tc>
        <w:tc>
          <w:tcPr>
            <w:tcW w:w="701" w:type="pct"/>
            <w:vAlign w:val="center"/>
          </w:tcPr>
          <w:p w:rsidR="00CF3DE3" w:rsidRPr="00AC41AD" w:rsidRDefault="00CF3DE3" w:rsidP="00AC41AD">
            <w:pPr>
              <w:tabs>
                <w:tab w:val="center" w:pos="4153"/>
                <w:tab w:val="right" w:pos="8306"/>
              </w:tabs>
              <w:jc w:val="center"/>
              <w:rPr>
                <w:b/>
              </w:rPr>
            </w:pPr>
            <w:r w:rsidRPr="00AC41AD">
              <w:t>0</w:t>
            </w:r>
          </w:p>
        </w:tc>
      </w:tr>
      <w:tr w:rsidR="00CF3DE3" w:rsidRPr="00AC41AD" w:rsidTr="00CF3DE3">
        <w:trPr>
          <w:jc w:val="center"/>
        </w:trPr>
        <w:tc>
          <w:tcPr>
            <w:tcW w:w="1546" w:type="pct"/>
            <w:vMerge/>
          </w:tcPr>
          <w:p w:rsidR="00CF3DE3" w:rsidRPr="00AC41AD" w:rsidRDefault="00CF3DE3" w:rsidP="00AC41AD"/>
        </w:tc>
        <w:tc>
          <w:tcPr>
            <w:tcW w:w="644" w:type="pct"/>
            <w:vMerge/>
          </w:tcPr>
          <w:p w:rsidR="00CF3DE3" w:rsidRPr="00AC41AD" w:rsidRDefault="00CF3DE3" w:rsidP="00AC41AD">
            <w:pPr>
              <w:tabs>
                <w:tab w:val="center" w:pos="4153"/>
                <w:tab w:val="right" w:pos="8306"/>
              </w:tabs>
              <w:jc w:val="center"/>
            </w:pPr>
          </w:p>
        </w:tc>
        <w:tc>
          <w:tcPr>
            <w:tcW w:w="703" w:type="pct"/>
            <w:vMerge/>
            <w:vAlign w:val="center"/>
          </w:tcPr>
          <w:p w:rsidR="00CF3DE3" w:rsidRPr="00AC41AD" w:rsidRDefault="00CF3DE3" w:rsidP="00AC41AD">
            <w:pPr>
              <w:jc w:val="center"/>
              <w:rPr>
                <w:b/>
              </w:rPr>
            </w:pPr>
          </w:p>
        </w:tc>
        <w:tc>
          <w:tcPr>
            <w:tcW w:w="703" w:type="pct"/>
            <w:vAlign w:val="center"/>
          </w:tcPr>
          <w:p w:rsidR="00CF3DE3" w:rsidRPr="00AC41AD" w:rsidRDefault="00CF3DE3" w:rsidP="00B215FE">
            <w:pPr>
              <w:jc w:val="center"/>
              <w:rPr>
                <w:b/>
              </w:rPr>
            </w:pPr>
            <w:r w:rsidRPr="00AC41AD">
              <w:t>0</w:t>
            </w:r>
          </w:p>
        </w:tc>
        <w:tc>
          <w:tcPr>
            <w:tcW w:w="703" w:type="pct"/>
            <w:vAlign w:val="center"/>
          </w:tcPr>
          <w:p w:rsidR="00CF3DE3" w:rsidRPr="00AC41AD" w:rsidRDefault="00CF3DE3" w:rsidP="00B215FE">
            <w:pPr>
              <w:tabs>
                <w:tab w:val="center" w:pos="4153"/>
                <w:tab w:val="right" w:pos="8306"/>
              </w:tabs>
              <w:jc w:val="center"/>
              <w:rPr>
                <w:b/>
              </w:rPr>
            </w:pPr>
            <w:r w:rsidRPr="00AC41AD">
              <w:t>0</w:t>
            </w:r>
          </w:p>
        </w:tc>
        <w:tc>
          <w:tcPr>
            <w:tcW w:w="701" w:type="pct"/>
            <w:vAlign w:val="center"/>
          </w:tcPr>
          <w:p w:rsidR="00CF3DE3" w:rsidRPr="00AC41AD" w:rsidRDefault="00CF3DE3" w:rsidP="00AC41AD">
            <w:pPr>
              <w:tabs>
                <w:tab w:val="center" w:pos="4153"/>
                <w:tab w:val="right" w:pos="8306"/>
              </w:tabs>
              <w:jc w:val="center"/>
              <w:rPr>
                <w:b/>
              </w:rPr>
            </w:pPr>
            <w:r w:rsidRPr="00AC41AD">
              <w:t>0</w:t>
            </w:r>
          </w:p>
        </w:tc>
      </w:tr>
      <w:tr w:rsidR="00CF3DE3" w:rsidRPr="00AC41AD" w:rsidTr="00CF3DE3">
        <w:trPr>
          <w:jc w:val="center"/>
        </w:trPr>
        <w:tc>
          <w:tcPr>
            <w:tcW w:w="1546" w:type="pct"/>
          </w:tcPr>
          <w:p w:rsidR="00CF3DE3" w:rsidRPr="00AC41AD" w:rsidRDefault="00CF3DE3" w:rsidP="00AC41AD">
            <w:r w:rsidRPr="00AC41AD">
              <w:t>5. Precizēta finansiālā ietekme:</w:t>
            </w:r>
          </w:p>
        </w:tc>
        <w:tc>
          <w:tcPr>
            <w:tcW w:w="644" w:type="pct"/>
            <w:vMerge w:val="restart"/>
            <w:vAlign w:val="center"/>
          </w:tcPr>
          <w:p w:rsidR="00CF3DE3" w:rsidRPr="00AC41AD" w:rsidRDefault="00CF3DE3" w:rsidP="00AC41AD">
            <w:pPr>
              <w:tabs>
                <w:tab w:val="center" w:pos="4153"/>
                <w:tab w:val="right" w:pos="8306"/>
              </w:tabs>
              <w:jc w:val="center"/>
            </w:pPr>
            <w:r w:rsidRPr="00AC41AD">
              <w:t>X</w:t>
            </w:r>
          </w:p>
        </w:tc>
        <w:tc>
          <w:tcPr>
            <w:tcW w:w="703" w:type="pct"/>
            <w:vAlign w:val="center"/>
          </w:tcPr>
          <w:p w:rsidR="00CF3DE3" w:rsidRPr="00AC41AD" w:rsidRDefault="00CF3DE3" w:rsidP="00AC41AD">
            <w:pPr>
              <w:jc w:val="center"/>
              <w:rPr>
                <w:b/>
              </w:rPr>
            </w:pPr>
            <w:r w:rsidRPr="00AC41AD">
              <w:rPr>
                <w:b/>
              </w:rPr>
              <w:t>0</w:t>
            </w:r>
          </w:p>
        </w:tc>
        <w:tc>
          <w:tcPr>
            <w:tcW w:w="703" w:type="pct"/>
            <w:vAlign w:val="center"/>
          </w:tcPr>
          <w:p w:rsidR="00CF3DE3" w:rsidRPr="00AC41AD" w:rsidRDefault="00CF3DE3" w:rsidP="00B215FE">
            <w:pPr>
              <w:jc w:val="center"/>
              <w:rPr>
                <w:b/>
              </w:rPr>
            </w:pPr>
            <w:r>
              <w:t>-14,4</w:t>
            </w:r>
          </w:p>
        </w:tc>
        <w:tc>
          <w:tcPr>
            <w:tcW w:w="703" w:type="pct"/>
            <w:vAlign w:val="center"/>
          </w:tcPr>
          <w:p w:rsidR="00CF3DE3" w:rsidRPr="00AC41AD" w:rsidRDefault="00CF3DE3" w:rsidP="00B215FE">
            <w:pPr>
              <w:tabs>
                <w:tab w:val="center" w:pos="4153"/>
                <w:tab w:val="right" w:pos="8306"/>
              </w:tabs>
              <w:jc w:val="center"/>
              <w:rPr>
                <w:b/>
              </w:rPr>
            </w:pPr>
            <w:r>
              <w:t>-13,3</w:t>
            </w:r>
          </w:p>
        </w:tc>
        <w:tc>
          <w:tcPr>
            <w:tcW w:w="701" w:type="pct"/>
            <w:vAlign w:val="center"/>
          </w:tcPr>
          <w:p w:rsidR="00CF3DE3" w:rsidRPr="00AC41AD" w:rsidRDefault="00CF3DE3" w:rsidP="00641703">
            <w:pPr>
              <w:tabs>
                <w:tab w:val="center" w:pos="4153"/>
                <w:tab w:val="right" w:pos="8306"/>
              </w:tabs>
              <w:jc w:val="center"/>
              <w:rPr>
                <w:b/>
              </w:rPr>
            </w:pPr>
            <w:r>
              <w:t>-13,3</w:t>
            </w:r>
          </w:p>
        </w:tc>
      </w:tr>
      <w:tr w:rsidR="00CF3DE3" w:rsidRPr="00AC41AD" w:rsidTr="00CF3DE3">
        <w:trPr>
          <w:jc w:val="center"/>
        </w:trPr>
        <w:tc>
          <w:tcPr>
            <w:tcW w:w="1546" w:type="pct"/>
          </w:tcPr>
          <w:p w:rsidR="00CF3DE3" w:rsidRPr="00AC41AD" w:rsidRDefault="00CF3DE3" w:rsidP="00AC41AD">
            <w:r w:rsidRPr="00AC41AD">
              <w:t>5.1. valsts pamatbudžets</w:t>
            </w:r>
          </w:p>
        </w:tc>
        <w:tc>
          <w:tcPr>
            <w:tcW w:w="644" w:type="pct"/>
            <w:vMerge/>
            <w:vAlign w:val="center"/>
          </w:tcPr>
          <w:p w:rsidR="00CF3DE3" w:rsidRPr="00AC41AD" w:rsidRDefault="00CF3DE3" w:rsidP="00AC41AD">
            <w:pPr>
              <w:jc w:val="center"/>
            </w:pPr>
          </w:p>
        </w:tc>
        <w:tc>
          <w:tcPr>
            <w:tcW w:w="703" w:type="pct"/>
            <w:vAlign w:val="center"/>
          </w:tcPr>
          <w:p w:rsidR="00CF3DE3" w:rsidRPr="00AC41AD" w:rsidRDefault="00CF3DE3" w:rsidP="00AC41AD">
            <w:pPr>
              <w:jc w:val="center"/>
              <w:rPr>
                <w:b/>
              </w:rPr>
            </w:pPr>
            <w:r w:rsidRPr="00AC41AD">
              <w:rPr>
                <w:b/>
              </w:rPr>
              <w:t>0</w:t>
            </w:r>
          </w:p>
        </w:tc>
        <w:tc>
          <w:tcPr>
            <w:tcW w:w="703" w:type="pct"/>
            <w:vAlign w:val="center"/>
          </w:tcPr>
          <w:p w:rsidR="00CF3DE3" w:rsidRPr="00AC41AD" w:rsidRDefault="00CF3DE3" w:rsidP="00B215FE">
            <w:pPr>
              <w:jc w:val="center"/>
              <w:rPr>
                <w:b/>
              </w:rPr>
            </w:pPr>
            <w:r>
              <w:t>-14,4</w:t>
            </w:r>
          </w:p>
        </w:tc>
        <w:tc>
          <w:tcPr>
            <w:tcW w:w="703" w:type="pct"/>
            <w:vAlign w:val="center"/>
          </w:tcPr>
          <w:p w:rsidR="00CF3DE3" w:rsidRPr="00AC41AD" w:rsidRDefault="00CF3DE3" w:rsidP="00B215FE">
            <w:pPr>
              <w:jc w:val="center"/>
              <w:rPr>
                <w:b/>
              </w:rPr>
            </w:pPr>
            <w:r>
              <w:t>-13,3</w:t>
            </w:r>
          </w:p>
        </w:tc>
        <w:tc>
          <w:tcPr>
            <w:tcW w:w="701" w:type="pct"/>
            <w:vAlign w:val="center"/>
          </w:tcPr>
          <w:p w:rsidR="00CF3DE3" w:rsidRPr="00AC41AD" w:rsidRDefault="00CF3DE3" w:rsidP="00641703">
            <w:pPr>
              <w:jc w:val="center"/>
              <w:rPr>
                <w:b/>
              </w:rPr>
            </w:pPr>
            <w:r>
              <w:t>-13,3</w:t>
            </w:r>
          </w:p>
        </w:tc>
      </w:tr>
      <w:tr w:rsidR="00CF3DE3" w:rsidRPr="00AC41AD" w:rsidTr="00CF3DE3">
        <w:trPr>
          <w:jc w:val="center"/>
        </w:trPr>
        <w:tc>
          <w:tcPr>
            <w:tcW w:w="1546" w:type="pct"/>
          </w:tcPr>
          <w:p w:rsidR="00CF3DE3" w:rsidRPr="00AC41AD" w:rsidRDefault="00CF3DE3" w:rsidP="00AC41AD">
            <w:r w:rsidRPr="00AC41AD">
              <w:t>5.2. speciālais budžets</w:t>
            </w:r>
          </w:p>
        </w:tc>
        <w:tc>
          <w:tcPr>
            <w:tcW w:w="644" w:type="pct"/>
            <w:vMerge/>
            <w:vAlign w:val="center"/>
          </w:tcPr>
          <w:p w:rsidR="00CF3DE3" w:rsidRPr="00AC41AD" w:rsidRDefault="00CF3DE3" w:rsidP="00AC41AD">
            <w:pPr>
              <w:jc w:val="center"/>
            </w:pPr>
          </w:p>
        </w:tc>
        <w:tc>
          <w:tcPr>
            <w:tcW w:w="703"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AC41AD">
            <w:pPr>
              <w:jc w:val="center"/>
              <w:rPr>
                <w:b/>
              </w:rPr>
            </w:pPr>
            <w:r w:rsidRPr="00AC41AD">
              <w:t>0</w:t>
            </w:r>
          </w:p>
        </w:tc>
        <w:tc>
          <w:tcPr>
            <w:tcW w:w="701" w:type="pct"/>
            <w:vAlign w:val="center"/>
          </w:tcPr>
          <w:p w:rsidR="00CF3DE3" w:rsidRPr="00AC41AD" w:rsidRDefault="00CF3DE3" w:rsidP="00AC41AD">
            <w:pPr>
              <w:jc w:val="center"/>
              <w:rPr>
                <w:b/>
              </w:rPr>
            </w:pPr>
            <w:r w:rsidRPr="00AC41AD">
              <w:t>0</w:t>
            </w:r>
          </w:p>
        </w:tc>
      </w:tr>
      <w:tr w:rsidR="00CF3DE3" w:rsidRPr="00AC41AD" w:rsidTr="00CF3DE3">
        <w:trPr>
          <w:jc w:val="center"/>
        </w:trPr>
        <w:tc>
          <w:tcPr>
            <w:tcW w:w="1546" w:type="pct"/>
          </w:tcPr>
          <w:p w:rsidR="00CF3DE3" w:rsidRPr="00AC41AD" w:rsidRDefault="00CF3DE3" w:rsidP="00AC41AD">
            <w:r w:rsidRPr="00AC41AD">
              <w:t xml:space="preserve">5.3. pašvaldību budžets </w:t>
            </w:r>
          </w:p>
        </w:tc>
        <w:tc>
          <w:tcPr>
            <w:tcW w:w="644" w:type="pct"/>
            <w:vMerge/>
            <w:vAlign w:val="center"/>
          </w:tcPr>
          <w:p w:rsidR="00CF3DE3" w:rsidRPr="00AC41AD" w:rsidRDefault="00CF3DE3" w:rsidP="00AC41AD">
            <w:pPr>
              <w:jc w:val="center"/>
            </w:pPr>
          </w:p>
        </w:tc>
        <w:tc>
          <w:tcPr>
            <w:tcW w:w="703"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AC41AD">
            <w:pPr>
              <w:jc w:val="center"/>
              <w:rPr>
                <w:b/>
              </w:rPr>
            </w:pPr>
            <w:r w:rsidRPr="00AC41AD">
              <w:t>0</w:t>
            </w:r>
          </w:p>
        </w:tc>
        <w:tc>
          <w:tcPr>
            <w:tcW w:w="703" w:type="pct"/>
            <w:vAlign w:val="center"/>
          </w:tcPr>
          <w:p w:rsidR="00CF3DE3" w:rsidRPr="00AC41AD" w:rsidRDefault="00CF3DE3" w:rsidP="00AC41AD">
            <w:pPr>
              <w:jc w:val="center"/>
              <w:rPr>
                <w:b/>
              </w:rPr>
            </w:pPr>
            <w:r w:rsidRPr="00AC41AD">
              <w:t>0</w:t>
            </w:r>
          </w:p>
        </w:tc>
        <w:tc>
          <w:tcPr>
            <w:tcW w:w="701" w:type="pct"/>
            <w:vAlign w:val="center"/>
          </w:tcPr>
          <w:p w:rsidR="00CF3DE3" w:rsidRPr="00AC41AD" w:rsidRDefault="00CF3DE3" w:rsidP="00AC41AD">
            <w:pPr>
              <w:jc w:val="center"/>
              <w:rPr>
                <w:b/>
              </w:rPr>
            </w:pPr>
            <w:r w:rsidRPr="00AC41AD">
              <w:t>0</w:t>
            </w:r>
          </w:p>
        </w:tc>
      </w:tr>
      <w:tr w:rsidR="00CF3DE3" w:rsidRPr="00AC41AD" w:rsidTr="00DF72C5">
        <w:trPr>
          <w:jc w:val="center"/>
        </w:trPr>
        <w:tc>
          <w:tcPr>
            <w:tcW w:w="1546" w:type="pct"/>
          </w:tcPr>
          <w:p w:rsidR="00CF3DE3" w:rsidRPr="00AC41AD" w:rsidRDefault="00CF3DE3" w:rsidP="00AC41AD">
            <w:r w:rsidRPr="00AC41AD">
              <w:t>6. Detalizēts ieņēmumu un izdevu</w:t>
            </w:r>
            <w:r w:rsidRPr="00AC41AD">
              <w:softHyphen/>
              <w:t>mu aprēķins (ja nepieciešams, detalizētu ieņēmumu un izdevumu aprēķinu var pievienot anotācijas pielikumā):</w:t>
            </w:r>
          </w:p>
        </w:tc>
        <w:tc>
          <w:tcPr>
            <w:tcW w:w="3454" w:type="pct"/>
            <w:gridSpan w:val="5"/>
            <w:vMerge w:val="restart"/>
          </w:tcPr>
          <w:p w:rsidR="00CF3DE3" w:rsidRDefault="00CF3DE3" w:rsidP="00F731BA">
            <w:pPr>
              <w:jc w:val="both"/>
            </w:pPr>
            <w:r>
              <w:t xml:space="preserve">Pieaugošo finanšu uzskaitē reģistrējamo un </w:t>
            </w:r>
            <w:r w:rsidRPr="00AC41AD">
              <w:t xml:space="preserve">veicamo </w:t>
            </w:r>
            <w:r>
              <w:t xml:space="preserve">darbību un </w:t>
            </w:r>
            <w:r w:rsidRPr="00AC41AD">
              <w:t>darījumu skaitu</w:t>
            </w:r>
            <w:r>
              <w:t xml:space="preserve"> </w:t>
            </w:r>
            <w:r w:rsidRPr="00DB38F4">
              <w:t>(</w:t>
            </w:r>
            <w:proofErr w:type="spellStart"/>
            <w:r w:rsidRPr="00DB38F4">
              <w:t>t.sk</w:t>
            </w:r>
            <w:proofErr w:type="spellEnd"/>
            <w:r w:rsidRPr="00DB38F4">
              <w:t xml:space="preserve">., piešķirtā finansējuma izlietošanas atbilstoši instrukcijā un Eiropas Savienības Padomes ģenerālsekretāra lēmumā noteiktajiem kritērijiem kontrolei, nodrošinot Latvijai piešķirtā finansējuma efektīvu un lietderīgu apgūšanu) nodrošināšanai 2014.gadā Ārlietu ministrijas apakšprogrammā 01.01.00 </w:t>
            </w:r>
            <w:r w:rsidRPr="00DB38F4">
              <w:rPr>
                <w:i/>
              </w:rPr>
              <w:t>Centrālais aparāts</w:t>
            </w:r>
            <w:r w:rsidRPr="00DB38F4">
              <w:t xml:space="preserve"> nepieciešams papildus finansējums 14 38</w:t>
            </w:r>
            <w:r>
              <w:t>4 latu apmērā un turpmākajos gados 13 254 latu apmērā vecākā grāmatveža (14.saime, 10 mēnešalgu grupa) štata vietas izveidošanai:</w:t>
            </w:r>
          </w:p>
          <w:p w:rsidR="00CF3DE3" w:rsidRDefault="00CF3DE3" w:rsidP="00641703">
            <w:pPr>
              <w:spacing w:before="120"/>
              <w:jc w:val="both"/>
            </w:pPr>
            <w:r>
              <w:t>201</w:t>
            </w:r>
            <w:r w:rsidR="00C81719">
              <w:t>4</w:t>
            </w:r>
            <w:r>
              <w:t>.gadā:</w:t>
            </w:r>
          </w:p>
          <w:p w:rsidR="00CF3DE3" w:rsidRDefault="00CF3DE3" w:rsidP="00681965">
            <w:pPr>
              <w:jc w:val="both"/>
            </w:pPr>
            <w:r>
              <w:t>Atlīdzība ……………………...13 254 lati,</w:t>
            </w:r>
          </w:p>
          <w:p w:rsidR="00CF3DE3" w:rsidRDefault="00CF3DE3" w:rsidP="00681965">
            <w:pPr>
              <w:jc w:val="both"/>
            </w:pPr>
            <w:proofErr w:type="spellStart"/>
            <w:r>
              <w:t>t.s.k</w:t>
            </w:r>
            <w:proofErr w:type="spellEnd"/>
            <w:r>
              <w:t>. atalgojums ………………10 148 lati,</w:t>
            </w:r>
          </w:p>
          <w:p w:rsidR="00CF3DE3" w:rsidRDefault="00CF3DE3" w:rsidP="00681965">
            <w:pPr>
              <w:jc w:val="both"/>
            </w:pPr>
            <w:r>
              <w:t>preces un pakalpojumi</w:t>
            </w:r>
          </w:p>
          <w:p w:rsidR="00CF3DE3" w:rsidRDefault="00CF3DE3" w:rsidP="00681965">
            <w:pPr>
              <w:jc w:val="both"/>
            </w:pPr>
            <w:r>
              <w:t>(vienreizējie izdevumi) ……….380 lati,</w:t>
            </w:r>
          </w:p>
          <w:p w:rsidR="00CF3DE3" w:rsidRDefault="00CF3DE3" w:rsidP="00681965">
            <w:pPr>
              <w:jc w:val="both"/>
            </w:pPr>
            <w:r>
              <w:lastRenderedPageBreak/>
              <w:t>kapitālie izdevumi</w:t>
            </w:r>
          </w:p>
          <w:p w:rsidR="00CF3DE3" w:rsidRPr="008F4CDE" w:rsidRDefault="00CF3DE3" w:rsidP="00681965">
            <w:pPr>
              <w:jc w:val="both"/>
            </w:pPr>
            <w:r>
              <w:t xml:space="preserve">(vienreizējie izdevumi) </w:t>
            </w:r>
            <w:r w:rsidRPr="00641703">
              <w:t>……….</w:t>
            </w:r>
            <w:r>
              <w:t>750 lati.</w:t>
            </w:r>
          </w:p>
        </w:tc>
      </w:tr>
      <w:tr w:rsidR="00CF3DE3" w:rsidRPr="00AC41AD" w:rsidTr="00DF72C5">
        <w:trPr>
          <w:jc w:val="center"/>
        </w:trPr>
        <w:tc>
          <w:tcPr>
            <w:tcW w:w="1546" w:type="pct"/>
          </w:tcPr>
          <w:p w:rsidR="00CF3DE3" w:rsidRPr="00AC41AD" w:rsidRDefault="00CF3DE3" w:rsidP="00AC41AD">
            <w:r w:rsidRPr="00AC41AD">
              <w:t>6.1. detalizēts ieņēmumu aprēķins</w:t>
            </w:r>
          </w:p>
        </w:tc>
        <w:tc>
          <w:tcPr>
            <w:tcW w:w="3454" w:type="pct"/>
            <w:gridSpan w:val="5"/>
            <w:vMerge/>
          </w:tcPr>
          <w:p w:rsidR="00CF3DE3" w:rsidRPr="00AC41AD" w:rsidRDefault="00CF3DE3" w:rsidP="00AC41AD">
            <w:pPr>
              <w:jc w:val="both"/>
              <w:rPr>
                <w:b/>
                <w:i/>
                <w:highlight w:val="yellow"/>
              </w:rPr>
            </w:pPr>
          </w:p>
        </w:tc>
      </w:tr>
      <w:tr w:rsidR="00CF3DE3" w:rsidRPr="00AC41AD" w:rsidTr="00DF72C5">
        <w:trPr>
          <w:jc w:val="center"/>
        </w:trPr>
        <w:tc>
          <w:tcPr>
            <w:tcW w:w="1546" w:type="pct"/>
          </w:tcPr>
          <w:p w:rsidR="00CF3DE3" w:rsidRPr="00AC41AD" w:rsidRDefault="00CF3DE3" w:rsidP="00AC41AD">
            <w:pPr>
              <w:rPr>
                <w:highlight w:val="yellow"/>
              </w:rPr>
            </w:pPr>
            <w:r w:rsidRPr="00AC41AD">
              <w:t>6.2. detalizēts izdevumu aprēķins</w:t>
            </w:r>
          </w:p>
        </w:tc>
        <w:tc>
          <w:tcPr>
            <w:tcW w:w="3454" w:type="pct"/>
            <w:gridSpan w:val="5"/>
            <w:vMerge/>
          </w:tcPr>
          <w:p w:rsidR="00CF3DE3" w:rsidRPr="00AC41AD" w:rsidRDefault="00CF3DE3" w:rsidP="00AC41AD">
            <w:pPr>
              <w:jc w:val="both"/>
              <w:rPr>
                <w:b/>
                <w:i/>
                <w:highlight w:val="yellow"/>
              </w:rPr>
            </w:pPr>
          </w:p>
        </w:tc>
      </w:tr>
      <w:tr w:rsidR="00CF3DE3" w:rsidRPr="00AC41AD" w:rsidTr="00DF72C5">
        <w:trPr>
          <w:jc w:val="center"/>
        </w:trPr>
        <w:tc>
          <w:tcPr>
            <w:tcW w:w="1546" w:type="pct"/>
          </w:tcPr>
          <w:p w:rsidR="00CF3DE3" w:rsidRPr="00AC41AD" w:rsidRDefault="00CF3DE3" w:rsidP="00AC41AD">
            <w:r w:rsidRPr="00AC41AD">
              <w:lastRenderedPageBreak/>
              <w:t>7. Cita informācija</w:t>
            </w:r>
          </w:p>
        </w:tc>
        <w:tc>
          <w:tcPr>
            <w:tcW w:w="3454" w:type="pct"/>
            <w:gridSpan w:val="5"/>
          </w:tcPr>
          <w:p w:rsidR="00CF3DE3" w:rsidRPr="00AC41AD" w:rsidRDefault="00CF3DE3" w:rsidP="00AC41AD">
            <w:pPr>
              <w:tabs>
                <w:tab w:val="left" w:pos="4644"/>
              </w:tabs>
              <w:jc w:val="both"/>
              <w:rPr>
                <w:b/>
              </w:rPr>
            </w:pPr>
          </w:p>
        </w:tc>
      </w:tr>
    </w:tbl>
    <w:p w:rsidR="00C37C3C" w:rsidRPr="00BA46EB" w:rsidRDefault="00C37C3C" w:rsidP="00513BAD">
      <w:pPr>
        <w:pStyle w:val="naisf"/>
        <w:spacing w:before="0" w:after="0"/>
        <w:jc w:val="center"/>
        <w:outlineLvl w:val="0"/>
        <w:rPr>
          <w:b/>
          <w:lang w:val="lv-LV"/>
        </w:rPr>
      </w:pPr>
      <w:r w:rsidRPr="00BA46EB">
        <w:rPr>
          <w:b/>
          <w:lang w:val="lv-LV"/>
        </w:rPr>
        <w:t>Anotācijas IV, VI sadaļa – nav attiecināms.</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516"/>
        <w:gridCol w:w="3631"/>
        <w:gridCol w:w="4940"/>
      </w:tblGrid>
      <w:tr w:rsidR="00473253" w:rsidRPr="00C04143" w:rsidTr="00C05447">
        <w:tc>
          <w:tcPr>
            <w:tcW w:w="0" w:type="auto"/>
            <w:gridSpan w:val="3"/>
            <w:tcBorders>
              <w:top w:val="single" w:sz="6" w:space="0" w:color="auto"/>
              <w:left w:val="single" w:sz="6" w:space="0" w:color="auto"/>
              <w:bottom w:val="outset" w:sz="6" w:space="0" w:color="000000"/>
              <w:right w:val="single" w:sz="6" w:space="0" w:color="auto"/>
            </w:tcBorders>
          </w:tcPr>
          <w:p w:rsidR="00473253" w:rsidRPr="00C04143" w:rsidRDefault="00473253" w:rsidP="00C05447">
            <w:pPr>
              <w:jc w:val="center"/>
              <w:rPr>
                <w:b/>
                <w:bCs/>
                <w:color w:val="000000"/>
              </w:rPr>
            </w:pPr>
            <w:r w:rsidRPr="00C04143">
              <w:rPr>
                <w:b/>
                <w:bCs/>
                <w:color w:val="000000"/>
              </w:rPr>
              <w:t>V. Tiesību akta projekta atbilstība Latvijas Republikas starptautiskajām saistībām</w:t>
            </w:r>
          </w:p>
        </w:tc>
      </w:tr>
      <w:tr w:rsidR="00473253" w:rsidRPr="00C04143" w:rsidTr="00473253">
        <w:tc>
          <w:tcPr>
            <w:tcW w:w="0" w:type="auto"/>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1.</w:t>
            </w:r>
          </w:p>
        </w:tc>
        <w:tc>
          <w:tcPr>
            <w:tcW w:w="1998" w:type="pct"/>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Saistības pret Eiropas Savienību</w:t>
            </w:r>
          </w:p>
        </w:tc>
        <w:tc>
          <w:tcPr>
            <w:tcW w:w="2718" w:type="pct"/>
            <w:tcBorders>
              <w:top w:val="outset" w:sz="6" w:space="0" w:color="000000"/>
              <w:left w:val="outset" w:sz="6" w:space="0" w:color="000000"/>
              <w:bottom w:val="outset" w:sz="6" w:space="0" w:color="000000"/>
              <w:right w:val="outset" w:sz="6" w:space="0" w:color="000000"/>
            </w:tcBorders>
          </w:tcPr>
          <w:p w:rsidR="00473253" w:rsidRPr="00C04143" w:rsidRDefault="00AD2D61" w:rsidP="00C05447">
            <w:pPr>
              <w:jc w:val="both"/>
              <w:rPr>
                <w:color w:val="000000"/>
              </w:rPr>
            </w:pPr>
            <w:r w:rsidRPr="00C04143">
              <w:rPr>
                <w:color w:val="000000"/>
              </w:rPr>
              <w:t>Nav.</w:t>
            </w:r>
          </w:p>
        </w:tc>
      </w:tr>
      <w:tr w:rsidR="00473253" w:rsidRPr="00C04143" w:rsidTr="00473253">
        <w:tc>
          <w:tcPr>
            <w:tcW w:w="0" w:type="auto"/>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2.</w:t>
            </w:r>
          </w:p>
        </w:tc>
        <w:tc>
          <w:tcPr>
            <w:tcW w:w="1998" w:type="pct"/>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Citas starptautiskās saistības</w:t>
            </w:r>
          </w:p>
        </w:tc>
        <w:tc>
          <w:tcPr>
            <w:tcW w:w="2718" w:type="pct"/>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Nav</w:t>
            </w:r>
          </w:p>
        </w:tc>
      </w:tr>
      <w:tr w:rsidR="00473253" w:rsidRPr="00C04143" w:rsidTr="00473253">
        <w:tc>
          <w:tcPr>
            <w:tcW w:w="0" w:type="auto"/>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3.</w:t>
            </w:r>
          </w:p>
        </w:tc>
        <w:tc>
          <w:tcPr>
            <w:tcW w:w="1998" w:type="pct"/>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Cita informācija</w:t>
            </w:r>
          </w:p>
        </w:tc>
        <w:tc>
          <w:tcPr>
            <w:tcW w:w="2718" w:type="pct"/>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Nav</w:t>
            </w:r>
          </w:p>
        </w:tc>
      </w:tr>
    </w:tbl>
    <w:p w:rsidR="00473253" w:rsidRPr="00C04143" w:rsidRDefault="00473253" w:rsidP="00473253">
      <w:pPr>
        <w:jc w:val="both"/>
        <w:rPr>
          <w:color w:val="000000"/>
        </w:rPr>
      </w:pPr>
      <w:r w:rsidRPr="00C04143">
        <w:rPr>
          <w:color w:val="000000"/>
        </w:rPr>
        <w:t> </w:t>
      </w:r>
    </w:p>
    <w:tbl>
      <w:tblPr>
        <w:tblW w:w="5195"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29"/>
        <w:gridCol w:w="2523"/>
        <w:gridCol w:w="633"/>
        <w:gridCol w:w="2035"/>
        <w:gridCol w:w="2394"/>
        <w:gridCol w:w="327"/>
      </w:tblGrid>
      <w:tr w:rsidR="00473253" w:rsidRPr="00C04143" w:rsidTr="00C23FA7">
        <w:trPr>
          <w:gridAfter w:val="1"/>
          <w:wAfter w:w="173" w:type="pct"/>
        </w:trPr>
        <w:tc>
          <w:tcPr>
            <w:tcW w:w="0" w:type="auto"/>
            <w:gridSpan w:val="5"/>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b/>
                <w:bCs/>
                <w:color w:val="000000"/>
              </w:rPr>
            </w:pPr>
            <w:r w:rsidRPr="00C04143">
              <w:rPr>
                <w:b/>
                <w:bCs/>
                <w:color w:val="000000"/>
              </w:rPr>
              <w:t>1.tabula</w:t>
            </w:r>
            <w:r w:rsidRPr="00C04143">
              <w:rPr>
                <w:b/>
                <w:bCs/>
                <w:color w:val="000000"/>
              </w:rPr>
              <w:br/>
              <w:t>Tiesību akta projekta atbilstība ES tiesību aktiem</w:t>
            </w:r>
          </w:p>
        </w:tc>
      </w:tr>
      <w:tr w:rsidR="00473253" w:rsidRPr="00C04143" w:rsidTr="00C23FA7">
        <w:trPr>
          <w:gridAfter w:val="1"/>
          <w:wAfter w:w="173" w:type="pct"/>
        </w:trPr>
        <w:tc>
          <w:tcPr>
            <w:tcW w:w="0" w:type="auto"/>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color w:val="000000"/>
              </w:rPr>
            </w:pPr>
            <w:r w:rsidRPr="00C04143">
              <w:rPr>
                <w:color w:val="000000"/>
              </w:rPr>
              <w:t>Attiecīgā ES tiesību akta datums, numurs un nosaukums</w:t>
            </w:r>
          </w:p>
        </w:tc>
        <w:tc>
          <w:tcPr>
            <w:tcW w:w="0" w:type="auto"/>
            <w:gridSpan w:val="4"/>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730BFD">
            <w:pPr>
              <w:rPr>
                <w:color w:val="000000"/>
              </w:rPr>
            </w:pPr>
            <w:r w:rsidRPr="00C04143">
              <w:rPr>
                <w:color w:val="000000"/>
              </w:rPr>
              <w:t xml:space="preserve">Aizpilda, ja ar projektu tiek pārņemts vai ieviests vairāk nekā viens ES tiesību </w:t>
            </w:r>
            <w:smartTag w:uri="schemas-tilde-lv/tildestengine" w:element="veidnes">
              <w:smartTagPr>
                <w:attr w:name="id" w:val="-1"/>
                <w:attr w:name="baseform" w:val="akts"/>
                <w:attr w:name="text" w:val="akts"/>
              </w:smartTagPr>
              <w:r w:rsidRPr="00C04143">
                <w:rPr>
                  <w:color w:val="000000"/>
                </w:rPr>
                <w:t>akts</w:t>
              </w:r>
            </w:smartTag>
            <w:r w:rsidRPr="00C04143">
              <w:rPr>
                <w:color w:val="000000"/>
              </w:rPr>
              <w:t xml:space="preserve"> </w:t>
            </w:r>
            <w:r w:rsidR="00730BFD">
              <w:rPr>
                <w:color w:val="000000"/>
              </w:rPr>
              <w:t>–</w:t>
            </w:r>
            <w:r w:rsidRPr="00C04143">
              <w:rPr>
                <w:color w:val="000000"/>
              </w:rPr>
              <w:t xml:space="preserve"> jānorāda tā pati informācija, kas prasīta instrukcijas 55.1.apakšpunktā un jau tikusi norādīta arī V sadaļas 1.punkta ietvaros</w:t>
            </w:r>
          </w:p>
        </w:tc>
      </w:tr>
      <w:tr w:rsidR="00473253" w:rsidRPr="00C04143" w:rsidTr="00C23FA7">
        <w:trPr>
          <w:gridAfter w:val="1"/>
          <w:wAfter w:w="173" w:type="pct"/>
        </w:trPr>
        <w:tc>
          <w:tcPr>
            <w:tcW w:w="0" w:type="auto"/>
            <w:gridSpan w:val="5"/>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r w:rsidRPr="00C04143">
              <w:t> </w:t>
            </w:r>
          </w:p>
        </w:tc>
      </w:tr>
      <w:tr w:rsidR="00473253" w:rsidRPr="00C04143" w:rsidTr="00C23FA7">
        <w:tc>
          <w:tcPr>
            <w:tcW w:w="2146" w:type="pct"/>
            <w:gridSpan w:val="2"/>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color w:val="000000"/>
              </w:rPr>
            </w:pPr>
            <w:r w:rsidRPr="00C04143">
              <w:rPr>
                <w:color w:val="000000"/>
              </w:rPr>
              <w:t>A</w:t>
            </w:r>
          </w:p>
        </w:tc>
        <w:tc>
          <w:tcPr>
            <w:tcW w:w="335" w:type="pct"/>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color w:val="000000"/>
              </w:rPr>
            </w:pPr>
            <w:r w:rsidRPr="00C04143">
              <w:rPr>
                <w:color w:val="000000"/>
              </w:rPr>
              <w:t>B</w:t>
            </w:r>
          </w:p>
        </w:tc>
        <w:tc>
          <w:tcPr>
            <w:tcW w:w="1078" w:type="pct"/>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color w:val="000000"/>
              </w:rPr>
            </w:pPr>
            <w:r w:rsidRPr="00C04143">
              <w:rPr>
                <w:color w:val="000000"/>
              </w:rPr>
              <w:t>C</w:t>
            </w:r>
          </w:p>
        </w:tc>
        <w:tc>
          <w:tcPr>
            <w:tcW w:w="1441" w:type="pct"/>
            <w:gridSpan w:val="2"/>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color w:val="000000"/>
              </w:rPr>
            </w:pPr>
            <w:r w:rsidRPr="00C04143">
              <w:rPr>
                <w:color w:val="000000"/>
              </w:rPr>
              <w:t>D</w:t>
            </w:r>
          </w:p>
        </w:tc>
      </w:tr>
      <w:tr w:rsidR="00473253" w:rsidRPr="00C04143" w:rsidTr="00C23FA7">
        <w:trPr>
          <w:gridAfter w:val="1"/>
          <w:wAfter w:w="173" w:type="pct"/>
        </w:trPr>
        <w:tc>
          <w:tcPr>
            <w:tcW w:w="2146" w:type="pct"/>
            <w:gridSpan w:val="2"/>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both"/>
              <w:rPr>
                <w:color w:val="000000"/>
              </w:rPr>
            </w:pPr>
            <w:proofErr w:type="gramStart"/>
            <w:r w:rsidRPr="00C04143">
              <w:rPr>
                <w:color w:val="000000"/>
              </w:rPr>
              <w:t>Kā</w:t>
            </w:r>
            <w:proofErr w:type="gramEnd"/>
            <w:r w:rsidRPr="00C04143">
              <w:rPr>
                <w:color w:val="000000"/>
              </w:rPr>
              <w:t xml:space="preserve"> ir izmantota ES tiesību aktā paredzētā rīcības brīvība dalībvalstij pārņemt vai ieviest noteiktas ES tiesību akta normas.</w:t>
            </w:r>
          </w:p>
          <w:p w:rsidR="00473253" w:rsidRPr="00C04143" w:rsidRDefault="00473253" w:rsidP="00C05447">
            <w:pPr>
              <w:jc w:val="both"/>
              <w:rPr>
                <w:color w:val="000000"/>
              </w:rPr>
            </w:pPr>
            <w:r w:rsidRPr="00C04143">
              <w:rPr>
                <w:color w:val="000000"/>
              </w:rPr>
              <w:t>Kādēļ?</w:t>
            </w:r>
          </w:p>
        </w:tc>
        <w:tc>
          <w:tcPr>
            <w:tcW w:w="2681" w:type="pct"/>
            <w:gridSpan w:val="3"/>
            <w:tcBorders>
              <w:top w:val="outset" w:sz="6" w:space="0" w:color="000000"/>
              <w:left w:val="outset" w:sz="6" w:space="0" w:color="000000"/>
              <w:bottom w:val="outset" w:sz="6" w:space="0" w:color="000000"/>
              <w:right w:val="outset" w:sz="6" w:space="0" w:color="000000"/>
            </w:tcBorders>
          </w:tcPr>
          <w:p w:rsidR="00473253" w:rsidRPr="00C04143" w:rsidRDefault="00473253" w:rsidP="00C23FA7">
            <w:pPr>
              <w:jc w:val="both"/>
              <w:rPr>
                <w:color w:val="000000"/>
              </w:rPr>
            </w:pPr>
            <w:r w:rsidRPr="00C04143">
              <w:t> </w:t>
            </w:r>
            <w:r w:rsidR="00C23FA7">
              <w:t xml:space="preserve">Nav. </w:t>
            </w:r>
          </w:p>
        </w:tc>
      </w:tr>
      <w:tr w:rsidR="00473253" w:rsidRPr="00C04143" w:rsidTr="00C23FA7">
        <w:trPr>
          <w:gridAfter w:val="1"/>
          <w:wAfter w:w="173" w:type="pct"/>
        </w:trPr>
        <w:tc>
          <w:tcPr>
            <w:tcW w:w="2146" w:type="pct"/>
            <w:gridSpan w:val="2"/>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both"/>
              <w:rPr>
                <w:color w:val="000000"/>
              </w:rPr>
            </w:pPr>
            <w:r w:rsidRPr="00C04143">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681" w:type="pct"/>
            <w:gridSpan w:val="3"/>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t> Nav. Projekts paredz koordinējošajai institūcijai sniegt Eiropas Savienības Padomei pārskatu par saņemto finanšu līdzekļu izlietojumu.</w:t>
            </w:r>
          </w:p>
        </w:tc>
      </w:tr>
      <w:tr w:rsidR="00473253" w:rsidRPr="00C04143" w:rsidTr="00C23FA7">
        <w:trPr>
          <w:gridAfter w:val="1"/>
          <w:wAfter w:w="173" w:type="pct"/>
        </w:trPr>
        <w:tc>
          <w:tcPr>
            <w:tcW w:w="2146" w:type="pct"/>
            <w:gridSpan w:val="2"/>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Cita informācija</w:t>
            </w:r>
          </w:p>
        </w:tc>
        <w:tc>
          <w:tcPr>
            <w:tcW w:w="2681" w:type="pct"/>
            <w:gridSpan w:val="3"/>
            <w:tcBorders>
              <w:top w:val="outset" w:sz="6" w:space="0" w:color="000000"/>
              <w:left w:val="outset" w:sz="6" w:space="0" w:color="000000"/>
              <w:bottom w:val="outset" w:sz="6" w:space="0" w:color="000000"/>
              <w:right w:val="outset" w:sz="6" w:space="0" w:color="000000"/>
            </w:tcBorders>
          </w:tcPr>
          <w:p w:rsidR="00473253" w:rsidRPr="00C04143" w:rsidRDefault="00C04143" w:rsidP="00C05447">
            <w:pPr>
              <w:jc w:val="both"/>
              <w:rPr>
                <w:color w:val="000000"/>
              </w:rPr>
            </w:pPr>
            <w:r w:rsidRPr="00C04143">
              <w:rPr>
                <w:color w:val="000000"/>
              </w:rPr>
              <w:t xml:space="preserve"> </w:t>
            </w:r>
            <w:r w:rsidR="00FF487C" w:rsidRPr="00DB38F4">
              <w:t xml:space="preserve">Projekts atbilst </w:t>
            </w:r>
            <w:r w:rsidR="00FF487C" w:rsidRPr="00DB38F4">
              <w:rPr>
                <w:iCs/>
              </w:rPr>
              <w:t>L</w:t>
            </w:r>
            <w:r w:rsidR="00FF487C" w:rsidRPr="00DB38F4">
              <w:t xml:space="preserve">ēmumam 32/2011 un </w:t>
            </w:r>
            <w:r w:rsidR="00FF487C" w:rsidRPr="00DB38F4">
              <w:rPr>
                <w:lang w:eastAsia="en-US"/>
              </w:rPr>
              <w:t>Lēmuma 32/2011 īstenošanas noteikumiem</w:t>
            </w:r>
            <w:r w:rsidR="00FF487C" w:rsidRPr="00DB38F4">
              <w:t>, kas nav uzskatāmi par Eiropas Savienības tiesību aktiem.</w:t>
            </w:r>
          </w:p>
        </w:tc>
      </w:tr>
    </w:tbl>
    <w:p w:rsidR="00730BFD" w:rsidRDefault="00473253" w:rsidP="00473253">
      <w:pPr>
        <w:jc w:val="both"/>
        <w:rPr>
          <w:color w:val="000000"/>
        </w:rPr>
      </w:pPr>
      <w:r w:rsidRPr="00C04143">
        <w:rPr>
          <w:color w:val="000000"/>
        </w:rPr>
        <w:t> </w:t>
      </w:r>
    </w:p>
    <w:tbl>
      <w:tblPr>
        <w:tblW w:w="497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042"/>
        <w:gridCol w:w="3043"/>
        <w:gridCol w:w="2960"/>
      </w:tblGrid>
      <w:tr w:rsidR="00473253" w:rsidRPr="00C04143" w:rsidTr="00B349A2">
        <w:trPr>
          <w:trHeight w:val="1149"/>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b/>
                <w:bCs/>
                <w:color w:val="000000"/>
              </w:rPr>
            </w:pPr>
            <w:r w:rsidRPr="00C04143">
              <w:rPr>
                <w:b/>
                <w:bCs/>
                <w:color w:val="000000"/>
              </w:rPr>
              <w:t>2.tabula</w:t>
            </w:r>
            <w:r w:rsidRPr="00C04143">
              <w:rPr>
                <w:b/>
                <w:bCs/>
                <w:color w:val="000000"/>
              </w:rPr>
              <w:br/>
              <w:t>Ar tiesību akta projektu uzņemtās saistības, kas izriet no starptautiskajiem tiesību aktiem vai starptautiskas institūcijas vai organizācijas dokumentiem</w:t>
            </w:r>
            <w:r w:rsidRPr="00C04143">
              <w:rPr>
                <w:b/>
                <w:bCs/>
                <w:color w:val="000000"/>
              </w:rPr>
              <w:br/>
              <w:t>Pasākumi šo saistību izpildei</w:t>
            </w:r>
          </w:p>
        </w:tc>
      </w:tr>
      <w:tr w:rsidR="00473253" w:rsidRPr="00C04143" w:rsidTr="00B349A2">
        <w:trPr>
          <w:trHeight w:val="299"/>
        </w:trPr>
        <w:tc>
          <w:tcPr>
            <w:tcW w:w="0" w:type="auto"/>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both"/>
              <w:rPr>
                <w:color w:val="000000"/>
              </w:rPr>
            </w:pPr>
            <w:r w:rsidRPr="00C04143">
              <w:t> Nav attiecināms</w:t>
            </w:r>
          </w:p>
        </w:tc>
        <w:tc>
          <w:tcPr>
            <w:tcW w:w="3318" w:type="pct"/>
            <w:gridSpan w:val="2"/>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t> Nav attiecināms</w:t>
            </w:r>
          </w:p>
        </w:tc>
      </w:tr>
      <w:tr w:rsidR="00473253" w:rsidRPr="00C04143" w:rsidTr="00B349A2">
        <w:trPr>
          <w:trHeight w:val="283"/>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r w:rsidRPr="00C04143">
              <w:t> </w:t>
            </w:r>
          </w:p>
        </w:tc>
      </w:tr>
      <w:tr w:rsidR="00473253" w:rsidRPr="00C04143" w:rsidTr="00B349A2">
        <w:trPr>
          <w:trHeight w:val="299"/>
        </w:trPr>
        <w:tc>
          <w:tcPr>
            <w:tcW w:w="0" w:type="auto"/>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color w:val="000000"/>
              </w:rPr>
            </w:pPr>
            <w:r w:rsidRPr="00C04143">
              <w:rPr>
                <w:color w:val="000000"/>
              </w:rPr>
              <w:t>A</w:t>
            </w:r>
          </w:p>
        </w:tc>
        <w:tc>
          <w:tcPr>
            <w:tcW w:w="0" w:type="auto"/>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color w:val="000000"/>
              </w:rPr>
            </w:pPr>
            <w:r w:rsidRPr="00C04143">
              <w:rPr>
                <w:color w:val="000000"/>
              </w:rPr>
              <w:t>B</w:t>
            </w:r>
          </w:p>
        </w:tc>
        <w:tc>
          <w:tcPr>
            <w:tcW w:w="1636" w:type="pct"/>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center"/>
              <w:rPr>
                <w:color w:val="000000"/>
              </w:rPr>
            </w:pPr>
            <w:r w:rsidRPr="00C04143">
              <w:rPr>
                <w:color w:val="000000"/>
              </w:rPr>
              <w:t>C</w:t>
            </w:r>
          </w:p>
        </w:tc>
      </w:tr>
      <w:tr w:rsidR="00473253" w:rsidRPr="00C04143" w:rsidTr="00B349A2">
        <w:trPr>
          <w:trHeight w:val="283"/>
        </w:trPr>
        <w:tc>
          <w:tcPr>
            <w:tcW w:w="0" w:type="auto"/>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both"/>
              <w:rPr>
                <w:color w:val="000000"/>
              </w:rPr>
            </w:pPr>
            <w:r w:rsidRPr="00C04143">
              <w:t> Nav attiecināms</w:t>
            </w:r>
          </w:p>
        </w:tc>
        <w:tc>
          <w:tcPr>
            <w:tcW w:w="0" w:type="auto"/>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both"/>
              <w:rPr>
                <w:color w:val="000000"/>
              </w:rPr>
            </w:pPr>
            <w:r w:rsidRPr="00C04143">
              <w:t> Nav attiecināms</w:t>
            </w:r>
          </w:p>
        </w:tc>
        <w:tc>
          <w:tcPr>
            <w:tcW w:w="1636" w:type="pct"/>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jc w:val="both"/>
              <w:rPr>
                <w:color w:val="000000"/>
              </w:rPr>
            </w:pPr>
            <w:r w:rsidRPr="00C04143">
              <w:t> Nav attiecināms</w:t>
            </w:r>
          </w:p>
        </w:tc>
      </w:tr>
    </w:tbl>
    <w:p w:rsidR="00473253" w:rsidRPr="00C04143" w:rsidRDefault="00473253" w:rsidP="00473253"/>
    <w:tbl>
      <w:tblPr>
        <w:tblW w:w="495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128"/>
        <w:gridCol w:w="2881"/>
      </w:tblGrid>
      <w:tr w:rsidR="00473253" w:rsidRPr="00C04143" w:rsidTr="00B349A2">
        <w:tc>
          <w:tcPr>
            <w:tcW w:w="3401" w:type="pct"/>
            <w:tcBorders>
              <w:top w:val="outset" w:sz="6" w:space="0" w:color="000000"/>
              <w:left w:val="outset" w:sz="6" w:space="0" w:color="000000"/>
              <w:bottom w:val="outset" w:sz="6" w:space="0" w:color="000000"/>
              <w:right w:val="outset" w:sz="6" w:space="0" w:color="000000"/>
            </w:tcBorders>
            <w:vAlign w:val="center"/>
          </w:tcPr>
          <w:p w:rsidR="00473253" w:rsidRPr="00C04143" w:rsidRDefault="00473253" w:rsidP="00C05447">
            <w:pPr>
              <w:rPr>
                <w:color w:val="000000"/>
              </w:rPr>
            </w:pPr>
            <w:r w:rsidRPr="00C04143">
              <w:rPr>
                <w:color w:val="000000"/>
              </w:rPr>
              <w:t>Vai starptautiskajā dokumentā paredzētās saistības nav pretrunā ar jau esošajām Latvijas Republikas starptautiskajām saistībām</w:t>
            </w:r>
          </w:p>
        </w:tc>
        <w:tc>
          <w:tcPr>
            <w:tcW w:w="1599" w:type="pct"/>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t>Nav pretrunā.</w:t>
            </w:r>
          </w:p>
        </w:tc>
      </w:tr>
      <w:tr w:rsidR="00473253" w:rsidRPr="00C04143" w:rsidTr="00B349A2">
        <w:tc>
          <w:tcPr>
            <w:tcW w:w="3401" w:type="pct"/>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lastRenderedPageBreak/>
              <w:t>Cita informācija</w:t>
            </w:r>
          </w:p>
        </w:tc>
        <w:tc>
          <w:tcPr>
            <w:tcW w:w="1599" w:type="pct"/>
            <w:tcBorders>
              <w:top w:val="outset" w:sz="6" w:space="0" w:color="000000"/>
              <w:left w:val="outset" w:sz="6" w:space="0" w:color="000000"/>
              <w:bottom w:val="outset" w:sz="6" w:space="0" w:color="000000"/>
              <w:right w:val="outset" w:sz="6" w:space="0" w:color="000000"/>
            </w:tcBorders>
          </w:tcPr>
          <w:p w:rsidR="00473253" w:rsidRPr="00C04143" w:rsidRDefault="00473253" w:rsidP="00C05447">
            <w:pPr>
              <w:jc w:val="both"/>
              <w:rPr>
                <w:color w:val="000000"/>
              </w:rPr>
            </w:pPr>
            <w:r w:rsidRPr="00C04143">
              <w:rPr>
                <w:color w:val="000000"/>
              </w:rPr>
              <w:t>Nav</w:t>
            </w:r>
          </w:p>
        </w:tc>
      </w:tr>
    </w:tbl>
    <w:p w:rsidR="00CB1645" w:rsidRPr="00C04143" w:rsidRDefault="00CB1645" w:rsidP="00BF7970">
      <w:pPr>
        <w:jc w:val="both"/>
        <w:rPr>
          <w:color w:val="000000"/>
        </w:rPr>
      </w:pPr>
      <w:r w:rsidRPr="00C04143">
        <w:rPr>
          <w:color w:val="000000"/>
        </w:rPr>
        <w:t> </w:t>
      </w:r>
    </w:p>
    <w:tbl>
      <w:tblPr>
        <w:tblW w:w="494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5034"/>
        <w:gridCol w:w="3757"/>
      </w:tblGrid>
      <w:tr w:rsidR="00CB1645" w:rsidRPr="00C04143" w:rsidTr="00B349A2">
        <w:tc>
          <w:tcPr>
            <w:tcW w:w="5000" w:type="pct"/>
            <w:gridSpan w:val="3"/>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center"/>
              <w:rPr>
                <w:b/>
                <w:bCs/>
                <w:color w:val="000000"/>
              </w:rPr>
            </w:pPr>
            <w:r w:rsidRPr="00C04143">
              <w:rPr>
                <w:b/>
                <w:bCs/>
                <w:color w:val="000000"/>
              </w:rPr>
              <w:t>VII. Tiesību akta projekta izpildes nodrošināšana un tās ietekme uz institūcijām</w:t>
            </w:r>
          </w:p>
        </w:tc>
      </w:tr>
      <w:tr w:rsidR="00BF7970" w:rsidRPr="00C04143" w:rsidTr="00B349A2">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1.</w:t>
            </w:r>
          </w:p>
        </w:tc>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Projekta izpildē iesaistītās institūcijas</w:t>
            </w:r>
          </w:p>
        </w:tc>
        <w:tc>
          <w:tcPr>
            <w:tcW w:w="2092" w:type="pct"/>
            <w:tcBorders>
              <w:top w:val="outset" w:sz="6" w:space="0" w:color="000000"/>
              <w:left w:val="outset" w:sz="6" w:space="0" w:color="000000"/>
              <w:bottom w:val="outset" w:sz="6" w:space="0" w:color="000000"/>
              <w:right w:val="outset" w:sz="6" w:space="0" w:color="000000"/>
            </w:tcBorders>
          </w:tcPr>
          <w:p w:rsidR="00CB1645" w:rsidRPr="00C04143" w:rsidRDefault="003B6FF6" w:rsidP="00E55096">
            <w:pPr>
              <w:rPr>
                <w:color w:val="000000"/>
              </w:rPr>
            </w:pPr>
            <w:r w:rsidRPr="00C04143">
              <w:rPr>
                <w:color w:val="000000"/>
              </w:rPr>
              <w:t>Visas tiešās valsts pārvaldes iestādes</w:t>
            </w:r>
            <w:r>
              <w:rPr>
                <w:color w:val="000000"/>
              </w:rPr>
              <w:t>.</w:t>
            </w:r>
          </w:p>
        </w:tc>
      </w:tr>
      <w:tr w:rsidR="00BF7970" w:rsidRPr="00C04143" w:rsidTr="00B349A2">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2.</w:t>
            </w:r>
          </w:p>
        </w:tc>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Projekta izpildes ietekme uz pārvaldes funkcijām</w:t>
            </w:r>
          </w:p>
        </w:tc>
        <w:tc>
          <w:tcPr>
            <w:tcW w:w="2092" w:type="pct"/>
            <w:tcBorders>
              <w:top w:val="outset" w:sz="6" w:space="0" w:color="000000"/>
              <w:left w:val="outset" w:sz="6" w:space="0" w:color="000000"/>
              <w:bottom w:val="outset" w:sz="6" w:space="0" w:color="000000"/>
              <w:right w:val="outset" w:sz="6" w:space="0" w:color="000000"/>
            </w:tcBorders>
          </w:tcPr>
          <w:p w:rsidR="00CB1645" w:rsidRPr="00C04143" w:rsidRDefault="00BF7970" w:rsidP="00BF7970">
            <w:pPr>
              <w:rPr>
                <w:color w:val="000000"/>
              </w:rPr>
            </w:pPr>
            <w:r w:rsidRPr="00C04143">
              <w:rPr>
                <w:color w:val="000000"/>
              </w:rPr>
              <w:t xml:space="preserve">Projekts nemaina iesaistīto institūciju </w:t>
            </w:r>
            <w:r w:rsidR="000466DB" w:rsidRPr="00C04143">
              <w:rPr>
                <w:color w:val="000000"/>
              </w:rPr>
              <w:t>funkcijas.</w:t>
            </w:r>
          </w:p>
        </w:tc>
      </w:tr>
      <w:tr w:rsidR="00BF7970" w:rsidRPr="00C04143" w:rsidTr="00B349A2">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3.</w:t>
            </w:r>
          </w:p>
        </w:tc>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Projekta izpildes ietekme uz pārvaldes institucionālo struktūru.</w:t>
            </w:r>
          </w:p>
          <w:p w:rsidR="00CB1645" w:rsidRPr="00C04143" w:rsidRDefault="00CB1645" w:rsidP="00BF7970">
            <w:pPr>
              <w:rPr>
                <w:color w:val="000000"/>
              </w:rPr>
            </w:pPr>
            <w:r w:rsidRPr="00C04143">
              <w:rPr>
                <w:color w:val="000000"/>
              </w:rPr>
              <w:t>Jaunu institūciju izveide</w:t>
            </w:r>
          </w:p>
        </w:tc>
        <w:tc>
          <w:tcPr>
            <w:tcW w:w="2092" w:type="pct"/>
            <w:tcBorders>
              <w:top w:val="outset" w:sz="6" w:space="0" w:color="000000"/>
              <w:left w:val="outset" w:sz="6" w:space="0" w:color="000000"/>
              <w:bottom w:val="outset" w:sz="6" w:space="0" w:color="000000"/>
              <w:right w:val="outset" w:sz="6" w:space="0" w:color="000000"/>
            </w:tcBorders>
          </w:tcPr>
          <w:p w:rsidR="00BF7970" w:rsidRPr="00DB38F4" w:rsidRDefault="00F731BA" w:rsidP="00BF7970">
            <w:pPr>
              <w:spacing w:before="100" w:beforeAutospacing="1" w:after="100" w:afterAutospacing="1"/>
              <w:rPr>
                <w:color w:val="000000"/>
              </w:rPr>
            </w:pPr>
            <w:r w:rsidRPr="00DB38F4">
              <w:rPr>
                <w:color w:val="000000"/>
              </w:rPr>
              <w:t xml:space="preserve">Minēto grozījumu nodrošināšanai </w:t>
            </w:r>
            <w:r w:rsidR="00157192" w:rsidRPr="00DB38F4">
              <w:rPr>
                <w:color w:val="000000"/>
              </w:rPr>
              <w:t xml:space="preserve">Ārlietu ministrijā ir paredzēts izveidot vienu </w:t>
            </w:r>
            <w:r w:rsidR="007837A8" w:rsidRPr="00DB38F4">
              <w:rPr>
                <w:color w:val="000000"/>
              </w:rPr>
              <w:t xml:space="preserve">papildus </w:t>
            </w:r>
            <w:r w:rsidR="00157192" w:rsidRPr="00DB38F4">
              <w:rPr>
                <w:color w:val="000000"/>
              </w:rPr>
              <w:t>štata vietu Finanšu politikas departamentā.</w:t>
            </w:r>
          </w:p>
          <w:p w:rsidR="007C7A30" w:rsidRPr="00C04143" w:rsidRDefault="00BF7970" w:rsidP="00BF7970">
            <w:pPr>
              <w:rPr>
                <w:color w:val="000000"/>
              </w:rPr>
            </w:pPr>
            <w:r w:rsidRPr="00C04143">
              <w:rPr>
                <w:color w:val="000000"/>
              </w:rPr>
              <w:t>Jaunas institūcijas netiek paredzētas.</w:t>
            </w:r>
          </w:p>
        </w:tc>
      </w:tr>
      <w:tr w:rsidR="00BF7970" w:rsidRPr="00C04143" w:rsidTr="00B349A2">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4.</w:t>
            </w:r>
          </w:p>
        </w:tc>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Projekta izpildes ietekme uz pārvaldes institucionālo struktūru.</w:t>
            </w:r>
          </w:p>
          <w:p w:rsidR="00CB1645" w:rsidRPr="00C04143" w:rsidRDefault="00CB1645" w:rsidP="00BF7970">
            <w:pPr>
              <w:rPr>
                <w:color w:val="000000"/>
              </w:rPr>
            </w:pPr>
            <w:r w:rsidRPr="00C04143">
              <w:rPr>
                <w:color w:val="000000"/>
              </w:rPr>
              <w:t>Esošu institūciju likvidācija</w:t>
            </w:r>
          </w:p>
        </w:tc>
        <w:tc>
          <w:tcPr>
            <w:tcW w:w="2092" w:type="pct"/>
            <w:tcBorders>
              <w:top w:val="outset" w:sz="6" w:space="0" w:color="000000"/>
              <w:left w:val="outset" w:sz="6" w:space="0" w:color="000000"/>
              <w:bottom w:val="outset" w:sz="6" w:space="0" w:color="000000"/>
              <w:right w:val="outset" w:sz="6" w:space="0" w:color="000000"/>
            </w:tcBorders>
          </w:tcPr>
          <w:p w:rsidR="00BF7970" w:rsidRPr="00C04143" w:rsidRDefault="00BF7970" w:rsidP="00BF7970">
            <w:pPr>
              <w:spacing w:before="100" w:beforeAutospacing="1" w:after="100" w:afterAutospacing="1"/>
              <w:rPr>
                <w:color w:val="000000"/>
              </w:rPr>
            </w:pPr>
            <w:r w:rsidRPr="00C04143">
              <w:rPr>
                <w:color w:val="000000"/>
              </w:rPr>
              <w:t>Nav ietekmes.</w:t>
            </w:r>
          </w:p>
          <w:p w:rsidR="00CB1645" w:rsidRPr="00C04143" w:rsidRDefault="00BF7970" w:rsidP="00BF7970">
            <w:pPr>
              <w:rPr>
                <w:color w:val="000000"/>
              </w:rPr>
            </w:pPr>
            <w:r w:rsidRPr="00C04143">
              <w:rPr>
                <w:color w:val="000000"/>
              </w:rPr>
              <w:t>Institūcijas netiek likvidētas.</w:t>
            </w:r>
          </w:p>
        </w:tc>
      </w:tr>
      <w:tr w:rsidR="00BF7970" w:rsidRPr="00C04143" w:rsidTr="00B349A2">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5.</w:t>
            </w:r>
          </w:p>
        </w:tc>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rPr>
                <w:color w:val="000000"/>
              </w:rPr>
            </w:pPr>
            <w:r w:rsidRPr="00C04143">
              <w:rPr>
                <w:color w:val="000000"/>
              </w:rPr>
              <w:t>Projekta izpildes ietekme uz pārvaldes institucionālo struktūru.</w:t>
            </w:r>
          </w:p>
          <w:p w:rsidR="00CB1645" w:rsidRPr="00C04143" w:rsidRDefault="00CB1645" w:rsidP="00BF7970">
            <w:pPr>
              <w:rPr>
                <w:color w:val="000000"/>
              </w:rPr>
            </w:pPr>
            <w:r w:rsidRPr="00C04143">
              <w:rPr>
                <w:color w:val="000000"/>
              </w:rPr>
              <w:t>Esošu institūciju reorganizācija</w:t>
            </w:r>
          </w:p>
        </w:tc>
        <w:tc>
          <w:tcPr>
            <w:tcW w:w="2092" w:type="pct"/>
            <w:tcBorders>
              <w:top w:val="outset" w:sz="6" w:space="0" w:color="000000"/>
              <w:left w:val="outset" w:sz="6" w:space="0" w:color="000000"/>
              <w:bottom w:val="outset" w:sz="6" w:space="0" w:color="000000"/>
              <w:right w:val="outset" w:sz="6" w:space="0" w:color="000000"/>
            </w:tcBorders>
          </w:tcPr>
          <w:p w:rsidR="00BF7970" w:rsidRPr="00C04143" w:rsidRDefault="00BF7970" w:rsidP="00BF7970">
            <w:pPr>
              <w:spacing w:before="100" w:beforeAutospacing="1" w:after="100" w:afterAutospacing="1"/>
              <w:rPr>
                <w:color w:val="000000"/>
              </w:rPr>
            </w:pPr>
            <w:r w:rsidRPr="00C04143">
              <w:rPr>
                <w:color w:val="000000"/>
              </w:rPr>
              <w:t>Nav ietekmes.</w:t>
            </w:r>
          </w:p>
          <w:p w:rsidR="00CB1645" w:rsidRPr="00C04143" w:rsidRDefault="00BF7970" w:rsidP="00BF7970">
            <w:pPr>
              <w:rPr>
                <w:color w:val="000000"/>
              </w:rPr>
            </w:pPr>
            <w:r w:rsidRPr="00C04143">
              <w:rPr>
                <w:color w:val="000000"/>
              </w:rPr>
              <w:t>Institūcijas netiek reorganizētas.</w:t>
            </w:r>
          </w:p>
        </w:tc>
      </w:tr>
      <w:tr w:rsidR="00BF7970" w:rsidRPr="00C04143" w:rsidTr="00B349A2">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6.</w:t>
            </w:r>
          </w:p>
        </w:tc>
        <w:tc>
          <w:tcPr>
            <w:tcW w:w="0" w:type="auto"/>
            <w:tcBorders>
              <w:top w:val="outset" w:sz="6" w:space="0" w:color="000000"/>
              <w:left w:val="outset" w:sz="6" w:space="0" w:color="000000"/>
              <w:bottom w:val="outset" w:sz="6" w:space="0" w:color="000000"/>
              <w:right w:val="outset" w:sz="6" w:space="0" w:color="000000"/>
            </w:tcBorders>
          </w:tcPr>
          <w:p w:rsidR="00CB1645" w:rsidRPr="00C04143" w:rsidRDefault="00CB1645" w:rsidP="00BF7970">
            <w:pPr>
              <w:jc w:val="both"/>
              <w:rPr>
                <w:color w:val="000000"/>
              </w:rPr>
            </w:pPr>
            <w:r w:rsidRPr="00C04143">
              <w:rPr>
                <w:color w:val="000000"/>
              </w:rPr>
              <w:t>Cita informācija</w:t>
            </w:r>
          </w:p>
        </w:tc>
        <w:tc>
          <w:tcPr>
            <w:tcW w:w="2092" w:type="pct"/>
            <w:tcBorders>
              <w:top w:val="outset" w:sz="6" w:space="0" w:color="000000"/>
              <w:left w:val="outset" w:sz="6" w:space="0" w:color="000000"/>
              <w:bottom w:val="outset" w:sz="6" w:space="0" w:color="000000"/>
              <w:right w:val="outset" w:sz="6" w:space="0" w:color="000000"/>
            </w:tcBorders>
          </w:tcPr>
          <w:p w:rsidR="00CB1645" w:rsidRPr="00C04143" w:rsidRDefault="00BF7970" w:rsidP="00BF7970">
            <w:pPr>
              <w:jc w:val="both"/>
              <w:rPr>
                <w:color w:val="000000"/>
              </w:rPr>
            </w:pPr>
            <w:r w:rsidRPr="00C04143">
              <w:rPr>
                <w:color w:val="000000"/>
              </w:rPr>
              <w:t>Nav</w:t>
            </w:r>
          </w:p>
        </w:tc>
      </w:tr>
    </w:tbl>
    <w:p w:rsidR="007C7A30" w:rsidRDefault="007C7A30" w:rsidP="00BF7970"/>
    <w:p w:rsidR="00DB38F4" w:rsidRDefault="00DB38F4" w:rsidP="00BF7970"/>
    <w:p w:rsidR="00DB38F4" w:rsidRPr="00C04143" w:rsidRDefault="00DB38F4" w:rsidP="00BF7970"/>
    <w:p w:rsidR="00234FDB" w:rsidRDefault="00C94171" w:rsidP="00C94171">
      <w:pPr>
        <w:spacing w:after="120"/>
        <w:rPr>
          <w:color w:val="000000"/>
        </w:rPr>
      </w:pPr>
      <w:r w:rsidRPr="00C04143">
        <w:rPr>
          <w:color w:val="000000"/>
        </w:rPr>
        <w:t>Ārlietu ministr</w:t>
      </w:r>
      <w:r w:rsidR="00234FDB">
        <w:rPr>
          <w:color w:val="000000"/>
        </w:rPr>
        <w:t>a vietā</w:t>
      </w:r>
    </w:p>
    <w:p w:rsidR="00C94171" w:rsidRPr="00C04143" w:rsidRDefault="00234FDB" w:rsidP="00C94171">
      <w:pPr>
        <w:spacing w:after="120"/>
        <w:rPr>
          <w:color w:val="000000"/>
        </w:rPr>
      </w:pPr>
      <w:r>
        <w:rPr>
          <w:color w:val="000000"/>
        </w:rPr>
        <w:t>Aizsardzības ministrs</w:t>
      </w:r>
      <w:r w:rsidR="00C94171" w:rsidRPr="00C04143">
        <w:rPr>
          <w:color w:val="000000"/>
        </w:rPr>
        <w:t xml:space="preserve"> </w:t>
      </w:r>
      <w:r w:rsidR="00C94171" w:rsidRPr="00C04143">
        <w:rPr>
          <w:color w:val="000000"/>
        </w:rPr>
        <w:tab/>
      </w:r>
      <w:r w:rsidR="00C94171" w:rsidRPr="00C04143">
        <w:rPr>
          <w:color w:val="000000"/>
        </w:rPr>
        <w:tab/>
      </w:r>
      <w:r w:rsidR="00C94171" w:rsidRPr="00C04143">
        <w:rPr>
          <w:color w:val="000000"/>
        </w:rPr>
        <w:tab/>
      </w:r>
      <w:r w:rsidR="00C94171" w:rsidRPr="00C04143">
        <w:rPr>
          <w:color w:val="000000"/>
        </w:rPr>
        <w:tab/>
      </w:r>
      <w:r w:rsidR="00C94171" w:rsidRPr="00C04143">
        <w:rPr>
          <w:color w:val="000000"/>
        </w:rPr>
        <w:tab/>
      </w:r>
      <w:r w:rsidR="00C94171" w:rsidRPr="00C04143">
        <w:rPr>
          <w:color w:val="000000"/>
        </w:rPr>
        <w:tab/>
      </w:r>
      <w:r w:rsidR="00C94171" w:rsidRPr="00C04143">
        <w:rPr>
          <w:color w:val="000000"/>
        </w:rPr>
        <w:tab/>
      </w:r>
      <w:r>
        <w:rPr>
          <w:color w:val="000000"/>
        </w:rPr>
        <w:t>A</w:t>
      </w:r>
      <w:r w:rsidR="00C94171" w:rsidRPr="00C04143">
        <w:rPr>
          <w:color w:val="000000"/>
        </w:rPr>
        <w:t xml:space="preserve">. </w:t>
      </w:r>
      <w:proofErr w:type="spellStart"/>
      <w:r>
        <w:rPr>
          <w:color w:val="000000"/>
        </w:rPr>
        <w:t>Pabriks</w:t>
      </w:r>
      <w:proofErr w:type="spellEnd"/>
    </w:p>
    <w:p w:rsidR="00C94171" w:rsidRDefault="00C94171" w:rsidP="00C94171">
      <w:pPr>
        <w:spacing w:after="120"/>
        <w:rPr>
          <w:color w:val="000000"/>
        </w:rPr>
      </w:pPr>
    </w:p>
    <w:p w:rsidR="00C94171" w:rsidRPr="00C04143" w:rsidRDefault="00C94171" w:rsidP="00C94171">
      <w:pPr>
        <w:spacing w:after="120"/>
        <w:rPr>
          <w:color w:val="000000"/>
        </w:rPr>
      </w:pPr>
    </w:p>
    <w:p w:rsidR="00C94171" w:rsidRPr="00C04143" w:rsidRDefault="00C94171" w:rsidP="00C94171">
      <w:pPr>
        <w:spacing w:after="120"/>
        <w:rPr>
          <w:color w:val="000000"/>
        </w:rPr>
      </w:pPr>
      <w:r w:rsidRPr="00C04143">
        <w:rPr>
          <w:color w:val="000000"/>
        </w:rPr>
        <w:t>Vīza: valsts sekretār</w:t>
      </w:r>
      <w:r w:rsidR="00AB44D0">
        <w:rPr>
          <w:color w:val="000000"/>
        </w:rPr>
        <w:t>s</w:t>
      </w:r>
      <w:r w:rsidR="00AB44D0">
        <w:rPr>
          <w:color w:val="000000"/>
        </w:rPr>
        <w:tab/>
      </w:r>
      <w:r w:rsidR="00AB44D0">
        <w:rPr>
          <w:color w:val="000000"/>
        </w:rPr>
        <w:tab/>
      </w:r>
      <w:r w:rsidRPr="00C04143">
        <w:rPr>
          <w:color w:val="000000"/>
        </w:rPr>
        <w:tab/>
      </w:r>
      <w:r w:rsidRPr="00C04143">
        <w:rPr>
          <w:color w:val="000000"/>
        </w:rPr>
        <w:tab/>
      </w:r>
      <w:r w:rsidRPr="00C04143">
        <w:rPr>
          <w:color w:val="000000"/>
        </w:rPr>
        <w:tab/>
      </w:r>
      <w:r w:rsidRPr="00C04143">
        <w:rPr>
          <w:color w:val="000000"/>
        </w:rPr>
        <w:tab/>
      </w:r>
      <w:r w:rsidRPr="00C04143">
        <w:rPr>
          <w:color w:val="000000"/>
        </w:rPr>
        <w:tab/>
        <w:t xml:space="preserve">A. </w:t>
      </w:r>
      <w:r w:rsidR="00AB44D0">
        <w:rPr>
          <w:color w:val="000000"/>
        </w:rPr>
        <w:t>Teikmanis</w:t>
      </w:r>
    </w:p>
    <w:p w:rsidR="00C04143" w:rsidRDefault="00C04143" w:rsidP="00E618ED">
      <w:pPr>
        <w:rPr>
          <w:color w:val="000000"/>
          <w:sz w:val="20"/>
          <w:szCs w:val="20"/>
        </w:rPr>
      </w:pPr>
    </w:p>
    <w:p w:rsidR="00C04143" w:rsidRDefault="00C04143" w:rsidP="00E618ED">
      <w:pPr>
        <w:rPr>
          <w:color w:val="000000"/>
          <w:sz w:val="20"/>
          <w:szCs w:val="20"/>
        </w:rPr>
      </w:pPr>
    </w:p>
    <w:p w:rsidR="003B676F" w:rsidRPr="00346E57" w:rsidRDefault="006A2763" w:rsidP="003B676F">
      <w:pPr>
        <w:pStyle w:val="naisf"/>
        <w:spacing w:before="0" w:beforeAutospacing="0" w:after="0" w:afterAutospacing="0"/>
        <w:rPr>
          <w:sz w:val="20"/>
          <w:szCs w:val="20"/>
          <w:lang w:val="lv-LV"/>
        </w:rPr>
      </w:pPr>
      <w:r>
        <w:rPr>
          <w:sz w:val="20"/>
          <w:szCs w:val="20"/>
          <w:lang w:val="lv-LV"/>
        </w:rPr>
        <w:t>11</w:t>
      </w:r>
      <w:r w:rsidR="00DB38F4">
        <w:rPr>
          <w:sz w:val="20"/>
          <w:szCs w:val="20"/>
          <w:lang w:val="lv-LV"/>
        </w:rPr>
        <w:t>.01</w:t>
      </w:r>
      <w:r w:rsidR="00013000" w:rsidRPr="00346E57">
        <w:rPr>
          <w:sz w:val="20"/>
          <w:szCs w:val="20"/>
          <w:lang w:val="lv-LV"/>
        </w:rPr>
        <w:t>.201</w:t>
      </w:r>
      <w:r w:rsidR="00DB38F4">
        <w:rPr>
          <w:sz w:val="20"/>
          <w:szCs w:val="20"/>
          <w:lang w:val="lv-LV"/>
        </w:rPr>
        <w:t>3</w:t>
      </w:r>
      <w:r w:rsidR="003B676F" w:rsidRPr="00346E57">
        <w:rPr>
          <w:sz w:val="20"/>
          <w:szCs w:val="20"/>
          <w:lang w:val="lv-LV"/>
        </w:rPr>
        <w:t>.</w:t>
      </w:r>
    </w:p>
    <w:p w:rsidR="003B676F" w:rsidRPr="00346E57" w:rsidRDefault="00A76322" w:rsidP="003B676F">
      <w:pPr>
        <w:pStyle w:val="naisf"/>
        <w:spacing w:before="0" w:beforeAutospacing="0" w:after="0" w:afterAutospacing="0"/>
        <w:rPr>
          <w:sz w:val="20"/>
          <w:szCs w:val="20"/>
          <w:lang w:val="lv-LV"/>
        </w:rPr>
      </w:pPr>
      <w:r>
        <w:rPr>
          <w:sz w:val="20"/>
          <w:szCs w:val="20"/>
          <w:lang w:val="lv-LV"/>
        </w:rPr>
        <w:t>11</w:t>
      </w:r>
      <w:r w:rsidR="007A0061">
        <w:rPr>
          <w:sz w:val="20"/>
          <w:szCs w:val="20"/>
          <w:lang w:val="lv-LV"/>
        </w:rPr>
        <w:t>6</w:t>
      </w:r>
      <w:r w:rsidR="00234FDB">
        <w:rPr>
          <w:sz w:val="20"/>
          <w:szCs w:val="20"/>
          <w:lang w:val="lv-LV"/>
        </w:rPr>
        <w:t>7</w:t>
      </w:r>
      <w:bookmarkStart w:id="0" w:name="_GoBack"/>
      <w:bookmarkEnd w:id="0"/>
    </w:p>
    <w:p w:rsidR="008649B1" w:rsidRDefault="00783384" w:rsidP="002A51E6">
      <w:pPr>
        <w:rPr>
          <w:color w:val="000000"/>
          <w:sz w:val="20"/>
          <w:szCs w:val="20"/>
        </w:rPr>
      </w:pPr>
      <w:r>
        <w:rPr>
          <w:color w:val="000000"/>
          <w:sz w:val="20"/>
          <w:szCs w:val="20"/>
        </w:rPr>
        <w:t>O.Fridmanis</w:t>
      </w:r>
    </w:p>
    <w:p w:rsidR="00783384" w:rsidRPr="00783384" w:rsidRDefault="00783384" w:rsidP="00783384">
      <w:pPr>
        <w:rPr>
          <w:color w:val="000000"/>
          <w:sz w:val="20"/>
          <w:szCs w:val="20"/>
        </w:rPr>
      </w:pPr>
      <w:proofErr w:type="spellStart"/>
      <w:r w:rsidRPr="00783384">
        <w:rPr>
          <w:color w:val="000000"/>
          <w:sz w:val="20"/>
          <w:szCs w:val="20"/>
        </w:rPr>
        <w:t>Tālr</w:t>
      </w:r>
      <w:proofErr w:type="spellEnd"/>
      <w:r w:rsidRPr="00783384">
        <w:rPr>
          <w:color w:val="000000"/>
          <w:sz w:val="20"/>
          <w:szCs w:val="20"/>
        </w:rPr>
        <w:t>.: 670164</w:t>
      </w:r>
      <w:r>
        <w:rPr>
          <w:color w:val="000000"/>
          <w:sz w:val="20"/>
          <w:szCs w:val="20"/>
        </w:rPr>
        <w:t>8</w:t>
      </w:r>
      <w:r w:rsidRPr="00783384">
        <w:rPr>
          <w:color w:val="000000"/>
          <w:sz w:val="20"/>
          <w:szCs w:val="20"/>
        </w:rPr>
        <w:t>3</w:t>
      </w:r>
    </w:p>
    <w:p w:rsidR="00783384" w:rsidRDefault="00783384" w:rsidP="00783384">
      <w:pPr>
        <w:rPr>
          <w:color w:val="000000"/>
          <w:sz w:val="20"/>
          <w:szCs w:val="20"/>
        </w:rPr>
      </w:pPr>
      <w:r w:rsidRPr="00783384">
        <w:rPr>
          <w:color w:val="000000"/>
          <w:sz w:val="20"/>
          <w:szCs w:val="20"/>
        </w:rPr>
        <w:t xml:space="preserve">E-pasts: </w:t>
      </w:r>
      <w:r>
        <w:rPr>
          <w:color w:val="000000"/>
          <w:sz w:val="20"/>
          <w:szCs w:val="20"/>
        </w:rPr>
        <w:t>oskars.fridmanis@mfa.gov.lv</w:t>
      </w:r>
    </w:p>
    <w:p w:rsidR="002A51E6" w:rsidRPr="00C04143" w:rsidRDefault="002A51E6" w:rsidP="002A51E6">
      <w:pPr>
        <w:rPr>
          <w:color w:val="000000"/>
          <w:sz w:val="20"/>
          <w:szCs w:val="20"/>
        </w:rPr>
      </w:pPr>
      <w:r>
        <w:rPr>
          <w:color w:val="000000"/>
          <w:sz w:val="20"/>
          <w:szCs w:val="20"/>
        </w:rPr>
        <w:t>L.Broka</w:t>
      </w:r>
    </w:p>
    <w:p w:rsidR="002A51E6" w:rsidRPr="00C04143" w:rsidRDefault="002A51E6" w:rsidP="002A51E6">
      <w:pPr>
        <w:rPr>
          <w:color w:val="000000"/>
          <w:sz w:val="20"/>
          <w:szCs w:val="20"/>
        </w:rPr>
      </w:pPr>
      <w:proofErr w:type="spellStart"/>
      <w:r w:rsidRPr="00C04143">
        <w:rPr>
          <w:color w:val="000000"/>
          <w:sz w:val="20"/>
          <w:szCs w:val="20"/>
        </w:rPr>
        <w:t>Tālr</w:t>
      </w:r>
      <w:proofErr w:type="spellEnd"/>
      <w:r w:rsidRPr="00C04143">
        <w:rPr>
          <w:color w:val="000000"/>
          <w:sz w:val="20"/>
          <w:szCs w:val="20"/>
        </w:rPr>
        <w:t xml:space="preserve">.: </w:t>
      </w:r>
      <w:r w:rsidR="009C5E53" w:rsidRPr="00C04143">
        <w:rPr>
          <w:color w:val="000000"/>
          <w:sz w:val="20"/>
          <w:szCs w:val="20"/>
        </w:rPr>
        <w:t>6701640</w:t>
      </w:r>
      <w:r w:rsidR="009C5E53">
        <w:rPr>
          <w:color w:val="000000"/>
          <w:sz w:val="20"/>
          <w:szCs w:val="20"/>
        </w:rPr>
        <w:t>3</w:t>
      </w:r>
    </w:p>
    <w:p w:rsidR="00AB44D0" w:rsidRDefault="002A51E6" w:rsidP="002A51E6">
      <w:pPr>
        <w:rPr>
          <w:color w:val="000000"/>
          <w:sz w:val="20"/>
          <w:szCs w:val="20"/>
        </w:rPr>
      </w:pPr>
      <w:r w:rsidRPr="00C04143">
        <w:rPr>
          <w:color w:val="000000"/>
          <w:sz w:val="20"/>
          <w:szCs w:val="20"/>
        </w:rPr>
        <w:t xml:space="preserve">E-pasts: </w:t>
      </w:r>
      <w:r>
        <w:rPr>
          <w:color w:val="000000"/>
          <w:sz w:val="20"/>
          <w:szCs w:val="20"/>
        </w:rPr>
        <w:t>lelde</w:t>
      </w:r>
      <w:r w:rsidRPr="0019084A">
        <w:rPr>
          <w:color w:val="000000"/>
          <w:sz w:val="20"/>
          <w:szCs w:val="20"/>
        </w:rPr>
        <w:t>.</w:t>
      </w:r>
      <w:r>
        <w:rPr>
          <w:color w:val="000000"/>
          <w:sz w:val="20"/>
          <w:szCs w:val="20"/>
        </w:rPr>
        <w:t>broka</w:t>
      </w:r>
      <w:r w:rsidRPr="0019084A">
        <w:rPr>
          <w:color w:val="000000"/>
          <w:sz w:val="20"/>
          <w:szCs w:val="20"/>
        </w:rPr>
        <w:t>@mfa.gov.lv</w:t>
      </w:r>
    </w:p>
    <w:p w:rsidR="00AB44D0" w:rsidRPr="00AB44D0" w:rsidRDefault="00AB44D0" w:rsidP="00AB44D0">
      <w:pPr>
        <w:rPr>
          <w:sz w:val="20"/>
          <w:szCs w:val="20"/>
        </w:rPr>
      </w:pPr>
    </w:p>
    <w:p w:rsidR="00AB44D0" w:rsidRPr="00AB44D0" w:rsidRDefault="00AB44D0" w:rsidP="00AB44D0">
      <w:pPr>
        <w:rPr>
          <w:sz w:val="20"/>
          <w:szCs w:val="20"/>
        </w:rPr>
      </w:pPr>
    </w:p>
    <w:p w:rsidR="00AB44D0" w:rsidRPr="00AB44D0" w:rsidRDefault="00AB44D0" w:rsidP="00AB44D0">
      <w:pPr>
        <w:rPr>
          <w:sz w:val="20"/>
          <w:szCs w:val="20"/>
        </w:rPr>
      </w:pPr>
    </w:p>
    <w:p w:rsidR="00AB44D0" w:rsidRPr="00AB44D0" w:rsidRDefault="00AB44D0" w:rsidP="00AB44D0">
      <w:pPr>
        <w:rPr>
          <w:sz w:val="20"/>
          <w:szCs w:val="20"/>
        </w:rPr>
      </w:pPr>
    </w:p>
    <w:p w:rsidR="00AB44D0" w:rsidRPr="00AB44D0" w:rsidRDefault="000252C8" w:rsidP="000252C8">
      <w:pPr>
        <w:tabs>
          <w:tab w:val="left" w:pos="1875"/>
        </w:tabs>
        <w:rPr>
          <w:sz w:val="20"/>
          <w:szCs w:val="20"/>
        </w:rPr>
      </w:pPr>
      <w:r>
        <w:rPr>
          <w:sz w:val="20"/>
          <w:szCs w:val="20"/>
        </w:rPr>
        <w:tab/>
      </w:r>
    </w:p>
    <w:p w:rsidR="00AB44D0" w:rsidRPr="00AB44D0" w:rsidRDefault="00AB44D0" w:rsidP="00AB44D0">
      <w:pPr>
        <w:rPr>
          <w:sz w:val="20"/>
          <w:szCs w:val="20"/>
        </w:rPr>
      </w:pPr>
    </w:p>
    <w:p w:rsidR="00AB44D0" w:rsidRDefault="00AB44D0" w:rsidP="00AB44D0">
      <w:pPr>
        <w:rPr>
          <w:sz w:val="20"/>
          <w:szCs w:val="20"/>
        </w:rPr>
      </w:pPr>
    </w:p>
    <w:p w:rsidR="002A51E6" w:rsidRPr="00AB44D0" w:rsidRDefault="00AB44D0" w:rsidP="00AB44D0">
      <w:pPr>
        <w:tabs>
          <w:tab w:val="left" w:pos="3750"/>
        </w:tabs>
        <w:rPr>
          <w:sz w:val="20"/>
          <w:szCs w:val="20"/>
        </w:rPr>
      </w:pPr>
      <w:r>
        <w:rPr>
          <w:sz w:val="20"/>
          <w:szCs w:val="20"/>
        </w:rPr>
        <w:tab/>
      </w:r>
    </w:p>
    <w:sectPr w:rsidR="002A51E6" w:rsidRPr="00AB44D0" w:rsidSect="002A51E6">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B3" w:rsidRDefault="004A49B3" w:rsidP="002E5A46">
      <w:r>
        <w:separator/>
      </w:r>
    </w:p>
  </w:endnote>
  <w:endnote w:type="continuationSeparator" w:id="0">
    <w:p w:rsidR="004A49B3" w:rsidRDefault="004A49B3" w:rsidP="002E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B8" w:rsidRPr="002C2B5C" w:rsidRDefault="002341B8" w:rsidP="002C2B5C">
    <w:pPr>
      <w:tabs>
        <w:tab w:val="left" w:pos="720"/>
      </w:tabs>
      <w:spacing w:after="120"/>
      <w:jc w:val="both"/>
      <w:rPr>
        <w:b/>
        <w:bCs/>
        <w:sz w:val="20"/>
        <w:szCs w:val="20"/>
      </w:rPr>
    </w:pPr>
    <w:r w:rsidRPr="003B676F">
      <w:rPr>
        <w:sz w:val="20"/>
        <w:szCs w:val="20"/>
      </w:rPr>
      <w:t>AMAnot_</w:t>
    </w:r>
    <w:r w:rsidR="006A2763">
      <w:rPr>
        <w:sz w:val="20"/>
        <w:szCs w:val="20"/>
      </w:rPr>
      <w:t>11</w:t>
    </w:r>
    <w:r w:rsidR="00EC0789">
      <w:rPr>
        <w:sz w:val="20"/>
        <w:szCs w:val="20"/>
      </w:rPr>
      <w:t>0113</w:t>
    </w:r>
    <w:r w:rsidRPr="003B676F">
      <w:rPr>
        <w:sz w:val="20"/>
        <w:szCs w:val="20"/>
      </w:rPr>
      <w:t>_ES; Ministru kabineta</w:t>
    </w:r>
    <w:r>
      <w:rPr>
        <w:sz w:val="20"/>
        <w:szCs w:val="20"/>
      </w:rPr>
      <w:t xml:space="preserve"> instrukcijas</w:t>
    </w:r>
    <w:r w:rsidRPr="003B676F">
      <w:rPr>
        <w:sz w:val="20"/>
        <w:szCs w:val="20"/>
      </w:rPr>
      <w:t xml:space="preserve"> projekta </w:t>
    </w:r>
    <w:r w:rsidRPr="0034279C">
      <w:rPr>
        <w:sz w:val="20"/>
        <w:szCs w:val="20"/>
      </w:rPr>
      <w:t>„Grozījumi Ministru kabineta</w:t>
    </w:r>
    <w:r w:rsidRPr="0034279C">
      <w:t xml:space="preserve"> </w:t>
    </w:r>
    <w:r w:rsidRPr="0034279C">
      <w:rPr>
        <w:sz w:val="20"/>
        <w:szCs w:val="20"/>
      </w:rPr>
      <w:t>2010.gada 29.jūnija instrukcijā Nr.6 „</w:t>
    </w:r>
    <w:r w:rsidRPr="001A4C53">
      <w:rPr>
        <w:bCs/>
        <w:iCs/>
        <w:sz w:val="20"/>
        <w:szCs w:val="20"/>
      </w:rPr>
      <w:t>Kārtība</w:t>
    </w:r>
    <w:r w:rsidRPr="001A4C53">
      <w:rPr>
        <w:bCs/>
        <w:sz w:val="20"/>
        <w:szCs w:val="20"/>
      </w:rPr>
      <w:t>, kādā sedzami Latvijas pārstāvju ceļa izdevumi līdz Eiropas Savienības Padomes darba grupu sanāksmju un Eiropas Savienības Padomes sanāksmju norises vietai un atpakaļ</w:t>
    </w:r>
    <w:r>
      <w:rPr>
        <w:bCs/>
        <w:sz w:val="20"/>
        <w:szCs w:val="20"/>
      </w:rPr>
      <w:t xml:space="preserve"> un viesnīcas (naktsmītnes) izdevumi</w:t>
    </w:r>
    <w:r w:rsidRPr="0034279C">
      <w:rPr>
        <w:bCs/>
        <w:color w:val="000000"/>
        <w:sz w:val="20"/>
        <w:szCs w:val="20"/>
      </w:rPr>
      <w:t>””</w:t>
    </w:r>
    <w:r w:rsidRPr="003B676F">
      <w:rPr>
        <w:bCs/>
        <w:color w:val="000000"/>
        <w:sz w:val="20"/>
        <w:szCs w:val="20"/>
      </w:rPr>
      <w:t xml:space="preserve"> </w:t>
    </w:r>
    <w:r w:rsidRPr="003B676F">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3B676F">
        <w:rPr>
          <w:bCs/>
          <w:sz w:val="20"/>
          <w:szCs w:val="20"/>
        </w:rPr>
        <w:t>ziņojums</w:t>
      </w:r>
    </w:smartTag>
    <w:r w:rsidRPr="003B676F">
      <w:rPr>
        <w:bCs/>
        <w:sz w:val="20"/>
        <w:szCs w:val="20"/>
      </w:rPr>
      <w:t xml:space="preserve"> (</w:t>
    </w:r>
    <w:r w:rsidRPr="003B676F">
      <w:rPr>
        <w:sz w:val="20"/>
        <w:szCs w:val="20"/>
      </w:rPr>
      <w:t>anotācija</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B8" w:rsidRPr="002C2B5C" w:rsidRDefault="002341B8" w:rsidP="002C2B5C">
    <w:pPr>
      <w:tabs>
        <w:tab w:val="left" w:pos="720"/>
      </w:tabs>
      <w:spacing w:after="120"/>
      <w:jc w:val="both"/>
      <w:rPr>
        <w:b/>
        <w:bCs/>
        <w:sz w:val="20"/>
        <w:szCs w:val="20"/>
      </w:rPr>
    </w:pPr>
    <w:r w:rsidRPr="003B676F">
      <w:rPr>
        <w:sz w:val="20"/>
        <w:szCs w:val="20"/>
      </w:rPr>
      <w:t>AMAnot_</w:t>
    </w:r>
    <w:r w:rsidR="006A2763">
      <w:rPr>
        <w:sz w:val="20"/>
        <w:szCs w:val="20"/>
      </w:rPr>
      <w:t>11</w:t>
    </w:r>
    <w:r w:rsidR="00EC0789">
      <w:rPr>
        <w:sz w:val="20"/>
        <w:szCs w:val="20"/>
      </w:rPr>
      <w:t>0113</w:t>
    </w:r>
    <w:r w:rsidRPr="003B676F">
      <w:rPr>
        <w:sz w:val="20"/>
        <w:szCs w:val="20"/>
      </w:rPr>
      <w:t>_ES; Ministru kabineta</w:t>
    </w:r>
    <w:r>
      <w:rPr>
        <w:sz w:val="20"/>
        <w:szCs w:val="20"/>
      </w:rPr>
      <w:t xml:space="preserve"> instrukcijas</w:t>
    </w:r>
    <w:r w:rsidRPr="003B676F">
      <w:rPr>
        <w:sz w:val="20"/>
        <w:szCs w:val="20"/>
      </w:rPr>
      <w:t xml:space="preserve"> projekta </w:t>
    </w:r>
    <w:r w:rsidRPr="0034279C">
      <w:rPr>
        <w:sz w:val="20"/>
        <w:szCs w:val="20"/>
      </w:rPr>
      <w:t>„Grozījumi Ministru kabineta</w:t>
    </w:r>
    <w:r w:rsidRPr="0034279C">
      <w:t xml:space="preserve"> </w:t>
    </w:r>
    <w:r w:rsidRPr="0034279C">
      <w:rPr>
        <w:sz w:val="20"/>
        <w:szCs w:val="20"/>
      </w:rPr>
      <w:t>2010.gada 29.jūnija instrukcijā Nr.6 „</w:t>
    </w:r>
    <w:r w:rsidRPr="001A4C53">
      <w:rPr>
        <w:bCs/>
        <w:iCs/>
        <w:sz w:val="20"/>
        <w:szCs w:val="20"/>
      </w:rPr>
      <w:t>Kārtība</w:t>
    </w:r>
    <w:r w:rsidRPr="001A4C53">
      <w:rPr>
        <w:bCs/>
        <w:sz w:val="20"/>
        <w:szCs w:val="20"/>
      </w:rPr>
      <w:t>, kādā sedzami Latvijas pārstāvju ceļa izdevumi līdz Eiropas Savienības Padomes darba grupu sanāksmju un Eiropas Savienības Padomes sanāksmju norises vietai un atpakaļ</w:t>
    </w:r>
    <w:r>
      <w:rPr>
        <w:bCs/>
        <w:sz w:val="20"/>
        <w:szCs w:val="20"/>
      </w:rPr>
      <w:t xml:space="preserve"> un viesnīcas (naktsmītnes) izdevumi</w:t>
    </w:r>
    <w:r w:rsidRPr="0034279C">
      <w:rPr>
        <w:bCs/>
        <w:color w:val="000000"/>
        <w:sz w:val="20"/>
        <w:szCs w:val="20"/>
      </w:rPr>
      <w:t>””</w:t>
    </w:r>
    <w:r w:rsidRPr="003B676F">
      <w:rPr>
        <w:bCs/>
        <w:color w:val="000000"/>
        <w:sz w:val="20"/>
        <w:szCs w:val="20"/>
      </w:rPr>
      <w:t xml:space="preserve"> </w:t>
    </w:r>
    <w:r w:rsidRPr="003B676F">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3B676F">
        <w:rPr>
          <w:bCs/>
          <w:sz w:val="20"/>
          <w:szCs w:val="20"/>
        </w:rPr>
        <w:t>ziņojums</w:t>
      </w:r>
    </w:smartTag>
    <w:r w:rsidRPr="003B676F">
      <w:rPr>
        <w:bCs/>
        <w:sz w:val="20"/>
        <w:szCs w:val="20"/>
      </w:rPr>
      <w:t xml:space="preserve"> (</w:t>
    </w:r>
    <w:r w:rsidRPr="003B676F">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B3" w:rsidRDefault="004A49B3" w:rsidP="002E5A46">
      <w:r>
        <w:separator/>
      </w:r>
    </w:p>
  </w:footnote>
  <w:footnote w:type="continuationSeparator" w:id="0">
    <w:p w:rsidR="004A49B3" w:rsidRDefault="004A49B3" w:rsidP="002E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B8" w:rsidRDefault="002341B8" w:rsidP="00C26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1B8" w:rsidRDefault="00234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B8" w:rsidRDefault="002341B8">
    <w:pPr>
      <w:pStyle w:val="Header"/>
      <w:jc w:val="center"/>
    </w:pPr>
    <w:r>
      <w:fldChar w:fldCharType="begin"/>
    </w:r>
    <w:r>
      <w:instrText xml:space="preserve"> PAGE   \* MERGEFORMAT </w:instrText>
    </w:r>
    <w:r>
      <w:fldChar w:fldCharType="separate"/>
    </w:r>
    <w:r w:rsidR="00234FDB">
      <w:rPr>
        <w:noProof/>
      </w:rPr>
      <w:t>5</w:t>
    </w:r>
    <w:r>
      <w:rPr>
        <w:noProof/>
      </w:rPr>
      <w:fldChar w:fldCharType="end"/>
    </w:r>
  </w:p>
  <w:p w:rsidR="002341B8" w:rsidRDefault="0023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4FE"/>
    <w:multiLevelType w:val="hybridMultilevel"/>
    <w:tmpl w:val="23B68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641C99"/>
    <w:multiLevelType w:val="hybridMultilevel"/>
    <w:tmpl w:val="AA9A7DD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13863A68"/>
    <w:multiLevelType w:val="hybridMultilevel"/>
    <w:tmpl w:val="23B68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45"/>
    <w:rsid w:val="00000D0B"/>
    <w:rsid w:val="00001D84"/>
    <w:rsid w:val="00002DC5"/>
    <w:rsid w:val="00003240"/>
    <w:rsid w:val="0000732A"/>
    <w:rsid w:val="000116A9"/>
    <w:rsid w:val="00011F0E"/>
    <w:rsid w:val="00012557"/>
    <w:rsid w:val="00013000"/>
    <w:rsid w:val="00013215"/>
    <w:rsid w:val="00014438"/>
    <w:rsid w:val="00015039"/>
    <w:rsid w:val="0001507A"/>
    <w:rsid w:val="00015207"/>
    <w:rsid w:val="00015C1A"/>
    <w:rsid w:val="00021B2D"/>
    <w:rsid w:val="00021CCD"/>
    <w:rsid w:val="000235CA"/>
    <w:rsid w:val="00024653"/>
    <w:rsid w:val="000252C8"/>
    <w:rsid w:val="00026AA9"/>
    <w:rsid w:val="0003152B"/>
    <w:rsid w:val="00032DE1"/>
    <w:rsid w:val="000358B7"/>
    <w:rsid w:val="00037867"/>
    <w:rsid w:val="00041985"/>
    <w:rsid w:val="000443DA"/>
    <w:rsid w:val="00046225"/>
    <w:rsid w:val="000466DB"/>
    <w:rsid w:val="00050737"/>
    <w:rsid w:val="00050DA3"/>
    <w:rsid w:val="0005121B"/>
    <w:rsid w:val="000535CF"/>
    <w:rsid w:val="00056CF0"/>
    <w:rsid w:val="00062246"/>
    <w:rsid w:val="00062A1D"/>
    <w:rsid w:val="000637C0"/>
    <w:rsid w:val="00063959"/>
    <w:rsid w:val="00063EE0"/>
    <w:rsid w:val="00063FF3"/>
    <w:rsid w:val="00066A03"/>
    <w:rsid w:val="00066A85"/>
    <w:rsid w:val="000671E4"/>
    <w:rsid w:val="00067577"/>
    <w:rsid w:val="00070179"/>
    <w:rsid w:val="0007033B"/>
    <w:rsid w:val="000718F4"/>
    <w:rsid w:val="0007219C"/>
    <w:rsid w:val="0007227D"/>
    <w:rsid w:val="000735F1"/>
    <w:rsid w:val="00074C65"/>
    <w:rsid w:val="00080864"/>
    <w:rsid w:val="0008136B"/>
    <w:rsid w:val="00083520"/>
    <w:rsid w:val="000851B4"/>
    <w:rsid w:val="00086B15"/>
    <w:rsid w:val="00091D2F"/>
    <w:rsid w:val="00092757"/>
    <w:rsid w:val="00092FDC"/>
    <w:rsid w:val="000940A4"/>
    <w:rsid w:val="000951B1"/>
    <w:rsid w:val="00095DE9"/>
    <w:rsid w:val="00097212"/>
    <w:rsid w:val="000973F2"/>
    <w:rsid w:val="00097528"/>
    <w:rsid w:val="00097853"/>
    <w:rsid w:val="000A08E1"/>
    <w:rsid w:val="000A1070"/>
    <w:rsid w:val="000A11DF"/>
    <w:rsid w:val="000A11FE"/>
    <w:rsid w:val="000A6993"/>
    <w:rsid w:val="000B13BE"/>
    <w:rsid w:val="000B29A9"/>
    <w:rsid w:val="000B591F"/>
    <w:rsid w:val="000B7217"/>
    <w:rsid w:val="000B7FAD"/>
    <w:rsid w:val="000C006D"/>
    <w:rsid w:val="000C0679"/>
    <w:rsid w:val="000C142F"/>
    <w:rsid w:val="000C2598"/>
    <w:rsid w:val="000C390B"/>
    <w:rsid w:val="000C5466"/>
    <w:rsid w:val="000C5BF2"/>
    <w:rsid w:val="000C649A"/>
    <w:rsid w:val="000C77C2"/>
    <w:rsid w:val="000C7BF1"/>
    <w:rsid w:val="000C7FBC"/>
    <w:rsid w:val="000D15C4"/>
    <w:rsid w:val="000D2A3D"/>
    <w:rsid w:val="000D7A2D"/>
    <w:rsid w:val="000E2450"/>
    <w:rsid w:val="000E3CB0"/>
    <w:rsid w:val="000E5590"/>
    <w:rsid w:val="000E565C"/>
    <w:rsid w:val="000E5851"/>
    <w:rsid w:val="000E5A29"/>
    <w:rsid w:val="00100B53"/>
    <w:rsid w:val="00106F63"/>
    <w:rsid w:val="001106FA"/>
    <w:rsid w:val="00112B74"/>
    <w:rsid w:val="00115360"/>
    <w:rsid w:val="00116D6E"/>
    <w:rsid w:val="00117F6B"/>
    <w:rsid w:val="00120397"/>
    <w:rsid w:val="00120BC1"/>
    <w:rsid w:val="00122FBE"/>
    <w:rsid w:val="001236A7"/>
    <w:rsid w:val="001250AB"/>
    <w:rsid w:val="00125F6D"/>
    <w:rsid w:val="001326EB"/>
    <w:rsid w:val="00135226"/>
    <w:rsid w:val="00135986"/>
    <w:rsid w:val="00136312"/>
    <w:rsid w:val="001410FB"/>
    <w:rsid w:val="00144FBE"/>
    <w:rsid w:val="00147B01"/>
    <w:rsid w:val="0015200A"/>
    <w:rsid w:val="001540E9"/>
    <w:rsid w:val="00154192"/>
    <w:rsid w:val="00154D75"/>
    <w:rsid w:val="00154E14"/>
    <w:rsid w:val="0015529A"/>
    <w:rsid w:val="00156073"/>
    <w:rsid w:val="00156C3F"/>
    <w:rsid w:val="00157192"/>
    <w:rsid w:val="001576FB"/>
    <w:rsid w:val="001602E2"/>
    <w:rsid w:val="00167B0D"/>
    <w:rsid w:val="0017061B"/>
    <w:rsid w:val="001723A3"/>
    <w:rsid w:val="00176BA1"/>
    <w:rsid w:val="00187A00"/>
    <w:rsid w:val="0019084A"/>
    <w:rsid w:val="00192598"/>
    <w:rsid w:val="001932E9"/>
    <w:rsid w:val="00193650"/>
    <w:rsid w:val="00193729"/>
    <w:rsid w:val="00196D8C"/>
    <w:rsid w:val="001979BA"/>
    <w:rsid w:val="001A00AE"/>
    <w:rsid w:val="001A16B1"/>
    <w:rsid w:val="001A1D64"/>
    <w:rsid w:val="001A27FF"/>
    <w:rsid w:val="001A35C7"/>
    <w:rsid w:val="001A4C53"/>
    <w:rsid w:val="001A6577"/>
    <w:rsid w:val="001A76E3"/>
    <w:rsid w:val="001B0007"/>
    <w:rsid w:val="001B247F"/>
    <w:rsid w:val="001B4031"/>
    <w:rsid w:val="001B5054"/>
    <w:rsid w:val="001B6B4C"/>
    <w:rsid w:val="001C086C"/>
    <w:rsid w:val="001C200B"/>
    <w:rsid w:val="001C232F"/>
    <w:rsid w:val="001C3DD4"/>
    <w:rsid w:val="001C495C"/>
    <w:rsid w:val="001C67D2"/>
    <w:rsid w:val="001D0A7F"/>
    <w:rsid w:val="001D34AD"/>
    <w:rsid w:val="001D6103"/>
    <w:rsid w:val="001D6C29"/>
    <w:rsid w:val="001E12BE"/>
    <w:rsid w:val="001E2472"/>
    <w:rsid w:val="001E2D68"/>
    <w:rsid w:val="001E55A8"/>
    <w:rsid w:val="001E7468"/>
    <w:rsid w:val="001F1696"/>
    <w:rsid w:val="001F177C"/>
    <w:rsid w:val="001F2B60"/>
    <w:rsid w:val="001F472F"/>
    <w:rsid w:val="001F5A63"/>
    <w:rsid w:val="001F609A"/>
    <w:rsid w:val="00201ADB"/>
    <w:rsid w:val="0020216D"/>
    <w:rsid w:val="00203686"/>
    <w:rsid w:val="00204060"/>
    <w:rsid w:val="0020412C"/>
    <w:rsid w:val="0020460E"/>
    <w:rsid w:val="0020613F"/>
    <w:rsid w:val="002062FA"/>
    <w:rsid w:val="002075C4"/>
    <w:rsid w:val="00210142"/>
    <w:rsid w:val="00213273"/>
    <w:rsid w:val="00214693"/>
    <w:rsid w:val="00220B0D"/>
    <w:rsid w:val="0022211D"/>
    <w:rsid w:val="00223515"/>
    <w:rsid w:val="00223C06"/>
    <w:rsid w:val="002258EB"/>
    <w:rsid w:val="00226E05"/>
    <w:rsid w:val="00227051"/>
    <w:rsid w:val="00227BBF"/>
    <w:rsid w:val="0023095F"/>
    <w:rsid w:val="00231E4F"/>
    <w:rsid w:val="002329B3"/>
    <w:rsid w:val="002341B8"/>
    <w:rsid w:val="00234FDB"/>
    <w:rsid w:val="00235DF3"/>
    <w:rsid w:val="00236FB1"/>
    <w:rsid w:val="00246361"/>
    <w:rsid w:val="00246BFF"/>
    <w:rsid w:val="00252954"/>
    <w:rsid w:val="0025326A"/>
    <w:rsid w:val="002535A2"/>
    <w:rsid w:val="002544FA"/>
    <w:rsid w:val="00256A29"/>
    <w:rsid w:val="00256D2F"/>
    <w:rsid w:val="00256EB8"/>
    <w:rsid w:val="00257265"/>
    <w:rsid w:val="00260805"/>
    <w:rsid w:val="00261D06"/>
    <w:rsid w:val="002643D7"/>
    <w:rsid w:val="0026558D"/>
    <w:rsid w:val="00270343"/>
    <w:rsid w:val="00272589"/>
    <w:rsid w:val="002740FD"/>
    <w:rsid w:val="00275A88"/>
    <w:rsid w:val="0028105C"/>
    <w:rsid w:val="002818A2"/>
    <w:rsid w:val="002820F7"/>
    <w:rsid w:val="00283282"/>
    <w:rsid w:val="002834D1"/>
    <w:rsid w:val="00283A6E"/>
    <w:rsid w:val="00284E57"/>
    <w:rsid w:val="00286369"/>
    <w:rsid w:val="002863E1"/>
    <w:rsid w:val="00286869"/>
    <w:rsid w:val="002877B4"/>
    <w:rsid w:val="00287A67"/>
    <w:rsid w:val="00291C52"/>
    <w:rsid w:val="00292390"/>
    <w:rsid w:val="00292FFF"/>
    <w:rsid w:val="002936CC"/>
    <w:rsid w:val="0029374E"/>
    <w:rsid w:val="00294112"/>
    <w:rsid w:val="00294B23"/>
    <w:rsid w:val="00294F81"/>
    <w:rsid w:val="002958C9"/>
    <w:rsid w:val="00296885"/>
    <w:rsid w:val="002A0A43"/>
    <w:rsid w:val="002A144B"/>
    <w:rsid w:val="002A2391"/>
    <w:rsid w:val="002A39E0"/>
    <w:rsid w:val="002A51E6"/>
    <w:rsid w:val="002A5F7F"/>
    <w:rsid w:val="002B00F5"/>
    <w:rsid w:val="002B1B5D"/>
    <w:rsid w:val="002B2F18"/>
    <w:rsid w:val="002B597A"/>
    <w:rsid w:val="002B70B0"/>
    <w:rsid w:val="002B7C19"/>
    <w:rsid w:val="002C2320"/>
    <w:rsid w:val="002C2B5C"/>
    <w:rsid w:val="002C41F6"/>
    <w:rsid w:val="002C426F"/>
    <w:rsid w:val="002C443A"/>
    <w:rsid w:val="002C443D"/>
    <w:rsid w:val="002C5C02"/>
    <w:rsid w:val="002C5E60"/>
    <w:rsid w:val="002C70ED"/>
    <w:rsid w:val="002C7252"/>
    <w:rsid w:val="002C74CD"/>
    <w:rsid w:val="002D2E0F"/>
    <w:rsid w:val="002D45AF"/>
    <w:rsid w:val="002D6080"/>
    <w:rsid w:val="002D6082"/>
    <w:rsid w:val="002D7D58"/>
    <w:rsid w:val="002E1FF6"/>
    <w:rsid w:val="002E20F5"/>
    <w:rsid w:val="002E2263"/>
    <w:rsid w:val="002E2D72"/>
    <w:rsid w:val="002E31FC"/>
    <w:rsid w:val="002E4699"/>
    <w:rsid w:val="002E4DC6"/>
    <w:rsid w:val="002E5998"/>
    <w:rsid w:val="002E5A46"/>
    <w:rsid w:val="002F1306"/>
    <w:rsid w:val="002F187B"/>
    <w:rsid w:val="002F2CD7"/>
    <w:rsid w:val="002F3A3B"/>
    <w:rsid w:val="002F531B"/>
    <w:rsid w:val="002F6709"/>
    <w:rsid w:val="002F6FE9"/>
    <w:rsid w:val="002F7AA7"/>
    <w:rsid w:val="0030182F"/>
    <w:rsid w:val="00303BA8"/>
    <w:rsid w:val="003102FE"/>
    <w:rsid w:val="0031059C"/>
    <w:rsid w:val="003107D6"/>
    <w:rsid w:val="003116DE"/>
    <w:rsid w:val="003127C6"/>
    <w:rsid w:val="00312808"/>
    <w:rsid w:val="00312844"/>
    <w:rsid w:val="00314977"/>
    <w:rsid w:val="00314ED6"/>
    <w:rsid w:val="00315190"/>
    <w:rsid w:val="00317CA4"/>
    <w:rsid w:val="003207D1"/>
    <w:rsid w:val="003262EA"/>
    <w:rsid w:val="0032738F"/>
    <w:rsid w:val="00327FB7"/>
    <w:rsid w:val="00331C88"/>
    <w:rsid w:val="003335C2"/>
    <w:rsid w:val="0033408D"/>
    <w:rsid w:val="003346AF"/>
    <w:rsid w:val="00337E01"/>
    <w:rsid w:val="003430E6"/>
    <w:rsid w:val="003439E9"/>
    <w:rsid w:val="00346022"/>
    <w:rsid w:val="00346929"/>
    <w:rsid w:val="00346DC8"/>
    <w:rsid w:val="00346E57"/>
    <w:rsid w:val="00351871"/>
    <w:rsid w:val="00351D3C"/>
    <w:rsid w:val="003520CF"/>
    <w:rsid w:val="003543AE"/>
    <w:rsid w:val="003549CF"/>
    <w:rsid w:val="00355845"/>
    <w:rsid w:val="00360EC3"/>
    <w:rsid w:val="00364274"/>
    <w:rsid w:val="00364B8A"/>
    <w:rsid w:val="003652FC"/>
    <w:rsid w:val="00367010"/>
    <w:rsid w:val="00371560"/>
    <w:rsid w:val="00372F8D"/>
    <w:rsid w:val="003730EB"/>
    <w:rsid w:val="003731D6"/>
    <w:rsid w:val="00380833"/>
    <w:rsid w:val="003813DD"/>
    <w:rsid w:val="0038604B"/>
    <w:rsid w:val="00386CDF"/>
    <w:rsid w:val="00392DE2"/>
    <w:rsid w:val="003970B2"/>
    <w:rsid w:val="00397B85"/>
    <w:rsid w:val="003A0668"/>
    <w:rsid w:val="003A07E7"/>
    <w:rsid w:val="003A2F0F"/>
    <w:rsid w:val="003A3E3B"/>
    <w:rsid w:val="003A60D1"/>
    <w:rsid w:val="003A7D23"/>
    <w:rsid w:val="003B12A7"/>
    <w:rsid w:val="003B18A2"/>
    <w:rsid w:val="003B676F"/>
    <w:rsid w:val="003B6FF6"/>
    <w:rsid w:val="003C05F8"/>
    <w:rsid w:val="003C1A9C"/>
    <w:rsid w:val="003C3379"/>
    <w:rsid w:val="003C3A19"/>
    <w:rsid w:val="003C436A"/>
    <w:rsid w:val="003C46B6"/>
    <w:rsid w:val="003C6546"/>
    <w:rsid w:val="003D0818"/>
    <w:rsid w:val="003D2A9C"/>
    <w:rsid w:val="003D312A"/>
    <w:rsid w:val="003D3B47"/>
    <w:rsid w:val="003D43A0"/>
    <w:rsid w:val="003D4A3B"/>
    <w:rsid w:val="003D61D7"/>
    <w:rsid w:val="003D773F"/>
    <w:rsid w:val="003D7BEE"/>
    <w:rsid w:val="003E097D"/>
    <w:rsid w:val="003E562A"/>
    <w:rsid w:val="003E5C46"/>
    <w:rsid w:val="003E694F"/>
    <w:rsid w:val="003F02F5"/>
    <w:rsid w:val="003F10A6"/>
    <w:rsid w:val="003F1E5B"/>
    <w:rsid w:val="004009BF"/>
    <w:rsid w:val="00400CFF"/>
    <w:rsid w:val="0040512B"/>
    <w:rsid w:val="00405C8E"/>
    <w:rsid w:val="00412038"/>
    <w:rsid w:val="0041230A"/>
    <w:rsid w:val="00413A9E"/>
    <w:rsid w:val="0041510C"/>
    <w:rsid w:val="00421FC7"/>
    <w:rsid w:val="004236A7"/>
    <w:rsid w:val="00424476"/>
    <w:rsid w:val="00427B6B"/>
    <w:rsid w:val="00430FE9"/>
    <w:rsid w:val="004316D7"/>
    <w:rsid w:val="0043599D"/>
    <w:rsid w:val="00437098"/>
    <w:rsid w:val="0044129A"/>
    <w:rsid w:val="004418A3"/>
    <w:rsid w:val="00442754"/>
    <w:rsid w:val="00442D26"/>
    <w:rsid w:val="00443B9C"/>
    <w:rsid w:val="004468D7"/>
    <w:rsid w:val="004474F2"/>
    <w:rsid w:val="00454002"/>
    <w:rsid w:val="004546D5"/>
    <w:rsid w:val="00456D71"/>
    <w:rsid w:val="00460510"/>
    <w:rsid w:val="00461A4A"/>
    <w:rsid w:val="00462C27"/>
    <w:rsid w:val="00465F14"/>
    <w:rsid w:val="00467C99"/>
    <w:rsid w:val="0047016A"/>
    <w:rsid w:val="00472499"/>
    <w:rsid w:val="00472638"/>
    <w:rsid w:val="0047285C"/>
    <w:rsid w:val="004729A5"/>
    <w:rsid w:val="00473253"/>
    <w:rsid w:val="004732B6"/>
    <w:rsid w:val="00473CD6"/>
    <w:rsid w:val="004746C7"/>
    <w:rsid w:val="0047517D"/>
    <w:rsid w:val="00475702"/>
    <w:rsid w:val="004776A1"/>
    <w:rsid w:val="00480594"/>
    <w:rsid w:val="004834E9"/>
    <w:rsid w:val="00485712"/>
    <w:rsid w:val="00486AC4"/>
    <w:rsid w:val="004909E7"/>
    <w:rsid w:val="00490B00"/>
    <w:rsid w:val="004957A4"/>
    <w:rsid w:val="004971CE"/>
    <w:rsid w:val="00497861"/>
    <w:rsid w:val="004A0F1E"/>
    <w:rsid w:val="004A1270"/>
    <w:rsid w:val="004A2265"/>
    <w:rsid w:val="004A460B"/>
    <w:rsid w:val="004A47CB"/>
    <w:rsid w:val="004A49B3"/>
    <w:rsid w:val="004A6888"/>
    <w:rsid w:val="004A7733"/>
    <w:rsid w:val="004B12E1"/>
    <w:rsid w:val="004B2EAE"/>
    <w:rsid w:val="004B4B7C"/>
    <w:rsid w:val="004B6DC9"/>
    <w:rsid w:val="004C128C"/>
    <w:rsid w:val="004C1CC4"/>
    <w:rsid w:val="004C2ABC"/>
    <w:rsid w:val="004D44C5"/>
    <w:rsid w:val="004D5AB7"/>
    <w:rsid w:val="004D5C6F"/>
    <w:rsid w:val="004D6C71"/>
    <w:rsid w:val="004D7A26"/>
    <w:rsid w:val="004E5E99"/>
    <w:rsid w:val="004E6345"/>
    <w:rsid w:val="004E6670"/>
    <w:rsid w:val="004F159D"/>
    <w:rsid w:val="004F3218"/>
    <w:rsid w:val="004F446C"/>
    <w:rsid w:val="004F65BC"/>
    <w:rsid w:val="004F6E59"/>
    <w:rsid w:val="004F79B2"/>
    <w:rsid w:val="004F7A17"/>
    <w:rsid w:val="0050073F"/>
    <w:rsid w:val="005016D0"/>
    <w:rsid w:val="00501D05"/>
    <w:rsid w:val="005027D7"/>
    <w:rsid w:val="0050748B"/>
    <w:rsid w:val="00507D0B"/>
    <w:rsid w:val="0051083E"/>
    <w:rsid w:val="00511A1A"/>
    <w:rsid w:val="00513BAD"/>
    <w:rsid w:val="00517F98"/>
    <w:rsid w:val="00520116"/>
    <w:rsid w:val="00524626"/>
    <w:rsid w:val="0052542C"/>
    <w:rsid w:val="005279CE"/>
    <w:rsid w:val="005307B9"/>
    <w:rsid w:val="005316B4"/>
    <w:rsid w:val="005347F1"/>
    <w:rsid w:val="00536903"/>
    <w:rsid w:val="00536A38"/>
    <w:rsid w:val="00537135"/>
    <w:rsid w:val="005374B3"/>
    <w:rsid w:val="00542834"/>
    <w:rsid w:val="0054327E"/>
    <w:rsid w:val="00545092"/>
    <w:rsid w:val="00545828"/>
    <w:rsid w:val="0054658A"/>
    <w:rsid w:val="005473D6"/>
    <w:rsid w:val="00547C51"/>
    <w:rsid w:val="005506B1"/>
    <w:rsid w:val="005528A4"/>
    <w:rsid w:val="00552CF5"/>
    <w:rsid w:val="00555BC4"/>
    <w:rsid w:val="005576BD"/>
    <w:rsid w:val="0056190D"/>
    <w:rsid w:val="00562181"/>
    <w:rsid w:val="005655E8"/>
    <w:rsid w:val="005718B9"/>
    <w:rsid w:val="00571F68"/>
    <w:rsid w:val="00572CF8"/>
    <w:rsid w:val="005730DB"/>
    <w:rsid w:val="00573F75"/>
    <w:rsid w:val="005754CF"/>
    <w:rsid w:val="005759F1"/>
    <w:rsid w:val="00577904"/>
    <w:rsid w:val="00577DAD"/>
    <w:rsid w:val="00581E5E"/>
    <w:rsid w:val="0058318C"/>
    <w:rsid w:val="005835BF"/>
    <w:rsid w:val="00584ABA"/>
    <w:rsid w:val="0058515A"/>
    <w:rsid w:val="005917BC"/>
    <w:rsid w:val="00591804"/>
    <w:rsid w:val="00591A1B"/>
    <w:rsid w:val="00591F67"/>
    <w:rsid w:val="005929F0"/>
    <w:rsid w:val="00593333"/>
    <w:rsid w:val="005948EA"/>
    <w:rsid w:val="005952EA"/>
    <w:rsid w:val="005974F3"/>
    <w:rsid w:val="005A1F16"/>
    <w:rsid w:val="005A361C"/>
    <w:rsid w:val="005A4CD7"/>
    <w:rsid w:val="005A62AE"/>
    <w:rsid w:val="005A634A"/>
    <w:rsid w:val="005A68ED"/>
    <w:rsid w:val="005A7CBF"/>
    <w:rsid w:val="005B0B70"/>
    <w:rsid w:val="005B1912"/>
    <w:rsid w:val="005B44CA"/>
    <w:rsid w:val="005B5282"/>
    <w:rsid w:val="005B58EE"/>
    <w:rsid w:val="005B62AB"/>
    <w:rsid w:val="005B70E7"/>
    <w:rsid w:val="005C4735"/>
    <w:rsid w:val="005C4BE9"/>
    <w:rsid w:val="005C5564"/>
    <w:rsid w:val="005C5CB0"/>
    <w:rsid w:val="005D1914"/>
    <w:rsid w:val="005D525A"/>
    <w:rsid w:val="005D5EC1"/>
    <w:rsid w:val="005E1A3B"/>
    <w:rsid w:val="005E218A"/>
    <w:rsid w:val="005E5F87"/>
    <w:rsid w:val="005E6DE5"/>
    <w:rsid w:val="005E73D9"/>
    <w:rsid w:val="005E7D84"/>
    <w:rsid w:val="005F0443"/>
    <w:rsid w:val="005F1701"/>
    <w:rsid w:val="005F1B89"/>
    <w:rsid w:val="005F5829"/>
    <w:rsid w:val="0060017A"/>
    <w:rsid w:val="006038DD"/>
    <w:rsid w:val="00603A90"/>
    <w:rsid w:val="00605B1D"/>
    <w:rsid w:val="00611513"/>
    <w:rsid w:val="006117DF"/>
    <w:rsid w:val="006118D1"/>
    <w:rsid w:val="00617929"/>
    <w:rsid w:val="00621322"/>
    <w:rsid w:val="00624C18"/>
    <w:rsid w:val="00626422"/>
    <w:rsid w:val="00632315"/>
    <w:rsid w:val="00635C7D"/>
    <w:rsid w:val="00636DAD"/>
    <w:rsid w:val="00641703"/>
    <w:rsid w:val="00642546"/>
    <w:rsid w:val="00644AD6"/>
    <w:rsid w:val="006456F5"/>
    <w:rsid w:val="006457A6"/>
    <w:rsid w:val="00646600"/>
    <w:rsid w:val="00647C37"/>
    <w:rsid w:val="00650CF0"/>
    <w:rsid w:val="0065214A"/>
    <w:rsid w:val="006528A2"/>
    <w:rsid w:val="00653C98"/>
    <w:rsid w:val="00657157"/>
    <w:rsid w:val="00661AFC"/>
    <w:rsid w:val="006630DB"/>
    <w:rsid w:val="0066389B"/>
    <w:rsid w:val="00664D48"/>
    <w:rsid w:val="0066513A"/>
    <w:rsid w:val="006665BD"/>
    <w:rsid w:val="00667143"/>
    <w:rsid w:val="00671260"/>
    <w:rsid w:val="00672F13"/>
    <w:rsid w:val="0067387E"/>
    <w:rsid w:val="00674349"/>
    <w:rsid w:val="006802FB"/>
    <w:rsid w:val="00680B22"/>
    <w:rsid w:val="006810E5"/>
    <w:rsid w:val="00681965"/>
    <w:rsid w:val="00681DDD"/>
    <w:rsid w:val="00683CDF"/>
    <w:rsid w:val="00684695"/>
    <w:rsid w:val="00685F48"/>
    <w:rsid w:val="00687F2F"/>
    <w:rsid w:val="006902FC"/>
    <w:rsid w:val="0069353A"/>
    <w:rsid w:val="006949CC"/>
    <w:rsid w:val="006A12C4"/>
    <w:rsid w:val="006A2763"/>
    <w:rsid w:val="006A288C"/>
    <w:rsid w:val="006A3E37"/>
    <w:rsid w:val="006A3F12"/>
    <w:rsid w:val="006A40DE"/>
    <w:rsid w:val="006A602E"/>
    <w:rsid w:val="006A699D"/>
    <w:rsid w:val="006B277F"/>
    <w:rsid w:val="006B2B81"/>
    <w:rsid w:val="006B350A"/>
    <w:rsid w:val="006B4721"/>
    <w:rsid w:val="006B5D03"/>
    <w:rsid w:val="006B5E45"/>
    <w:rsid w:val="006B7155"/>
    <w:rsid w:val="006B78B8"/>
    <w:rsid w:val="006C19BE"/>
    <w:rsid w:val="006C2E8E"/>
    <w:rsid w:val="006C3FEE"/>
    <w:rsid w:val="006C52E4"/>
    <w:rsid w:val="006C57D8"/>
    <w:rsid w:val="006C5EFD"/>
    <w:rsid w:val="006C68EA"/>
    <w:rsid w:val="006C75B3"/>
    <w:rsid w:val="006D0261"/>
    <w:rsid w:val="006D192B"/>
    <w:rsid w:val="006D6B3C"/>
    <w:rsid w:val="006E1395"/>
    <w:rsid w:val="006E2664"/>
    <w:rsid w:val="006E2CBC"/>
    <w:rsid w:val="006E3FA7"/>
    <w:rsid w:val="006E5B48"/>
    <w:rsid w:val="006E6052"/>
    <w:rsid w:val="006F06A8"/>
    <w:rsid w:val="006F0FA5"/>
    <w:rsid w:val="006F2758"/>
    <w:rsid w:val="006F373D"/>
    <w:rsid w:val="006F42A5"/>
    <w:rsid w:val="006F45E4"/>
    <w:rsid w:val="006F4F03"/>
    <w:rsid w:val="006F66E0"/>
    <w:rsid w:val="00701C79"/>
    <w:rsid w:val="0070267B"/>
    <w:rsid w:val="00702C6E"/>
    <w:rsid w:val="00703264"/>
    <w:rsid w:val="00704997"/>
    <w:rsid w:val="0070601F"/>
    <w:rsid w:val="00706B2A"/>
    <w:rsid w:val="00714F3F"/>
    <w:rsid w:val="00715DEC"/>
    <w:rsid w:val="0071662A"/>
    <w:rsid w:val="00716CEB"/>
    <w:rsid w:val="00717E65"/>
    <w:rsid w:val="00720535"/>
    <w:rsid w:val="00720F46"/>
    <w:rsid w:val="0072167B"/>
    <w:rsid w:val="00723C56"/>
    <w:rsid w:val="007244B5"/>
    <w:rsid w:val="007259BF"/>
    <w:rsid w:val="007269A6"/>
    <w:rsid w:val="00727CC3"/>
    <w:rsid w:val="00727D69"/>
    <w:rsid w:val="00730A19"/>
    <w:rsid w:val="00730A54"/>
    <w:rsid w:val="00730BFD"/>
    <w:rsid w:val="007322FB"/>
    <w:rsid w:val="00732C51"/>
    <w:rsid w:val="0073446C"/>
    <w:rsid w:val="00744854"/>
    <w:rsid w:val="00747430"/>
    <w:rsid w:val="0074765E"/>
    <w:rsid w:val="0075011A"/>
    <w:rsid w:val="007503DF"/>
    <w:rsid w:val="00754086"/>
    <w:rsid w:val="007565A8"/>
    <w:rsid w:val="007604AF"/>
    <w:rsid w:val="0076186B"/>
    <w:rsid w:val="00762319"/>
    <w:rsid w:val="00763414"/>
    <w:rsid w:val="0076379F"/>
    <w:rsid w:val="00772328"/>
    <w:rsid w:val="007725DD"/>
    <w:rsid w:val="00773C93"/>
    <w:rsid w:val="00780AD1"/>
    <w:rsid w:val="00782C45"/>
    <w:rsid w:val="00783384"/>
    <w:rsid w:val="00783750"/>
    <w:rsid w:val="007837A8"/>
    <w:rsid w:val="007913D7"/>
    <w:rsid w:val="007978BE"/>
    <w:rsid w:val="007A0061"/>
    <w:rsid w:val="007A464F"/>
    <w:rsid w:val="007A4B34"/>
    <w:rsid w:val="007B02FD"/>
    <w:rsid w:val="007B2AEE"/>
    <w:rsid w:val="007B2DCE"/>
    <w:rsid w:val="007B5D18"/>
    <w:rsid w:val="007B7486"/>
    <w:rsid w:val="007C0AA1"/>
    <w:rsid w:val="007C3448"/>
    <w:rsid w:val="007C3732"/>
    <w:rsid w:val="007C4792"/>
    <w:rsid w:val="007C5784"/>
    <w:rsid w:val="007C6ECF"/>
    <w:rsid w:val="007C7A30"/>
    <w:rsid w:val="007D0AFB"/>
    <w:rsid w:val="007D3204"/>
    <w:rsid w:val="007D3223"/>
    <w:rsid w:val="007D5156"/>
    <w:rsid w:val="007D5A89"/>
    <w:rsid w:val="007D5E6C"/>
    <w:rsid w:val="007E0ED5"/>
    <w:rsid w:val="007E3DE1"/>
    <w:rsid w:val="007E491B"/>
    <w:rsid w:val="007E73F1"/>
    <w:rsid w:val="007F0A99"/>
    <w:rsid w:val="007F4DFB"/>
    <w:rsid w:val="007F4F57"/>
    <w:rsid w:val="007F7C9B"/>
    <w:rsid w:val="007F7E1C"/>
    <w:rsid w:val="0080138B"/>
    <w:rsid w:val="00801C97"/>
    <w:rsid w:val="008024A4"/>
    <w:rsid w:val="00803DB7"/>
    <w:rsid w:val="00806736"/>
    <w:rsid w:val="00807334"/>
    <w:rsid w:val="00807DAF"/>
    <w:rsid w:val="00811232"/>
    <w:rsid w:val="00811504"/>
    <w:rsid w:val="00817BCE"/>
    <w:rsid w:val="00821645"/>
    <w:rsid w:val="00822252"/>
    <w:rsid w:val="0082255B"/>
    <w:rsid w:val="0082333E"/>
    <w:rsid w:val="008237BB"/>
    <w:rsid w:val="0082382D"/>
    <w:rsid w:val="00824E82"/>
    <w:rsid w:val="00825FA6"/>
    <w:rsid w:val="008306FD"/>
    <w:rsid w:val="00831678"/>
    <w:rsid w:val="00833443"/>
    <w:rsid w:val="00833D7D"/>
    <w:rsid w:val="008345BE"/>
    <w:rsid w:val="00834DD1"/>
    <w:rsid w:val="00837348"/>
    <w:rsid w:val="00837989"/>
    <w:rsid w:val="0084080C"/>
    <w:rsid w:val="008429BA"/>
    <w:rsid w:val="00845740"/>
    <w:rsid w:val="00847C3B"/>
    <w:rsid w:val="00853320"/>
    <w:rsid w:val="008633B9"/>
    <w:rsid w:val="00863D51"/>
    <w:rsid w:val="008649B1"/>
    <w:rsid w:val="00870D3B"/>
    <w:rsid w:val="00871108"/>
    <w:rsid w:val="00873E58"/>
    <w:rsid w:val="008757F8"/>
    <w:rsid w:val="0088036E"/>
    <w:rsid w:val="00882BD7"/>
    <w:rsid w:val="00883C4F"/>
    <w:rsid w:val="00885D40"/>
    <w:rsid w:val="00890563"/>
    <w:rsid w:val="008906D3"/>
    <w:rsid w:val="0089239E"/>
    <w:rsid w:val="00893152"/>
    <w:rsid w:val="008940EB"/>
    <w:rsid w:val="00894191"/>
    <w:rsid w:val="008941F7"/>
    <w:rsid w:val="00894561"/>
    <w:rsid w:val="00896299"/>
    <w:rsid w:val="008976EC"/>
    <w:rsid w:val="008977A4"/>
    <w:rsid w:val="008978E5"/>
    <w:rsid w:val="008A0003"/>
    <w:rsid w:val="008A1DE6"/>
    <w:rsid w:val="008A322C"/>
    <w:rsid w:val="008A457B"/>
    <w:rsid w:val="008A67E0"/>
    <w:rsid w:val="008A70C5"/>
    <w:rsid w:val="008A7165"/>
    <w:rsid w:val="008B144D"/>
    <w:rsid w:val="008B2389"/>
    <w:rsid w:val="008C0EC4"/>
    <w:rsid w:val="008C12BE"/>
    <w:rsid w:val="008C1663"/>
    <w:rsid w:val="008C4CA6"/>
    <w:rsid w:val="008D1184"/>
    <w:rsid w:val="008D6846"/>
    <w:rsid w:val="008D74A7"/>
    <w:rsid w:val="008D7DB7"/>
    <w:rsid w:val="008E058E"/>
    <w:rsid w:val="008E2541"/>
    <w:rsid w:val="008E4556"/>
    <w:rsid w:val="008E78AC"/>
    <w:rsid w:val="008F065F"/>
    <w:rsid w:val="008F17BA"/>
    <w:rsid w:val="008F1818"/>
    <w:rsid w:val="008F4CDE"/>
    <w:rsid w:val="008F4E26"/>
    <w:rsid w:val="008F6B77"/>
    <w:rsid w:val="008F79CB"/>
    <w:rsid w:val="009009B9"/>
    <w:rsid w:val="009015D3"/>
    <w:rsid w:val="00901798"/>
    <w:rsid w:val="00903913"/>
    <w:rsid w:val="00904829"/>
    <w:rsid w:val="0090730D"/>
    <w:rsid w:val="00907D55"/>
    <w:rsid w:val="00910DCF"/>
    <w:rsid w:val="00910E55"/>
    <w:rsid w:val="00911C32"/>
    <w:rsid w:val="00912874"/>
    <w:rsid w:val="0091315C"/>
    <w:rsid w:val="00915207"/>
    <w:rsid w:val="00915D88"/>
    <w:rsid w:val="00916803"/>
    <w:rsid w:val="00916946"/>
    <w:rsid w:val="00921745"/>
    <w:rsid w:val="009247E2"/>
    <w:rsid w:val="00924994"/>
    <w:rsid w:val="00924FA9"/>
    <w:rsid w:val="00931D80"/>
    <w:rsid w:val="00932CE9"/>
    <w:rsid w:val="0093601F"/>
    <w:rsid w:val="0093628C"/>
    <w:rsid w:val="00936F5F"/>
    <w:rsid w:val="009420A8"/>
    <w:rsid w:val="009431B2"/>
    <w:rsid w:val="0094457F"/>
    <w:rsid w:val="009453D7"/>
    <w:rsid w:val="0094606A"/>
    <w:rsid w:val="00947106"/>
    <w:rsid w:val="00947763"/>
    <w:rsid w:val="009500F4"/>
    <w:rsid w:val="00952FE1"/>
    <w:rsid w:val="009535A3"/>
    <w:rsid w:val="00954BB1"/>
    <w:rsid w:val="009605CD"/>
    <w:rsid w:val="009614BB"/>
    <w:rsid w:val="0096468D"/>
    <w:rsid w:val="00964AE0"/>
    <w:rsid w:val="009661D4"/>
    <w:rsid w:val="00967F8F"/>
    <w:rsid w:val="00970F7F"/>
    <w:rsid w:val="009713A0"/>
    <w:rsid w:val="0097195F"/>
    <w:rsid w:val="00973A2B"/>
    <w:rsid w:val="00973C59"/>
    <w:rsid w:val="00974884"/>
    <w:rsid w:val="00975B84"/>
    <w:rsid w:val="00976730"/>
    <w:rsid w:val="00976FA9"/>
    <w:rsid w:val="009853A6"/>
    <w:rsid w:val="0098755A"/>
    <w:rsid w:val="00992349"/>
    <w:rsid w:val="0099422E"/>
    <w:rsid w:val="0099764A"/>
    <w:rsid w:val="009A02DC"/>
    <w:rsid w:val="009A18BA"/>
    <w:rsid w:val="009A20E2"/>
    <w:rsid w:val="009A329D"/>
    <w:rsid w:val="009B3C19"/>
    <w:rsid w:val="009B4F1C"/>
    <w:rsid w:val="009B6E49"/>
    <w:rsid w:val="009C15A4"/>
    <w:rsid w:val="009C2400"/>
    <w:rsid w:val="009C2C5F"/>
    <w:rsid w:val="009C3C8D"/>
    <w:rsid w:val="009C4D76"/>
    <w:rsid w:val="009C5E53"/>
    <w:rsid w:val="009D071C"/>
    <w:rsid w:val="009D6137"/>
    <w:rsid w:val="009D7303"/>
    <w:rsid w:val="009E023D"/>
    <w:rsid w:val="009E11BD"/>
    <w:rsid w:val="009E248C"/>
    <w:rsid w:val="009E2D49"/>
    <w:rsid w:val="009E3032"/>
    <w:rsid w:val="009E5B52"/>
    <w:rsid w:val="009F07BC"/>
    <w:rsid w:val="009F2AB1"/>
    <w:rsid w:val="009F3D51"/>
    <w:rsid w:val="009F3D5B"/>
    <w:rsid w:val="009F489E"/>
    <w:rsid w:val="009F4F54"/>
    <w:rsid w:val="009F649A"/>
    <w:rsid w:val="009F671C"/>
    <w:rsid w:val="00A0222B"/>
    <w:rsid w:val="00A070E0"/>
    <w:rsid w:val="00A105DC"/>
    <w:rsid w:val="00A11AED"/>
    <w:rsid w:val="00A1269F"/>
    <w:rsid w:val="00A12CEA"/>
    <w:rsid w:val="00A141F2"/>
    <w:rsid w:val="00A204E2"/>
    <w:rsid w:val="00A22814"/>
    <w:rsid w:val="00A23916"/>
    <w:rsid w:val="00A244FF"/>
    <w:rsid w:val="00A24D92"/>
    <w:rsid w:val="00A24F7B"/>
    <w:rsid w:val="00A2511E"/>
    <w:rsid w:val="00A27FF6"/>
    <w:rsid w:val="00A32046"/>
    <w:rsid w:val="00A3212D"/>
    <w:rsid w:val="00A32EF9"/>
    <w:rsid w:val="00A40402"/>
    <w:rsid w:val="00A40F5C"/>
    <w:rsid w:val="00A47396"/>
    <w:rsid w:val="00A51015"/>
    <w:rsid w:val="00A51D96"/>
    <w:rsid w:val="00A572F8"/>
    <w:rsid w:val="00A6016D"/>
    <w:rsid w:val="00A62992"/>
    <w:rsid w:val="00A62F3E"/>
    <w:rsid w:val="00A63937"/>
    <w:rsid w:val="00A64217"/>
    <w:rsid w:val="00A651F1"/>
    <w:rsid w:val="00A676CE"/>
    <w:rsid w:val="00A70DE1"/>
    <w:rsid w:val="00A71F1E"/>
    <w:rsid w:val="00A72B88"/>
    <w:rsid w:val="00A73614"/>
    <w:rsid w:val="00A73DA3"/>
    <w:rsid w:val="00A7400E"/>
    <w:rsid w:val="00A76322"/>
    <w:rsid w:val="00A763FC"/>
    <w:rsid w:val="00A77662"/>
    <w:rsid w:val="00A818A1"/>
    <w:rsid w:val="00A81F46"/>
    <w:rsid w:val="00A83511"/>
    <w:rsid w:val="00A84021"/>
    <w:rsid w:val="00A84AA8"/>
    <w:rsid w:val="00A8559F"/>
    <w:rsid w:val="00A855E3"/>
    <w:rsid w:val="00A85ECF"/>
    <w:rsid w:val="00A85F64"/>
    <w:rsid w:val="00A9039D"/>
    <w:rsid w:val="00A938FC"/>
    <w:rsid w:val="00A94D46"/>
    <w:rsid w:val="00A95A35"/>
    <w:rsid w:val="00A962D3"/>
    <w:rsid w:val="00AA35A4"/>
    <w:rsid w:val="00AA3A2B"/>
    <w:rsid w:val="00AA55A9"/>
    <w:rsid w:val="00AA624E"/>
    <w:rsid w:val="00AA7F30"/>
    <w:rsid w:val="00AB1124"/>
    <w:rsid w:val="00AB24F4"/>
    <w:rsid w:val="00AB323E"/>
    <w:rsid w:val="00AB426B"/>
    <w:rsid w:val="00AB44D0"/>
    <w:rsid w:val="00AB4E90"/>
    <w:rsid w:val="00AB675A"/>
    <w:rsid w:val="00AB67FD"/>
    <w:rsid w:val="00AC3DDA"/>
    <w:rsid w:val="00AC41AD"/>
    <w:rsid w:val="00AC6CFB"/>
    <w:rsid w:val="00AC71CF"/>
    <w:rsid w:val="00AC7338"/>
    <w:rsid w:val="00AD2375"/>
    <w:rsid w:val="00AD2D61"/>
    <w:rsid w:val="00AD3E71"/>
    <w:rsid w:val="00AD4CB5"/>
    <w:rsid w:val="00AD76D3"/>
    <w:rsid w:val="00AE408B"/>
    <w:rsid w:val="00AE4529"/>
    <w:rsid w:val="00AE488A"/>
    <w:rsid w:val="00AE4ABB"/>
    <w:rsid w:val="00AE594E"/>
    <w:rsid w:val="00AE6213"/>
    <w:rsid w:val="00AE6D67"/>
    <w:rsid w:val="00AF0385"/>
    <w:rsid w:val="00AF1D25"/>
    <w:rsid w:val="00AF2806"/>
    <w:rsid w:val="00AF36A7"/>
    <w:rsid w:val="00AF5FCF"/>
    <w:rsid w:val="00B000A1"/>
    <w:rsid w:val="00B003F4"/>
    <w:rsid w:val="00B0272D"/>
    <w:rsid w:val="00B05404"/>
    <w:rsid w:val="00B0691A"/>
    <w:rsid w:val="00B108DD"/>
    <w:rsid w:val="00B11929"/>
    <w:rsid w:val="00B12BDA"/>
    <w:rsid w:val="00B142FD"/>
    <w:rsid w:val="00B15C3C"/>
    <w:rsid w:val="00B15F32"/>
    <w:rsid w:val="00B200C4"/>
    <w:rsid w:val="00B2023D"/>
    <w:rsid w:val="00B2030A"/>
    <w:rsid w:val="00B20BBF"/>
    <w:rsid w:val="00B20F0A"/>
    <w:rsid w:val="00B22A08"/>
    <w:rsid w:val="00B23612"/>
    <w:rsid w:val="00B2421E"/>
    <w:rsid w:val="00B25419"/>
    <w:rsid w:val="00B2583A"/>
    <w:rsid w:val="00B263B2"/>
    <w:rsid w:val="00B302FE"/>
    <w:rsid w:val="00B330D3"/>
    <w:rsid w:val="00B339E3"/>
    <w:rsid w:val="00B349A2"/>
    <w:rsid w:val="00B35D07"/>
    <w:rsid w:val="00B3758E"/>
    <w:rsid w:val="00B42340"/>
    <w:rsid w:val="00B447A6"/>
    <w:rsid w:val="00B46E08"/>
    <w:rsid w:val="00B479C3"/>
    <w:rsid w:val="00B47F14"/>
    <w:rsid w:val="00B51C0D"/>
    <w:rsid w:val="00B528F0"/>
    <w:rsid w:val="00B5390A"/>
    <w:rsid w:val="00B54106"/>
    <w:rsid w:val="00B56C7C"/>
    <w:rsid w:val="00B579DC"/>
    <w:rsid w:val="00B60941"/>
    <w:rsid w:val="00B61361"/>
    <w:rsid w:val="00B61BEB"/>
    <w:rsid w:val="00B62131"/>
    <w:rsid w:val="00B62E67"/>
    <w:rsid w:val="00B652BB"/>
    <w:rsid w:val="00B65828"/>
    <w:rsid w:val="00B715B0"/>
    <w:rsid w:val="00B76DF6"/>
    <w:rsid w:val="00B81535"/>
    <w:rsid w:val="00B81B88"/>
    <w:rsid w:val="00B81E18"/>
    <w:rsid w:val="00B823E0"/>
    <w:rsid w:val="00B82590"/>
    <w:rsid w:val="00B83198"/>
    <w:rsid w:val="00B861F6"/>
    <w:rsid w:val="00B86417"/>
    <w:rsid w:val="00B87B3C"/>
    <w:rsid w:val="00B90378"/>
    <w:rsid w:val="00B91CC4"/>
    <w:rsid w:val="00B922BF"/>
    <w:rsid w:val="00B93B1C"/>
    <w:rsid w:val="00B94F65"/>
    <w:rsid w:val="00B97076"/>
    <w:rsid w:val="00BA02A2"/>
    <w:rsid w:val="00BA2A5D"/>
    <w:rsid w:val="00BA46EB"/>
    <w:rsid w:val="00BA5DCF"/>
    <w:rsid w:val="00BA5FB0"/>
    <w:rsid w:val="00BA73C9"/>
    <w:rsid w:val="00BB2369"/>
    <w:rsid w:val="00BB24B3"/>
    <w:rsid w:val="00BB3CDF"/>
    <w:rsid w:val="00BB4278"/>
    <w:rsid w:val="00BB4710"/>
    <w:rsid w:val="00BB7DBB"/>
    <w:rsid w:val="00BB7EC4"/>
    <w:rsid w:val="00BC17F1"/>
    <w:rsid w:val="00BC1FEB"/>
    <w:rsid w:val="00BC68CE"/>
    <w:rsid w:val="00BC68F1"/>
    <w:rsid w:val="00BD0983"/>
    <w:rsid w:val="00BD3744"/>
    <w:rsid w:val="00BD6325"/>
    <w:rsid w:val="00BD6647"/>
    <w:rsid w:val="00BE0A2C"/>
    <w:rsid w:val="00BE771F"/>
    <w:rsid w:val="00BE7E21"/>
    <w:rsid w:val="00BF1C61"/>
    <w:rsid w:val="00BF3524"/>
    <w:rsid w:val="00BF49C1"/>
    <w:rsid w:val="00BF4BE9"/>
    <w:rsid w:val="00BF5F9D"/>
    <w:rsid w:val="00BF7970"/>
    <w:rsid w:val="00C00BB6"/>
    <w:rsid w:val="00C015AE"/>
    <w:rsid w:val="00C029C0"/>
    <w:rsid w:val="00C04143"/>
    <w:rsid w:val="00C05447"/>
    <w:rsid w:val="00C054F8"/>
    <w:rsid w:val="00C05772"/>
    <w:rsid w:val="00C16760"/>
    <w:rsid w:val="00C20CFB"/>
    <w:rsid w:val="00C2182C"/>
    <w:rsid w:val="00C22EDA"/>
    <w:rsid w:val="00C239B8"/>
    <w:rsid w:val="00C23FA7"/>
    <w:rsid w:val="00C262DA"/>
    <w:rsid w:val="00C27BB7"/>
    <w:rsid w:val="00C317F9"/>
    <w:rsid w:val="00C3186B"/>
    <w:rsid w:val="00C334AA"/>
    <w:rsid w:val="00C34257"/>
    <w:rsid w:val="00C34E54"/>
    <w:rsid w:val="00C36BD4"/>
    <w:rsid w:val="00C37C3C"/>
    <w:rsid w:val="00C424A8"/>
    <w:rsid w:val="00C42CBF"/>
    <w:rsid w:val="00C4346C"/>
    <w:rsid w:val="00C4564F"/>
    <w:rsid w:val="00C47B24"/>
    <w:rsid w:val="00C47EED"/>
    <w:rsid w:val="00C522F6"/>
    <w:rsid w:val="00C5235D"/>
    <w:rsid w:val="00C530F4"/>
    <w:rsid w:val="00C53E23"/>
    <w:rsid w:val="00C56BA5"/>
    <w:rsid w:val="00C60CB4"/>
    <w:rsid w:val="00C621F8"/>
    <w:rsid w:val="00C62913"/>
    <w:rsid w:val="00C6373D"/>
    <w:rsid w:val="00C63980"/>
    <w:rsid w:val="00C66337"/>
    <w:rsid w:val="00C72FE4"/>
    <w:rsid w:val="00C745E6"/>
    <w:rsid w:val="00C752D1"/>
    <w:rsid w:val="00C76FBF"/>
    <w:rsid w:val="00C7723D"/>
    <w:rsid w:val="00C7744A"/>
    <w:rsid w:val="00C80066"/>
    <w:rsid w:val="00C800D1"/>
    <w:rsid w:val="00C8168C"/>
    <w:rsid w:val="00C81719"/>
    <w:rsid w:val="00C818F4"/>
    <w:rsid w:val="00C82A3A"/>
    <w:rsid w:val="00C84157"/>
    <w:rsid w:val="00C85C15"/>
    <w:rsid w:val="00C863F2"/>
    <w:rsid w:val="00C910D4"/>
    <w:rsid w:val="00C94171"/>
    <w:rsid w:val="00C950E0"/>
    <w:rsid w:val="00C95A01"/>
    <w:rsid w:val="00CA0DFB"/>
    <w:rsid w:val="00CA1AD6"/>
    <w:rsid w:val="00CA5800"/>
    <w:rsid w:val="00CA5849"/>
    <w:rsid w:val="00CA5FFB"/>
    <w:rsid w:val="00CA6578"/>
    <w:rsid w:val="00CA6F9E"/>
    <w:rsid w:val="00CA700B"/>
    <w:rsid w:val="00CA7176"/>
    <w:rsid w:val="00CB0B30"/>
    <w:rsid w:val="00CB1645"/>
    <w:rsid w:val="00CB1E4C"/>
    <w:rsid w:val="00CB27F2"/>
    <w:rsid w:val="00CB29D4"/>
    <w:rsid w:val="00CB3597"/>
    <w:rsid w:val="00CB4D48"/>
    <w:rsid w:val="00CB50FE"/>
    <w:rsid w:val="00CB54CF"/>
    <w:rsid w:val="00CB59A8"/>
    <w:rsid w:val="00CC3DD4"/>
    <w:rsid w:val="00CC4735"/>
    <w:rsid w:val="00CC5392"/>
    <w:rsid w:val="00CC7C42"/>
    <w:rsid w:val="00CD0CBE"/>
    <w:rsid w:val="00CD0F7D"/>
    <w:rsid w:val="00CD3C2F"/>
    <w:rsid w:val="00CD468E"/>
    <w:rsid w:val="00CD77F9"/>
    <w:rsid w:val="00CE2096"/>
    <w:rsid w:val="00CE3C79"/>
    <w:rsid w:val="00CE5C42"/>
    <w:rsid w:val="00CE74AC"/>
    <w:rsid w:val="00CE7E5D"/>
    <w:rsid w:val="00CF0054"/>
    <w:rsid w:val="00CF010F"/>
    <w:rsid w:val="00CF2806"/>
    <w:rsid w:val="00CF3DE3"/>
    <w:rsid w:val="00D01EDB"/>
    <w:rsid w:val="00D01FF0"/>
    <w:rsid w:val="00D023F9"/>
    <w:rsid w:val="00D02518"/>
    <w:rsid w:val="00D02B68"/>
    <w:rsid w:val="00D033BE"/>
    <w:rsid w:val="00D04BB1"/>
    <w:rsid w:val="00D0547F"/>
    <w:rsid w:val="00D10360"/>
    <w:rsid w:val="00D11C0E"/>
    <w:rsid w:val="00D127F6"/>
    <w:rsid w:val="00D15E5A"/>
    <w:rsid w:val="00D16DCE"/>
    <w:rsid w:val="00D171FC"/>
    <w:rsid w:val="00D20930"/>
    <w:rsid w:val="00D22611"/>
    <w:rsid w:val="00D237A8"/>
    <w:rsid w:val="00D23FF2"/>
    <w:rsid w:val="00D24AEA"/>
    <w:rsid w:val="00D2645F"/>
    <w:rsid w:val="00D30713"/>
    <w:rsid w:val="00D33E34"/>
    <w:rsid w:val="00D35354"/>
    <w:rsid w:val="00D367B9"/>
    <w:rsid w:val="00D43113"/>
    <w:rsid w:val="00D43230"/>
    <w:rsid w:val="00D433A8"/>
    <w:rsid w:val="00D455B1"/>
    <w:rsid w:val="00D521E4"/>
    <w:rsid w:val="00D54450"/>
    <w:rsid w:val="00D54E61"/>
    <w:rsid w:val="00D567FB"/>
    <w:rsid w:val="00D56AEF"/>
    <w:rsid w:val="00D62702"/>
    <w:rsid w:val="00D636AB"/>
    <w:rsid w:val="00D663F8"/>
    <w:rsid w:val="00D66960"/>
    <w:rsid w:val="00D70B19"/>
    <w:rsid w:val="00D74058"/>
    <w:rsid w:val="00D74ECF"/>
    <w:rsid w:val="00D837A0"/>
    <w:rsid w:val="00D837B6"/>
    <w:rsid w:val="00D8499A"/>
    <w:rsid w:val="00D8550A"/>
    <w:rsid w:val="00D866DE"/>
    <w:rsid w:val="00D87EF1"/>
    <w:rsid w:val="00D90693"/>
    <w:rsid w:val="00D91B8A"/>
    <w:rsid w:val="00D92512"/>
    <w:rsid w:val="00D9488F"/>
    <w:rsid w:val="00D97D03"/>
    <w:rsid w:val="00DA05F0"/>
    <w:rsid w:val="00DA105C"/>
    <w:rsid w:val="00DA1505"/>
    <w:rsid w:val="00DA1C4D"/>
    <w:rsid w:val="00DA22FB"/>
    <w:rsid w:val="00DA42BF"/>
    <w:rsid w:val="00DA479D"/>
    <w:rsid w:val="00DA4E2E"/>
    <w:rsid w:val="00DA5224"/>
    <w:rsid w:val="00DA6929"/>
    <w:rsid w:val="00DA7363"/>
    <w:rsid w:val="00DB1AC0"/>
    <w:rsid w:val="00DB257E"/>
    <w:rsid w:val="00DB29BB"/>
    <w:rsid w:val="00DB2A15"/>
    <w:rsid w:val="00DB38F4"/>
    <w:rsid w:val="00DB3A47"/>
    <w:rsid w:val="00DB458F"/>
    <w:rsid w:val="00DB5ACB"/>
    <w:rsid w:val="00DB7C1C"/>
    <w:rsid w:val="00DB7F64"/>
    <w:rsid w:val="00DC068A"/>
    <w:rsid w:val="00DC077C"/>
    <w:rsid w:val="00DC43A8"/>
    <w:rsid w:val="00DC445C"/>
    <w:rsid w:val="00DC7D85"/>
    <w:rsid w:val="00DD0B3B"/>
    <w:rsid w:val="00DD167A"/>
    <w:rsid w:val="00DD3387"/>
    <w:rsid w:val="00DE163C"/>
    <w:rsid w:val="00DE2A04"/>
    <w:rsid w:val="00DE3275"/>
    <w:rsid w:val="00DE593F"/>
    <w:rsid w:val="00DE64BA"/>
    <w:rsid w:val="00DE7071"/>
    <w:rsid w:val="00DE7583"/>
    <w:rsid w:val="00DE78E2"/>
    <w:rsid w:val="00DF0A17"/>
    <w:rsid w:val="00DF23F3"/>
    <w:rsid w:val="00DF4A4A"/>
    <w:rsid w:val="00DF6A64"/>
    <w:rsid w:val="00DF6B25"/>
    <w:rsid w:val="00DF7587"/>
    <w:rsid w:val="00DF7AE1"/>
    <w:rsid w:val="00E01D02"/>
    <w:rsid w:val="00E05551"/>
    <w:rsid w:val="00E060FA"/>
    <w:rsid w:val="00E105C7"/>
    <w:rsid w:val="00E13172"/>
    <w:rsid w:val="00E13F28"/>
    <w:rsid w:val="00E22CF3"/>
    <w:rsid w:val="00E2342A"/>
    <w:rsid w:val="00E2389A"/>
    <w:rsid w:val="00E304D5"/>
    <w:rsid w:val="00E306C0"/>
    <w:rsid w:val="00E30FD4"/>
    <w:rsid w:val="00E32711"/>
    <w:rsid w:val="00E32F01"/>
    <w:rsid w:val="00E36CCF"/>
    <w:rsid w:val="00E37551"/>
    <w:rsid w:val="00E41ADF"/>
    <w:rsid w:val="00E42149"/>
    <w:rsid w:val="00E42E14"/>
    <w:rsid w:val="00E4302D"/>
    <w:rsid w:val="00E43D3F"/>
    <w:rsid w:val="00E45ECE"/>
    <w:rsid w:val="00E50309"/>
    <w:rsid w:val="00E541AD"/>
    <w:rsid w:val="00E54F29"/>
    <w:rsid w:val="00E55096"/>
    <w:rsid w:val="00E5696C"/>
    <w:rsid w:val="00E618ED"/>
    <w:rsid w:val="00E65619"/>
    <w:rsid w:val="00E65FEE"/>
    <w:rsid w:val="00E66B49"/>
    <w:rsid w:val="00E704BA"/>
    <w:rsid w:val="00E70C8F"/>
    <w:rsid w:val="00E714CC"/>
    <w:rsid w:val="00E7173C"/>
    <w:rsid w:val="00E7211E"/>
    <w:rsid w:val="00E734DE"/>
    <w:rsid w:val="00E742A6"/>
    <w:rsid w:val="00E76985"/>
    <w:rsid w:val="00E82053"/>
    <w:rsid w:val="00E848DF"/>
    <w:rsid w:val="00E84CC5"/>
    <w:rsid w:val="00E86928"/>
    <w:rsid w:val="00E9553B"/>
    <w:rsid w:val="00E962E1"/>
    <w:rsid w:val="00EA0656"/>
    <w:rsid w:val="00EA0A40"/>
    <w:rsid w:val="00EA4FF9"/>
    <w:rsid w:val="00EA5DAC"/>
    <w:rsid w:val="00EB03A8"/>
    <w:rsid w:val="00EB0BB2"/>
    <w:rsid w:val="00EB0DEE"/>
    <w:rsid w:val="00EB7E74"/>
    <w:rsid w:val="00EC0662"/>
    <w:rsid w:val="00EC0789"/>
    <w:rsid w:val="00EC14F3"/>
    <w:rsid w:val="00EC1B2A"/>
    <w:rsid w:val="00EC6172"/>
    <w:rsid w:val="00EC6ACC"/>
    <w:rsid w:val="00EC71C6"/>
    <w:rsid w:val="00EC71F3"/>
    <w:rsid w:val="00ED11D4"/>
    <w:rsid w:val="00ED386E"/>
    <w:rsid w:val="00ED6943"/>
    <w:rsid w:val="00ED79A7"/>
    <w:rsid w:val="00EE1D23"/>
    <w:rsid w:val="00EE5B3C"/>
    <w:rsid w:val="00EE5F86"/>
    <w:rsid w:val="00EF07BA"/>
    <w:rsid w:val="00EF3047"/>
    <w:rsid w:val="00EF3842"/>
    <w:rsid w:val="00F00E39"/>
    <w:rsid w:val="00F012C8"/>
    <w:rsid w:val="00F036D8"/>
    <w:rsid w:val="00F04344"/>
    <w:rsid w:val="00F049FB"/>
    <w:rsid w:val="00F052FC"/>
    <w:rsid w:val="00F10B58"/>
    <w:rsid w:val="00F11347"/>
    <w:rsid w:val="00F115B8"/>
    <w:rsid w:val="00F12DAF"/>
    <w:rsid w:val="00F139AD"/>
    <w:rsid w:val="00F20BC2"/>
    <w:rsid w:val="00F23998"/>
    <w:rsid w:val="00F24F2C"/>
    <w:rsid w:val="00F25E57"/>
    <w:rsid w:val="00F27476"/>
    <w:rsid w:val="00F30546"/>
    <w:rsid w:val="00F30DD8"/>
    <w:rsid w:val="00F31467"/>
    <w:rsid w:val="00F31C05"/>
    <w:rsid w:val="00F34619"/>
    <w:rsid w:val="00F348D4"/>
    <w:rsid w:val="00F34ECF"/>
    <w:rsid w:val="00F35EBB"/>
    <w:rsid w:val="00F36C97"/>
    <w:rsid w:val="00F36F6E"/>
    <w:rsid w:val="00F43D47"/>
    <w:rsid w:val="00F452F9"/>
    <w:rsid w:val="00F47928"/>
    <w:rsid w:val="00F51E3C"/>
    <w:rsid w:val="00F54D9E"/>
    <w:rsid w:val="00F551C1"/>
    <w:rsid w:val="00F575CC"/>
    <w:rsid w:val="00F6056A"/>
    <w:rsid w:val="00F62D6A"/>
    <w:rsid w:val="00F640E2"/>
    <w:rsid w:val="00F6431C"/>
    <w:rsid w:val="00F669A5"/>
    <w:rsid w:val="00F703B8"/>
    <w:rsid w:val="00F7060E"/>
    <w:rsid w:val="00F7062D"/>
    <w:rsid w:val="00F731BA"/>
    <w:rsid w:val="00F76B49"/>
    <w:rsid w:val="00F8759A"/>
    <w:rsid w:val="00F924EB"/>
    <w:rsid w:val="00F931A6"/>
    <w:rsid w:val="00F93510"/>
    <w:rsid w:val="00F945AB"/>
    <w:rsid w:val="00F95EBD"/>
    <w:rsid w:val="00F96D2C"/>
    <w:rsid w:val="00FA1185"/>
    <w:rsid w:val="00FA30CC"/>
    <w:rsid w:val="00FA5E30"/>
    <w:rsid w:val="00FB07F2"/>
    <w:rsid w:val="00FB106E"/>
    <w:rsid w:val="00FB5F7E"/>
    <w:rsid w:val="00FB75F4"/>
    <w:rsid w:val="00FB7F2D"/>
    <w:rsid w:val="00FB7F9F"/>
    <w:rsid w:val="00FC7342"/>
    <w:rsid w:val="00FC7966"/>
    <w:rsid w:val="00FD46C1"/>
    <w:rsid w:val="00FD4D6D"/>
    <w:rsid w:val="00FD618B"/>
    <w:rsid w:val="00FD736A"/>
    <w:rsid w:val="00FE0B28"/>
    <w:rsid w:val="00FE3C5C"/>
    <w:rsid w:val="00FE5B6B"/>
    <w:rsid w:val="00FF0330"/>
    <w:rsid w:val="00FF0346"/>
    <w:rsid w:val="00FF095F"/>
    <w:rsid w:val="00FF22A3"/>
    <w:rsid w:val="00FF2DAA"/>
    <w:rsid w:val="00FF3643"/>
    <w:rsid w:val="00FF4361"/>
    <w:rsid w:val="00FF487C"/>
    <w:rsid w:val="00FF76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CB164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1645"/>
    <w:pPr>
      <w:spacing w:before="100" w:beforeAutospacing="1" w:after="100" w:afterAutospacing="1"/>
      <w:jc w:val="both"/>
    </w:pPr>
    <w:rPr>
      <w:color w:val="000000"/>
      <w:sz w:val="20"/>
      <w:szCs w:val="20"/>
    </w:rPr>
  </w:style>
  <w:style w:type="character" w:styleId="Hyperlink">
    <w:name w:val="Hyperlink"/>
    <w:rsid w:val="007C7A30"/>
    <w:rPr>
      <w:color w:val="0000FF"/>
      <w:u w:val="single"/>
    </w:rPr>
  </w:style>
  <w:style w:type="paragraph" w:styleId="HTMLPreformatted">
    <w:name w:val="HTML Preformatted"/>
    <w:basedOn w:val="Normal"/>
    <w:rsid w:val="007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en-GB" w:eastAsia="ar-SA"/>
    </w:rPr>
  </w:style>
  <w:style w:type="paragraph" w:styleId="Header">
    <w:name w:val="header"/>
    <w:basedOn w:val="Normal"/>
    <w:link w:val="HeaderChar"/>
    <w:uiPriority w:val="99"/>
    <w:rsid w:val="00252954"/>
    <w:pPr>
      <w:tabs>
        <w:tab w:val="center" w:pos="4153"/>
        <w:tab w:val="right" w:pos="8306"/>
      </w:tabs>
    </w:pPr>
  </w:style>
  <w:style w:type="paragraph" w:styleId="Footer">
    <w:name w:val="footer"/>
    <w:basedOn w:val="Normal"/>
    <w:rsid w:val="00252954"/>
    <w:pPr>
      <w:tabs>
        <w:tab w:val="center" w:pos="4153"/>
        <w:tab w:val="right" w:pos="8306"/>
      </w:tabs>
    </w:pPr>
  </w:style>
  <w:style w:type="character" w:styleId="PageNumber">
    <w:name w:val="page number"/>
    <w:basedOn w:val="DefaultParagraphFont"/>
    <w:rsid w:val="00252954"/>
  </w:style>
  <w:style w:type="paragraph" w:customStyle="1" w:styleId="naisf">
    <w:name w:val="naisf"/>
    <w:basedOn w:val="Normal"/>
    <w:rsid w:val="006802FB"/>
    <w:pPr>
      <w:spacing w:before="100" w:beforeAutospacing="1" w:after="100" w:afterAutospacing="1"/>
      <w:jc w:val="both"/>
    </w:pPr>
    <w:rPr>
      <w:rFonts w:eastAsia="Arial Unicode MS"/>
      <w:lang w:val="en-GB" w:eastAsia="en-US"/>
    </w:rPr>
  </w:style>
  <w:style w:type="paragraph" w:styleId="BodyText2">
    <w:name w:val="Body Text 2"/>
    <w:basedOn w:val="Normal"/>
    <w:link w:val="BodyText2Char"/>
    <w:unhideWhenUsed/>
    <w:rsid w:val="00125F6D"/>
    <w:pPr>
      <w:spacing w:after="120" w:line="480" w:lineRule="auto"/>
    </w:pPr>
    <w:rPr>
      <w:lang w:eastAsia="en-US"/>
    </w:rPr>
  </w:style>
  <w:style w:type="character" w:customStyle="1" w:styleId="BodyText2Char">
    <w:name w:val="Body Text 2 Char"/>
    <w:link w:val="BodyText2"/>
    <w:rsid w:val="00125F6D"/>
    <w:rPr>
      <w:sz w:val="24"/>
      <w:szCs w:val="24"/>
      <w:lang w:val="lv-LV" w:eastAsia="en-US" w:bidi="ar-SA"/>
    </w:rPr>
  </w:style>
  <w:style w:type="paragraph" w:customStyle="1" w:styleId="naislab">
    <w:name w:val="naislab"/>
    <w:basedOn w:val="Normal"/>
    <w:rsid w:val="00E618ED"/>
    <w:pPr>
      <w:spacing w:before="68" w:after="68"/>
      <w:jc w:val="right"/>
    </w:pPr>
  </w:style>
  <w:style w:type="paragraph" w:customStyle="1" w:styleId="naisc">
    <w:name w:val="naisc"/>
    <w:basedOn w:val="Normal"/>
    <w:rsid w:val="00D10360"/>
    <w:pPr>
      <w:spacing w:before="75" w:after="75"/>
      <w:jc w:val="center"/>
    </w:pPr>
  </w:style>
  <w:style w:type="paragraph" w:styleId="BalloonText">
    <w:name w:val="Balloon Text"/>
    <w:basedOn w:val="Normal"/>
    <w:semiHidden/>
    <w:rsid w:val="00D10360"/>
    <w:rPr>
      <w:rFonts w:ascii="Tahoma" w:hAnsi="Tahoma" w:cs="Tahoma"/>
      <w:sz w:val="16"/>
      <w:szCs w:val="16"/>
    </w:rPr>
  </w:style>
  <w:style w:type="paragraph" w:customStyle="1" w:styleId="Rakstz">
    <w:name w:val="Rakstz."/>
    <w:basedOn w:val="Normal"/>
    <w:semiHidden/>
    <w:rsid w:val="009500F4"/>
    <w:pPr>
      <w:spacing w:after="160" w:line="240" w:lineRule="exact"/>
    </w:pPr>
    <w:rPr>
      <w:sz w:val="20"/>
      <w:szCs w:val="20"/>
    </w:rPr>
  </w:style>
  <w:style w:type="paragraph" w:styleId="BodyText">
    <w:name w:val="Body Text"/>
    <w:basedOn w:val="Normal"/>
    <w:rsid w:val="002C7252"/>
    <w:pPr>
      <w:spacing w:after="120"/>
    </w:pPr>
  </w:style>
  <w:style w:type="paragraph" w:styleId="DocumentMap">
    <w:name w:val="Document Map"/>
    <w:basedOn w:val="Normal"/>
    <w:semiHidden/>
    <w:rsid w:val="00513BAD"/>
    <w:pPr>
      <w:shd w:val="clear" w:color="auto" w:fill="000080"/>
    </w:pPr>
    <w:rPr>
      <w:rFonts w:ascii="Tahoma" w:hAnsi="Tahoma" w:cs="Tahoma"/>
      <w:sz w:val="20"/>
      <w:szCs w:val="20"/>
    </w:rPr>
  </w:style>
  <w:style w:type="paragraph" w:styleId="ListParagraph">
    <w:name w:val="List Paragraph"/>
    <w:basedOn w:val="Normal"/>
    <w:uiPriority w:val="34"/>
    <w:qFormat/>
    <w:rsid w:val="00921745"/>
    <w:pPr>
      <w:ind w:left="720"/>
    </w:pPr>
  </w:style>
  <w:style w:type="character" w:customStyle="1" w:styleId="HeaderChar">
    <w:name w:val="Header Char"/>
    <w:link w:val="Header"/>
    <w:uiPriority w:val="99"/>
    <w:rsid w:val="002A51E6"/>
    <w:rPr>
      <w:sz w:val="24"/>
      <w:szCs w:val="24"/>
    </w:rPr>
  </w:style>
  <w:style w:type="paragraph" w:styleId="CommentText">
    <w:name w:val="annotation text"/>
    <w:basedOn w:val="Normal"/>
    <w:link w:val="CommentTextChar"/>
    <w:rsid w:val="0029374E"/>
    <w:rPr>
      <w:sz w:val="20"/>
      <w:szCs w:val="20"/>
    </w:rPr>
  </w:style>
  <w:style w:type="character" w:styleId="CommentReference">
    <w:name w:val="annotation reference"/>
    <w:rsid w:val="00DA6929"/>
    <w:rPr>
      <w:sz w:val="16"/>
      <w:szCs w:val="16"/>
    </w:rPr>
  </w:style>
  <w:style w:type="paragraph" w:styleId="CommentSubject">
    <w:name w:val="annotation subject"/>
    <w:basedOn w:val="CommentText"/>
    <w:next w:val="CommentText"/>
    <w:link w:val="CommentSubjectChar"/>
    <w:rsid w:val="00DA6929"/>
    <w:rPr>
      <w:b/>
      <w:bCs/>
    </w:rPr>
  </w:style>
  <w:style w:type="character" w:customStyle="1" w:styleId="CommentTextChar">
    <w:name w:val="Comment Text Char"/>
    <w:basedOn w:val="DefaultParagraphFont"/>
    <w:link w:val="CommentText"/>
    <w:rsid w:val="00DA6929"/>
  </w:style>
  <w:style w:type="character" w:customStyle="1" w:styleId="CommentSubjectChar">
    <w:name w:val="Comment Subject Char"/>
    <w:link w:val="CommentSubject"/>
    <w:rsid w:val="00DA6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CB164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1645"/>
    <w:pPr>
      <w:spacing w:before="100" w:beforeAutospacing="1" w:after="100" w:afterAutospacing="1"/>
      <w:jc w:val="both"/>
    </w:pPr>
    <w:rPr>
      <w:color w:val="000000"/>
      <w:sz w:val="20"/>
      <w:szCs w:val="20"/>
    </w:rPr>
  </w:style>
  <w:style w:type="character" w:styleId="Hyperlink">
    <w:name w:val="Hyperlink"/>
    <w:rsid w:val="007C7A30"/>
    <w:rPr>
      <w:color w:val="0000FF"/>
      <w:u w:val="single"/>
    </w:rPr>
  </w:style>
  <w:style w:type="paragraph" w:styleId="HTMLPreformatted">
    <w:name w:val="HTML Preformatted"/>
    <w:basedOn w:val="Normal"/>
    <w:rsid w:val="007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en-GB" w:eastAsia="ar-SA"/>
    </w:rPr>
  </w:style>
  <w:style w:type="paragraph" w:styleId="Header">
    <w:name w:val="header"/>
    <w:basedOn w:val="Normal"/>
    <w:link w:val="HeaderChar"/>
    <w:uiPriority w:val="99"/>
    <w:rsid w:val="00252954"/>
    <w:pPr>
      <w:tabs>
        <w:tab w:val="center" w:pos="4153"/>
        <w:tab w:val="right" w:pos="8306"/>
      </w:tabs>
    </w:pPr>
  </w:style>
  <w:style w:type="paragraph" w:styleId="Footer">
    <w:name w:val="footer"/>
    <w:basedOn w:val="Normal"/>
    <w:rsid w:val="00252954"/>
    <w:pPr>
      <w:tabs>
        <w:tab w:val="center" w:pos="4153"/>
        <w:tab w:val="right" w:pos="8306"/>
      </w:tabs>
    </w:pPr>
  </w:style>
  <w:style w:type="character" w:styleId="PageNumber">
    <w:name w:val="page number"/>
    <w:basedOn w:val="DefaultParagraphFont"/>
    <w:rsid w:val="00252954"/>
  </w:style>
  <w:style w:type="paragraph" w:customStyle="1" w:styleId="naisf">
    <w:name w:val="naisf"/>
    <w:basedOn w:val="Normal"/>
    <w:rsid w:val="006802FB"/>
    <w:pPr>
      <w:spacing w:before="100" w:beforeAutospacing="1" w:after="100" w:afterAutospacing="1"/>
      <w:jc w:val="both"/>
    </w:pPr>
    <w:rPr>
      <w:rFonts w:eastAsia="Arial Unicode MS"/>
      <w:lang w:val="en-GB" w:eastAsia="en-US"/>
    </w:rPr>
  </w:style>
  <w:style w:type="paragraph" w:styleId="BodyText2">
    <w:name w:val="Body Text 2"/>
    <w:basedOn w:val="Normal"/>
    <w:link w:val="BodyText2Char"/>
    <w:unhideWhenUsed/>
    <w:rsid w:val="00125F6D"/>
    <w:pPr>
      <w:spacing w:after="120" w:line="480" w:lineRule="auto"/>
    </w:pPr>
    <w:rPr>
      <w:lang w:eastAsia="en-US"/>
    </w:rPr>
  </w:style>
  <w:style w:type="character" w:customStyle="1" w:styleId="BodyText2Char">
    <w:name w:val="Body Text 2 Char"/>
    <w:link w:val="BodyText2"/>
    <w:rsid w:val="00125F6D"/>
    <w:rPr>
      <w:sz w:val="24"/>
      <w:szCs w:val="24"/>
      <w:lang w:val="lv-LV" w:eastAsia="en-US" w:bidi="ar-SA"/>
    </w:rPr>
  </w:style>
  <w:style w:type="paragraph" w:customStyle="1" w:styleId="naislab">
    <w:name w:val="naislab"/>
    <w:basedOn w:val="Normal"/>
    <w:rsid w:val="00E618ED"/>
    <w:pPr>
      <w:spacing w:before="68" w:after="68"/>
      <w:jc w:val="right"/>
    </w:pPr>
  </w:style>
  <w:style w:type="paragraph" w:customStyle="1" w:styleId="naisc">
    <w:name w:val="naisc"/>
    <w:basedOn w:val="Normal"/>
    <w:rsid w:val="00D10360"/>
    <w:pPr>
      <w:spacing w:before="75" w:after="75"/>
      <w:jc w:val="center"/>
    </w:pPr>
  </w:style>
  <w:style w:type="paragraph" w:styleId="BalloonText">
    <w:name w:val="Balloon Text"/>
    <w:basedOn w:val="Normal"/>
    <w:semiHidden/>
    <w:rsid w:val="00D10360"/>
    <w:rPr>
      <w:rFonts w:ascii="Tahoma" w:hAnsi="Tahoma" w:cs="Tahoma"/>
      <w:sz w:val="16"/>
      <w:szCs w:val="16"/>
    </w:rPr>
  </w:style>
  <w:style w:type="paragraph" w:customStyle="1" w:styleId="Rakstz">
    <w:name w:val="Rakstz."/>
    <w:basedOn w:val="Normal"/>
    <w:semiHidden/>
    <w:rsid w:val="009500F4"/>
    <w:pPr>
      <w:spacing w:after="160" w:line="240" w:lineRule="exact"/>
    </w:pPr>
    <w:rPr>
      <w:sz w:val="20"/>
      <w:szCs w:val="20"/>
    </w:rPr>
  </w:style>
  <w:style w:type="paragraph" w:styleId="BodyText">
    <w:name w:val="Body Text"/>
    <w:basedOn w:val="Normal"/>
    <w:rsid w:val="002C7252"/>
    <w:pPr>
      <w:spacing w:after="120"/>
    </w:pPr>
  </w:style>
  <w:style w:type="paragraph" w:styleId="DocumentMap">
    <w:name w:val="Document Map"/>
    <w:basedOn w:val="Normal"/>
    <w:semiHidden/>
    <w:rsid w:val="00513BAD"/>
    <w:pPr>
      <w:shd w:val="clear" w:color="auto" w:fill="000080"/>
    </w:pPr>
    <w:rPr>
      <w:rFonts w:ascii="Tahoma" w:hAnsi="Tahoma" w:cs="Tahoma"/>
      <w:sz w:val="20"/>
      <w:szCs w:val="20"/>
    </w:rPr>
  </w:style>
  <w:style w:type="paragraph" w:styleId="ListParagraph">
    <w:name w:val="List Paragraph"/>
    <w:basedOn w:val="Normal"/>
    <w:uiPriority w:val="34"/>
    <w:qFormat/>
    <w:rsid w:val="00921745"/>
    <w:pPr>
      <w:ind w:left="720"/>
    </w:pPr>
  </w:style>
  <w:style w:type="character" w:customStyle="1" w:styleId="HeaderChar">
    <w:name w:val="Header Char"/>
    <w:link w:val="Header"/>
    <w:uiPriority w:val="99"/>
    <w:rsid w:val="002A51E6"/>
    <w:rPr>
      <w:sz w:val="24"/>
      <w:szCs w:val="24"/>
    </w:rPr>
  </w:style>
  <w:style w:type="paragraph" w:styleId="CommentText">
    <w:name w:val="annotation text"/>
    <w:basedOn w:val="Normal"/>
    <w:link w:val="CommentTextChar"/>
    <w:rsid w:val="0029374E"/>
    <w:rPr>
      <w:sz w:val="20"/>
      <w:szCs w:val="20"/>
    </w:rPr>
  </w:style>
  <w:style w:type="character" w:styleId="CommentReference">
    <w:name w:val="annotation reference"/>
    <w:rsid w:val="00DA6929"/>
    <w:rPr>
      <w:sz w:val="16"/>
      <w:szCs w:val="16"/>
    </w:rPr>
  </w:style>
  <w:style w:type="paragraph" w:styleId="CommentSubject">
    <w:name w:val="annotation subject"/>
    <w:basedOn w:val="CommentText"/>
    <w:next w:val="CommentText"/>
    <w:link w:val="CommentSubjectChar"/>
    <w:rsid w:val="00DA6929"/>
    <w:rPr>
      <w:b/>
      <w:bCs/>
    </w:rPr>
  </w:style>
  <w:style w:type="character" w:customStyle="1" w:styleId="CommentTextChar">
    <w:name w:val="Comment Text Char"/>
    <w:basedOn w:val="DefaultParagraphFont"/>
    <w:link w:val="CommentText"/>
    <w:rsid w:val="00DA6929"/>
  </w:style>
  <w:style w:type="character" w:customStyle="1" w:styleId="CommentSubjectChar">
    <w:name w:val="Comment Subject Char"/>
    <w:link w:val="CommentSubject"/>
    <w:rsid w:val="00DA6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1656">
      <w:bodyDiv w:val="1"/>
      <w:marLeft w:val="0"/>
      <w:marRight w:val="0"/>
      <w:marTop w:val="0"/>
      <w:marBottom w:val="0"/>
      <w:divBdr>
        <w:top w:val="none" w:sz="0" w:space="0" w:color="auto"/>
        <w:left w:val="none" w:sz="0" w:space="0" w:color="auto"/>
        <w:bottom w:val="none" w:sz="0" w:space="0" w:color="auto"/>
        <w:right w:val="none" w:sz="0" w:space="0" w:color="auto"/>
      </w:divBdr>
    </w:div>
    <w:div w:id="1080564144">
      <w:bodyDiv w:val="1"/>
      <w:marLeft w:val="0"/>
      <w:marRight w:val="0"/>
      <w:marTop w:val="0"/>
      <w:marBottom w:val="0"/>
      <w:divBdr>
        <w:top w:val="none" w:sz="0" w:space="0" w:color="auto"/>
        <w:left w:val="none" w:sz="0" w:space="0" w:color="auto"/>
        <w:bottom w:val="none" w:sz="0" w:space="0" w:color="auto"/>
        <w:right w:val="none" w:sz="0" w:space="0" w:color="auto"/>
      </w:divBdr>
    </w:div>
    <w:div w:id="1243756801">
      <w:bodyDiv w:val="1"/>
      <w:marLeft w:val="45"/>
      <w:marRight w:val="45"/>
      <w:marTop w:val="90"/>
      <w:marBottom w:val="90"/>
      <w:divBdr>
        <w:top w:val="none" w:sz="0" w:space="0" w:color="auto"/>
        <w:left w:val="none" w:sz="0" w:space="0" w:color="auto"/>
        <w:bottom w:val="none" w:sz="0" w:space="0" w:color="auto"/>
        <w:right w:val="none" w:sz="0" w:space="0" w:color="auto"/>
      </w:divBdr>
    </w:div>
    <w:div w:id="1541670823">
      <w:bodyDiv w:val="1"/>
      <w:marLeft w:val="0"/>
      <w:marRight w:val="0"/>
      <w:marTop w:val="0"/>
      <w:marBottom w:val="0"/>
      <w:divBdr>
        <w:top w:val="none" w:sz="0" w:space="0" w:color="auto"/>
        <w:left w:val="none" w:sz="0" w:space="0" w:color="auto"/>
        <w:bottom w:val="none" w:sz="0" w:space="0" w:color="auto"/>
        <w:right w:val="none" w:sz="0" w:space="0" w:color="auto"/>
      </w:divBdr>
    </w:div>
    <w:div w:id="1552426508">
      <w:bodyDiv w:val="1"/>
      <w:marLeft w:val="0"/>
      <w:marRight w:val="0"/>
      <w:marTop w:val="0"/>
      <w:marBottom w:val="0"/>
      <w:divBdr>
        <w:top w:val="none" w:sz="0" w:space="0" w:color="auto"/>
        <w:left w:val="none" w:sz="0" w:space="0" w:color="auto"/>
        <w:bottom w:val="none" w:sz="0" w:space="0" w:color="auto"/>
        <w:right w:val="none" w:sz="0" w:space="0" w:color="auto"/>
      </w:divBdr>
    </w:div>
    <w:div w:id="16562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AFF6-E0D8-4A9E-A29E-E72E0ADE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5907</Words>
  <Characters>3368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Kārtība, kādā sedzami Latvijas pārstāvju ceļa izdevumi līdz Eiropas Savienības Padomes darba grupu sanāksmju un Eiropas Savienības Padomes sanāksmju norises vietai un atpakaļ un viesnīcas (naktsmītnes) izdevumi</vt:lpstr>
    </vt:vector>
  </TitlesOfParts>
  <Manager>darba grupa</Manager>
  <Company>Ārlietu ministrija</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sedzami Latvijas pārstāvju ceļa izdevumi līdz Eiropas Savienības Padomes darba grupu sanāksmju un Eiropas Savienības Padomes sanāksmju norises vietai un atpakaļ un viesnīcas (naktsmītnes) izdevumi</dc:title>
  <dc:subject>MK noteikumu projekta anotācija</dc:subject>
  <dc:creator>O.Fridmanis;L.Broka</dc:creator>
  <dc:description>Finanšu politikas departamenta direktora vietnieks
67016483, oskars.fridmanis@mfa.gov.lv
Juridiskā departamenta Administratīvi tiesiskās nodaļas juriskonsulte
L.Broka
Tālr.: 67016403, Fakss: 67828121
E-pasts: lelde.broka@mfa.gov.lv</dc:description>
  <cp:lastModifiedBy>Oskars Fridmanis</cp:lastModifiedBy>
  <cp:revision>5</cp:revision>
  <cp:lastPrinted>2013-01-11T09:35:00Z</cp:lastPrinted>
  <dcterms:created xsi:type="dcterms:W3CDTF">2013-01-09T12:38:00Z</dcterms:created>
  <dcterms:modified xsi:type="dcterms:W3CDTF">2013-01-11T09:37:00Z</dcterms:modified>
</cp:coreProperties>
</file>