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E2" w:rsidRPr="00867DD2" w:rsidRDefault="008853E2" w:rsidP="00867DD2">
      <w:pPr>
        <w:ind w:right="26"/>
        <w:jc w:val="center"/>
        <w:rPr>
          <w:b/>
        </w:rPr>
      </w:pPr>
      <w:r w:rsidRPr="00867DD2">
        <w:rPr>
          <w:b/>
        </w:rPr>
        <w:t xml:space="preserve">Ministru kabineta rīkojuma projekta </w:t>
      </w:r>
      <w:r w:rsidRPr="00867DD2">
        <w:rPr>
          <w:b/>
          <w:bCs/>
        </w:rPr>
        <w:t>„</w:t>
      </w:r>
      <w:bookmarkStart w:id="0" w:name="OLE_LINK10"/>
      <w:bookmarkStart w:id="1" w:name="OLE_LINK11"/>
      <w:r w:rsidR="00867DD2" w:rsidRPr="00867DD2">
        <w:rPr>
          <w:b/>
          <w:bCs/>
        </w:rPr>
        <w:t>Par Latvijas Republikas, Baltkrievijas Republikas un Krievijas Federācijas valsts robežu krustpunkta demarkācijas dokumentu apstiprināšanu</w:t>
      </w:r>
      <w:r w:rsidRPr="00867DD2">
        <w:rPr>
          <w:b/>
        </w:rPr>
        <w:t>”</w:t>
      </w:r>
      <w:bookmarkEnd w:id="0"/>
      <w:bookmarkEnd w:id="1"/>
      <w:r w:rsidRPr="00867DD2">
        <w:rPr>
          <w:b/>
        </w:rPr>
        <w:t xml:space="preserve">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57"/>
        <w:gridCol w:w="5598"/>
      </w:tblGrid>
      <w:tr w:rsidR="008853E2" w:rsidRPr="00744BE0" w:rsidTr="00644E81">
        <w:tc>
          <w:tcPr>
            <w:tcW w:w="9005" w:type="dxa"/>
            <w:gridSpan w:val="3"/>
            <w:vAlign w:val="center"/>
          </w:tcPr>
          <w:p w:rsidR="008853E2" w:rsidRPr="00744BE0" w:rsidRDefault="008853E2" w:rsidP="00644E81">
            <w:pPr>
              <w:pStyle w:val="naisnod"/>
              <w:spacing w:before="0" w:after="0"/>
            </w:pPr>
            <w:r w:rsidRPr="00744BE0">
              <w:t>I. Tiesību akta projekta izstrādes nepieciešamība</w:t>
            </w:r>
          </w:p>
        </w:tc>
      </w:tr>
      <w:tr w:rsidR="008853E2" w:rsidRPr="00744BE0" w:rsidTr="00644E81">
        <w:trPr>
          <w:trHeight w:val="630"/>
        </w:trPr>
        <w:tc>
          <w:tcPr>
            <w:tcW w:w="550" w:type="dxa"/>
          </w:tcPr>
          <w:p w:rsidR="008853E2" w:rsidRPr="00814D5E" w:rsidRDefault="008853E2" w:rsidP="00644E81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1.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Pamatojums</w:t>
            </w:r>
          </w:p>
        </w:tc>
        <w:tc>
          <w:tcPr>
            <w:tcW w:w="5598" w:type="dxa"/>
          </w:tcPr>
          <w:p w:rsidR="008853E2" w:rsidRPr="0071364A" w:rsidRDefault="008853E2" w:rsidP="00644E81">
            <w:pPr>
              <w:rPr>
                <w:b/>
                <w:bCs/>
                <w:i/>
                <w:sz w:val="22"/>
                <w:szCs w:val="22"/>
              </w:rPr>
            </w:pPr>
            <w:r w:rsidRPr="004E6376">
              <w:rPr>
                <w:iCs/>
              </w:rPr>
              <w:t xml:space="preserve">Latvijas Republikas valsts robežas likuma 3.panta ceturtā daļa </w:t>
            </w:r>
            <w:r>
              <w:rPr>
                <w:iCs/>
              </w:rPr>
              <w:t xml:space="preserve">paredz, ka </w:t>
            </w:r>
            <w:r w:rsidRPr="004E6376">
              <w:rPr>
                <w:iCs/>
              </w:rPr>
              <w:t>demark</w:t>
            </w:r>
            <w:r>
              <w:rPr>
                <w:iCs/>
              </w:rPr>
              <w:t>ācijas dokumenti</w:t>
            </w:r>
            <w:r w:rsidRPr="004E6376">
              <w:rPr>
                <w:iCs/>
              </w:rPr>
              <w:t xml:space="preserve"> </w:t>
            </w:r>
            <w:r>
              <w:rPr>
                <w:iCs/>
              </w:rPr>
              <w:t>ir jāapstiprina</w:t>
            </w:r>
            <w:r w:rsidRPr="004E6376">
              <w:rPr>
                <w:iCs/>
              </w:rPr>
              <w:t xml:space="preserve"> Ministru kabinetā</w:t>
            </w:r>
            <w:r>
              <w:rPr>
                <w:i/>
              </w:rPr>
              <w:t>.</w:t>
            </w:r>
          </w:p>
        </w:tc>
      </w:tr>
      <w:tr w:rsidR="008853E2" w:rsidRPr="00744BE0" w:rsidTr="00644E81">
        <w:trPr>
          <w:trHeight w:val="472"/>
        </w:trPr>
        <w:tc>
          <w:tcPr>
            <w:tcW w:w="550" w:type="dxa"/>
          </w:tcPr>
          <w:p w:rsidR="008853E2" w:rsidRPr="00814D5E" w:rsidRDefault="008853E2" w:rsidP="00644E81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2.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Pašreizējā situācija un problēmas</w:t>
            </w:r>
          </w:p>
        </w:tc>
        <w:tc>
          <w:tcPr>
            <w:tcW w:w="5598" w:type="dxa"/>
          </w:tcPr>
          <w:p w:rsidR="008853E2" w:rsidRDefault="008853E2" w:rsidP="00644E81">
            <w:pPr>
              <w:jc w:val="both"/>
            </w:pPr>
            <w:r>
              <w:rPr>
                <w:bCs/>
              </w:rPr>
              <w:t xml:space="preserve">2010.gada 28.janvārī tika parakstīta </w:t>
            </w:r>
            <w:r w:rsidRPr="005D7BB9">
              <w:t>Latvijas Republikas valdības, Baltkrievijas Republikas valdības un Krievijas Federācijas valdības vienošanās par Latvijas Republikas, Baltkrievijas Republikas un Krievijas Federācijas valsts robe</w:t>
            </w:r>
            <w:r>
              <w:t xml:space="preserve">žu krustpunkta noteikšanu (Vienošanās). Vienošanās stājās spēkā 2011.gada 1.janvārī. </w:t>
            </w:r>
          </w:p>
          <w:p w:rsidR="008853E2" w:rsidRPr="00F447A9" w:rsidRDefault="008853E2" w:rsidP="00644E81">
            <w:pPr>
              <w:jc w:val="both"/>
            </w:pPr>
            <w:r>
              <w:t xml:space="preserve">Saskaņā ar Vienošanās 3.pantu 2011.gada 5.septembrī ar Ministra kabineta rīkojumu Nr.426 tika apstiprināti Latvijas puses pārstāvji </w:t>
            </w:r>
            <w:r w:rsidRPr="00CE7A08">
              <w:rPr>
                <w:bCs/>
              </w:rPr>
              <w:t>Latvijas, Baltkrievijas un Krievijas kopīgajā komisijā Latvijas Republikas, Baltkrievijas Republikas un Krievijas Federācijas valsts robežu krustpunkta demarkācijai</w:t>
            </w:r>
            <w:r>
              <w:rPr>
                <w:bCs/>
              </w:rPr>
              <w:t xml:space="preserve">. </w:t>
            </w:r>
            <w:r>
              <w:t>Kopš 2011.gada ir notikušas sešas Kopīgās komisijas sēdes un vairākas Komisijas darba grupu sēdes. 2012.gada 6.decembrī Minskā tika parakstīti demarkācijas dokumenti – Latvijas Republikas, Baltkrievijas Republikas un Krievijas Federācijas valsts robežu krustpunkta protokols-apraksts, Latvijas Republikas, Baltkrievijas Republikas un Krievijas Federācijas valsts robežu krustpunkta demarkācijas karte un robežzīmes protokols.</w:t>
            </w:r>
          </w:p>
          <w:p w:rsidR="008853E2" w:rsidRPr="0071364A" w:rsidRDefault="008853E2" w:rsidP="00644E81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853E2" w:rsidRPr="00744BE0" w:rsidTr="00644E81">
        <w:trPr>
          <w:trHeight w:val="1071"/>
        </w:trPr>
        <w:tc>
          <w:tcPr>
            <w:tcW w:w="550" w:type="dxa"/>
          </w:tcPr>
          <w:p w:rsidR="008853E2" w:rsidRPr="00814D5E" w:rsidRDefault="008853E2" w:rsidP="00644E81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3.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Saistītie politikas ietekmes novērtējumi un pētījumi</w:t>
            </w:r>
          </w:p>
        </w:tc>
        <w:tc>
          <w:tcPr>
            <w:tcW w:w="5598" w:type="dxa"/>
          </w:tcPr>
          <w:p w:rsidR="008853E2" w:rsidRPr="003E0616" w:rsidRDefault="008853E2" w:rsidP="00644E81">
            <w:pPr>
              <w:pStyle w:val="NormalWeb"/>
              <w:spacing w:after="0" w:afterAutospacing="0"/>
            </w:pPr>
            <w:r w:rsidRPr="003E0616">
              <w:t>Nav attiecināms.</w:t>
            </w:r>
          </w:p>
        </w:tc>
      </w:tr>
      <w:tr w:rsidR="008853E2" w:rsidRPr="00744BE0" w:rsidTr="00644E81">
        <w:trPr>
          <w:trHeight w:val="384"/>
        </w:trPr>
        <w:tc>
          <w:tcPr>
            <w:tcW w:w="550" w:type="dxa"/>
          </w:tcPr>
          <w:p w:rsidR="008853E2" w:rsidRPr="00814D5E" w:rsidRDefault="008853E2" w:rsidP="00644E81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4.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Tiesiskā regulējuma mērķis un būtība</w:t>
            </w:r>
          </w:p>
        </w:tc>
        <w:tc>
          <w:tcPr>
            <w:tcW w:w="5598" w:type="dxa"/>
          </w:tcPr>
          <w:p w:rsidR="008853E2" w:rsidRPr="003E0616" w:rsidRDefault="008853E2" w:rsidP="00644E81">
            <w:pPr>
              <w:jc w:val="both"/>
            </w:pPr>
            <w:r w:rsidRPr="003E0616">
              <w:t xml:space="preserve">Rīkojuma projekts paredz </w:t>
            </w:r>
            <w:r>
              <w:t>apstiprināt</w:t>
            </w:r>
            <w:r w:rsidRPr="005D7BB9">
              <w:t xml:space="preserve"> Latvijas Republikas, Baltkrievijas Republikas un Krievijas Federācijas valsts robe</w:t>
            </w:r>
            <w:r>
              <w:t>žu krustpunkta demarkācijas dokumentus.</w:t>
            </w:r>
          </w:p>
        </w:tc>
      </w:tr>
      <w:tr w:rsidR="008853E2" w:rsidRPr="00744BE0" w:rsidTr="00644E81">
        <w:trPr>
          <w:trHeight w:val="476"/>
        </w:trPr>
        <w:tc>
          <w:tcPr>
            <w:tcW w:w="550" w:type="dxa"/>
          </w:tcPr>
          <w:p w:rsidR="008853E2" w:rsidRPr="00814D5E" w:rsidRDefault="008853E2" w:rsidP="00644E81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5.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Projekta izstrādē iesaistītās institūcijas</w:t>
            </w:r>
          </w:p>
        </w:tc>
        <w:tc>
          <w:tcPr>
            <w:tcW w:w="5598" w:type="dxa"/>
          </w:tcPr>
          <w:p w:rsidR="008853E2" w:rsidRPr="003E0616" w:rsidRDefault="008853E2" w:rsidP="00644E81">
            <w:pPr>
              <w:pStyle w:val="NormalWeb"/>
            </w:pPr>
            <w:r w:rsidRPr="003E0616">
              <w:t>Ārlietu ministrija</w:t>
            </w:r>
          </w:p>
        </w:tc>
      </w:tr>
      <w:tr w:rsidR="008853E2" w:rsidRPr="00744BE0" w:rsidTr="00644E81">
        <w:trPr>
          <w:trHeight w:val="599"/>
        </w:trPr>
        <w:tc>
          <w:tcPr>
            <w:tcW w:w="550" w:type="dxa"/>
          </w:tcPr>
          <w:p w:rsidR="008853E2" w:rsidRPr="00814D5E" w:rsidRDefault="008853E2" w:rsidP="00644E81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6.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  <w:i/>
                <w:highlight w:val="yellow"/>
              </w:rPr>
            </w:pPr>
            <w:r w:rsidRPr="00814D5E">
              <w:rPr>
                <w:b w:val="0"/>
              </w:rPr>
              <w:t>Iemesli, kādēļ netika nodrošināta sabiedrības līdzdalība</w:t>
            </w:r>
          </w:p>
        </w:tc>
        <w:tc>
          <w:tcPr>
            <w:tcW w:w="5598" w:type="dxa"/>
          </w:tcPr>
          <w:p w:rsidR="008853E2" w:rsidRPr="003E0616" w:rsidRDefault="008853E2" w:rsidP="00644E8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Nav attiecināms.</w:t>
            </w:r>
          </w:p>
        </w:tc>
      </w:tr>
      <w:tr w:rsidR="008853E2" w:rsidRPr="00744BE0" w:rsidTr="00644E81">
        <w:tc>
          <w:tcPr>
            <w:tcW w:w="550" w:type="dxa"/>
          </w:tcPr>
          <w:p w:rsidR="008853E2" w:rsidRPr="00814D5E" w:rsidRDefault="008853E2" w:rsidP="00644E81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7.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Cita informācija</w:t>
            </w:r>
          </w:p>
        </w:tc>
        <w:tc>
          <w:tcPr>
            <w:tcW w:w="5598" w:type="dxa"/>
          </w:tcPr>
          <w:p w:rsidR="008853E2" w:rsidRPr="003E0616" w:rsidRDefault="008853E2" w:rsidP="00644E81">
            <w:pPr>
              <w:pStyle w:val="NormalWeb"/>
              <w:spacing w:before="0" w:beforeAutospacing="0" w:after="0" w:afterAutospacing="0"/>
              <w:jc w:val="both"/>
            </w:pPr>
            <w:r w:rsidRPr="005D7BB9">
              <w:t>Latvijas Republikas, Baltkrievijas Republikas un Krievijas Federācijas valsts robe</w:t>
            </w:r>
            <w:r>
              <w:t xml:space="preserve">žu krustpunkta rajona karte, robežzīmes robežstabu rasējumi un valsts ģerboņu attēli un robežstabu uzraksti tehnisku iemeslu dēļ (specifiska programmatūra) pievienoti bez datnēm, </w:t>
            </w:r>
            <w:proofErr w:type="spellStart"/>
            <w:r>
              <w:t>pdf</w:t>
            </w:r>
            <w:proofErr w:type="spellEnd"/>
            <w:r>
              <w:t xml:space="preserve"> formātā.</w:t>
            </w:r>
          </w:p>
        </w:tc>
      </w:tr>
    </w:tbl>
    <w:p w:rsidR="008853E2" w:rsidRDefault="008853E2" w:rsidP="008853E2">
      <w:pPr>
        <w:pStyle w:val="naisf"/>
        <w:spacing w:before="0" w:after="0"/>
      </w:pPr>
    </w:p>
    <w:tbl>
      <w:tblPr>
        <w:tblW w:w="9142" w:type="dxa"/>
        <w:jc w:val="center"/>
        <w:tblInd w:w="-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2"/>
        <w:gridCol w:w="3043"/>
        <w:gridCol w:w="5757"/>
      </w:tblGrid>
      <w:tr w:rsidR="008853E2" w:rsidTr="00644E81">
        <w:trPr>
          <w:jc w:val="center"/>
        </w:trPr>
        <w:tc>
          <w:tcPr>
            <w:tcW w:w="9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3E2" w:rsidRDefault="008853E2" w:rsidP="00644E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8853E2" w:rsidTr="00644E81">
        <w:trPr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Saistības pret Eiropas Savienību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autoSpaceDE w:val="0"/>
              <w:autoSpaceDN w:val="0"/>
              <w:adjustRightInd w:val="0"/>
              <w:spacing w:after="60"/>
              <w:ind w:firstLine="256"/>
              <w:jc w:val="both"/>
            </w:pPr>
            <w:r>
              <w:rPr>
                <w:sz w:val="22"/>
                <w:szCs w:val="22"/>
              </w:rPr>
              <w:t>Nav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853E2" w:rsidTr="00644E81">
        <w:trPr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Citas starptautiskās saistības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before="100" w:beforeAutospacing="1" w:after="100" w:afterAutospacing="1"/>
              <w:jc w:val="both"/>
            </w:pPr>
            <w:r w:rsidRPr="00074F67">
              <w:t>Latvijas Republikas valdības, Baltkrievijas Republikas valdības un Krievijas Federācijas valdības vienošanās par Latvijas Republikas, Baltkrievijas Republikas un Krievijas Federācijas valsts robežu krustpunkta noteikšanu</w:t>
            </w:r>
            <w:r>
              <w:t xml:space="preserve"> 3.pants</w:t>
            </w:r>
            <w:r w:rsidRPr="00074F67">
              <w:t xml:space="preserve">, </w:t>
            </w:r>
            <w:r>
              <w:rPr>
                <w:bCs/>
              </w:rPr>
              <w:t>Līgums</w:t>
            </w:r>
            <w:r w:rsidRPr="00916AB7">
              <w:rPr>
                <w:bCs/>
              </w:rPr>
              <w:t xml:space="preserve"> par valsts robežas noteikšanu starp Latvijas Republiku un Baltkrievijas Republiku</w:t>
            </w:r>
            <w:r>
              <w:rPr>
                <w:bCs/>
              </w:rPr>
              <w:t xml:space="preserve">, </w:t>
            </w:r>
            <w:r w:rsidRPr="00074F67">
              <w:t>Latvijas Republikas</w:t>
            </w:r>
            <w:r>
              <w:t xml:space="preserve"> un Krievijas Federācijas līguma</w:t>
            </w:r>
            <w:r w:rsidRPr="00074F67">
              <w:t xml:space="preserve"> par Latvijas un Krievijas valsts robežu</w:t>
            </w:r>
            <w:r>
              <w:t xml:space="preserve"> 7.pants.</w:t>
            </w:r>
            <w:r w:rsidRPr="00074F67">
              <w:t xml:space="preserve"> </w:t>
            </w:r>
          </w:p>
        </w:tc>
      </w:tr>
      <w:tr w:rsidR="008853E2" w:rsidTr="00644E81">
        <w:trPr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Cita informācija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 w:firstLine="199"/>
            </w:pPr>
            <w:r>
              <w:rPr>
                <w:sz w:val="22"/>
                <w:szCs w:val="22"/>
              </w:rPr>
              <w:t>Nav</w:t>
            </w:r>
          </w:p>
        </w:tc>
      </w:tr>
    </w:tbl>
    <w:p w:rsidR="008853E2" w:rsidRDefault="008853E2" w:rsidP="008853E2">
      <w:pPr>
        <w:pStyle w:val="naisf"/>
        <w:spacing w:before="0" w:after="0"/>
        <w:jc w:val="center"/>
        <w:rPr>
          <w:b/>
        </w:rPr>
      </w:pP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419"/>
        <w:gridCol w:w="5211"/>
      </w:tblGrid>
      <w:tr w:rsidR="008853E2" w:rsidRPr="00744BE0" w:rsidTr="00644E81">
        <w:trPr>
          <w:trHeight w:val="247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</w:pPr>
            <w:r w:rsidRPr="00C81735">
              <w:t>VII. Tiesību akta projekta izpildes nodrošināšana un tās ietekme uz institūcijām</w:t>
            </w:r>
          </w:p>
        </w:tc>
      </w:tr>
      <w:tr w:rsidR="008853E2" w:rsidRPr="00744BE0" w:rsidTr="00644E81">
        <w:trPr>
          <w:trHeight w:val="427"/>
        </w:trPr>
        <w:tc>
          <w:tcPr>
            <w:tcW w:w="550" w:type="dxa"/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1.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 xml:space="preserve">Projekta izpildē iesaistītās institūcijas </w:t>
            </w:r>
          </w:p>
        </w:tc>
        <w:tc>
          <w:tcPr>
            <w:tcW w:w="5211" w:type="dxa"/>
          </w:tcPr>
          <w:p w:rsidR="008853E2" w:rsidRPr="003E0616" w:rsidRDefault="008853E2" w:rsidP="00644E81">
            <w:pPr>
              <w:pStyle w:val="NormalWeb"/>
              <w:jc w:val="both"/>
            </w:pPr>
            <w:r w:rsidRPr="003E0616">
              <w:t>Ārlietu ministrija.</w:t>
            </w:r>
          </w:p>
        </w:tc>
      </w:tr>
      <w:tr w:rsidR="008853E2" w:rsidRPr="00744BE0" w:rsidTr="00644E81">
        <w:trPr>
          <w:trHeight w:val="463"/>
        </w:trPr>
        <w:tc>
          <w:tcPr>
            <w:tcW w:w="550" w:type="dxa"/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2.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 xml:space="preserve">Projekta izpildes ietekme uz pārvaldes funkcijām </w:t>
            </w:r>
          </w:p>
        </w:tc>
        <w:tc>
          <w:tcPr>
            <w:tcW w:w="5211" w:type="dxa"/>
          </w:tcPr>
          <w:p w:rsidR="008853E2" w:rsidRPr="003E0616" w:rsidRDefault="008853E2" w:rsidP="00644E81">
            <w:pPr>
              <w:pStyle w:val="NormalWeb"/>
            </w:pPr>
            <w:r w:rsidRPr="003E0616">
              <w:t>Nav attiecināms.</w:t>
            </w:r>
          </w:p>
        </w:tc>
      </w:tr>
      <w:tr w:rsidR="008853E2" w:rsidRPr="00744BE0" w:rsidTr="00644E81">
        <w:trPr>
          <w:trHeight w:val="725"/>
        </w:trPr>
        <w:tc>
          <w:tcPr>
            <w:tcW w:w="550" w:type="dxa"/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3.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Projekta izpildes ietekme uz pārvaldes institucionālo struktūru.</w:t>
            </w:r>
          </w:p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Jaunu institūciju izveide</w:t>
            </w:r>
          </w:p>
        </w:tc>
        <w:tc>
          <w:tcPr>
            <w:tcW w:w="5211" w:type="dxa"/>
          </w:tcPr>
          <w:p w:rsidR="008853E2" w:rsidRPr="003E0616" w:rsidRDefault="008853E2" w:rsidP="00644E81">
            <w:pPr>
              <w:pStyle w:val="NormalWeb"/>
            </w:pPr>
            <w:r w:rsidRPr="003E0616">
              <w:t>Nav attiecināms.</w:t>
            </w:r>
          </w:p>
        </w:tc>
      </w:tr>
      <w:tr w:rsidR="008853E2" w:rsidRPr="00744BE0" w:rsidTr="00644E81">
        <w:trPr>
          <w:trHeight w:val="780"/>
        </w:trPr>
        <w:tc>
          <w:tcPr>
            <w:tcW w:w="550" w:type="dxa"/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4.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Projekta izpildes ietekme uz pārvaldes institucionālo struktūru.</w:t>
            </w:r>
          </w:p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Esošu institūciju likvidācija</w:t>
            </w:r>
          </w:p>
        </w:tc>
        <w:tc>
          <w:tcPr>
            <w:tcW w:w="5211" w:type="dxa"/>
          </w:tcPr>
          <w:p w:rsidR="008853E2" w:rsidRPr="003E0616" w:rsidRDefault="008853E2" w:rsidP="00644E81">
            <w:pPr>
              <w:pStyle w:val="NormalWeb"/>
            </w:pPr>
            <w:r w:rsidRPr="003E0616">
              <w:t>Nav attiecināms.</w:t>
            </w:r>
          </w:p>
        </w:tc>
      </w:tr>
      <w:tr w:rsidR="008853E2" w:rsidRPr="00744BE0" w:rsidTr="00644E81">
        <w:trPr>
          <w:trHeight w:val="703"/>
        </w:trPr>
        <w:tc>
          <w:tcPr>
            <w:tcW w:w="550" w:type="dxa"/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5.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Projekta izpildes ietekme uz pārvaldes institucionālo struktūru.</w:t>
            </w:r>
          </w:p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Esošu institūciju reorganizācija</w:t>
            </w:r>
          </w:p>
        </w:tc>
        <w:tc>
          <w:tcPr>
            <w:tcW w:w="5211" w:type="dxa"/>
          </w:tcPr>
          <w:p w:rsidR="008853E2" w:rsidRPr="003E0616" w:rsidRDefault="008853E2" w:rsidP="00644E81">
            <w:pPr>
              <w:pStyle w:val="NormalWeb"/>
            </w:pPr>
            <w:r w:rsidRPr="003E0616">
              <w:t>Nav attiecināms.</w:t>
            </w:r>
          </w:p>
        </w:tc>
      </w:tr>
      <w:tr w:rsidR="008853E2" w:rsidRPr="00744BE0" w:rsidTr="00644E81">
        <w:trPr>
          <w:trHeight w:val="476"/>
        </w:trPr>
        <w:tc>
          <w:tcPr>
            <w:tcW w:w="550" w:type="dxa"/>
          </w:tcPr>
          <w:p w:rsidR="008853E2" w:rsidRPr="00744BE0" w:rsidRDefault="008853E2" w:rsidP="00644E81">
            <w:pPr>
              <w:pStyle w:val="naiskr"/>
              <w:spacing w:before="0" w:after="0"/>
              <w:ind w:left="57" w:right="57"/>
            </w:pPr>
            <w:r w:rsidRPr="00744BE0">
              <w:t>6.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kr"/>
              <w:spacing w:before="0" w:after="0"/>
              <w:ind w:left="57" w:right="57"/>
            </w:pPr>
            <w:r w:rsidRPr="00744BE0">
              <w:t>Cita informācija</w:t>
            </w:r>
          </w:p>
        </w:tc>
        <w:tc>
          <w:tcPr>
            <w:tcW w:w="5211" w:type="dxa"/>
          </w:tcPr>
          <w:p w:rsidR="008853E2" w:rsidRPr="00074F67" w:rsidRDefault="008853E2" w:rsidP="00644E81">
            <w:pPr>
              <w:pStyle w:val="NormalWeb"/>
              <w:jc w:val="both"/>
            </w:pPr>
            <w:r w:rsidRPr="00074F67">
              <w:t xml:space="preserve">Demarkācijas dokumenti stājas spēkā </w:t>
            </w:r>
            <w:r w:rsidRPr="00916AB7">
              <w:t>trīsdesmitajā dienā pēc pēdējā rakstiskā paziņojuma, kas apstiprina Latvijas Republikas, Baltkrievijas Republikas un Krievijas Federācijas iekšējo procedūru izpildi, kas nepieciešamas, lai tas stātos spēkā.</w:t>
            </w:r>
          </w:p>
        </w:tc>
      </w:tr>
    </w:tbl>
    <w:p w:rsidR="008853E2" w:rsidRDefault="008853E2" w:rsidP="008853E2">
      <w:pPr>
        <w:pStyle w:val="naisf"/>
        <w:tabs>
          <w:tab w:val="left" w:pos="5760"/>
        </w:tabs>
        <w:spacing w:before="0" w:after="0"/>
        <w:ind w:firstLine="720"/>
      </w:pPr>
    </w:p>
    <w:p w:rsidR="008853E2" w:rsidRDefault="008853E2" w:rsidP="008853E2">
      <w:pPr>
        <w:pStyle w:val="naisf"/>
        <w:tabs>
          <w:tab w:val="left" w:pos="5760"/>
        </w:tabs>
        <w:spacing w:before="0" w:after="0"/>
        <w:ind w:firstLine="720"/>
      </w:pPr>
      <w:r w:rsidRPr="003E0616">
        <w:t xml:space="preserve">Anotācijas II, </w:t>
      </w:r>
      <w:r>
        <w:t xml:space="preserve">III, </w:t>
      </w:r>
      <w:r w:rsidRPr="003E0616">
        <w:t>IV</w:t>
      </w:r>
      <w:r>
        <w:t xml:space="preserve"> </w:t>
      </w:r>
      <w:r w:rsidRPr="003E0616">
        <w:t>un VI sadaļa – nav attiecināms.</w:t>
      </w:r>
    </w:p>
    <w:p w:rsidR="008853E2" w:rsidRDefault="008853E2" w:rsidP="008853E2">
      <w:pPr>
        <w:pStyle w:val="naisf"/>
        <w:tabs>
          <w:tab w:val="left" w:pos="5760"/>
        </w:tabs>
        <w:spacing w:before="0" w:after="0"/>
        <w:ind w:firstLine="0"/>
      </w:pPr>
    </w:p>
    <w:p w:rsidR="008853E2" w:rsidRDefault="008853E2" w:rsidP="008853E2">
      <w:pPr>
        <w:pStyle w:val="naisf"/>
        <w:tabs>
          <w:tab w:val="left" w:pos="5760"/>
        </w:tabs>
        <w:spacing w:before="0" w:after="0"/>
        <w:ind w:firstLine="0"/>
      </w:pPr>
    </w:p>
    <w:p w:rsidR="008853E2" w:rsidRDefault="008853E2" w:rsidP="008853E2">
      <w:pPr>
        <w:pStyle w:val="naisf"/>
        <w:spacing w:before="0" w:after="0"/>
        <w:ind w:firstLine="0"/>
      </w:pPr>
      <w:r w:rsidRPr="003E0616">
        <w:t>Ārlietu ministr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r w:rsidRPr="003E0616">
        <w:t xml:space="preserve">    </w:t>
      </w:r>
      <w:r>
        <w:t xml:space="preserve">        </w:t>
      </w:r>
      <w:proofErr w:type="spellStart"/>
      <w:proofErr w:type="gramEnd"/>
      <w:r>
        <w:t>E.Rinkēvičs</w:t>
      </w:r>
      <w:proofErr w:type="spellEnd"/>
    </w:p>
    <w:p w:rsidR="008853E2" w:rsidRDefault="008853E2" w:rsidP="008853E2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4"/>
          <w:szCs w:val="24"/>
          <w:lang w:val="lv-LV"/>
        </w:rPr>
      </w:pPr>
    </w:p>
    <w:p w:rsidR="008853E2" w:rsidRDefault="008853E2" w:rsidP="008853E2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4"/>
          <w:szCs w:val="24"/>
          <w:lang w:val="lv-LV"/>
        </w:rPr>
      </w:pPr>
    </w:p>
    <w:p w:rsidR="008853E2" w:rsidRDefault="008853E2" w:rsidP="008853E2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4"/>
          <w:szCs w:val="24"/>
          <w:lang w:val="lv-LV"/>
        </w:rPr>
      </w:pPr>
      <w:r w:rsidRPr="003E0616">
        <w:rPr>
          <w:sz w:val="24"/>
          <w:szCs w:val="24"/>
          <w:lang w:val="lv-LV"/>
        </w:rPr>
        <w:t>Vīza: Valsts sekretār</w:t>
      </w:r>
      <w:r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ab/>
        <w:t xml:space="preserve">A. </w:t>
      </w:r>
      <w:proofErr w:type="spellStart"/>
      <w:r>
        <w:rPr>
          <w:sz w:val="24"/>
          <w:szCs w:val="24"/>
          <w:lang w:val="lv-LV"/>
        </w:rPr>
        <w:t>Teikmanis</w:t>
      </w:r>
      <w:proofErr w:type="spellEnd"/>
    </w:p>
    <w:p w:rsidR="008853E2" w:rsidRDefault="008853E2" w:rsidP="008853E2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4"/>
          <w:szCs w:val="24"/>
          <w:lang w:val="lv-LV"/>
        </w:rPr>
      </w:pPr>
    </w:p>
    <w:p w:rsidR="008853E2" w:rsidRPr="005F5F48" w:rsidRDefault="00022B23" w:rsidP="008853E2">
      <w:pPr>
        <w:rPr>
          <w:sz w:val="20"/>
          <w:szCs w:val="20"/>
        </w:rPr>
      </w:pPr>
      <w:r>
        <w:rPr>
          <w:sz w:val="20"/>
          <w:szCs w:val="20"/>
        </w:rPr>
        <w:t>20.03.2013 15:36</w:t>
      </w:r>
    </w:p>
    <w:p w:rsidR="008853E2" w:rsidRPr="003E0616" w:rsidRDefault="00022B23" w:rsidP="008853E2">
      <w:pPr>
        <w:rPr>
          <w:sz w:val="20"/>
          <w:szCs w:val="20"/>
        </w:rPr>
      </w:pPr>
      <w:r>
        <w:rPr>
          <w:sz w:val="20"/>
          <w:szCs w:val="20"/>
        </w:rPr>
        <w:t>438</w:t>
      </w:r>
    </w:p>
    <w:p w:rsidR="008853E2" w:rsidRPr="003E0616" w:rsidRDefault="008853E2" w:rsidP="008853E2">
      <w:pPr>
        <w:rPr>
          <w:sz w:val="20"/>
          <w:szCs w:val="20"/>
        </w:rPr>
      </w:pPr>
      <w:r>
        <w:rPr>
          <w:sz w:val="20"/>
          <w:szCs w:val="20"/>
        </w:rPr>
        <w:t>K.Svilāns</w:t>
      </w:r>
    </w:p>
    <w:p w:rsidR="008853E2" w:rsidRDefault="008853E2" w:rsidP="008853E2">
      <w:pPr>
        <w:pStyle w:val="BodyText"/>
        <w:tabs>
          <w:tab w:val="left" w:pos="77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67016158</w:t>
      </w:r>
      <w:r w:rsidRPr="00052394">
        <w:rPr>
          <w:sz w:val="20"/>
          <w:szCs w:val="20"/>
          <w:lang w:val="lv-LV"/>
        </w:rPr>
        <w:t xml:space="preserve">; </w:t>
      </w:r>
      <w:hyperlink r:id="rId7" w:history="1">
        <w:r w:rsidRPr="001227A0">
          <w:rPr>
            <w:rStyle w:val="Hyperlink"/>
            <w:sz w:val="20"/>
            <w:szCs w:val="20"/>
            <w:lang w:val="lv-LV"/>
          </w:rPr>
          <w:t>kaspars.svilans@mfa.gov.lv</w:t>
        </w:r>
      </w:hyperlink>
      <w:bookmarkStart w:id="2" w:name="_GoBack"/>
      <w:bookmarkEnd w:id="2"/>
    </w:p>
    <w:sectPr w:rsidR="008853E2" w:rsidSect="00406C3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C5" w:rsidRDefault="005B31C5" w:rsidP="00BE05A6">
      <w:r>
        <w:separator/>
      </w:r>
    </w:p>
  </w:endnote>
  <w:endnote w:type="continuationSeparator" w:id="0">
    <w:p w:rsidR="005B31C5" w:rsidRDefault="005B31C5" w:rsidP="00BE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3" w:rsidRPr="00022B23" w:rsidRDefault="00022B23" w:rsidP="00022B23">
    <w:pPr>
      <w:ind w:right="26"/>
      <w:jc w:val="center"/>
      <w:rPr>
        <w:sz w:val="20"/>
        <w:szCs w:val="20"/>
      </w:rPr>
    </w:pPr>
    <w:r w:rsidRPr="00022B23">
      <w:rPr>
        <w:sz w:val="20"/>
        <w:szCs w:val="20"/>
      </w:rPr>
      <w:t xml:space="preserve">AMAnot_120313; Ministru kabineta rīkojuma projekta </w:t>
    </w:r>
    <w:r w:rsidRPr="00022B23">
      <w:rPr>
        <w:bCs/>
        <w:sz w:val="20"/>
        <w:szCs w:val="20"/>
      </w:rPr>
      <w:t>„Par Latvijas Republikas, Baltkrievijas Republikas un Krievijas Federācijas valsts robežu krustpunkta demarkācijas dokumentu apstiprināšanu</w:t>
    </w:r>
    <w:r w:rsidRPr="00022B23">
      <w:rPr>
        <w:sz w:val="20"/>
        <w:szCs w:val="20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3" w:rsidRPr="00022B23" w:rsidRDefault="0030770E" w:rsidP="00022B23">
    <w:pPr>
      <w:ind w:right="26"/>
      <w:jc w:val="center"/>
      <w:rPr>
        <w:sz w:val="20"/>
        <w:szCs w:val="20"/>
      </w:rPr>
    </w:pPr>
    <w:r w:rsidRPr="00022B23">
      <w:rPr>
        <w:sz w:val="20"/>
        <w:szCs w:val="20"/>
      </w:rPr>
      <w:t>AMAnot_</w:t>
    </w:r>
    <w:r w:rsidR="00BE05A6" w:rsidRPr="00022B23">
      <w:rPr>
        <w:sz w:val="20"/>
        <w:szCs w:val="20"/>
      </w:rPr>
      <w:t>120313</w:t>
    </w:r>
    <w:r w:rsidR="00022B23" w:rsidRPr="00022B23">
      <w:rPr>
        <w:sz w:val="20"/>
        <w:szCs w:val="20"/>
      </w:rPr>
      <w:t xml:space="preserve">; </w:t>
    </w:r>
    <w:r w:rsidR="00022B23" w:rsidRPr="00022B23">
      <w:rPr>
        <w:sz w:val="20"/>
        <w:szCs w:val="20"/>
      </w:rPr>
      <w:t xml:space="preserve">Ministru kabineta rīkojuma projekta </w:t>
    </w:r>
    <w:r w:rsidR="00022B23" w:rsidRPr="00022B23">
      <w:rPr>
        <w:bCs/>
        <w:sz w:val="20"/>
        <w:szCs w:val="20"/>
      </w:rPr>
      <w:t>„Par Latvijas Republikas, Baltkrievijas Republikas un Krievijas Federācijas valsts robežu krustpunkta demarkācijas dokumentu apstiprināšanu</w:t>
    </w:r>
    <w:r w:rsidR="00022B23" w:rsidRPr="00022B23">
      <w:rPr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C5" w:rsidRDefault="005B31C5" w:rsidP="00BE05A6">
      <w:r>
        <w:separator/>
      </w:r>
    </w:p>
  </w:footnote>
  <w:footnote w:type="continuationSeparator" w:id="0">
    <w:p w:rsidR="005B31C5" w:rsidRDefault="005B31C5" w:rsidP="00BE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Default="0030770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F2E" w:rsidRDefault="005B3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Default="0030770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B23">
      <w:rPr>
        <w:rStyle w:val="PageNumber"/>
        <w:noProof/>
      </w:rPr>
      <w:t>2</w:t>
    </w:r>
    <w:r>
      <w:rPr>
        <w:rStyle w:val="PageNumber"/>
      </w:rPr>
      <w:fldChar w:fldCharType="end"/>
    </w:r>
  </w:p>
  <w:p w:rsidR="00340F2E" w:rsidRDefault="005B3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E2"/>
    <w:rsid w:val="00022B23"/>
    <w:rsid w:val="001F08F6"/>
    <w:rsid w:val="0030770E"/>
    <w:rsid w:val="005B31C5"/>
    <w:rsid w:val="00867DD2"/>
    <w:rsid w:val="008853E2"/>
    <w:rsid w:val="00BE05A6"/>
    <w:rsid w:val="00C0736F"/>
    <w:rsid w:val="00CB2CB1"/>
    <w:rsid w:val="00EA5D9B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3E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53E2"/>
  </w:style>
  <w:style w:type="paragraph" w:customStyle="1" w:styleId="naisf">
    <w:name w:val="naisf"/>
    <w:basedOn w:val="Normal"/>
    <w:rsid w:val="008853E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853E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853E2"/>
    <w:pPr>
      <w:spacing w:before="75" w:after="75"/>
    </w:pPr>
  </w:style>
  <w:style w:type="character" w:styleId="Hyperlink">
    <w:name w:val="Hyperlink"/>
    <w:basedOn w:val="DefaultParagraphFont"/>
    <w:rsid w:val="008853E2"/>
    <w:rPr>
      <w:color w:val="0000FF"/>
      <w:u w:val="single"/>
    </w:rPr>
  </w:style>
  <w:style w:type="paragraph" w:styleId="NormalWeb">
    <w:name w:val="Normal (Web)"/>
    <w:basedOn w:val="Normal"/>
    <w:uiPriority w:val="99"/>
    <w:rsid w:val="008853E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853E2"/>
    <w:rPr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853E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EnvelopeReturn">
    <w:name w:val="envelope return"/>
    <w:basedOn w:val="Normal"/>
    <w:unhideWhenUsed/>
    <w:rsid w:val="008853E2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BE05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3E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53E2"/>
  </w:style>
  <w:style w:type="paragraph" w:customStyle="1" w:styleId="naisf">
    <w:name w:val="naisf"/>
    <w:basedOn w:val="Normal"/>
    <w:rsid w:val="008853E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853E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853E2"/>
    <w:pPr>
      <w:spacing w:before="75" w:after="75"/>
    </w:pPr>
  </w:style>
  <w:style w:type="character" w:styleId="Hyperlink">
    <w:name w:val="Hyperlink"/>
    <w:basedOn w:val="DefaultParagraphFont"/>
    <w:rsid w:val="008853E2"/>
    <w:rPr>
      <w:color w:val="0000FF"/>
      <w:u w:val="single"/>
    </w:rPr>
  </w:style>
  <w:style w:type="paragraph" w:styleId="NormalWeb">
    <w:name w:val="Normal (Web)"/>
    <w:basedOn w:val="Normal"/>
    <w:uiPriority w:val="99"/>
    <w:rsid w:val="008853E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853E2"/>
    <w:rPr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853E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EnvelopeReturn">
    <w:name w:val="envelope return"/>
    <w:basedOn w:val="Normal"/>
    <w:unhideWhenUsed/>
    <w:rsid w:val="008853E2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BE05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spars.svilans@mf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Svilans</dc:creator>
  <cp:lastModifiedBy>Kaspars Svilans</cp:lastModifiedBy>
  <cp:revision>5</cp:revision>
  <dcterms:created xsi:type="dcterms:W3CDTF">2013-03-12T11:25:00Z</dcterms:created>
  <dcterms:modified xsi:type="dcterms:W3CDTF">2013-03-20T13:38:00Z</dcterms:modified>
</cp:coreProperties>
</file>