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2E" w:rsidRPr="003E0616" w:rsidRDefault="00340F2E" w:rsidP="00340F2E">
      <w:pPr>
        <w:jc w:val="center"/>
        <w:rPr>
          <w:b/>
        </w:rPr>
      </w:pPr>
      <w:r w:rsidRPr="003E0616">
        <w:rPr>
          <w:b/>
        </w:rPr>
        <w:t>Ministru kabineta rīkojuma projekta</w:t>
      </w:r>
    </w:p>
    <w:p w:rsidR="00340F2E" w:rsidRPr="003E0616" w:rsidRDefault="00340F2E" w:rsidP="00340F2E">
      <w:pPr>
        <w:jc w:val="center"/>
        <w:rPr>
          <w:b/>
        </w:rPr>
      </w:pPr>
      <w:r w:rsidRPr="003E0616">
        <w:rPr>
          <w:b/>
          <w:bCs/>
        </w:rPr>
        <w:t>„</w:t>
      </w:r>
      <w:bookmarkStart w:id="0" w:name="OLE_LINK10"/>
      <w:bookmarkStart w:id="1" w:name="OLE_LINK11"/>
      <w:r w:rsidRPr="003E0616">
        <w:rPr>
          <w:b/>
          <w:bCs/>
        </w:rPr>
        <w:t>Grozījum</w:t>
      </w:r>
      <w:r w:rsidR="00A4714D">
        <w:rPr>
          <w:b/>
          <w:bCs/>
        </w:rPr>
        <w:t>i</w:t>
      </w:r>
      <w:r w:rsidRPr="003E0616">
        <w:rPr>
          <w:b/>
          <w:bCs/>
        </w:rPr>
        <w:t xml:space="preserve"> Ministru kabineta </w:t>
      </w:r>
      <w:r w:rsidRPr="003E0616">
        <w:rPr>
          <w:b/>
        </w:rPr>
        <w:t xml:space="preserve">2009. gada 7. oktobra </w:t>
      </w:r>
      <w:r w:rsidRPr="003E0616">
        <w:rPr>
          <w:b/>
          <w:bCs/>
        </w:rPr>
        <w:t xml:space="preserve">rīkojumā </w:t>
      </w:r>
      <w:r w:rsidRPr="003E0616">
        <w:rPr>
          <w:rStyle w:val="Strong"/>
        </w:rPr>
        <w:t>Nr. 675</w:t>
      </w:r>
      <w:r w:rsidRPr="003E0616">
        <w:rPr>
          <w:bCs/>
        </w:rPr>
        <w:t xml:space="preserve"> „</w:t>
      </w:r>
      <w:r w:rsidRPr="003E0616">
        <w:rPr>
          <w:rStyle w:val="Strong"/>
          <w:bCs w:val="0"/>
        </w:rPr>
        <w:t>Par pārstāvju norīkošanu Latvijas un Krievijas kopīgajā demarkācijas komisijā</w:t>
      </w:r>
      <w:r w:rsidRPr="003E0616">
        <w:rPr>
          <w:b/>
        </w:rPr>
        <w:t>”</w:t>
      </w:r>
      <w:bookmarkEnd w:id="0"/>
      <w:bookmarkEnd w:id="1"/>
      <w:r w:rsidRPr="003E0616">
        <w:rPr>
          <w:b/>
        </w:rPr>
        <w:t>”</w:t>
      </w:r>
    </w:p>
    <w:p w:rsidR="008C5649" w:rsidRPr="00744BE0" w:rsidRDefault="00340F2E" w:rsidP="00340F2E">
      <w:pPr>
        <w:pStyle w:val="naislab"/>
        <w:spacing w:before="0" w:after="0"/>
        <w:jc w:val="center"/>
        <w:outlineLvl w:val="0"/>
        <w:rPr>
          <w:b/>
        </w:rPr>
      </w:pPr>
      <w:r w:rsidRPr="003E0616">
        <w:rPr>
          <w:b/>
        </w:rPr>
        <w:t>sākotnējās ietekmes novērtējuma ziņojums (anotācija)</w:t>
      </w:r>
    </w:p>
    <w:tbl>
      <w:tblPr>
        <w:tblpPr w:leftFromText="180" w:rightFromText="180" w:vertAnchor="text" w:horzAnchor="margin" w:tblpXSpec="center" w:tblpY="149"/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3424"/>
        <w:gridCol w:w="5031"/>
      </w:tblGrid>
      <w:tr w:rsidR="00852042" w:rsidRPr="00744BE0">
        <w:tc>
          <w:tcPr>
            <w:tcW w:w="9005" w:type="dxa"/>
            <w:gridSpan w:val="3"/>
            <w:vAlign w:val="center"/>
          </w:tcPr>
          <w:p w:rsidR="00852042" w:rsidRPr="00744BE0" w:rsidRDefault="00852042" w:rsidP="006062A4">
            <w:pPr>
              <w:pStyle w:val="naisnod"/>
              <w:spacing w:before="0" w:after="0"/>
            </w:pPr>
            <w:r w:rsidRPr="00744BE0">
              <w:t>I</w:t>
            </w:r>
            <w:r w:rsidR="000941C5" w:rsidRPr="00744BE0">
              <w:t>.</w:t>
            </w:r>
            <w:r w:rsidRPr="00744BE0">
              <w:t xml:space="preserve"> Tiesību akta </w:t>
            </w:r>
            <w:r w:rsidR="002E3FF4" w:rsidRPr="00744BE0">
              <w:t xml:space="preserve">projekta </w:t>
            </w:r>
            <w:r w:rsidRPr="00744BE0">
              <w:t>izstrādes nepieciešamība</w:t>
            </w:r>
          </w:p>
        </w:tc>
      </w:tr>
      <w:tr w:rsidR="00814D5E" w:rsidRPr="00744BE0" w:rsidTr="00340F2E">
        <w:trPr>
          <w:trHeight w:val="630"/>
        </w:trPr>
        <w:tc>
          <w:tcPr>
            <w:tcW w:w="550" w:type="dxa"/>
          </w:tcPr>
          <w:p w:rsidR="00814D5E" w:rsidRPr="00814D5E" w:rsidRDefault="00814D5E" w:rsidP="006062A4">
            <w:pPr>
              <w:pStyle w:val="naisnod"/>
              <w:spacing w:before="0" w:after="0"/>
              <w:rPr>
                <w:b w:val="0"/>
              </w:rPr>
            </w:pPr>
            <w:r w:rsidRPr="00814D5E">
              <w:rPr>
                <w:b w:val="0"/>
              </w:rPr>
              <w:t>1.</w:t>
            </w:r>
          </w:p>
        </w:tc>
        <w:tc>
          <w:tcPr>
            <w:tcW w:w="3424" w:type="dxa"/>
          </w:tcPr>
          <w:p w:rsidR="00814D5E" w:rsidRPr="00814D5E" w:rsidRDefault="00814D5E" w:rsidP="009E41D4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814D5E">
              <w:rPr>
                <w:b w:val="0"/>
              </w:rPr>
              <w:t>Pamatojums</w:t>
            </w:r>
          </w:p>
        </w:tc>
        <w:tc>
          <w:tcPr>
            <w:tcW w:w="5031" w:type="dxa"/>
          </w:tcPr>
          <w:p w:rsidR="00814D5E" w:rsidRPr="0071364A" w:rsidRDefault="00340F2E" w:rsidP="0012128E">
            <w:pPr>
              <w:rPr>
                <w:b/>
                <w:bCs/>
                <w:i/>
                <w:sz w:val="22"/>
                <w:szCs w:val="22"/>
              </w:rPr>
            </w:pPr>
            <w:r w:rsidRPr="003E0616">
              <w:t>Nav attiecināms</w:t>
            </w:r>
            <w:r w:rsidR="00B47D59">
              <w:t>.</w:t>
            </w:r>
          </w:p>
        </w:tc>
      </w:tr>
      <w:tr w:rsidR="00814D5E" w:rsidRPr="00744BE0" w:rsidTr="00340F2E">
        <w:trPr>
          <w:trHeight w:val="472"/>
        </w:trPr>
        <w:tc>
          <w:tcPr>
            <w:tcW w:w="550" w:type="dxa"/>
          </w:tcPr>
          <w:p w:rsidR="00814D5E" w:rsidRPr="00814D5E" w:rsidRDefault="00814D5E" w:rsidP="006062A4">
            <w:pPr>
              <w:pStyle w:val="naisnod"/>
              <w:spacing w:before="0" w:after="0"/>
              <w:rPr>
                <w:b w:val="0"/>
              </w:rPr>
            </w:pPr>
            <w:r w:rsidRPr="00814D5E">
              <w:rPr>
                <w:b w:val="0"/>
              </w:rPr>
              <w:t>2.</w:t>
            </w:r>
          </w:p>
        </w:tc>
        <w:tc>
          <w:tcPr>
            <w:tcW w:w="3424" w:type="dxa"/>
          </w:tcPr>
          <w:p w:rsidR="00814D5E" w:rsidRPr="00814D5E" w:rsidRDefault="00814D5E" w:rsidP="009E41D4">
            <w:pPr>
              <w:pStyle w:val="naisnod"/>
              <w:tabs>
                <w:tab w:val="left" w:pos="170"/>
              </w:tabs>
              <w:spacing w:before="0" w:after="0"/>
              <w:jc w:val="left"/>
              <w:rPr>
                <w:b w:val="0"/>
              </w:rPr>
            </w:pPr>
            <w:r w:rsidRPr="00814D5E">
              <w:rPr>
                <w:b w:val="0"/>
              </w:rPr>
              <w:t>Pašreizējā situācija un problēmas</w:t>
            </w:r>
          </w:p>
        </w:tc>
        <w:tc>
          <w:tcPr>
            <w:tcW w:w="5031" w:type="dxa"/>
          </w:tcPr>
          <w:p w:rsidR="00AE676E" w:rsidRDefault="0076583E" w:rsidP="00340F2E">
            <w:pPr>
              <w:jc w:val="both"/>
            </w:pPr>
            <w:r w:rsidRPr="0076583E">
              <w:t>Saskaņā ar 2007.</w:t>
            </w:r>
            <w:r w:rsidR="00873FE8">
              <w:t xml:space="preserve"> </w:t>
            </w:r>
            <w:r w:rsidRPr="0076583E">
              <w:t>gada 27.</w:t>
            </w:r>
            <w:r w:rsidR="00873FE8">
              <w:t xml:space="preserve"> </w:t>
            </w:r>
            <w:r w:rsidRPr="0076583E">
              <w:t xml:space="preserve">martā Maskavā parakstītā Latvijas Republikas un Krievijas Federācijas līguma par Latvijas un Krievijas valsts robežu </w:t>
            </w:r>
            <w:proofErr w:type="gramStart"/>
            <w:r w:rsidRPr="0076583E">
              <w:t>5.</w:t>
            </w:r>
            <w:r w:rsidR="00260B26">
              <w:t>p</w:t>
            </w:r>
            <w:r w:rsidRPr="0076583E">
              <w:t>antu</w:t>
            </w:r>
            <w:proofErr w:type="gramEnd"/>
            <w:r w:rsidR="00260B26">
              <w:t>,</w:t>
            </w:r>
            <w:r w:rsidRPr="0076583E">
              <w:t xml:space="preserve"> </w:t>
            </w:r>
            <w:r>
              <w:t xml:space="preserve">Ministru kabinets ar 2009. gada 7.oktobra rīkojumu Nr.675 </w:t>
            </w:r>
            <w:r w:rsidRPr="0076583E">
              <w:rPr>
                <w:bCs/>
              </w:rPr>
              <w:t>„</w:t>
            </w:r>
            <w:r w:rsidRPr="0076583E">
              <w:rPr>
                <w:rStyle w:val="Strong"/>
                <w:b w:val="0"/>
                <w:bCs w:val="0"/>
              </w:rPr>
              <w:t>Par pārstāvju norīkošanu Latvijas un Krievijas kopīgajā demarkācijas komisijā</w:t>
            </w:r>
            <w:r w:rsidRPr="0076583E">
              <w:t>” (turpmāk – rīkojums Nr.675)</w:t>
            </w:r>
            <w:r>
              <w:t xml:space="preserve"> apstiprināja</w:t>
            </w:r>
            <w:r w:rsidRPr="0076583E">
              <w:t xml:space="preserve"> Latvijas un Krievijas kopīgās demarkācijas komisijas (turpmāk – Komisija) Latvijas puses sastāv</w:t>
            </w:r>
            <w:r>
              <w:t>u.</w:t>
            </w:r>
          </w:p>
          <w:p w:rsidR="0076583E" w:rsidRPr="0076583E" w:rsidRDefault="0076583E" w:rsidP="00340F2E">
            <w:pPr>
              <w:jc w:val="both"/>
            </w:pPr>
          </w:p>
          <w:p w:rsidR="00A23792" w:rsidRDefault="00AE676E" w:rsidP="0076583E">
            <w:pPr>
              <w:jc w:val="both"/>
            </w:pPr>
            <w:r w:rsidRPr="0076583E">
              <w:t xml:space="preserve">Ņemot vērā, ka </w:t>
            </w:r>
            <w:r w:rsidR="00905FF1">
              <w:t>Tieslietu ministrija savā 2013. gada 2. oktobra vēstulē ir lūgusi svītrot no Komisijas sastāva Valsts zemes dienesta ģenerāldirektori un</w:t>
            </w:r>
            <w:r w:rsidR="00905FF1" w:rsidRPr="0076583E">
              <w:t xml:space="preserve"> </w:t>
            </w:r>
            <w:r w:rsidRPr="0076583E">
              <w:t>Ārlietu ministrijā</w:t>
            </w:r>
            <w:r w:rsidR="00905FF1">
              <w:t xml:space="preserve"> ir notikusi</w:t>
            </w:r>
            <w:r w:rsidR="0076583E">
              <w:t xml:space="preserve"> amatpersonas</w:t>
            </w:r>
            <w:r>
              <w:t xml:space="preserve"> maiņa</w:t>
            </w:r>
            <w:r w:rsidR="00905FF1">
              <w:t xml:space="preserve">, kā arī </w:t>
            </w:r>
            <w:r w:rsidR="0076583E">
              <w:t>Komisijas sekretāram ir mainīts ieņemamais ama</w:t>
            </w:r>
            <w:r w:rsidR="00873FE8">
              <w:t xml:space="preserve">ts, </w:t>
            </w:r>
            <w:r w:rsidR="0076583E">
              <w:t>ir nepieciešams veikt izmaiņas Komisijas Latvijas puses sastāvā.</w:t>
            </w:r>
          </w:p>
          <w:p w:rsidR="00A23792" w:rsidRDefault="00A23792" w:rsidP="0076583E">
            <w:pPr>
              <w:jc w:val="both"/>
            </w:pPr>
          </w:p>
          <w:p w:rsidR="0076583E" w:rsidRPr="0071364A" w:rsidRDefault="0076583E" w:rsidP="0076583E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t>Sakarā ar to, ka turpmākie Latvijas</w:t>
            </w:r>
            <w:r w:rsidR="00873FE8">
              <w:t>-</w:t>
            </w:r>
            <w:r>
              <w:t>Krievijas valsts robežas demarkācijas darbi prasīs aizvien lielāku Latvijas Ģeotelpiskās informācijas aģentūras</w:t>
            </w:r>
            <w:r w:rsidR="00A23792">
              <w:t xml:space="preserve"> (LĢIA) </w:t>
            </w:r>
            <w:r>
              <w:t>iesaisti</w:t>
            </w:r>
            <w:r w:rsidR="00A23792">
              <w:t xml:space="preserve">, Komisijas Latvijas puses sastāvā ir nepieciešams iekļaut LĢIA direktoru. </w:t>
            </w:r>
          </w:p>
          <w:p w:rsidR="00814D5E" w:rsidRPr="0071364A" w:rsidRDefault="00814D5E" w:rsidP="00340F2E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340F2E" w:rsidRPr="00744BE0" w:rsidTr="00340F2E">
        <w:trPr>
          <w:trHeight w:val="1071"/>
        </w:trPr>
        <w:tc>
          <w:tcPr>
            <w:tcW w:w="550" w:type="dxa"/>
          </w:tcPr>
          <w:p w:rsidR="00340F2E" w:rsidRPr="00814D5E" w:rsidRDefault="00340F2E" w:rsidP="006062A4">
            <w:pPr>
              <w:pStyle w:val="naisnod"/>
              <w:spacing w:before="0" w:after="0"/>
              <w:rPr>
                <w:b w:val="0"/>
              </w:rPr>
            </w:pPr>
            <w:r w:rsidRPr="00814D5E">
              <w:rPr>
                <w:b w:val="0"/>
              </w:rPr>
              <w:t>3.</w:t>
            </w:r>
          </w:p>
        </w:tc>
        <w:tc>
          <w:tcPr>
            <w:tcW w:w="3424" w:type="dxa"/>
          </w:tcPr>
          <w:p w:rsidR="00340F2E" w:rsidRPr="00814D5E" w:rsidRDefault="00340F2E" w:rsidP="009E41D4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814D5E">
              <w:rPr>
                <w:b w:val="0"/>
              </w:rPr>
              <w:t>Saistītie politikas ietekmes novērtējumi un pētījumi</w:t>
            </w:r>
          </w:p>
        </w:tc>
        <w:tc>
          <w:tcPr>
            <w:tcW w:w="5031" w:type="dxa"/>
          </w:tcPr>
          <w:p w:rsidR="00340F2E" w:rsidRPr="003E0616" w:rsidRDefault="00340F2E" w:rsidP="00340F2E">
            <w:pPr>
              <w:pStyle w:val="NormalWeb"/>
              <w:spacing w:after="0" w:afterAutospacing="0"/>
            </w:pPr>
            <w:r w:rsidRPr="003E0616">
              <w:t>Nav attiecināms</w:t>
            </w:r>
            <w:r w:rsidR="00B47D59">
              <w:t>.</w:t>
            </w:r>
          </w:p>
        </w:tc>
      </w:tr>
      <w:tr w:rsidR="00340F2E" w:rsidRPr="00744BE0" w:rsidTr="00340F2E">
        <w:trPr>
          <w:trHeight w:val="384"/>
        </w:trPr>
        <w:tc>
          <w:tcPr>
            <w:tcW w:w="550" w:type="dxa"/>
          </w:tcPr>
          <w:p w:rsidR="00340F2E" w:rsidRPr="00814D5E" w:rsidRDefault="00340F2E" w:rsidP="006062A4">
            <w:pPr>
              <w:pStyle w:val="naisnod"/>
              <w:spacing w:before="0" w:after="0"/>
              <w:rPr>
                <w:b w:val="0"/>
              </w:rPr>
            </w:pPr>
            <w:r w:rsidRPr="00814D5E">
              <w:rPr>
                <w:b w:val="0"/>
              </w:rPr>
              <w:t>4.</w:t>
            </w:r>
          </w:p>
        </w:tc>
        <w:tc>
          <w:tcPr>
            <w:tcW w:w="3424" w:type="dxa"/>
          </w:tcPr>
          <w:p w:rsidR="00340F2E" w:rsidRPr="00814D5E" w:rsidRDefault="00340F2E" w:rsidP="009E41D4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814D5E">
              <w:rPr>
                <w:b w:val="0"/>
              </w:rPr>
              <w:t>Tiesiskā regulējuma mērķis un būtība</w:t>
            </w:r>
          </w:p>
        </w:tc>
        <w:tc>
          <w:tcPr>
            <w:tcW w:w="5031" w:type="dxa"/>
          </w:tcPr>
          <w:p w:rsidR="00340F2E" w:rsidRPr="003E0616" w:rsidRDefault="00340F2E" w:rsidP="00A23792">
            <w:pPr>
              <w:jc w:val="both"/>
            </w:pPr>
            <w:r w:rsidRPr="003E0616">
              <w:t>Rīkojuma projekts paredz grozījumu</w:t>
            </w:r>
            <w:r w:rsidR="00A4714D">
              <w:t>s</w:t>
            </w:r>
            <w:r w:rsidRPr="003E0616">
              <w:t xml:space="preserve"> rīkojuma Nr.</w:t>
            </w:r>
            <w:r w:rsidR="00A4714D">
              <w:t> </w:t>
            </w:r>
            <w:r w:rsidR="00A23792">
              <w:t>675 1.</w:t>
            </w:r>
            <w:r w:rsidRPr="003E0616">
              <w:t>punktā, mai</w:t>
            </w:r>
            <w:r w:rsidR="00A23792">
              <w:t>not Komisijas līdzpriekšsēdētāja vietnieku</w:t>
            </w:r>
            <w:r w:rsidRPr="003E0616">
              <w:t xml:space="preserve">, Komisijas </w:t>
            </w:r>
            <w:r w:rsidR="00A23792">
              <w:t>locekli, kā arī Komisijas atbildīgā sekretāra amatu.</w:t>
            </w:r>
            <w:r w:rsidRPr="003E0616">
              <w:t xml:space="preserve"> </w:t>
            </w:r>
          </w:p>
        </w:tc>
      </w:tr>
      <w:tr w:rsidR="00340F2E" w:rsidRPr="00744BE0" w:rsidTr="00340F2E">
        <w:trPr>
          <w:trHeight w:val="476"/>
        </w:trPr>
        <w:tc>
          <w:tcPr>
            <w:tcW w:w="550" w:type="dxa"/>
          </w:tcPr>
          <w:p w:rsidR="00340F2E" w:rsidRPr="00814D5E" w:rsidRDefault="00340F2E" w:rsidP="006062A4">
            <w:pPr>
              <w:pStyle w:val="naisnod"/>
              <w:spacing w:before="0" w:after="0"/>
              <w:rPr>
                <w:b w:val="0"/>
              </w:rPr>
            </w:pPr>
            <w:r w:rsidRPr="00814D5E">
              <w:rPr>
                <w:b w:val="0"/>
              </w:rPr>
              <w:t>5.</w:t>
            </w:r>
          </w:p>
        </w:tc>
        <w:tc>
          <w:tcPr>
            <w:tcW w:w="3424" w:type="dxa"/>
          </w:tcPr>
          <w:p w:rsidR="00340F2E" w:rsidRPr="00814D5E" w:rsidRDefault="00340F2E" w:rsidP="009E41D4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814D5E">
              <w:rPr>
                <w:b w:val="0"/>
              </w:rPr>
              <w:t>Projekta izstrādē iesaistītās institūcijas</w:t>
            </w:r>
          </w:p>
        </w:tc>
        <w:tc>
          <w:tcPr>
            <w:tcW w:w="5031" w:type="dxa"/>
          </w:tcPr>
          <w:p w:rsidR="00340F2E" w:rsidRPr="003E0616" w:rsidRDefault="00340F2E" w:rsidP="00873FE8">
            <w:pPr>
              <w:pStyle w:val="NormalWeb"/>
            </w:pPr>
            <w:r w:rsidRPr="003E0616">
              <w:t>Ārlietu ministrija</w:t>
            </w:r>
            <w:r w:rsidR="00DC17D5">
              <w:t>, Aizsardzības ministrija</w:t>
            </w:r>
            <w:r w:rsidR="00873FE8">
              <w:t>, Tieslietu ministrija</w:t>
            </w:r>
            <w:r w:rsidR="00B47D59">
              <w:t>.</w:t>
            </w:r>
          </w:p>
        </w:tc>
      </w:tr>
      <w:tr w:rsidR="00340F2E" w:rsidRPr="00744BE0" w:rsidTr="00340F2E">
        <w:trPr>
          <w:trHeight w:val="1340"/>
        </w:trPr>
        <w:tc>
          <w:tcPr>
            <w:tcW w:w="550" w:type="dxa"/>
          </w:tcPr>
          <w:p w:rsidR="00340F2E" w:rsidRPr="00814D5E" w:rsidRDefault="00340F2E" w:rsidP="006062A4">
            <w:pPr>
              <w:pStyle w:val="naisnod"/>
              <w:spacing w:before="0" w:after="0"/>
              <w:rPr>
                <w:b w:val="0"/>
              </w:rPr>
            </w:pPr>
            <w:r w:rsidRPr="00814D5E">
              <w:rPr>
                <w:b w:val="0"/>
              </w:rPr>
              <w:t>6.</w:t>
            </w:r>
          </w:p>
        </w:tc>
        <w:tc>
          <w:tcPr>
            <w:tcW w:w="3424" w:type="dxa"/>
          </w:tcPr>
          <w:p w:rsidR="00340F2E" w:rsidRPr="00814D5E" w:rsidRDefault="00340F2E" w:rsidP="009E41D4">
            <w:pPr>
              <w:pStyle w:val="naisnod"/>
              <w:spacing w:before="0" w:after="0"/>
              <w:jc w:val="left"/>
              <w:rPr>
                <w:b w:val="0"/>
                <w:i/>
                <w:highlight w:val="yellow"/>
              </w:rPr>
            </w:pPr>
            <w:r w:rsidRPr="00814D5E">
              <w:rPr>
                <w:b w:val="0"/>
              </w:rPr>
              <w:t>Iemesli, kādēļ netika nodrošināta sabiedrības līdzdalība</w:t>
            </w:r>
          </w:p>
        </w:tc>
        <w:tc>
          <w:tcPr>
            <w:tcW w:w="5031" w:type="dxa"/>
          </w:tcPr>
          <w:p w:rsidR="00340F2E" w:rsidRPr="003E0616" w:rsidRDefault="00340F2E" w:rsidP="00340F2E">
            <w:pPr>
              <w:pStyle w:val="NormalWeb"/>
              <w:spacing w:before="0" w:beforeAutospacing="0" w:after="0" w:afterAutospacing="0"/>
              <w:jc w:val="both"/>
            </w:pPr>
            <w:r w:rsidRPr="003E0616">
              <w:rPr>
                <w:color w:val="000000"/>
              </w:rPr>
              <w:t>R</w:t>
            </w:r>
            <w:r w:rsidRPr="003E0616">
              <w:t>īkojuma projekts neskar būtiskas sabiedriskās intereses, tādēļ</w:t>
            </w:r>
            <w:r w:rsidRPr="003E0616">
              <w:rPr>
                <w:color w:val="000000"/>
              </w:rPr>
              <w:t xml:space="preserve"> sabiedrības līdzdalība netika nodrošināta.</w:t>
            </w:r>
          </w:p>
        </w:tc>
      </w:tr>
      <w:tr w:rsidR="00340F2E" w:rsidRPr="00744BE0" w:rsidTr="00340F2E">
        <w:tc>
          <w:tcPr>
            <w:tcW w:w="550" w:type="dxa"/>
          </w:tcPr>
          <w:p w:rsidR="00340F2E" w:rsidRPr="00814D5E" w:rsidRDefault="00340F2E" w:rsidP="006062A4">
            <w:pPr>
              <w:pStyle w:val="naisnod"/>
              <w:spacing w:before="0" w:after="0"/>
              <w:rPr>
                <w:b w:val="0"/>
              </w:rPr>
            </w:pPr>
            <w:r w:rsidRPr="00814D5E">
              <w:rPr>
                <w:b w:val="0"/>
              </w:rPr>
              <w:t>7.</w:t>
            </w:r>
          </w:p>
        </w:tc>
        <w:tc>
          <w:tcPr>
            <w:tcW w:w="3424" w:type="dxa"/>
          </w:tcPr>
          <w:p w:rsidR="00340F2E" w:rsidRPr="00814D5E" w:rsidRDefault="00340F2E" w:rsidP="009E41D4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814D5E">
              <w:rPr>
                <w:b w:val="0"/>
              </w:rPr>
              <w:t>Cita informācija</w:t>
            </w:r>
          </w:p>
        </w:tc>
        <w:tc>
          <w:tcPr>
            <w:tcW w:w="5031" w:type="dxa"/>
          </w:tcPr>
          <w:p w:rsidR="00340F2E" w:rsidRPr="003E0616" w:rsidRDefault="00340F2E" w:rsidP="00340F2E">
            <w:pPr>
              <w:pStyle w:val="NormalWeb"/>
              <w:spacing w:before="0" w:beforeAutospacing="0" w:after="0" w:afterAutospacing="0"/>
              <w:jc w:val="both"/>
            </w:pPr>
            <w:r w:rsidRPr="003E0616">
              <w:t>Nav</w:t>
            </w:r>
          </w:p>
        </w:tc>
      </w:tr>
    </w:tbl>
    <w:p w:rsidR="00550421" w:rsidRDefault="00550421" w:rsidP="006C4607">
      <w:pPr>
        <w:pStyle w:val="naisf"/>
        <w:spacing w:before="0" w:after="0"/>
      </w:pPr>
    </w:p>
    <w:tbl>
      <w:tblPr>
        <w:tblW w:w="9132" w:type="dxa"/>
        <w:jc w:val="center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1234"/>
        <w:gridCol w:w="1282"/>
        <w:gridCol w:w="1282"/>
        <w:gridCol w:w="1283"/>
        <w:gridCol w:w="1309"/>
      </w:tblGrid>
      <w:tr w:rsidR="00124F12" w:rsidRPr="00744BE0" w:rsidTr="00340F2E">
        <w:trPr>
          <w:trHeight w:val="303"/>
          <w:jc w:val="center"/>
        </w:trPr>
        <w:tc>
          <w:tcPr>
            <w:tcW w:w="9132" w:type="dxa"/>
            <w:gridSpan w:val="6"/>
          </w:tcPr>
          <w:p w:rsidR="00124F12" w:rsidRPr="00744BE0" w:rsidRDefault="00124F12" w:rsidP="006C4607">
            <w:pPr>
              <w:pStyle w:val="naisnod"/>
              <w:spacing w:before="0" w:after="0"/>
              <w:rPr>
                <w:i/>
              </w:rPr>
            </w:pPr>
            <w:r w:rsidRPr="00744BE0">
              <w:lastRenderedPageBreak/>
              <w:br w:type="page"/>
              <w:t>III</w:t>
            </w:r>
            <w:r w:rsidR="000941C5" w:rsidRPr="00744BE0">
              <w:t>.</w:t>
            </w:r>
            <w:r w:rsidRPr="00744BE0">
              <w:t xml:space="preserve"> Tiesību akta projekta ietekme uz valsts budžetu un pašvaldību budžetiem</w:t>
            </w:r>
          </w:p>
        </w:tc>
      </w:tr>
      <w:tr w:rsidR="00124F12" w:rsidRPr="00744BE0" w:rsidTr="00340F2E">
        <w:trPr>
          <w:trHeight w:val="145"/>
          <w:jc w:val="center"/>
        </w:trPr>
        <w:tc>
          <w:tcPr>
            <w:tcW w:w="2742" w:type="dxa"/>
            <w:vMerge w:val="restart"/>
            <w:vAlign w:val="center"/>
          </w:tcPr>
          <w:p w:rsidR="00124F12" w:rsidRPr="00744BE0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744BE0">
              <w:rPr>
                <w:b/>
              </w:rPr>
              <w:t>Rādītāji</w:t>
            </w:r>
          </w:p>
        </w:tc>
        <w:tc>
          <w:tcPr>
            <w:tcW w:w="2516" w:type="dxa"/>
            <w:gridSpan w:val="2"/>
            <w:vMerge w:val="restart"/>
            <w:vAlign w:val="center"/>
          </w:tcPr>
          <w:p w:rsidR="00124F12" w:rsidRPr="00744BE0" w:rsidRDefault="00011573" w:rsidP="00340F2E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744BE0">
              <w:rPr>
                <w:b/>
              </w:rPr>
              <w:t>201</w:t>
            </w:r>
            <w:r w:rsidR="00340F2E">
              <w:rPr>
                <w:b/>
              </w:rPr>
              <w:t>1</w:t>
            </w:r>
            <w:r w:rsidRPr="00744BE0">
              <w:rPr>
                <w:b/>
              </w:rPr>
              <w:t>.</w:t>
            </w:r>
            <w:r w:rsidR="00124F12" w:rsidRPr="00744BE0">
              <w:rPr>
                <w:b/>
              </w:rPr>
              <w:t>gads</w:t>
            </w:r>
          </w:p>
        </w:tc>
        <w:tc>
          <w:tcPr>
            <w:tcW w:w="3874" w:type="dxa"/>
            <w:gridSpan w:val="3"/>
            <w:vAlign w:val="center"/>
          </w:tcPr>
          <w:p w:rsidR="00124F12" w:rsidRPr="00744BE0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744BE0">
              <w:t>Turpmākie trīs gadi</w:t>
            </w:r>
            <w:r w:rsidR="009E12D7" w:rsidRPr="00744BE0">
              <w:t xml:space="preserve"> (tūkst</w:t>
            </w:r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."/>
                <w:attr w:name="currency_text" w:val="latu"/>
              </w:smartTagPr>
              <w:r w:rsidR="009E12D7" w:rsidRPr="00744BE0">
                <w:t>. latu</w:t>
              </w:r>
            </w:smartTag>
            <w:r w:rsidR="009E12D7" w:rsidRPr="00744BE0">
              <w:t>)</w:t>
            </w:r>
          </w:p>
        </w:tc>
      </w:tr>
      <w:tr w:rsidR="00124F12" w:rsidRPr="00744BE0" w:rsidTr="00340F2E">
        <w:trPr>
          <w:trHeight w:val="145"/>
          <w:jc w:val="center"/>
        </w:trPr>
        <w:tc>
          <w:tcPr>
            <w:tcW w:w="2742" w:type="dxa"/>
            <w:vMerge/>
            <w:vAlign w:val="center"/>
          </w:tcPr>
          <w:p w:rsidR="00124F12" w:rsidRPr="00744BE0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124F12" w:rsidRPr="00744BE0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282" w:type="dxa"/>
            <w:vAlign w:val="center"/>
          </w:tcPr>
          <w:p w:rsidR="00124F12" w:rsidRPr="00744BE0" w:rsidRDefault="00011573" w:rsidP="00340F2E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744BE0">
              <w:rPr>
                <w:b/>
                <w:bCs/>
              </w:rPr>
              <w:t>201</w:t>
            </w:r>
            <w:r w:rsidR="00340F2E">
              <w:rPr>
                <w:b/>
                <w:bCs/>
              </w:rPr>
              <w:t>2</w:t>
            </w:r>
          </w:p>
        </w:tc>
        <w:tc>
          <w:tcPr>
            <w:tcW w:w="1283" w:type="dxa"/>
            <w:vAlign w:val="center"/>
          </w:tcPr>
          <w:p w:rsidR="00124F12" w:rsidRPr="00744BE0" w:rsidRDefault="00011573" w:rsidP="00340F2E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744BE0">
              <w:rPr>
                <w:b/>
                <w:bCs/>
              </w:rPr>
              <w:t>201</w:t>
            </w:r>
            <w:r w:rsidR="00340F2E">
              <w:rPr>
                <w:b/>
                <w:bCs/>
              </w:rPr>
              <w:t>3</w:t>
            </w:r>
          </w:p>
        </w:tc>
        <w:tc>
          <w:tcPr>
            <w:tcW w:w="1309" w:type="dxa"/>
            <w:vAlign w:val="center"/>
          </w:tcPr>
          <w:p w:rsidR="00124F12" w:rsidRPr="00744BE0" w:rsidRDefault="00011573" w:rsidP="00340F2E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744BE0">
              <w:rPr>
                <w:b/>
                <w:bCs/>
              </w:rPr>
              <w:t>201</w:t>
            </w:r>
            <w:r w:rsidR="00340F2E">
              <w:rPr>
                <w:b/>
                <w:bCs/>
              </w:rPr>
              <w:t>4</w:t>
            </w:r>
          </w:p>
        </w:tc>
      </w:tr>
      <w:tr w:rsidR="00124F12" w:rsidRPr="00744BE0" w:rsidTr="00340F2E">
        <w:trPr>
          <w:trHeight w:val="145"/>
          <w:jc w:val="center"/>
        </w:trPr>
        <w:tc>
          <w:tcPr>
            <w:tcW w:w="2742" w:type="dxa"/>
            <w:vMerge/>
            <w:vAlign w:val="center"/>
          </w:tcPr>
          <w:p w:rsidR="00124F12" w:rsidRPr="00744BE0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234" w:type="dxa"/>
            <w:vAlign w:val="center"/>
          </w:tcPr>
          <w:p w:rsidR="00124F12" w:rsidRPr="00744BE0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744BE0">
              <w:t>Saskaņā ar valsts budžetu kārtējam gadam</w:t>
            </w:r>
          </w:p>
        </w:tc>
        <w:tc>
          <w:tcPr>
            <w:tcW w:w="1282" w:type="dxa"/>
            <w:vAlign w:val="center"/>
          </w:tcPr>
          <w:p w:rsidR="00124F12" w:rsidRPr="00744BE0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744BE0">
              <w:t>Izmaiņas kārtējā gadā</w:t>
            </w:r>
            <w:r w:rsidR="009E12D7" w:rsidRPr="00744BE0">
              <w:t>,</w:t>
            </w:r>
            <w:r w:rsidRPr="00744BE0">
              <w:t xml:space="preserve"> salīdzinot ar budžetu kārtējam gadam</w:t>
            </w:r>
          </w:p>
        </w:tc>
        <w:tc>
          <w:tcPr>
            <w:tcW w:w="1282" w:type="dxa"/>
            <w:vAlign w:val="center"/>
          </w:tcPr>
          <w:p w:rsidR="00124F12" w:rsidRPr="00744BE0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744BE0">
              <w:t>Izmaiņas</w:t>
            </w:r>
            <w:r w:rsidR="00182C18" w:rsidRPr="00744BE0">
              <w:t>,</w:t>
            </w:r>
            <w:r w:rsidRPr="00744BE0">
              <w:t xml:space="preserve"> salīdzinot ar kārtējo (n) gadu</w:t>
            </w:r>
          </w:p>
        </w:tc>
        <w:tc>
          <w:tcPr>
            <w:tcW w:w="1283" w:type="dxa"/>
            <w:vAlign w:val="center"/>
          </w:tcPr>
          <w:p w:rsidR="00124F12" w:rsidRPr="00744BE0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744BE0">
              <w:t>Izmaiņas</w:t>
            </w:r>
            <w:r w:rsidR="00182C18" w:rsidRPr="00744BE0">
              <w:t>,</w:t>
            </w:r>
            <w:r w:rsidRPr="00744BE0">
              <w:t xml:space="preserve"> salīdzinot ar kārtējo (n) gadu</w:t>
            </w:r>
          </w:p>
        </w:tc>
        <w:tc>
          <w:tcPr>
            <w:tcW w:w="1309" w:type="dxa"/>
            <w:vAlign w:val="center"/>
          </w:tcPr>
          <w:p w:rsidR="00124F12" w:rsidRPr="00744BE0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744BE0">
              <w:t>Izmaiņas</w:t>
            </w:r>
            <w:r w:rsidR="00182C18" w:rsidRPr="00744BE0">
              <w:t>,</w:t>
            </w:r>
            <w:r w:rsidRPr="00744BE0">
              <w:t xml:space="preserve"> salīdzinot ar kārtējo (n) gadu</w:t>
            </w:r>
          </w:p>
        </w:tc>
      </w:tr>
      <w:tr w:rsidR="00124F12" w:rsidRPr="00744BE0" w:rsidTr="00340F2E">
        <w:trPr>
          <w:trHeight w:val="145"/>
          <w:jc w:val="center"/>
        </w:trPr>
        <w:tc>
          <w:tcPr>
            <w:tcW w:w="2742" w:type="dxa"/>
            <w:vAlign w:val="center"/>
          </w:tcPr>
          <w:p w:rsidR="00124F12" w:rsidRPr="00744BE0" w:rsidRDefault="00124F12" w:rsidP="006C4607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744BE0">
              <w:rPr>
                <w:bCs/>
              </w:rPr>
              <w:t>1</w:t>
            </w:r>
          </w:p>
        </w:tc>
        <w:tc>
          <w:tcPr>
            <w:tcW w:w="1234" w:type="dxa"/>
            <w:vAlign w:val="center"/>
          </w:tcPr>
          <w:p w:rsidR="00124F12" w:rsidRPr="00744BE0" w:rsidRDefault="00124F12" w:rsidP="006C4607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744BE0">
              <w:rPr>
                <w:bCs/>
              </w:rPr>
              <w:t>2</w:t>
            </w:r>
          </w:p>
        </w:tc>
        <w:tc>
          <w:tcPr>
            <w:tcW w:w="1282" w:type="dxa"/>
            <w:vAlign w:val="center"/>
          </w:tcPr>
          <w:p w:rsidR="00124F12" w:rsidRPr="00744BE0" w:rsidRDefault="00124F12" w:rsidP="006C4607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744BE0">
              <w:rPr>
                <w:bCs/>
              </w:rPr>
              <w:t>3</w:t>
            </w:r>
          </w:p>
        </w:tc>
        <w:tc>
          <w:tcPr>
            <w:tcW w:w="1282" w:type="dxa"/>
            <w:vAlign w:val="center"/>
          </w:tcPr>
          <w:p w:rsidR="00124F12" w:rsidRPr="00744BE0" w:rsidRDefault="00124F12" w:rsidP="006C4607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744BE0">
              <w:rPr>
                <w:bCs/>
              </w:rPr>
              <w:t>4</w:t>
            </w:r>
          </w:p>
        </w:tc>
        <w:tc>
          <w:tcPr>
            <w:tcW w:w="1283" w:type="dxa"/>
            <w:vAlign w:val="center"/>
          </w:tcPr>
          <w:p w:rsidR="00124F12" w:rsidRPr="00744BE0" w:rsidRDefault="00124F12" w:rsidP="006C4607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744BE0">
              <w:rPr>
                <w:bCs/>
              </w:rPr>
              <w:t>5</w:t>
            </w:r>
          </w:p>
        </w:tc>
        <w:tc>
          <w:tcPr>
            <w:tcW w:w="1309" w:type="dxa"/>
            <w:vAlign w:val="center"/>
          </w:tcPr>
          <w:p w:rsidR="00124F12" w:rsidRPr="00744BE0" w:rsidRDefault="00124F12" w:rsidP="006C4607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744BE0">
              <w:rPr>
                <w:bCs/>
              </w:rPr>
              <w:t>6</w:t>
            </w:r>
          </w:p>
        </w:tc>
      </w:tr>
      <w:tr w:rsidR="00340F2E" w:rsidRPr="00744BE0" w:rsidTr="00340F2E">
        <w:trPr>
          <w:trHeight w:val="145"/>
          <w:jc w:val="center"/>
        </w:trPr>
        <w:tc>
          <w:tcPr>
            <w:tcW w:w="2742" w:type="dxa"/>
          </w:tcPr>
          <w:p w:rsidR="00340F2E" w:rsidRPr="00744BE0" w:rsidRDefault="00340F2E" w:rsidP="009E41D4">
            <w:pPr>
              <w:pStyle w:val="naisf"/>
              <w:spacing w:before="0" w:after="0"/>
              <w:ind w:firstLine="0"/>
              <w:jc w:val="left"/>
              <w:rPr>
                <w:i/>
              </w:rPr>
            </w:pPr>
            <w:r w:rsidRPr="00744BE0">
              <w:t>1. Budžeta ieņēmumi:</w:t>
            </w:r>
          </w:p>
        </w:tc>
        <w:tc>
          <w:tcPr>
            <w:tcW w:w="6390" w:type="dxa"/>
            <w:gridSpan w:val="5"/>
            <w:vMerge w:val="restart"/>
          </w:tcPr>
          <w:p w:rsidR="00340F2E" w:rsidRPr="00340F2E" w:rsidRDefault="00340F2E" w:rsidP="006C4607">
            <w:pPr>
              <w:pStyle w:val="naisf"/>
              <w:spacing w:before="0" w:after="0"/>
              <w:ind w:firstLine="0"/>
            </w:pPr>
            <w:r>
              <w:t>Nav attiecināms</w:t>
            </w:r>
            <w:r w:rsidR="00B47D59">
              <w:t>.</w:t>
            </w:r>
          </w:p>
        </w:tc>
      </w:tr>
      <w:tr w:rsidR="00340F2E" w:rsidRPr="00744BE0" w:rsidTr="00340F2E">
        <w:trPr>
          <w:trHeight w:val="1101"/>
          <w:jc w:val="center"/>
        </w:trPr>
        <w:tc>
          <w:tcPr>
            <w:tcW w:w="2742" w:type="dxa"/>
          </w:tcPr>
          <w:p w:rsidR="00340F2E" w:rsidRPr="00744BE0" w:rsidRDefault="00340F2E" w:rsidP="009E41D4">
            <w:pPr>
              <w:pStyle w:val="naisf"/>
              <w:spacing w:before="0" w:after="0"/>
              <w:ind w:firstLine="0"/>
              <w:jc w:val="left"/>
              <w:rPr>
                <w:i/>
              </w:rPr>
            </w:pPr>
            <w:r w:rsidRPr="00744BE0">
              <w:t>1.1. valsts pamatbudžets, tai skaitā ieņēmumi no maksas p</w:t>
            </w:r>
            <w:r>
              <w:t>akalpo</w:t>
            </w:r>
            <w:r w:rsidRPr="00744BE0">
              <w:t>jumiem un citi pašu ieņēmumi</w:t>
            </w:r>
          </w:p>
        </w:tc>
        <w:tc>
          <w:tcPr>
            <w:tcW w:w="6390" w:type="dxa"/>
            <w:gridSpan w:val="5"/>
            <w:vMerge/>
          </w:tcPr>
          <w:p w:rsidR="00340F2E" w:rsidRPr="00744BE0" w:rsidRDefault="00340F2E" w:rsidP="006C4607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340F2E" w:rsidRPr="00744BE0" w:rsidTr="00340F2E">
        <w:trPr>
          <w:trHeight w:val="543"/>
          <w:jc w:val="center"/>
        </w:trPr>
        <w:tc>
          <w:tcPr>
            <w:tcW w:w="2742" w:type="dxa"/>
          </w:tcPr>
          <w:p w:rsidR="00340F2E" w:rsidRPr="00744BE0" w:rsidRDefault="00340F2E" w:rsidP="009E41D4">
            <w:pPr>
              <w:pStyle w:val="naisf"/>
              <w:spacing w:before="0" w:after="0"/>
              <w:ind w:firstLine="0"/>
              <w:jc w:val="left"/>
              <w:rPr>
                <w:i/>
              </w:rPr>
            </w:pPr>
            <w:r w:rsidRPr="00744BE0">
              <w:t>1.2. valsts speciālais budžets</w:t>
            </w:r>
          </w:p>
        </w:tc>
        <w:tc>
          <w:tcPr>
            <w:tcW w:w="6390" w:type="dxa"/>
            <w:gridSpan w:val="5"/>
            <w:vMerge/>
          </w:tcPr>
          <w:p w:rsidR="00340F2E" w:rsidRPr="00744BE0" w:rsidRDefault="00340F2E" w:rsidP="0013018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</w:tr>
      <w:tr w:rsidR="00340F2E" w:rsidRPr="00744BE0" w:rsidTr="00340F2E">
        <w:trPr>
          <w:trHeight w:val="271"/>
          <w:jc w:val="center"/>
        </w:trPr>
        <w:tc>
          <w:tcPr>
            <w:tcW w:w="2742" w:type="dxa"/>
          </w:tcPr>
          <w:p w:rsidR="00340F2E" w:rsidRPr="00744BE0" w:rsidRDefault="00340F2E" w:rsidP="009E41D4">
            <w:pPr>
              <w:pStyle w:val="naisf"/>
              <w:spacing w:before="0" w:after="0"/>
              <w:ind w:firstLine="0"/>
              <w:jc w:val="left"/>
              <w:rPr>
                <w:i/>
              </w:rPr>
            </w:pPr>
            <w:r w:rsidRPr="00744BE0">
              <w:t>1.3. pašvaldību budžets</w:t>
            </w:r>
          </w:p>
        </w:tc>
        <w:tc>
          <w:tcPr>
            <w:tcW w:w="6390" w:type="dxa"/>
            <w:gridSpan w:val="5"/>
            <w:vMerge/>
          </w:tcPr>
          <w:p w:rsidR="00340F2E" w:rsidRPr="00744BE0" w:rsidRDefault="00340F2E" w:rsidP="0013018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</w:tr>
      <w:tr w:rsidR="00340F2E" w:rsidRPr="00744BE0" w:rsidTr="00340F2E">
        <w:trPr>
          <w:trHeight w:val="271"/>
          <w:jc w:val="center"/>
        </w:trPr>
        <w:tc>
          <w:tcPr>
            <w:tcW w:w="2742" w:type="dxa"/>
          </w:tcPr>
          <w:p w:rsidR="00340F2E" w:rsidRPr="00744BE0" w:rsidRDefault="00340F2E" w:rsidP="009E41D4">
            <w:r w:rsidRPr="00744BE0">
              <w:t>2. Budžeta izdevumi:</w:t>
            </w:r>
          </w:p>
        </w:tc>
        <w:tc>
          <w:tcPr>
            <w:tcW w:w="6390" w:type="dxa"/>
            <w:gridSpan w:val="5"/>
            <w:vMerge w:val="restart"/>
          </w:tcPr>
          <w:p w:rsidR="00340F2E" w:rsidRPr="00340F2E" w:rsidRDefault="00340F2E" w:rsidP="00340F2E">
            <w:pPr>
              <w:pStyle w:val="naisf"/>
              <w:spacing w:before="0" w:after="0"/>
              <w:ind w:firstLine="0"/>
            </w:pPr>
            <w:r>
              <w:t>Nav attiecināms</w:t>
            </w:r>
            <w:r w:rsidR="00B47D59">
              <w:t>.</w:t>
            </w:r>
          </w:p>
        </w:tc>
      </w:tr>
      <w:tr w:rsidR="00340F2E" w:rsidRPr="00744BE0" w:rsidTr="00340F2E">
        <w:trPr>
          <w:trHeight w:val="271"/>
          <w:jc w:val="center"/>
        </w:trPr>
        <w:tc>
          <w:tcPr>
            <w:tcW w:w="2742" w:type="dxa"/>
          </w:tcPr>
          <w:p w:rsidR="00340F2E" w:rsidRPr="00744BE0" w:rsidRDefault="00340F2E" w:rsidP="009E41D4">
            <w:r w:rsidRPr="00744BE0">
              <w:t>2.1. valsts pamatbudžets</w:t>
            </w:r>
          </w:p>
        </w:tc>
        <w:tc>
          <w:tcPr>
            <w:tcW w:w="6390" w:type="dxa"/>
            <w:gridSpan w:val="5"/>
            <w:vMerge/>
          </w:tcPr>
          <w:p w:rsidR="00340F2E" w:rsidRPr="00744BE0" w:rsidRDefault="00340F2E" w:rsidP="0013018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</w:tr>
      <w:tr w:rsidR="00340F2E" w:rsidRPr="00744BE0" w:rsidTr="00340F2E">
        <w:trPr>
          <w:trHeight w:val="558"/>
          <w:jc w:val="center"/>
        </w:trPr>
        <w:tc>
          <w:tcPr>
            <w:tcW w:w="2742" w:type="dxa"/>
          </w:tcPr>
          <w:p w:rsidR="00340F2E" w:rsidRPr="00744BE0" w:rsidRDefault="00340F2E" w:rsidP="009E41D4">
            <w:r w:rsidRPr="00744BE0">
              <w:t>2.2. valsts speciālais budžets</w:t>
            </w:r>
          </w:p>
        </w:tc>
        <w:tc>
          <w:tcPr>
            <w:tcW w:w="6390" w:type="dxa"/>
            <w:gridSpan w:val="5"/>
            <w:vMerge/>
          </w:tcPr>
          <w:p w:rsidR="00340F2E" w:rsidRPr="00744BE0" w:rsidRDefault="00340F2E" w:rsidP="0013018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</w:tr>
      <w:tr w:rsidR="00340F2E" w:rsidRPr="00744BE0" w:rsidTr="00340F2E">
        <w:trPr>
          <w:trHeight w:val="271"/>
          <w:jc w:val="center"/>
        </w:trPr>
        <w:tc>
          <w:tcPr>
            <w:tcW w:w="2742" w:type="dxa"/>
          </w:tcPr>
          <w:p w:rsidR="00340F2E" w:rsidRPr="00744BE0" w:rsidRDefault="00340F2E" w:rsidP="009E41D4">
            <w:r w:rsidRPr="00744BE0">
              <w:t xml:space="preserve">2.3. pašvaldību budžets </w:t>
            </w:r>
          </w:p>
        </w:tc>
        <w:tc>
          <w:tcPr>
            <w:tcW w:w="6390" w:type="dxa"/>
            <w:gridSpan w:val="5"/>
            <w:vMerge/>
          </w:tcPr>
          <w:p w:rsidR="00340F2E" w:rsidRPr="00744BE0" w:rsidRDefault="00340F2E" w:rsidP="0013018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</w:tr>
      <w:tr w:rsidR="00340F2E" w:rsidRPr="00744BE0" w:rsidTr="00340F2E">
        <w:trPr>
          <w:trHeight w:val="271"/>
          <w:jc w:val="center"/>
        </w:trPr>
        <w:tc>
          <w:tcPr>
            <w:tcW w:w="2742" w:type="dxa"/>
          </w:tcPr>
          <w:p w:rsidR="00340F2E" w:rsidRPr="00744BE0" w:rsidRDefault="00340F2E" w:rsidP="009E41D4">
            <w:r w:rsidRPr="00744BE0">
              <w:t>3. Finansiālā ietekme:</w:t>
            </w:r>
          </w:p>
        </w:tc>
        <w:tc>
          <w:tcPr>
            <w:tcW w:w="6390" w:type="dxa"/>
            <w:gridSpan w:val="5"/>
            <w:vMerge w:val="restart"/>
            <w:shd w:val="clear" w:color="auto" w:fill="auto"/>
            <w:vAlign w:val="center"/>
          </w:tcPr>
          <w:p w:rsidR="00340F2E" w:rsidRPr="00340F2E" w:rsidRDefault="00340F2E" w:rsidP="00340F2E">
            <w:pPr>
              <w:pStyle w:val="naisf"/>
              <w:spacing w:before="0" w:after="0"/>
              <w:ind w:firstLine="0"/>
            </w:pPr>
            <w:r>
              <w:t>Nav attiecināms</w:t>
            </w:r>
            <w:r w:rsidR="00B47D59">
              <w:t>.</w:t>
            </w:r>
          </w:p>
        </w:tc>
      </w:tr>
      <w:tr w:rsidR="00340F2E" w:rsidRPr="00744BE0" w:rsidTr="00340F2E">
        <w:trPr>
          <w:trHeight w:val="271"/>
          <w:jc w:val="center"/>
        </w:trPr>
        <w:tc>
          <w:tcPr>
            <w:tcW w:w="2742" w:type="dxa"/>
          </w:tcPr>
          <w:p w:rsidR="00340F2E" w:rsidRPr="00744BE0" w:rsidRDefault="00340F2E" w:rsidP="009E41D4">
            <w:r w:rsidRPr="00744BE0">
              <w:t>3.1. valsts pamatbudžets</w:t>
            </w:r>
          </w:p>
        </w:tc>
        <w:tc>
          <w:tcPr>
            <w:tcW w:w="6390" w:type="dxa"/>
            <w:gridSpan w:val="5"/>
            <w:vMerge/>
            <w:shd w:val="clear" w:color="auto" w:fill="auto"/>
          </w:tcPr>
          <w:p w:rsidR="00340F2E" w:rsidRPr="00744BE0" w:rsidRDefault="00340F2E" w:rsidP="0013018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</w:tr>
      <w:tr w:rsidR="00340F2E" w:rsidRPr="00744BE0" w:rsidTr="00340F2E">
        <w:trPr>
          <w:trHeight w:val="271"/>
          <w:jc w:val="center"/>
        </w:trPr>
        <w:tc>
          <w:tcPr>
            <w:tcW w:w="2742" w:type="dxa"/>
          </w:tcPr>
          <w:p w:rsidR="00340F2E" w:rsidRPr="00744BE0" w:rsidRDefault="00340F2E" w:rsidP="009E41D4">
            <w:r w:rsidRPr="00744BE0">
              <w:t>3.2. speciālais budžets</w:t>
            </w:r>
          </w:p>
        </w:tc>
        <w:tc>
          <w:tcPr>
            <w:tcW w:w="6390" w:type="dxa"/>
            <w:gridSpan w:val="5"/>
            <w:vMerge/>
            <w:shd w:val="clear" w:color="auto" w:fill="auto"/>
          </w:tcPr>
          <w:p w:rsidR="00340F2E" w:rsidRPr="00744BE0" w:rsidRDefault="00340F2E" w:rsidP="0013018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</w:tr>
      <w:tr w:rsidR="00340F2E" w:rsidRPr="00744BE0" w:rsidTr="00340F2E">
        <w:trPr>
          <w:trHeight w:val="271"/>
          <w:jc w:val="center"/>
        </w:trPr>
        <w:tc>
          <w:tcPr>
            <w:tcW w:w="2742" w:type="dxa"/>
          </w:tcPr>
          <w:p w:rsidR="00340F2E" w:rsidRPr="00744BE0" w:rsidRDefault="00340F2E" w:rsidP="009E41D4">
            <w:r w:rsidRPr="00744BE0">
              <w:t xml:space="preserve">3.3. pašvaldību budžets </w:t>
            </w:r>
          </w:p>
        </w:tc>
        <w:tc>
          <w:tcPr>
            <w:tcW w:w="6390" w:type="dxa"/>
            <w:gridSpan w:val="5"/>
            <w:vMerge/>
            <w:shd w:val="clear" w:color="auto" w:fill="auto"/>
          </w:tcPr>
          <w:p w:rsidR="00340F2E" w:rsidRPr="00744BE0" w:rsidRDefault="00340F2E" w:rsidP="0013018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</w:tr>
      <w:tr w:rsidR="00340F2E" w:rsidRPr="00744BE0" w:rsidTr="00340F2E">
        <w:trPr>
          <w:trHeight w:val="1699"/>
          <w:jc w:val="center"/>
        </w:trPr>
        <w:tc>
          <w:tcPr>
            <w:tcW w:w="2742" w:type="dxa"/>
          </w:tcPr>
          <w:p w:rsidR="00340F2E" w:rsidRPr="00744BE0" w:rsidRDefault="00340F2E" w:rsidP="009E41D4">
            <w:r w:rsidRPr="00744BE0">
              <w:t>4. Finanšu līdzekļi papildu izde</w:t>
            </w:r>
            <w:r w:rsidRPr="00744BE0">
              <w:softHyphen/>
              <w:t>vumu finansēšanai (kompensējošu izdevumu samazinājumu norāda ar "+" zīmi)</w:t>
            </w:r>
          </w:p>
        </w:tc>
        <w:tc>
          <w:tcPr>
            <w:tcW w:w="6390" w:type="dxa"/>
            <w:gridSpan w:val="5"/>
          </w:tcPr>
          <w:p w:rsidR="00340F2E" w:rsidRPr="00744BE0" w:rsidRDefault="00340F2E" w:rsidP="00340F2E">
            <w:pPr>
              <w:pStyle w:val="naisf"/>
              <w:spacing w:before="0" w:after="0"/>
              <w:ind w:firstLine="0"/>
              <w:rPr>
                <w:b/>
                <w:i/>
              </w:rPr>
            </w:pPr>
            <w:r>
              <w:t>Nav attiecināms</w:t>
            </w:r>
            <w:r w:rsidR="00B47D59">
              <w:t>.</w:t>
            </w:r>
          </w:p>
        </w:tc>
      </w:tr>
      <w:tr w:rsidR="00340F2E" w:rsidRPr="00744BE0" w:rsidTr="00340F2E">
        <w:trPr>
          <w:trHeight w:val="558"/>
          <w:jc w:val="center"/>
        </w:trPr>
        <w:tc>
          <w:tcPr>
            <w:tcW w:w="2742" w:type="dxa"/>
          </w:tcPr>
          <w:p w:rsidR="00340F2E" w:rsidRPr="00744BE0" w:rsidRDefault="00340F2E" w:rsidP="009E41D4">
            <w:r w:rsidRPr="00744BE0">
              <w:t>5. Precizēta finansiālā ietekme:</w:t>
            </w:r>
          </w:p>
        </w:tc>
        <w:tc>
          <w:tcPr>
            <w:tcW w:w="6390" w:type="dxa"/>
            <w:gridSpan w:val="5"/>
            <w:vMerge w:val="restart"/>
          </w:tcPr>
          <w:p w:rsidR="00340F2E" w:rsidRPr="00744BE0" w:rsidRDefault="00340F2E" w:rsidP="00340F2E">
            <w:pPr>
              <w:pStyle w:val="naisf"/>
              <w:spacing w:before="0" w:after="0"/>
              <w:ind w:firstLine="0"/>
              <w:rPr>
                <w:b/>
                <w:i/>
              </w:rPr>
            </w:pPr>
            <w:r>
              <w:t>Nav attiecināms</w:t>
            </w:r>
            <w:r w:rsidR="00B47D59">
              <w:t>.</w:t>
            </w:r>
          </w:p>
        </w:tc>
      </w:tr>
      <w:tr w:rsidR="00340F2E" w:rsidRPr="00744BE0" w:rsidTr="00340F2E">
        <w:trPr>
          <w:trHeight w:val="271"/>
          <w:jc w:val="center"/>
        </w:trPr>
        <w:tc>
          <w:tcPr>
            <w:tcW w:w="2742" w:type="dxa"/>
          </w:tcPr>
          <w:p w:rsidR="00340F2E" w:rsidRPr="00744BE0" w:rsidRDefault="00340F2E" w:rsidP="009E41D4">
            <w:r w:rsidRPr="00744BE0">
              <w:t>5.1. valsts pamatbudžets</w:t>
            </w:r>
          </w:p>
        </w:tc>
        <w:tc>
          <w:tcPr>
            <w:tcW w:w="6390" w:type="dxa"/>
            <w:gridSpan w:val="5"/>
            <w:vMerge/>
            <w:vAlign w:val="center"/>
          </w:tcPr>
          <w:p w:rsidR="00340F2E" w:rsidRPr="00744BE0" w:rsidRDefault="00340F2E" w:rsidP="000625D0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</w:tr>
      <w:tr w:rsidR="00340F2E" w:rsidRPr="00744BE0" w:rsidTr="00340F2E">
        <w:trPr>
          <w:trHeight w:val="271"/>
          <w:jc w:val="center"/>
        </w:trPr>
        <w:tc>
          <w:tcPr>
            <w:tcW w:w="2742" w:type="dxa"/>
          </w:tcPr>
          <w:p w:rsidR="00340F2E" w:rsidRPr="00744BE0" w:rsidRDefault="00340F2E" w:rsidP="009E41D4">
            <w:r w:rsidRPr="00744BE0">
              <w:t>5.2. speciālais budžets</w:t>
            </w:r>
          </w:p>
        </w:tc>
        <w:tc>
          <w:tcPr>
            <w:tcW w:w="6390" w:type="dxa"/>
            <w:gridSpan w:val="5"/>
            <w:vMerge/>
            <w:vAlign w:val="center"/>
          </w:tcPr>
          <w:p w:rsidR="00340F2E" w:rsidRPr="00744BE0" w:rsidRDefault="00340F2E" w:rsidP="000625D0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</w:tr>
      <w:tr w:rsidR="00340F2E" w:rsidRPr="00744BE0" w:rsidTr="00340F2E">
        <w:trPr>
          <w:trHeight w:val="271"/>
          <w:jc w:val="center"/>
        </w:trPr>
        <w:tc>
          <w:tcPr>
            <w:tcW w:w="2742" w:type="dxa"/>
          </w:tcPr>
          <w:p w:rsidR="00340F2E" w:rsidRPr="00744BE0" w:rsidRDefault="00340F2E" w:rsidP="009E41D4">
            <w:r w:rsidRPr="00744BE0">
              <w:t xml:space="preserve">5.3. pašvaldību budžets </w:t>
            </w:r>
          </w:p>
        </w:tc>
        <w:tc>
          <w:tcPr>
            <w:tcW w:w="6390" w:type="dxa"/>
            <w:gridSpan w:val="5"/>
            <w:vMerge/>
            <w:vAlign w:val="center"/>
          </w:tcPr>
          <w:p w:rsidR="00340F2E" w:rsidRPr="00744BE0" w:rsidRDefault="00340F2E" w:rsidP="000625D0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</w:tr>
      <w:tr w:rsidR="0095334F" w:rsidRPr="00744BE0" w:rsidTr="00340F2E">
        <w:trPr>
          <w:trHeight w:val="1659"/>
          <w:jc w:val="center"/>
        </w:trPr>
        <w:tc>
          <w:tcPr>
            <w:tcW w:w="2742" w:type="dxa"/>
          </w:tcPr>
          <w:p w:rsidR="0095334F" w:rsidRPr="00744BE0" w:rsidRDefault="0095334F" w:rsidP="009E41D4">
            <w:r w:rsidRPr="00744BE0">
              <w:t>6.</w:t>
            </w:r>
            <w:r w:rsidR="00F5139D" w:rsidRPr="00744BE0">
              <w:t> </w:t>
            </w:r>
            <w:r w:rsidRPr="00744BE0">
              <w:t>Detalizēts ieņēmumu un izdevu</w:t>
            </w:r>
            <w:r w:rsidR="009E12D7" w:rsidRPr="00744BE0">
              <w:softHyphen/>
            </w:r>
            <w:r w:rsidRPr="00744BE0">
              <w:t>mu aprēķins (ja nepieciešams, detalizētu ieņēmumu un izdevumu aprēķinu var pievienot anotācijas pielikumā):</w:t>
            </w:r>
          </w:p>
        </w:tc>
        <w:tc>
          <w:tcPr>
            <w:tcW w:w="6390" w:type="dxa"/>
            <w:gridSpan w:val="5"/>
            <w:vMerge w:val="restart"/>
            <w:vAlign w:val="center"/>
          </w:tcPr>
          <w:p w:rsidR="0095334F" w:rsidRPr="00D66DB1" w:rsidRDefault="00340F2E" w:rsidP="00D66DB1">
            <w:pPr>
              <w:pStyle w:val="naisf"/>
              <w:spacing w:before="0" w:after="0"/>
              <w:ind w:firstLine="0"/>
            </w:pPr>
            <w:r>
              <w:t>Nav attiecināms</w:t>
            </w:r>
            <w:r w:rsidR="00B47D59">
              <w:t>.</w:t>
            </w:r>
          </w:p>
        </w:tc>
      </w:tr>
      <w:tr w:rsidR="0095334F" w:rsidRPr="00744BE0" w:rsidTr="00340F2E">
        <w:trPr>
          <w:trHeight w:val="543"/>
          <w:jc w:val="center"/>
        </w:trPr>
        <w:tc>
          <w:tcPr>
            <w:tcW w:w="2742" w:type="dxa"/>
          </w:tcPr>
          <w:p w:rsidR="0095334F" w:rsidRPr="00744BE0" w:rsidRDefault="0095334F" w:rsidP="009E41D4">
            <w:r w:rsidRPr="00744BE0">
              <w:t>6.1.</w:t>
            </w:r>
            <w:r w:rsidR="00F5139D" w:rsidRPr="00744BE0">
              <w:t> </w:t>
            </w:r>
            <w:r w:rsidR="00D00059" w:rsidRPr="00744BE0">
              <w:t>d</w:t>
            </w:r>
            <w:r w:rsidRPr="00744BE0">
              <w:t>etalizēts ieņēmumu aprēķins</w:t>
            </w:r>
          </w:p>
        </w:tc>
        <w:tc>
          <w:tcPr>
            <w:tcW w:w="6390" w:type="dxa"/>
            <w:gridSpan w:val="5"/>
            <w:vMerge/>
          </w:tcPr>
          <w:p w:rsidR="0095334F" w:rsidRPr="00744BE0" w:rsidRDefault="0095334F" w:rsidP="006C4607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95334F" w:rsidRPr="00744BE0" w:rsidTr="00340F2E">
        <w:trPr>
          <w:trHeight w:val="558"/>
          <w:jc w:val="center"/>
        </w:trPr>
        <w:tc>
          <w:tcPr>
            <w:tcW w:w="2742" w:type="dxa"/>
          </w:tcPr>
          <w:p w:rsidR="0095334F" w:rsidRPr="00744BE0" w:rsidRDefault="0095334F" w:rsidP="009E41D4">
            <w:r w:rsidRPr="00744BE0">
              <w:t xml:space="preserve">6.2. </w:t>
            </w:r>
            <w:r w:rsidR="00D00059" w:rsidRPr="00744BE0">
              <w:t>d</w:t>
            </w:r>
            <w:r w:rsidRPr="00744BE0">
              <w:t>etalizēts izdevumu aprēķins</w:t>
            </w:r>
          </w:p>
        </w:tc>
        <w:tc>
          <w:tcPr>
            <w:tcW w:w="6390" w:type="dxa"/>
            <w:gridSpan w:val="5"/>
            <w:vMerge/>
          </w:tcPr>
          <w:p w:rsidR="0095334F" w:rsidRPr="00744BE0" w:rsidRDefault="0095334F" w:rsidP="006C4607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FF3AC7" w:rsidRPr="00744BE0" w:rsidTr="00340F2E">
        <w:trPr>
          <w:trHeight w:val="2503"/>
          <w:jc w:val="center"/>
        </w:trPr>
        <w:tc>
          <w:tcPr>
            <w:tcW w:w="2742" w:type="dxa"/>
          </w:tcPr>
          <w:p w:rsidR="00FF3AC7" w:rsidRPr="00744BE0" w:rsidRDefault="00FF3AC7" w:rsidP="009E41D4">
            <w:r w:rsidRPr="00744BE0">
              <w:lastRenderedPageBreak/>
              <w:t>7. Cita informācija</w:t>
            </w:r>
          </w:p>
        </w:tc>
        <w:tc>
          <w:tcPr>
            <w:tcW w:w="6390" w:type="dxa"/>
            <w:gridSpan w:val="5"/>
          </w:tcPr>
          <w:p w:rsidR="00340F2E" w:rsidRPr="00744BE0" w:rsidRDefault="00A30604" w:rsidP="00F716CD">
            <w:pPr>
              <w:pStyle w:val="naiskr"/>
              <w:spacing w:before="0" w:after="0"/>
              <w:jc w:val="both"/>
            </w:pPr>
            <w:r>
              <w:t>Finansējums K</w:t>
            </w:r>
            <w:r w:rsidR="00340F2E">
              <w:t>omisija</w:t>
            </w:r>
            <w:r>
              <w:t>s</w:t>
            </w:r>
            <w:r w:rsidR="00340F2E">
              <w:t xml:space="preserve"> </w:t>
            </w:r>
            <w:r>
              <w:t>darbībai tiek plānots</w:t>
            </w:r>
            <w:r w:rsidR="00340F2E">
              <w:t xml:space="preserve"> atbilstoši </w:t>
            </w:r>
            <w:proofErr w:type="gramStart"/>
            <w:r w:rsidR="00340F2E">
              <w:t>2011.gada</w:t>
            </w:r>
            <w:proofErr w:type="gramEnd"/>
            <w:r w:rsidR="00340F2E">
              <w:t xml:space="preserve"> 8.</w:t>
            </w:r>
            <w:r w:rsidR="00873FE8">
              <w:t xml:space="preserve"> </w:t>
            </w:r>
            <w:r w:rsidR="00340F2E">
              <w:t>martā Ministru kabineta izskatītajam informatīvajam ziņojumam „</w:t>
            </w:r>
            <w:r>
              <w:t xml:space="preserve">Par Latvijas un Krievijas kopīgās demarkācijas komisijas darba un tās lēmumu īstenošanas </w:t>
            </w:r>
            <w:r w:rsidR="00873FE8">
              <w:t>finansējumu 2011.-2014.</w:t>
            </w:r>
            <w:r w:rsidR="00B47D59">
              <w:t xml:space="preserve"> </w:t>
            </w:r>
            <w:r w:rsidR="00873FE8">
              <w:t>gadam”,</w:t>
            </w:r>
            <w:r>
              <w:t xml:space="preserve"> Ministru kabineta 2011.</w:t>
            </w:r>
            <w:r w:rsidR="00B47D59">
              <w:t xml:space="preserve"> </w:t>
            </w:r>
            <w:r>
              <w:t>gada 28.</w:t>
            </w:r>
            <w:r w:rsidR="00873FE8">
              <w:t xml:space="preserve"> </w:t>
            </w:r>
            <w:r>
              <w:t xml:space="preserve">marta rīkojumā Nr.128 „Par finanšu līdzekļu piešķiršanu no valsts budžeta programmas „Līdzekļi neparedzētiem gadījumiem” un turpmāko budžeta plānošanu” </w:t>
            </w:r>
            <w:r w:rsidR="00C859D5">
              <w:t xml:space="preserve">noteiktajam </w:t>
            </w:r>
            <w:r w:rsidR="00873FE8">
              <w:t xml:space="preserve">un </w:t>
            </w:r>
            <w:r w:rsidR="00121D32">
              <w:t>2013. gada 6.</w:t>
            </w:r>
            <w:r w:rsidR="00B47D59">
              <w:t xml:space="preserve"> </w:t>
            </w:r>
            <w:r w:rsidR="00121D32">
              <w:t xml:space="preserve">augustā Ministru kabineta izskatītajam </w:t>
            </w:r>
            <w:r w:rsidR="00121D32">
              <w:rPr>
                <w:bCs/>
              </w:rPr>
              <w:t>Informatīvajam ziņojumam</w:t>
            </w:r>
            <w:r w:rsidR="00121D32" w:rsidRPr="00121D32">
              <w:rPr>
                <w:bCs/>
              </w:rPr>
              <w:t xml:space="preserve"> "Par Latvijas un Krievijas kopīgās demarkācijas komisijas darba un tās lēmumu īstenošanas finansējumu 2013.-2015.</w:t>
            </w:r>
            <w:r w:rsidR="00B47D59">
              <w:rPr>
                <w:bCs/>
              </w:rPr>
              <w:t xml:space="preserve"> </w:t>
            </w:r>
            <w:r w:rsidR="00121D32" w:rsidRPr="00121D32">
              <w:rPr>
                <w:bCs/>
              </w:rPr>
              <w:t>gadam"</w:t>
            </w:r>
            <w:r w:rsidR="00C859D5">
              <w:rPr>
                <w:bCs/>
              </w:rPr>
              <w:t>.</w:t>
            </w:r>
          </w:p>
        </w:tc>
      </w:tr>
    </w:tbl>
    <w:p w:rsidR="00E46559" w:rsidRDefault="00E46559" w:rsidP="006C4607">
      <w:pPr>
        <w:pStyle w:val="naisf"/>
        <w:spacing w:before="0" w:after="0"/>
        <w:jc w:val="center"/>
        <w:rPr>
          <w:b/>
        </w:rPr>
      </w:pPr>
    </w:p>
    <w:p w:rsidR="0015060C" w:rsidRPr="00744BE0" w:rsidRDefault="0015060C" w:rsidP="006C4607">
      <w:pPr>
        <w:pStyle w:val="naisf"/>
        <w:spacing w:before="0" w:after="0"/>
      </w:pPr>
    </w:p>
    <w:tbl>
      <w:tblPr>
        <w:tblW w:w="91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3419"/>
        <w:gridCol w:w="5211"/>
      </w:tblGrid>
      <w:tr w:rsidR="0023436E" w:rsidRPr="00744BE0">
        <w:trPr>
          <w:trHeight w:val="247"/>
        </w:trPr>
        <w:tc>
          <w:tcPr>
            <w:tcW w:w="9180" w:type="dxa"/>
            <w:gridSpan w:val="3"/>
            <w:tcBorders>
              <w:top w:val="single" w:sz="4" w:space="0" w:color="auto"/>
            </w:tcBorders>
          </w:tcPr>
          <w:p w:rsidR="0023436E" w:rsidRPr="00744BE0" w:rsidRDefault="0023436E" w:rsidP="007D099D">
            <w:pPr>
              <w:pStyle w:val="naisnod"/>
              <w:spacing w:before="0" w:after="0"/>
              <w:ind w:left="57" w:right="57"/>
            </w:pPr>
            <w:r w:rsidRPr="00C81735">
              <w:t>VII</w:t>
            </w:r>
            <w:r w:rsidR="000941C5" w:rsidRPr="00C81735">
              <w:t>.</w:t>
            </w:r>
            <w:r w:rsidRPr="00C81735">
              <w:t xml:space="preserve"> Tiesību akta projekta izpildes nodrošināšana un tās ietekme uz institūcijām</w:t>
            </w:r>
          </w:p>
        </w:tc>
      </w:tr>
      <w:tr w:rsidR="00340F2E" w:rsidRPr="00744BE0" w:rsidTr="00340F2E">
        <w:trPr>
          <w:trHeight w:val="427"/>
        </w:trPr>
        <w:tc>
          <w:tcPr>
            <w:tcW w:w="550" w:type="dxa"/>
          </w:tcPr>
          <w:p w:rsidR="00340F2E" w:rsidRPr="00744BE0" w:rsidRDefault="00340F2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44BE0">
              <w:rPr>
                <w:b w:val="0"/>
              </w:rPr>
              <w:t>1.</w:t>
            </w:r>
          </w:p>
        </w:tc>
        <w:tc>
          <w:tcPr>
            <w:tcW w:w="3419" w:type="dxa"/>
          </w:tcPr>
          <w:p w:rsidR="00340F2E" w:rsidRPr="00744BE0" w:rsidRDefault="00340F2E" w:rsidP="007D099D">
            <w:pPr>
              <w:pStyle w:val="naisf"/>
              <w:spacing w:before="0" w:after="0"/>
              <w:ind w:left="57" w:right="57" w:firstLine="0"/>
              <w:jc w:val="left"/>
            </w:pPr>
            <w:r w:rsidRPr="00744BE0">
              <w:t xml:space="preserve">Projekta izpildē iesaistītās institūcijas </w:t>
            </w:r>
          </w:p>
        </w:tc>
        <w:tc>
          <w:tcPr>
            <w:tcW w:w="5211" w:type="dxa"/>
          </w:tcPr>
          <w:p w:rsidR="00340F2E" w:rsidRPr="003E0616" w:rsidRDefault="00340F2E" w:rsidP="00B47D59">
            <w:pPr>
              <w:pStyle w:val="NormalWeb"/>
              <w:jc w:val="both"/>
            </w:pPr>
            <w:r w:rsidRPr="003E0616">
              <w:t xml:space="preserve">Ārlietu ministrija, Valsts zemes dienests, </w:t>
            </w:r>
            <w:r w:rsidR="0059192A" w:rsidRPr="00905FF1">
              <w:t>Nodrošinājuma valsts aģentūra</w:t>
            </w:r>
            <w:r w:rsidRPr="003E0616">
              <w:t>, Latvijas Ģeo</w:t>
            </w:r>
            <w:r w:rsidR="00B47D59">
              <w:t>telpiskās informācijas aģentūra</w:t>
            </w:r>
            <w:r w:rsidRPr="003E0616">
              <w:t xml:space="preserve"> un Valsts robežsardze.</w:t>
            </w:r>
          </w:p>
        </w:tc>
      </w:tr>
      <w:tr w:rsidR="00340F2E" w:rsidRPr="00744BE0" w:rsidTr="00340F2E">
        <w:trPr>
          <w:trHeight w:val="463"/>
        </w:trPr>
        <w:tc>
          <w:tcPr>
            <w:tcW w:w="550" w:type="dxa"/>
          </w:tcPr>
          <w:p w:rsidR="00340F2E" w:rsidRPr="00744BE0" w:rsidRDefault="00340F2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44BE0">
              <w:rPr>
                <w:b w:val="0"/>
              </w:rPr>
              <w:t>2.</w:t>
            </w:r>
          </w:p>
        </w:tc>
        <w:tc>
          <w:tcPr>
            <w:tcW w:w="3419" w:type="dxa"/>
          </w:tcPr>
          <w:p w:rsidR="00340F2E" w:rsidRPr="00744BE0" w:rsidRDefault="00340F2E" w:rsidP="007D099D">
            <w:pPr>
              <w:pStyle w:val="naisf"/>
              <w:spacing w:before="0" w:after="0"/>
              <w:ind w:left="57" w:right="57" w:firstLine="0"/>
              <w:jc w:val="left"/>
            </w:pPr>
            <w:r w:rsidRPr="00744BE0">
              <w:t xml:space="preserve">Projekta izpildes ietekme uz pārvaldes funkcijām </w:t>
            </w:r>
          </w:p>
        </w:tc>
        <w:tc>
          <w:tcPr>
            <w:tcW w:w="5211" w:type="dxa"/>
          </w:tcPr>
          <w:p w:rsidR="00340F2E" w:rsidRPr="003E0616" w:rsidRDefault="00340F2E" w:rsidP="00340F2E">
            <w:pPr>
              <w:pStyle w:val="NormalWeb"/>
            </w:pPr>
            <w:r w:rsidRPr="003E0616">
              <w:t>Nav attiecināms</w:t>
            </w:r>
            <w:r w:rsidR="00B47D59">
              <w:t>.</w:t>
            </w:r>
          </w:p>
        </w:tc>
      </w:tr>
      <w:tr w:rsidR="00340F2E" w:rsidRPr="00744BE0" w:rsidTr="00340F2E">
        <w:trPr>
          <w:trHeight w:val="725"/>
        </w:trPr>
        <w:tc>
          <w:tcPr>
            <w:tcW w:w="550" w:type="dxa"/>
          </w:tcPr>
          <w:p w:rsidR="00340F2E" w:rsidRPr="00744BE0" w:rsidRDefault="00340F2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44BE0">
              <w:rPr>
                <w:b w:val="0"/>
              </w:rPr>
              <w:t>3.</w:t>
            </w:r>
          </w:p>
        </w:tc>
        <w:tc>
          <w:tcPr>
            <w:tcW w:w="3419" w:type="dxa"/>
          </w:tcPr>
          <w:p w:rsidR="00340F2E" w:rsidRPr="00744BE0" w:rsidRDefault="00340F2E" w:rsidP="007D099D">
            <w:pPr>
              <w:pStyle w:val="naisf"/>
              <w:spacing w:before="0" w:after="0"/>
              <w:ind w:left="57" w:right="57" w:firstLine="0"/>
              <w:jc w:val="left"/>
            </w:pPr>
            <w:r w:rsidRPr="00744BE0">
              <w:t>Projekta izpildes ietekme uz pārvaldes institucionālo struktūru.</w:t>
            </w:r>
          </w:p>
          <w:p w:rsidR="00340F2E" w:rsidRPr="00744BE0" w:rsidRDefault="00340F2E" w:rsidP="007D099D">
            <w:pPr>
              <w:pStyle w:val="naisf"/>
              <w:spacing w:before="0" w:after="0"/>
              <w:ind w:left="57" w:right="57" w:firstLine="0"/>
              <w:jc w:val="left"/>
            </w:pPr>
            <w:r w:rsidRPr="00744BE0">
              <w:t>Jaunu institūciju izveide</w:t>
            </w:r>
          </w:p>
        </w:tc>
        <w:tc>
          <w:tcPr>
            <w:tcW w:w="5211" w:type="dxa"/>
          </w:tcPr>
          <w:p w:rsidR="00340F2E" w:rsidRPr="003E0616" w:rsidRDefault="00340F2E" w:rsidP="00340F2E">
            <w:pPr>
              <w:pStyle w:val="NormalWeb"/>
            </w:pPr>
            <w:r w:rsidRPr="003E0616">
              <w:t>Nav attiecināms</w:t>
            </w:r>
            <w:r w:rsidR="00B47D59">
              <w:t>.</w:t>
            </w:r>
          </w:p>
        </w:tc>
      </w:tr>
      <w:tr w:rsidR="00340F2E" w:rsidRPr="00744BE0" w:rsidTr="00340F2E">
        <w:trPr>
          <w:trHeight w:val="780"/>
        </w:trPr>
        <w:tc>
          <w:tcPr>
            <w:tcW w:w="550" w:type="dxa"/>
          </w:tcPr>
          <w:p w:rsidR="00340F2E" w:rsidRPr="00744BE0" w:rsidRDefault="00340F2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44BE0">
              <w:rPr>
                <w:b w:val="0"/>
              </w:rPr>
              <w:t>4.</w:t>
            </w:r>
          </w:p>
        </w:tc>
        <w:tc>
          <w:tcPr>
            <w:tcW w:w="3419" w:type="dxa"/>
          </w:tcPr>
          <w:p w:rsidR="00340F2E" w:rsidRPr="00744BE0" w:rsidRDefault="00340F2E" w:rsidP="007D099D">
            <w:pPr>
              <w:pStyle w:val="naisf"/>
              <w:spacing w:before="0" w:after="0"/>
              <w:ind w:left="57" w:right="57" w:firstLine="0"/>
              <w:jc w:val="left"/>
            </w:pPr>
            <w:r w:rsidRPr="00744BE0">
              <w:t>Projekta izpildes ietekme uz pārvaldes institucionālo struktūru.</w:t>
            </w:r>
          </w:p>
          <w:p w:rsidR="00340F2E" w:rsidRPr="00744BE0" w:rsidRDefault="00340F2E" w:rsidP="007D099D">
            <w:pPr>
              <w:pStyle w:val="naisf"/>
              <w:spacing w:before="0" w:after="0"/>
              <w:ind w:left="57" w:right="57" w:firstLine="0"/>
              <w:jc w:val="left"/>
            </w:pPr>
            <w:r w:rsidRPr="00744BE0">
              <w:t>Esošu institūciju likvidācija</w:t>
            </w:r>
          </w:p>
        </w:tc>
        <w:tc>
          <w:tcPr>
            <w:tcW w:w="5211" w:type="dxa"/>
          </w:tcPr>
          <w:p w:rsidR="00340F2E" w:rsidRPr="003E0616" w:rsidRDefault="00340F2E" w:rsidP="00340F2E">
            <w:pPr>
              <w:pStyle w:val="NormalWeb"/>
            </w:pPr>
            <w:r w:rsidRPr="003E0616">
              <w:t>Nav attiecināms</w:t>
            </w:r>
            <w:r w:rsidR="00B47D59">
              <w:t>.</w:t>
            </w:r>
          </w:p>
        </w:tc>
      </w:tr>
      <w:tr w:rsidR="00340F2E" w:rsidRPr="00744BE0" w:rsidTr="00340F2E">
        <w:trPr>
          <w:trHeight w:val="703"/>
        </w:trPr>
        <w:tc>
          <w:tcPr>
            <w:tcW w:w="550" w:type="dxa"/>
          </w:tcPr>
          <w:p w:rsidR="00340F2E" w:rsidRPr="00744BE0" w:rsidRDefault="00340F2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44BE0">
              <w:rPr>
                <w:b w:val="0"/>
              </w:rPr>
              <w:t>5.</w:t>
            </w:r>
          </w:p>
        </w:tc>
        <w:tc>
          <w:tcPr>
            <w:tcW w:w="3419" w:type="dxa"/>
          </w:tcPr>
          <w:p w:rsidR="00340F2E" w:rsidRPr="00744BE0" w:rsidRDefault="00340F2E" w:rsidP="007D099D">
            <w:pPr>
              <w:pStyle w:val="naisf"/>
              <w:spacing w:before="0" w:after="0"/>
              <w:ind w:left="57" w:right="57" w:firstLine="0"/>
              <w:jc w:val="left"/>
            </w:pPr>
            <w:r w:rsidRPr="00744BE0">
              <w:t>Projekta izpildes ietekme uz pārvaldes institucionālo struktūru.</w:t>
            </w:r>
          </w:p>
          <w:p w:rsidR="00340F2E" w:rsidRPr="00744BE0" w:rsidRDefault="00340F2E" w:rsidP="007D099D">
            <w:pPr>
              <w:pStyle w:val="naisf"/>
              <w:spacing w:before="0" w:after="0"/>
              <w:ind w:left="57" w:right="57" w:firstLine="0"/>
              <w:jc w:val="left"/>
            </w:pPr>
            <w:r w:rsidRPr="00744BE0">
              <w:t>Esošu institūciju reorganizācija</w:t>
            </w:r>
          </w:p>
        </w:tc>
        <w:tc>
          <w:tcPr>
            <w:tcW w:w="5211" w:type="dxa"/>
          </w:tcPr>
          <w:p w:rsidR="00340F2E" w:rsidRPr="003E0616" w:rsidRDefault="00340F2E" w:rsidP="00340F2E">
            <w:pPr>
              <w:pStyle w:val="NormalWeb"/>
            </w:pPr>
            <w:r w:rsidRPr="003E0616">
              <w:t>Nav attiecināms</w:t>
            </w:r>
            <w:r w:rsidR="00B47D59">
              <w:t>.</w:t>
            </w:r>
          </w:p>
        </w:tc>
      </w:tr>
      <w:tr w:rsidR="00340F2E" w:rsidRPr="00744BE0" w:rsidTr="00340F2E">
        <w:trPr>
          <w:trHeight w:val="476"/>
        </w:trPr>
        <w:tc>
          <w:tcPr>
            <w:tcW w:w="550" w:type="dxa"/>
          </w:tcPr>
          <w:p w:rsidR="00340F2E" w:rsidRPr="00744BE0" w:rsidRDefault="00340F2E" w:rsidP="007D099D">
            <w:pPr>
              <w:pStyle w:val="naiskr"/>
              <w:spacing w:before="0" w:after="0"/>
              <w:ind w:left="57" w:right="57"/>
            </w:pPr>
            <w:r w:rsidRPr="00744BE0">
              <w:t>6.</w:t>
            </w:r>
          </w:p>
        </w:tc>
        <w:tc>
          <w:tcPr>
            <w:tcW w:w="3419" w:type="dxa"/>
          </w:tcPr>
          <w:p w:rsidR="00340F2E" w:rsidRPr="00744BE0" w:rsidRDefault="00340F2E" w:rsidP="007D099D">
            <w:pPr>
              <w:pStyle w:val="naiskr"/>
              <w:spacing w:before="0" w:after="0"/>
              <w:ind w:left="57" w:right="57"/>
            </w:pPr>
            <w:r w:rsidRPr="00744BE0">
              <w:t>Cita informācija</w:t>
            </w:r>
          </w:p>
        </w:tc>
        <w:tc>
          <w:tcPr>
            <w:tcW w:w="5211" w:type="dxa"/>
          </w:tcPr>
          <w:p w:rsidR="00340F2E" w:rsidRPr="003E0616" w:rsidRDefault="00340F2E" w:rsidP="00340F2E">
            <w:pPr>
              <w:pStyle w:val="NormalWeb"/>
            </w:pPr>
            <w:r w:rsidRPr="003E0616">
              <w:t>Nav</w:t>
            </w:r>
          </w:p>
        </w:tc>
      </w:tr>
    </w:tbl>
    <w:p w:rsidR="00214094" w:rsidRPr="00744BE0" w:rsidRDefault="00214094" w:rsidP="006C4607">
      <w:pPr>
        <w:pStyle w:val="naisf"/>
        <w:tabs>
          <w:tab w:val="left" w:pos="5760"/>
        </w:tabs>
        <w:spacing w:before="0" w:after="0"/>
        <w:ind w:firstLine="720"/>
      </w:pPr>
    </w:p>
    <w:p w:rsidR="00214094" w:rsidRDefault="00340F2E" w:rsidP="006C4607">
      <w:pPr>
        <w:pStyle w:val="naisf"/>
        <w:tabs>
          <w:tab w:val="left" w:pos="5760"/>
        </w:tabs>
        <w:spacing w:before="0" w:after="0"/>
        <w:ind w:firstLine="720"/>
      </w:pPr>
      <w:r w:rsidRPr="003E0616">
        <w:t>Anotācijas II, IV, V un VI sadaļa – nav attiecināms.</w:t>
      </w:r>
    </w:p>
    <w:p w:rsidR="00A30604" w:rsidRDefault="00A30604" w:rsidP="00A30604">
      <w:pPr>
        <w:pStyle w:val="naisf"/>
        <w:tabs>
          <w:tab w:val="left" w:pos="5760"/>
        </w:tabs>
        <w:spacing w:before="0" w:after="0"/>
        <w:ind w:firstLine="0"/>
      </w:pPr>
    </w:p>
    <w:p w:rsidR="00A30604" w:rsidRDefault="00A30604" w:rsidP="00A30604">
      <w:pPr>
        <w:pStyle w:val="naisf"/>
        <w:spacing w:before="0" w:after="0"/>
        <w:ind w:firstLine="0"/>
      </w:pPr>
      <w:r w:rsidRPr="003E0616">
        <w:t>Ārlietu ministr</w:t>
      </w:r>
      <w:r w:rsidR="00A23792">
        <w:t>s</w:t>
      </w:r>
      <w:r w:rsidRPr="003E0616">
        <w:tab/>
      </w:r>
      <w:r w:rsidRPr="003E0616">
        <w:tab/>
      </w:r>
      <w:r w:rsidRPr="003E0616">
        <w:tab/>
      </w:r>
      <w:r w:rsidRPr="003E0616">
        <w:tab/>
      </w:r>
      <w:r w:rsidRPr="003E0616">
        <w:tab/>
      </w:r>
      <w:r w:rsidRPr="003E0616">
        <w:tab/>
      </w:r>
      <w:r w:rsidRPr="003E0616">
        <w:tab/>
      </w:r>
      <w:proofErr w:type="gramStart"/>
      <w:r w:rsidRPr="003E0616">
        <w:t xml:space="preserve">              </w:t>
      </w:r>
      <w:r w:rsidR="00A23792">
        <w:t xml:space="preserve">         </w:t>
      </w:r>
      <w:proofErr w:type="spellStart"/>
      <w:proofErr w:type="gramEnd"/>
      <w:r w:rsidR="00A23792">
        <w:t>E.Rinkēvičs</w:t>
      </w:r>
      <w:proofErr w:type="spellEnd"/>
    </w:p>
    <w:p w:rsidR="00A30604" w:rsidRPr="003E0616" w:rsidRDefault="00A30604" w:rsidP="00A30604">
      <w:pPr>
        <w:pStyle w:val="naisf"/>
        <w:spacing w:before="0" w:after="0"/>
        <w:ind w:firstLine="0"/>
      </w:pPr>
    </w:p>
    <w:p w:rsidR="00A30604" w:rsidRPr="003E0616" w:rsidRDefault="00A30604" w:rsidP="00A30604">
      <w:pPr>
        <w:pStyle w:val="EnvelopeReturn"/>
        <w:tabs>
          <w:tab w:val="right" w:pos="8931"/>
          <w:tab w:val="left" w:pos="9000"/>
        </w:tabs>
        <w:spacing w:before="0"/>
        <w:ind w:right="225"/>
        <w:jc w:val="both"/>
        <w:rPr>
          <w:sz w:val="24"/>
          <w:szCs w:val="24"/>
          <w:lang w:val="lv-LV"/>
        </w:rPr>
      </w:pPr>
      <w:r w:rsidRPr="003E0616">
        <w:rPr>
          <w:sz w:val="24"/>
          <w:szCs w:val="24"/>
          <w:lang w:val="lv-LV"/>
        </w:rPr>
        <w:t>Vīza: Valsts sekretār</w:t>
      </w:r>
      <w:r w:rsidR="005F5F48">
        <w:rPr>
          <w:sz w:val="24"/>
          <w:szCs w:val="24"/>
          <w:lang w:val="lv-LV"/>
        </w:rPr>
        <w:t>s</w:t>
      </w:r>
      <w:r w:rsidRPr="003E0616">
        <w:rPr>
          <w:sz w:val="24"/>
          <w:szCs w:val="24"/>
          <w:lang w:val="lv-LV"/>
        </w:rPr>
        <w:tab/>
      </w:r>
      <w:proofErr w:type="gramStart"/>
      <w:r w:rsidRPr="003E0616">
        <w:rPr>
          <w:sz w:val="24"/>
          <w:szCs w:val="24"/>
          <w:lang w:val="lv-LV"/>
        </w:rPr>
        <w:t xml:space="preserve">     </w:t>
      </w:r>
      <w:proofErr w:type="gramEnd"/>
      <w:r w:rsidR="00A23792">
        <w:rPr>
          <w:sz w:val="24"/>
          <w:szCs w:val="24"/>
          <w:lang w:val="lv-LV"/>
        </w:rPr>
        <w:t>A.Pildegovičs</w:t>
      </w:r>
    </w:p>
    <w:p w:rsidR="00A30604" w:rsidRPr="00744BE0" w:rsidRDefault="00A30604" w:rsidP="00A30604">
      <w:pPr>
        <w:pStyle w:val="naisf"/>
        <w:tabs>
          <w:tab w:val="left" w:pos="5760"/>
        </w:tabs>
        <w:spacing w:before="0" w:after="0"/>
        <w:ind w:firstLine="0"/>
      </w:pPr>
    </w:p>
    <w:p w:rsidR="00EF2A6B" w:rsidRDefault="00EF2A6B" w:rsidP="00EF2A6B"/>
    <w:p w:rsidR="00EF2A6B" w:rsidRDefault="00EF2A6B" w:rsidP="00EF2A6B"/>
    <w:p w:rsidR="00EF2A6B" w:rsidRDefault="00EF2A6B" w:rsidP="00EF2A6B"/>
    <w:p w:rsidR="00A30604" w:rsidRPr="005F5F48" w:rsidRDefault="00905FF1" w:rsidP="00A30604">
      <w:pPr>
        <w:rPr>
          <w:sz w:val="20"/>
          <w:szCs w:val="20"/>
        </w:rPr>
      </w:pPr>
      <w:r>
        <w:rPr>
          <w:sz w:val="20"/>
          <w:szCs w:val="20"/>
        </w:rPr>
        <w:t>17.02</w:t>
      </w:r>
      <w:r w:rsidR="00A23792">
        <w:rPr>
          <w:sz w:val="20"/>
          <w:szCs w:val="20"/>
        </w:rPr>
        <w:t>.2014</w:t>
      </w:r>
    </w:p>
    <w:p w:rsidR="00A30604" w:rsidRPr="003E0616" w:rsidRDefault="00B47D59" w:rsidP="00A30604">
      <w:pPr>
        <w:rPr>
          <w:sz w:val="20"/>
          <w:szCs w:val="20"/>
        </w:rPr>
      </w:pPr>
      <w:r>
        <w:rPr>
          <w:sz w:val="20"/>
          <w:szCs w:val="20"/>
        </w:rPr>
        <w:t>591</w:t>
      </w:r>
      <w:bookmarkStart w:id="2" w:name="_GoBack"/>
      <w:bookmarkEnd w:id="2"/>
    </w:p>
    <w:p w:rsidR="00A30604" w:rsidRPr="003E0616" w:rsidRDefault="00A23792" w:rsidP="00A30604">
      <w:pPr>
        <w:rPr>
          <w:sz w:val="20"/>
          <w:szCs w:val="20"/>
        </w:rPr>
      </w:pPr>
      <w:r>
        <w:rPr>
          <w:sz w:val="20"/>
          <w:szCs w:val="20"/>
        </w:rPr>
        <w:t>K.Svilāns</w:t>
      </w:r>
    </w:p>
    <w:p w:rsidR="00BF40ED" w:rsidRPr="00A23792" w:rsidRDefault="00A30604" w:rsidP="00A30604">
      <w:pPr>
        <w:pStyle w:val="BodyText"/>
        <w:tabs>
          <w:tab w:val="left" w:pos="7740"/>
        </w:tabs>
        <w:jc w:val="both"/>
        <w:rPr>
          <w:lang w:val="lv-LV"/>
        </w:rPr>
      </w:pPr>
      <w:r w:rsidRPr="00A23792">
        <w:rPr>
          <w:sz w:val="20"/>
          <w:szCs w:val="20"/>
          <w:lang w:val="lv-LV"/>
        </w:rPr>
        <w:t>67016</w:t>
      </w:r>
      <w:r w:rsidR="00A23792">
        <w:rPr>
          <w:sz w:val="20"/>
          <w:szCs w:val="20"/>
          <w:lang w:val="lv-LV"/>
        </w:rPr>
        <w:t>158</w:t>
      </w:r>
      <w:r w:rsidRPr="00A23792">
        <w:rPr>
          <w:sz w:val="20"/>
          <w:szCs w:val="20"/>
          <w:lang w:val="lv-LV"/>
        </w:rPr>
        <w:t xml:space="preserve">; </w:t>
      </w:r>
      <w:r w:rsidR="00A23792" w:rsidRPr="00A23792">
        <w:rPr>
          <w:sz w:val="20"/>
          <w:szCs w:val="20"/>
          <w:lang w:val="lv-LV"/>
        </w:rPr>
        <w:t>Kaspars.</w:t>
      </w:r>
      <w:r w:rsidR="00A23792">
        <w:rPr>
          <w:sz w:val="20"/>
          <w:szCs w:val="20"/>
          <w:lang w:val="lv-LV"/>
        </w:rPr>
        <w:t>svilans</w:t>
      </w:r>
      <w:r w:rsidRPr="00A23792">
        <w:rPr>
          <w:sz w:val="20"/>
          <w:szCs w:val="20"/>
          <w:lang w:val="lv-LV"/>
        </w:rPr>
        <w:t>@mfa.gov.lv</w:t>
      </w:r>
    </w:p>
    <w:sectPr w:rsidR="00BF40ED" w:rsidRPr="00A23792" w:rsidSect="00406C36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27" w:rsidRDefault="00E91827">
      <w:r>
        <w:separator/>
      </w:r>
    </w:p>
  </w:endnote>
  <w:endnote w:type="continuationSeparator" w:id="0">
    <w:p w:rsidR="00E91827" w:rsidRDefault="00E9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2E" w:rsidRPr="00A30604" w:rsidRDefault="00A30604" w:rsidP="005F5F48">
    <w:pPr>
      <w:pStyle w:val="Footer"/>
      <w:jc w:val="both"/>
    </w:pPr>
    <w:r>
      <w:rPr>
        <w:sz w:val="20"/>
        <w:szCs w:val="20"/>
      </w:rPr>
      <w:t>AMAnot_</w:t>
    </w:r>
    <w:r w:rsidR="00905FF1">
      <w:rPr>
        <w:sz w:val="20"/>
        <w:szCs w:val="20"/>
      </w:rPr>
      <w:t>170214</w:t>
    </w:r>
    <w:r w:rsidR="0046363A">
      <w:rPr>
        <w:sz w:val="20"/>
        <w:szCs w:val="20"/>
      </w:rPr>
      <w:t>_demarkacija</w:t>
    </w:r>
    <w:r w:rsidRPr="006E6952">
      <w:rPr>
        <w:sz w:val="20"/>
        <w:szCs w:val="20"/>
      </w:rPr>
      <w:t xml:space="preserve">; </w:t>
    </w:r>
    <w:r w:rsidRPr="006E1EAA">
      <w:rPr>
        <w:sz w:val="20"/>
        <w:szCs w:val="20"/>
      </w:rPr>
      <w:t xml:space="preserve">Ministru kabineta rīkojuma projekta </w:t>
    </w:r>
    <w:r>
      <w:rPr>
        <w:sz w:val="20"/>
        <w:szCs w:val="20"/>
      </w:rPr>
      <w:t>„</w:t>
    </w:r>
    <w:r w:rsidRPr="006E6952">
      <w:rPr>
        <w:bCs/>
        <w:sz w:val="20"/>
        <w:szCs w:val="20"/>
      </w:rPr>
      <w:t>Grozījum</w:t>
    </w:r>
    <w:r w:rsidR="00A4714D">
      <w:rPr>
        <w:bCs/>
        <w:sz w:val="20"/>
        <w:szCs w:val="20"/>
      </w:rPr>
      <w:t>i</w:t>
    </w:r>
    <w:r w:rsidRPr="006E6952">
      <w:rPr>
        <w:bCs/>
        <w:sz w:val="20"/>
        <w:szCs w:val="20"/>
      </w:rPr>
      <w:t xml:space="preserve"> Ministru kabineta </w:t>
    </w:r>
    <w:r w:rsidRPr="006E6952">
      <w:rPr>
        <w:sz w:val="20"/>
        <w:szCs w:val="20"/>
      </w:rPr>
      <w:t>2009.</w:t>
    </w:r>
    <w:r>
      <w:rPr>
        <w:sz w:val="20"/>
        <w:szCs w:val="20"/>
      </w:rPr>
      <w:t xml:space="preserve"> </w:t>
    </w:r>
    <w:r w:rsidRPr="006E6952">
      <w:rPr>
        <w:sz w:val="20"/>
        <w:szCs w:val="20"/>
      </w:rPr>
      <w:t>gada 7.</w:t>
    </w:r>
    <w:r>
      <w:rPr>
        <w:sz w:val="20"/>
        <w:szCs w:val="20"/>
      </w:rPr>
      <w:t xml:space="preserve"> </w:t>
    </w:r>
    <w:r w:rsidRPr="006E6952">
      <w:rPr>
        <w:sz w:val="20"/>
        <w:szCs w:val="20"/>
      </w:rPr>
      <w:t xml:space="preserve">oktobra </w:t>
    </w:r>
    <w:r w:rsidRPr="006E6952">
      <w:rPr>
        <w:bCs/>
        <w:sz w:val="20"/>
        <w:szCs w:val="20"/>
      </w:rPr>
      <w:t>rīkojumā</w:t>
    </w:r>
    <w:r w:rsidRPr="006E6952">
      <w:rPr>
        <w:b/>
        <w:bCs/>
        <w:sz w:val="20"/>
        <w:szCs w:val="20"/>
      </w:rPr>
      <w:t xml:space="preserve"> </w:t>
    </w:r>
    <w:r w:rsidRPr="006E6952">
      <w:rPr>
        <w:rStyle w:val="Strong"/>
        <w:b w:val="0"/>
        <w:sz w:val="20"/>
        <w:szCs w:val="20"/>
      </w:rPr>
      <w:t>Nr.</w:t>
    </w:r>
    <w:r>
      <w:rPr>
        <w:rStyle w:val="Strong"/>
        <w:b w:val="0"/>
        <w:sz w:val="20"/>
        <w:szCs w:val="20"/>
      </w:rPr>
      <w:t xml:space="preserve"> </w:t>
    </w:r>
    <w:r w:rsidRPr="006E6952">
      <w:rPr>
        <w:rStyle w:val="Strong"/>
        <w:b w:val="0"/>
        <w:sz w:val="20"/>
        <w:szCs w:val="20"/>
      </w:rPr>
      <w:t>675</w:t>
    </w:r>
    <w:r w:rsidRPr="006E6952">
      <w:rPr>
        <w:b/>
        <w:bCs/>
        <w:sz w:val="20"/>
        <w:szCs w:val="20"/>
      </w:rPr>
      <w:t xml:space="preserve"> </w:t>
    </w:r>
    <w:r w:rsidRPr="007440F3">
      <w:rPr>
        <w:bCs/>
        <w:sz w:val="20"/>
        <w:szCs w:val="20"/>
      </w:rPr>
      <w:t>„</w:t>
    </w:r>
    <w:r w:rsidRPr="006E6952">
      <w:rPr>
        <w:rStyle w:val="Strong"/>
        <w:b w:val="0"/>
        <w:bCs w:val="0"/>
        <w:sz w:val="20"/>
        <w:szCs w:val="20"/>
      </w:rPr>
      <w:t>Par pārstāvju norīkošanu Latvijas un Krievijas kopīgajā demarkācijas komisijā</w:t>
    </w:r>
    <w:r w:rsidRPr="006E6952">
      <w:rPr>
        <w:sz w:val="20"/>
        <w:szCs w:val="20"/>
      </w:rPr>
      <w:t>”</w:t>
    </w:r>
    <w:r>
      <w:rPr>
        <w:sz w:val="20"/>
        <w:szCs w:val="20"/>
      </w:rPr>
      <w:t>”</w:t>
    </w:r>
    <w:r w:rsidRPr="006E6952">
      <w:rPr>
        <w:sz w:val="20"/>
        <w:szCs w:val="20"/>
      </w:rPr>
      <w:t xml:space="preserve">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2E" w:rsidRPr="00D55FF0" w:rsidRDefault="00A30604" w:rsidP="005F5F48">
    <w:pPr>
      <w:pStyle w:val="Footer"/>
      <w:jc w:val="both"/>
      <w:rPr>
        <w:szCs w:val="16"/>
      </w:rPr>
    </w:pPr>
    <w:r>
      <w:rPr>
        <w:sz w:val="20"/>
        <w:szCs w:val="20"/>
      </w:rPr>
      <w:t>AMAnot_</w:t>
    </w:r>
    <w:r w:rsidR="00905FF1">
      <w:rPr>
        <w:sz w:val="20"/>
        <w:szCs w:val="20"/>
      </w:rPr>
      <w:t>170214</w:t>
    </w:r>
    <w:r w:rsidR="0046363A">
      <w:rPr>
        <w:sz w:val="20"/>
        <w:szCs w:val="20"/>
      </w:rPr>
      <w:t>_demarkacija</w:t>
    </w:r>
    <w:r w:rsidRPr="006E6952">
      <w:rPr>
        <w:sz w:val="20"/>
        <w:szCs w:val="20"/>
      </w:rPr>
      <w:t xml:space="preserve">; </w:t>
    </w:r>
    <w:r w:rsidRPr="006E1EAA">
      <w:rPr>
        <w:sz w:val="20"/>
        <w:szCs w:val="20"/>
      </w:rPr>
      <w:t xml:space="preserve">Ministru kabineta rīkojuma projekta </w:t>
    </w:r>
    <w:r>
      <w:rPr>
        <w:sz w:val="20"/>
        <w:szCs w:val="20"/>
      </w:rPr>
      <w:t>„</w:t>
    </w:r>
    <w:r w:rsidRPr="006E6952">
      <w:rPr>
        <w:bCs/>
        <w:sz w:val="20"/>
        <w:szCs w:val="20"/>
      </w:rPr>
      <w:t>Grozījum</w:t>
    </w:r>
    <w:r w:rsidR="00A4714D">
      <w:rPr>
        <w:bCs/>
        <w:sz w:val="20"/>
        <w:szCs w:val="20"/>
      </w:rPr>
      <w:t>i</w:t>
    </w:r>
    <w:r w:rsidRPr="006E6952">
      <w:rPr>
        <w:bCs/>
        <w:sz w:val="20"/>
        <w:szCs w:val="20"/>
      </w:rPr>
      <w:t xml:space="preserve"> Ministru kabineta </w:t>
    </w:r>
    <w:r w:rsidRPr="006E6952">
      <w:rPr>
        <w:sz w:val="20"/>
        <w:szCs w:val="20"/>
      </w:rPr>
      <w:t>2009.</w:t>
    </w:r>
    <w:r>
      <w:rPr>
        <w:sz w:val="20"/>
        <w:szCs w:val="20"/>
      </w:rPr>
      <w:t xml:space="preserve"> </w:t>
    </w:r>
    <w:r w:rsidRPr="006E6952">
      <w:rPr>
        <w:sz w:val="20"/>
        <w:szCs w:val="20"/>
      </w:rPr>
      <w:t>gada 7.</w:t>
    </w:r>
    <w:r>
      <w:rPr>
        <w:sz w:val="20"/>
        <w:szCs w:val="20"/>
      </w:rPr>
      <w:t xml:space="preserve"> </w:t>
    </w:r>
    <w:r w:rsidRPr="006E6952">
      <w:rPr>
        <w:sz w:val="20"/>
        <w:szCs w:val="20"/>
      </w:rPr>
      <w:t xml:space="preserve">oktobra </w:t>
    </w:r>
    <w:r w:rsidRPr="006E6952">
      <w:rPr>
        <w:bCs/>
        <w:sz w:val="20"/>
        <w:szCs w:val="20"/>
      </w:rPr>
      <w:t>rīkojumā</w:t>
    </w:r>
    <w:r w:rsidRPr="006E6952">
      <w:rPr>
        <w:b/>
        <w:bCs/>
        <w:sz w:val="20"/>
        <w:szCs w:val="20"/>
      </w:rPr>
      <w:t xml:space="preserve"> </w:t>
    </w:r>
    <w:r w:rsidRPr="006E6952">
      <w:rPr>
        <w:rStyle w:val="Strong"/>
        <w:b w:val="0"/>
        <w:sz w:val="20"/>
        <w:szCs w:val="20"/>
      </w:rPr>
      <w:t>Nr.</w:t>
    </w:r>
    <w:r>
      <w:rPr>
        <w:rStyle w:val="Strong"/>
        <w:b w:val="0"/>
        <w:sz w:val="20"/>
        <w:szCs w:val="20"/>
      </w:rPr>
      <w:t xml:space="preserve"> </w:t>
    </w:r>
    <w:r w:rsidRPr="006E6952">
      <w:rPr>
        <w:rStyle w:val="Strong"/>
        <w:b w:val="0"/>
        <w:sz w:val="20"/>
        <w:szCs w:val="20"/>
      </w:rPr>
      <w:t>675</w:t>
    </w:r>
    <w:r w:rsidRPr="006E6952">
      <w:rPr>
        <w:b/>
        <w:bCs/>
        <w:sz w:val="20"/>
        <w:szCs w:val="20"/>
      </w:rPr>
      <w:t xml:space="preserve"> </w:t>
    </w:r>
    <w:r w:rsidRPr="007440F3">
      <w:rPr>
        <w:bCs/>
        <w:sz w:val="20"/>
        <w:szCs w:val="20"/>
      </w:rPr>
      <w:t>„</w:t>
    </w:r>
    <w:r w:rsidRPr="006E6952">
      <w:rPr>
        <w:rStyle w:val="Strong"/>
        <w:b w:val="0"/>
        <w:bCs w:val="0"/>
        <w:sz w:val="20"/>
        <w:szCs w:val="20"/>
      </w:rPr>
      <w:t>Par pārstāvju norīkošanu Latvijas un Krievijas kopīgajā demarkācijas komisijā</w:t>
    </w:r>
    <w:r w:rsidRPr="006E6952">
      <w:rPr>
        <w:sz w:val="20"/>
        <w:szCs w:val="20"/>
      </w:rPr>
      <w:t>”</w:t>
    </w:r>
    <w:r>
      <w:rPr>
        <w:sz w:val="20"/>
        <w:szCs w:val="20"/>
      </w:rPr>
      <w:t>”</w:t>
    </w:r>
    <w:r w:rsidRPr="006E6952">
      <w:rPr>
        <w:sz w:val="20"/>
        <w:szCs w:val="20"/>
      </w:rPr>
      <w:t xml:space="preserve">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27" w:rsidRDefault="00E91827">
      <w:r>
        <w:separator/>
      </w:r>
    </w:p>
  </w:footnote>
  <w:footnote w:type="continuationSeparator" w:id="0">
    <w:p w:rsidR="00E91827" w:rsidRDefault="00E91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2E" w:rsidRDefault="00340F2E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0F2E" w:rsidRDefault="00340F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2E" w:rsidRDefault="00340F2E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7D5">
      <w:rPr>
        <w:rStyle w:val="PageNumber"/>
        <w:noProof/>
      </w:rPr>
      <w:t>3</w:t>
    </w:r>
    <w:r>
      <w:rPr>
        <w:rStyle w:val="PageNumber"/>
      </w:rPr>
      <w:fldChar w:fldCharType="end"/>
    </w:r>
  </w:p>
  <w:p w:rsidR="00340F2E" w:rsidRDefault="00340F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12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49"/>
    <w:rsid w:val="00011573"/>
    <w:rsid w:val="00011D24"/>
    <w:rsid w:val="00013FF4"/>
    <w:rsid w:val="00020FE1"/>
    <w:rsid w:val="00022E13"/>
    <w:rsid w:val="00032388"/>
    <w:rsid w:val="00035CE2"/>
    <w:rsid w:val="0003622E"/>
    <w:rsid w:val="000456CA"/>
    <w:rsid w:val="00052045"/>
    <w:rsid w:val="00052CAD"/>
    <w:rsid w:val="0005553B"/>
    <w:rsid w:val="000604D2"/>
    <w:rsid w:val="000625D0"/>
    <w:rsid w:val="000657AB"/>
    <w:rsid w:val="00066DC0"/>
    <w:rsid w:val="0008459D"/>
    <w:rsid w:val="0009005E"/>
    <w:rsid w:val="000941C5"/>
    <w:rsid w:val="00096A20"/>
    <w:rsid w:val="000972FE"/>
    <w:rsid w:val="000A6451"/>
    <w:rsid w:val="000A65E9"/>
    <w:rsid w:val="000B064E"/>
    <w:rsid w:val="000B69CF"/>
    <w:rsid w:val="000C790C"/>
    <w:rsid w:val="000F061D"/>
    <w:rsid w:val="000F4794"/>
    <w:rsid w:val="001107D3"/>
    <w:rsid w:val="0012128E"/>
    <w:rsid w:val="00121D32"/>
    <w:rsid w:val="00124F12"/>
    <w:rsid w:val="00130189"/>
    <w:rsid w:val="00134822"/>
    <w:rsid w:val="00144E3A"/>
    <w:rsid w:val="0015060C"/>
    <w:rsid w:val="0016018A"/>
    <w:rsid w:val="00161F0E"/>
    <w:rsid w:val="00170E2A"/>
    <w:rsid w:val="00177394"/>
    <w:rsid w:val="00180456"/>
    <w:rsid w:val="00182C18"/>
    <w:rsid w:val="00183CC2"/>
    <w:rsid w:val="001900E4"/>
    <w:rsid w:val="00190F88"/>
    <w:rsid w:val="001A4066"/>
    <w:rsid w:val="001A6AE4"/>
    <w:rsid w:val="001B01FD"/>
    <w:rsid w:val="001B4A71"/>
    <w:rsid w:val="001C27B2"/>
    <w:rsid w:val="001C51BB"/>
    <w:rsid w:val="001D0E6C"/>
    <w:rsid w:val="001D5B54"/>
    <w:rsid w:val="001E1DBF"/>
    <w:rsid w:val="001E4639"/>
    <w:rsid w:val="001E4A7D"/>
    <w:rsid w:val="001F43A8"/>
    <w:rsid w:val="001F5CD6"/>
    <w:rsid w:val="0021263D"/>
    <w:rsid w:val="002135F6"/>
    <w:rsid w:val="00213F0C"/>
    <w:rsid w:val="00214094"/>
    <w:rsid w:val="0021592D"/>
    <w:rsid w:val="00222D76"/>
    <w:rsid w:val="00223EB1"/>
    <w:rsid w:val="00231344"/>
    <w:rsid w:val="0023436E"/>
    <w:rsid w:val="002347C0"/>
    <w:rsid w:val="00241A6C"/>
    <w:rsid w:val="00242D2B"/>
    <w:rsid w:val="00260B26"/>
    <w:rsid w:val="00262E2B"/>
    <w:rsid w:val="00263793"/>
    <w:rsid w:val="00270429"/>
    <w:rsid w:val="002723E9"/>
    <w:rsid w:val="00277929"/>
    <w:rsid w:val="00283B82"/>
    <w:rsid w:val="002846E9"/>
    <w:rsid w:val="00284C34"/>
    <w:rsid w:val="0028775B"/>
    <w:rsid w:val="0029066C"/>
    <w:rsid w:val="002B50DB"/>
    <w:rsid w:val="002C12AB"/>
    <w:rsid w:val="002C7CAC"/>
    <w:rsid w:val="002D0560"/>
    <w:rsid w:val="002D3306"/>
    <w:rsid w:val="002D48AA"/>
    <w:rsid w:val="002D7BAA"/>
    <w:rsid w:val="002D7F54"/>
    <w:rsid w:val="002E12BC"/>
    <w:rsid w:val="002E1807"/>
    <w:rsid w:val="002E3FF4"/>
    <w:rsid w:val="002F00C5"/>
    <w:rsid w:val="002F78C8"/>
    <w:rsid w:val="00301CF3"/>
    <w:rsid w:val="00314E66"/>
    <w:rsid w:val="00325B7E"/>
    <w:rsid w:val="0032715C"/>
    <w:rsid w:val="00337CA5"/>
    <w:rsid w:val="00340F2E"/>
    <w:rsid w:val="003506A0"/>
    <w:rsid w:val="00362478"/>
    <w:rsid w:val="00375B25"/>
    <w:rsid w:val="00396542"/>
    <w:rsid w:val="0039685B"/>
    <w:rsid w:val="003A1C60"/>
    <w:rsid w:val="003A31A6"/>
    <w:rsid w:val="003A617C"/>
    <w:rsid w:val="003A7F0C"/>
    <w:rsid w:val="003A7F79"/>
    <w:rsid w:val="003B6404"/>
    <w:rsid w:val="003C449B"/>
    <w:rsid w:val="003D21FF"/>
    <w:rsid w:val="003E00F9"/>
    <w:rsid w:val="003E3AE2"/>
    <w:rsid w:val="003E5743"/>
    <w:rsid w:val="003E793A"/>
    <w:rsid w:val="003F0112"/>
    <w:rsid w:val="003F071A"/>
    <w:rsid w:val="003F160B"/>
    <w:rsid w:val="00400032"/>
    <w:rsid w:val="00400B5B"/>
    <w:rsid w:val="00405A00"/>
    <w:rsid w:val="00406C36"/>
    <w:rsid w:val="004073B7"/>
    <w:rsid w:val="00420870"/>
    <w:rsid w:val="0043791B"/>
    <w:rsid w:val="00440315"/>
    <w:rsid w:val="00441483"/>
    <w:rsid w:val="00441BCB"/>
    <w:rsid w:val="00443C3D"/>
    <w:rsid w:val="0045176A"/>
    <w:rsid w:val="00452838"/>
    <w:rsid w:val="00456332"/>
    <w:rsid w:val="00461826"/>
    <w:rsid w:val="0046363A"/>
    <w:rsid w:val="00465B23"/>
    <w:rsid w:val="00472F71"/>
    <w:rsid w:val="004800F9"/>
    <w:rsid w:val="00483A20"/>
    <w:rsid w:val="0049007E"/>
    <w:rsid w:val="0049134A"/>
    <w:rsid w:val="004A58CB"/>
    <w:rsid w:val="004B1795"/>
    <w:rsid w:val="004B56DD"/>
    <w:rsid w:val="004C020F"/>
    <w:rsid w:val="004C1AFD"/>
    <w:rsid w:val="004C558B"/>
    <w:rsid w:val="004E2D73"/>
    <w:rsid w:val="004E3EFF"/>
    <w:rsid w:val="004E7D35"/>
    <w:rsid w:val="004F04A4"/>
    <w:rsid w:val="004F1F88"/>
    <w:rsid w:val="004F5F1B"/>
    <w:rsid w:val="00502374"/>
    <w:rsid w:val="005060A1"/>
    <w:rsid w:val="00516072"/>
    <w:rsid w:val="005332EC"/>
    <w:rsid w:val="00534418"/>
    <w:rsid w:val="005353AB"/>
    <w:rsid w:val="0054434F"/>
    <w:rsid w:val="00550421"/>
    <w:rsid w:val="005560BC"/>
    <w:rsid w:val="005573BE"/>
    <w:rsid w:val="00572700"/>
    <w:rsid w:val="00580468"/>
    <w:rsid w:val="0058603B"/>
    <w:rsid w:val="0059192A"/>
    <w:rsid w:val="0059431B"/>
    <w:rsid w:val="005A39CC"/>
    <w:rsid w:val="005B4730"/>
    <w:rsid w:val="005E05D7"/>
    <w:rsid w:val="005E41E7"/>
    <w:rsid w:val="005E450F"/>
    <w:rsid w:val="005E5758"/>
    <w:rsid w:val="005F3B74"/>
    <w:rsid w:val="005F5F48"/>
    <w:rsid w:val="00600508"/>
    <w:rsid w:val="006062A4"/>
    <w:rsid w:val="0062298A"/>
    <w:rsid w:val="00626514"/>
    <w:rsid w:val="00626589"/>
    <w:rsid w:val="006339A0"/>
    <w:rsid w:val="006413A8"/>
    <w:rsid w:val="00642E56"/>
    <w:rsid w:val="00651E00"/>
    <w:rsid w:val="00662D17"/>
    <w:rsid w:val="00674572"/>
    <w:rsid w:val="00687763"/>
    <w:rsid w:val="00692B0D"/>
    <w:rsid w:val="00693E0E"/>
    <w:rsid w:val="006A1AE3"/>
    <w:rsid w:val="006A2CB2"/>
    <w:rsid w:val="006A49D1"/>
    <w:rsid w:val="006A522C"/>
    <w:rsid w:val="006C30E1"/>
    <w:rsid w:val="006C4607"/>
    <w:rsid w:val="006D1372"/>
    <w:rsid w:val="006D48F1"/>
    <w:rsid w:val="006E12AB"/>
    <w:rsid w:val="006E6983"/>
    <w:rsid w:val="006F45BE"/>
    <w:rsid w:val="007004FC"/>
    <w:rsid w:val="00700A5D"/>
    <w:rsid w:val="00706670"/>
    <w:rsid w:val="0072417C"/>
    <w:rsid w:val="00733E43"/>
    <w:rsid w:val="00734450"/>
    <w:rsid w:val="00737763"/>
    <w:rsid w:val="00744BE0"/>
    <w:rsid w:val="00745F67"/>
    <w:rsid w:val="0075039E"/>
    <w:rsid w:val="00752D9D"/>
    <w:rsid w:val="00754784"/>
    <w:rsid w:val="00756937"/>
    <w:rsid w:val="00757C6E"/>
    <w:rsid w:val="00762BDA"/>
    <w:rsid w:val="0076583E"/>
    <w:rsid w:val="007805FD"/>
    <w:rsid w:val="00784422"/>
    <w:rsid w:val="007A24F5"/>
    <w:rsid w:val="007B3B54"/>
    <w:rsid w:val="007B3FA0"/>
    <w:rsid w:val="007C0F2C"/>
    <w:rsid w:val="007C2BCC"/>
    <w:rsid w:val="007C4EF0"/>
    <w:rsid w:val="007D099D"/>
    <w:rsid w:val="007D5A97"/>
    <w:rsid w:val="007D6048"/>
    <w:rsid w:val="007E2664"/>
    <w:rsid w:val="007E3ABF"/>
    <w:rsid w:val="007E5BFA"/>
    <w:rsid w:val="007E6689"/>
    <w:rsid w:val="007E731C"/>
    <w:rsid w:val="007F0A03"/>
    <w:rsid w:val="008072CF"/>
    <w:rsid w:val="00810040"/>
    <w:rsid w:val="00814D5E"/>
    <w:rsid w:val="0082023A"/>
    <w:rsid w:val="00821A7A"/>
    <w:rsid w:val="008253F8"/>
    <w:rsid w:val="008325E4"/>
    <w:rsid w:val="00832A2B"/>
    <w:rsid w:val="008449C2"/>
    <w:rsid w:val="00845811"/>
    <w:rsid w:val="00846994"/>
    <w:rsid w:val="00850451"/>
    <w:rsid w:val="00852042"/>
    <w:rsid w:val="008534C9"/>
    <w:rsid w:val="0085599D"/>
    <w:rsid w:val="00856F65"/>
    <w:rsid w:val="00873FE8"/>
    <w:rsid w:val="0087510C"/>
    <w:rsid w:val="008910FC"/>
    <w:rsid w:val="008918CB"/>
    <w:rsid w:val="0089738E"/>
    <w:rsid w:val="008B5FDB"/>
    <w:rsid w:val="008C50F4"/>
    <w:rsid w:val="008C5649"/>
    <w:rsid w:val="008C604B"/>
    <w:rsid w:val="008D4089"/>
    <w:rsid w:val="008E44A2"/>
    <w:rsid w:val="008E697D"/>
    <w:rsid w:val="00903263"/>
    <w:rsid w:val="00905FF1"/>
    <w:rsid w:val="00906A21"/>
    <w:rsid w:val="009079C3"/>
    <w:rsid w:val="00910462"/>
    <w:rsid w:val="00915AB1"/>
    <w:rsid w:val="00917532"/>
    <w:rsid w:val="009212B0"/>
    <w:rsid w:val="00922104"/>
    <w:rsid w:val="00922E69"/>
    <w:rsid w:val="009235BA"/>
    <w:rsid w:val="00924023"/>
    <w:rsid w:val="00924CE2"/>
    <w:rsid w:val="00925B9F"/>
    <w:rsid w:val="00931AED"/>
    <w:rsid w:val="009476A3"/>
    <w:rsid w:val="0095334F"/>
    <w:rsid w:val="00965897"/>
    <w:rsid w:val="0096765C"/>
    <w:rsid w:val="009727E4"/>
    <w:rsid w:val="009934C5"/>
    <w:rsid w:val="00994C0F"/>
    <w:rsid w:val="009A01F0"/>
    <w:rsid w:val="009A35EE"/>
    <w:rsid w:val="009B22D7"/>
    <w:rsid w:val="009B3900"/>
    <w:rsid w:val="009B72ED"/>
    <w:rsid w:val="009C61A2"/>
    <w:rsid w:val="009C6DEB"/>
    <w:rsid w:val="009C718D"/>
    <w:rsid w:val="009D6504"/>
    <w:rsid w:val="009E12D7"/>
    <w:rsid w:val="009E41D4"/>
    <w:rsid w:val="009E661A"/>
    <w:rsid w:val="009F5321"/>
    <w:rsid w:val="00A06781"/>
    <w:rsid w:val="00A074C3"/>
    <w:rsid w:val="00A1509C"/>
    <w:rsid w:val="00A23792"/>
    <w:rsid w:val="00A30384"/>
    <w:rsid w:val="00A30604"/>
    <w:rsid w:val="00A34260"/>
    <w:rsid w:val="00A4714D"/>
    <w:rsid w:val="00A552B7"/>
    <w:rsid w:val="00A67C99"/>
    <w:rsid w:val="00A70CFD"/>
    <w:rsid w:val="00A72A0B"/>
    <w:rsid w:val="00A75D5A"/>
    <w:rsid w:val="00A81E42"/>
    <w:rsid w:val="00A864FE"/>
    <w:rsid w:val="00A86F41"/>
    <w:rsid w:val="00A87549"/>
    <w:rsid w:val="00A87D04"/>
    <w:rsid w:val="00A950C5"/>
    <w:rsid w:val="00AA1D25"/>
    <w:rsid w:val="00AA5086"/>
    <w:rsid w:val="00AB0927"/>
    <w:rsid w:val="00AB2B1A"/>
    <w:rsid w:val="00AB344E"/>
    <w:rsid w:val="00AB397F"/>
    <w:rsid w:val="00AB5832"/>
    <w:rsid w:val="00AC51F2"/>
    <w:rsid w:val="00AE5066"/>
    <w:rsid w:val="00AE5E24"/>
    <w:rsid w:val="00AE61B7"/>
    <w:rsid w:val="00AE676E"/>
    <w:rsid w:val="00AE6CBA"/>
    <w:rsid w:val="00AE79AD"/>
    <w:rsid w:val="00AF35E4"/>
    <w:rsid w:val="00AF5CDE"/>
    <w:rsid w:val="00B07ED9"/>
    <w:rsid w:val="00B11A57"/>
    <w:rsid w:val="00B211C3"/>
    <w:rsid w:val="00B25597"/>
    <w:rsid w:val="00B267B9"/>
    <w:rsid w:val="00B33E09"/>
    <w:rsid w:val="00B47D59"/>
    <w:rsid w:val="00B50708"/>
    <w:rsid w:val="00B50C68"/>
    <w:rsid w:val="00B51293"/>
    <w:rsid w:val="00B52B1E"/>
    <w:rsid w:val="00B55481"/>
    <w:rsid w:val="00B55B40"/>
    <w:rsid w:val="00B56C32"/>
    <w:rsid w:val="00B57ACF"/>
    <w:rsid w:val="00B64BB1"/>
    <w:rsid w:val="00B70BC4"/>
    <w:rsid w:val="00B73166"/>
    <w:rsid w:val="00B80830"/>
    <w:rsid w:val="00B8426C"/>
    <w:rsid w:val="00B91B8D"/>
    <w:rsid w:val="00B94E90"/>
    <w:rsid w:val="00BB0A82"/>
    <w:rsid w:val="00BB7C94"/>
    <w:rsid w:val="00BC0A9D"/>
    <w:rsid w:val="00BC3022"/>
    <w:rsid w:val="00BF2C31"/>
    <w:rsid w:val="00BF40ED"/>
    <w:rsid w:val="00BF5BC2"/>
    <w:rsid w:val="00C0010D"/>
    <w:rsid w:val="00C1133D"/>
    <w:rsid w:val="00C13B8D"/>
    <w:rsid w:val="00C27A08"/>
    <w:rsid w:val="00C31312"/>
    <w:rsid w:val="00C326C6"/>
    <w:rsid w:val="00C35295"/>
    <w:rsid w:val="00C36ADD"/>
    <w:rsid w:val="00C36E74"/>
    <w:rsid w:val="00C40595"/>
    <w:rsid w:val="00C4160C"/>
    <w:rsid w:val="00C41621"/>
    <w:rsid w:val="00C449FA"/>
    <w:rsid w:val="00C5384F"/>
    <w:rsid w:val="00C56964"/>
    <w:rsid w:val="00C656D5"/>
    <w:rsid w:val="00C67103"/>
    <w:rsid w:val="00C71BB9"/>
    <w:rsid w:val="00C81735"/>
    <w:rsid w:val="00C859D5"/>
    <w:rsid w:val="00C94C28"/>
    <w:rsid w:val="00CB0247"/>
    <w:rsid w:val="00CB3261"/>
    <w:rsid w:val="00CB3440"/>
    <w:rsid w:val="00CC1692"/>
    <w:rsid w:val="00CD138B"/>
    <w:rsid w:val="00CD1C9D"/>
    <w:rsid w:val="00CD3E31"/>
    <w:rsid w:val="00CD74A3"/>
    <w:rsid w:val="00CE0527"/>
    <w:rsid w:val="00CE05A9"/>
    <w:rsid w:val="00CE5B23"/>
    <w:rsid w:val="00CF2A59"/>
    <w:rsid w:val="00CF70AD"/>
    <w:rsid w:val="00CF7729"/>
    <w:rsid w:val="00D00059"/>
    <w:rsid w:val="00D107FA"/>
    <w:rsid w:val="00D12275"/>
    <w:rsid w:val="00D12766"/>
    <w:rsid w:val="00D20FF4"/>
    <w:rsid w:val="00D24D2C"/>
    <w:rsid w:val="00D3418F"/>
    <w:rsid w:val="00D35762"/>
    <w:rsid w:val="00D35881"/>
    <w:rsid w:val="00D55FF0"/>
    <w:rsid w:val="00D6574A"/>
    <w:rsid w:val="00D66DB1"/>
    <w:rsid w:val="00D9196D"/>
    <w:rsid w:val="00DA7DA5"/>
    <w:rsid w:val="00DB073B"/>
    <w:rsid w:val="00DB78F0"/>
    <w:rsid w:val="00DC1606"/>
    <w:rsid w:val="00DC17D5"/>
    <w:rsid w:val="00DC2E43"/>
    <w:rsid w:val="00DD095C"/>
    <w:rsid w:val="00DD1020"/>
    <w:rsid w:val="00DD1330"/>
    <w:rsid w:val="00DD7B97"/>
    <w:rsid w:val="00DE0B83"/>
    <w:rsid w:val="00DE1A81"/>
    <w:rsid w:val="00DE1C13"/>
    <w:rsid w:val="00DE4E10"/>
    <w:rsid w:val="00E02ABF"/>
    <w:rsid w:val="00E05359"/>
    <w:rsid w:val="00E12E9A"/>
    <w:rsid w:val="00E14995"/>
    <w:rsid w:val="00E179CD"/>
    <w:rsid w:val="00E23E8D"/>
    <w:rsid w:val="00E37F98"/>
    <w:rsid w:val="00E46559"/>
    <w:rsid w:val="00E55162"/>
    <w:rsid w:val="00E6670C"/>
    <w:rsid w:val="00E776E8"/>
    <w:rsid w:val="00E91827"/>
    <w:rsid w:val="00E92C1F"/>
    <w:rsid w:val="00E95D4B"/>
    <w:rsid w:val="00EA48C6"/>
    <w:rsid w:val="00EA7FFE"/>
    <w:rsid w:val="00EB199F"/>
    <w:rsid w:val="00EC23F7"/>
    <w:rsid w:val="00EC4BD8"/>
    <w:rsid w:val="00EC63EB"/>
    <w:rsid w:val="00EC6D9B"/>
    <w:rsid w:val="00ED412F"/>
    <w:rsid w:val="00EF2A6B"/>
    <w:rsid w:val="00EF36B2"/>
    <w:rsid w:val="00F201EC"/>
    <w:rsid w:val="00F208A9"/>
    <w:rsid w:val="00F41D75"/>
    <w:rsid w:val="00F51164"/>
    <w:rsid w:val="00F5139D"/>
    <w:rsid w:val="00F51695"/>
    <w:rsid w:val="00F63DAC"/>
    <w:rsid w:val="00F716CD"/>
    <w:rsid w:val="00F7454F"/>
    <w:rsid w:val="00F7494F"/>
    <w:rsid w:val="00F768C4"/>
    <w:rsid w:val="00F77988"/>
    <w:rsid w:val="00F77F48"/>
    <w:rsid w:val="00F869B6"/>
    <w:rsid w:val="00F9637E"/>
    <w:rsid w:val="00FB30F1"/>
    <w:rsid w:val="00FB425C"/>
    <w:rsid w:val="00FB53E7"/>
    <w:rsid w:val="00FE3B89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akstzRakstz">
    <w:name w:val="Rakstz. Rakstz."/>
    <w:basedOn w:val="Normal"/>
    <w:rsid w:val="00134822"/>
    <w:pPr>
      <w:spacing w:before="40"/>
    </w:pPr>
    <w:rPr>
      <w:lang w:val="pl-PL" w:eastAsia="pl-PL"/>
    </w:rPr>
  </w:style>
  <w:style w:type="paragraph" w:styleId="NormalWeb">
    <w:name w:val="Normal (Web)"/>
    <w:basedOn w:val="Normal"/>
    <w:uiPriority w:val="99"/>
    <w:rsid w:val="008D408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A48C6"/>
    <w:rPr>
      <w:b/>
      <w:bCs/>
    </w:rPr>
  </w:style>
  <w:style w:type="paragraph" w:styleId="BodyText">
    <w:name w:val="Body Text"/>
    <w:basedOn w:val="Normal"/>
    <w:rsid w:val="00BF2C31"/>
    <w:rPr>
      <w:sz w:val="28"/>
      <w:lang w:val="en-GB" w:eastAsia="en-US"/>
    </w:rPr>
  </w:style>
  <w:style w:type="paragraph" w:styleId="EnvelopeReturn">
    <w:name w:val="envelope return"/>
    <w:basedOn w:val="Normal"/>
    <w:unhideWhenUsed/>
    <w:rsid w:val="00A30604"/>
    <w:pPr>
      <w:keepLines/>
      <w:widowControl w:val="0"/>
      <w:spacing w:before="600"/>
    </w:pPr>
    <w:rPr>
      <w:sz w:val="26"/>
      <w:szCs w:val="20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akstzRakstz">
    <w:name w:val="Rakstz. Rakstz."/>
    <w:basedOn w:val="Normal"/>
    <w:rsid w:val="00134822"/>
    <w:pPr>
      <w:spacing w:before="40"/>
    </w:pPr>
    <w:rPr>
      <w:lang w:val="pl-PL" w:eastAsia="pl-PL"/>
    </w:rPr>
  </w:style>
  <w:style w:type="paragraph" w:styleId="NormalWeb">
    <w:name w:val="Normal (Web)"/>
    <w:basedOn w:val="Normal"/>
    <w:uiPriority w:val="99"/>
    <w:rsid w:val="008D408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A48C6"/>
    <w:rPr>
      <w:b/>
      <w:bCs/>
    </w:rPr>
  </w:style>
  <w:style w:type="paragraph" w:styleId="BodyText">
    <w:name w:val="Body Text"/>
    <w:basedOn w:val="Normal"/>
    <w:rsid w:val="00BF2C31"/>
    <w:rPr>
      <w:sz w:val="28"/>
      <w:lang w:val="en-GB" w:eastAsia="en-US"/>
    </w:rPr>
  </w:style>
  <w:style w:type="paragraph" w:styleId="EnvelopeReturn">
    <w:name w:val="envelope return"/>
    <w:basedOn w:val="Normal"/>
    <w:unhideWhenUsed/>
    <w:rsid w:val="00A30604"/>
    <w:pPr>
      <w:keepLines/>
      <w:widowControl w:val="0"/>
      <w:spacing w:before="600"/>
    </w:pPr>
    <w:rPr>
      <w:sz w:val="26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0B942-DDD4-478C-8756-4671317F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3107</Words>
  <Characters>1771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„Grozījums Ministru kabineta 2009. gada 7. oktobra rīkojumā Nr. 675 „Par pārstāvju norīkošanu Latvijas un Krievijas kopīgajā demarkācijas komisijā”” sākotnējās ietekmes novērtējuma ziņojums (anotācija)</vt:lpstr>
    </vt:vector>
  </TitlesOfParts>
  <Company>Ārlietu ministrija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„Grozījums Ministru kabineta 2009. gada 7. oktobra rīkojumā Nr. 675 „Par pārstāvju norīkošanu Latvijas un Krievijas kopīgajā demarkācijas komisijā”” sākotnējās ietekmes novērtējuma ziņojums (anotācija)</dc:title>
  <dc:subject>anotācija</dc:subject>
  <dc:creator>Sanita Ulmane</dc:creator>
  <dc:description>sanita.ulmane@mfa.gov.lv; 67016291</dc:description>
  <cp:lastModifiedBy>Kaspars Svilans</cp:lastModifiedBy>
  <cp:revision>8</cp:revision>
  <cp:lastPrinted>2009-12-22T17:09:00Z</cp:lastPrinted>
  <dcterms:created xsi:type="dcterms:W3CDTF">2014-01-28T11:24:00Z</dcterms:created>
  <dcterms:modified xsi:type="dcterms:W3CDTF">2014-02-17T14:44:00Z</dcterms:modified>
</cp:coreProperties>
</file>