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7" w:rsidRDefault="00387ED7" w:rsidP="00742B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373D4" w:rsidRPr="00286F1A" w:rsidRDefault="007373D4" w:rsidP="00742B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2"/>
      <w:bookmarkStart w:id="1" w:name="OLE_LINK13"/>
      <w:r w:rsidRPr="00286F1A">
        <w:rPr>
          <w:rFonts w:ascii="Times New Roman" w:hAnsi="Times New Roman"/>
          <w:b/>
          <w:sz w:val="24"/>
          <w:szCs w:val="24"/>
        </w:rPr>
        <w:t>Ministru kabineta noteikumu projekta</w:t>
      </w:r>
      <w:r w:rsidR="00742B39" w:rsidRPr="00286F1A">
        <w:rPr>
          <w:rFonts w:ascii="Times New Roman" w:hAnsi="Times New Roman"/>
          <w:b/>
          <w:sz w:val="24"/>
          <w:szCs w:val="24"/>
        </w:rPr>
        <w:t xml:space="preserve"> „Grozījums </w:t>
      </w:r>
      <w:r w:rsidR="00286F1A" w:rsidRPr="00286F1A">
        <w:rPr>
          <w:rFonts w:ascii="Times New Roman" w:hAnsi="Times New Roman"/>
          <w:b/>
          <w:sz w:val="24"/>
          <w:szCs w:val="24"/>
        </w:rPr>
        <w:t>Ministru kabineta 2003.gada 29.aprīļa noteikumos Nr.237„Ārlietu ministrijas nolikums”</w:t>
      </w:r>
      <w:r w:rsidR="00EC1CB3" w:rsidRPr="00286F1A">
        <w:rPr>
          <w:rFonts w:ascii="Times New Roman" w:hAnsi="Times New Roman"/>
          <w:b/>
          <w:sz w:val="24"/>
          <w:szCs w:val="24"/>
        </w:rPr>
        <w:t>”</w:t>
      </w:r>
      <w:r w:rsidR="00B1796D" w:rsidRPr="00286F1A">
        <w:rPr>
          <w:rFonts w:ascii="Times New Roman" w:hAnsi="Times New Roman"/>
          <w:b/>
          <w:sz w:val="24"/>
          <w:szCs w:val="24"/>
        </w:rPr>
        <w:t xml:space="preserve"> </w:t>
      </w:r>
      <w:r w:rsidRPr="00286F1A">
        <w:rPr>
          <w:rFonts w:ascii="Times New Roman" w:hAnsi="Times New Roman"/>
          <w:b/>
          <w:sz w:val="24"/>
          <w:szCs w:val="24"/>
        </w:rPr>
        <w:t>sākotnējās ietekmes novērtējuma ziņojums (anotācija)</w:t>
      </w:r>
    </w:p>
    <w:bookmarkEnd w:id="0"/>
    <w:bookmarkEnd w:id="1"/>
    <w:p w:rsidR="007373D4" w:rsidRDefault="007373D4" w:rsidP="007373D4">
      <w:pPr>
        <w:jc w:val="center"/>
        <w:rPr>
          <w:lang w:eastAsia="en-US"/>
        </w:rPr>
      </w:pPr>
      <w:r w:rsidRPr="00742B39">
        <w:rPr>
          <w:lang w:eastAsia="en-US"/>
        </w:rPr>
        <w:t> </w:t>
      </w:r>
    </w:p>
    <w:p w:rsidR="00387ED7" w:rsidRPr="00742B39" w:rsidRDefault="00387ED7" w:rsidP="007373D4">
      <w:pPr>
        <w:jc w:val="center"/>
        <w:rPr>
          <w:lang w:eastAsia="en-US"/>
        </w:rPr>
      </w:pPr>
    </w:p>
    <w:tbl>
      <w:tblPr>
        <w:tblW w:w="9782" w:type="dxa"/>
        <w:tblCellSpacing w:w="0" w:type="dxa"/>
        <w:tblInd w:w="-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4"/>
        <w:gridCol w:w="2533"/>
        <w:gridCol w:w="6865"/>
      </w:tblGrid>
      <w:tr w:rsidR="007373D4" w:rsidRPr="00742B39" w:rsidTr="00FA47B6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D4" w:rsidRPr="00742B39" w:rsidRDefault="007373D4" w:rsidP="00FA47B6">
            <w:pPr>
              <w:jc w:val="center"/>
              <w:rPr>
                <w:lang w:eastAsia="en-US"/>
              </w:rPr>
            </w:pPr>
            <w:r w:rsidRPr="00742B39">
              <w:rPr>
                <w:b/>
                <w:bCs/>
                <w:lang w:eastAsia="en-US"/>
              </w:rPr>
              <w:t> I. Tiesību akta projekta izstrādes nepieciešamība</w:t>
            </w:r>
          </w:p>
        </w:tc>
      </w:tr>
      <w:tr w:rsidR="007373D4" w:rsidRPr="00742B39" w:rsidTr="00FA47B6">
        <w:trPr>
          <w:trHeight w:val="630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7373D4" w:rsidP="00FA47B6">
            <w:pPr>
              <w:rPr>
                <w:lang w:eastAsia="en-US"/>
              </w:rPr>
            </w:pPr>
            <w:r w:rsidRPr="00B1796D">
              <w:rPr>
                <w:lang w:eastAsia="en-US"/>
              </w:rPr>
              <w:t>Pamatojums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96D" w:rsidRPr="00950E33" w:rsidRDefault="00950E33" w:rsidP="00DF1507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Grozījums </w:t>
            </w:r>
            <w:r w:rsidRPr="00950E33">
              <w:rPr>
                <w:rFonts w:ascii="Times New Roman" w:hAnsi="Times New Roman"/>
                <w:sz w:val="24"/>
                <w:szCs w:val="24"/>
              </w:rPr>
              <w:t>Ministru kabineta 2003.gada 29.aprīļa noteikumos Nr.237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E33">
              <w:rPr>
                <w:rFonts w:ascii="Times New Roman" w:hAnsi="Times New Roman"/>
                <w:sz w:val="24"/>
                <w:szCs w:val="24"/>
              </w:rPr>
              <w:t>„Ārlietu ministrijas nolikums”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izstrādās, lai Ārlietu ministrijas </w:t>
            </w:r>
            <w:r w:rsidR="00DF1507">
              <w:rPr>
                <w:rFonts w:ascii="Times New Roman" w:hAnsi="Times New Roman"/>
                <w:sz w:val="24"/>
                <w:szCs w:val="24"/>
              </w:rPr>
              <w:t>pārraudzībā atbilstoši statusa maiņai paredzētu valsts tiešās pārvaldes iestādi „Latvijas institūts”</w:t>
            </w:r>
          </w:p>
        </w:tc>
      </w:tr>
      <w:tr w:rsidR="007373D4" w:rsidRPr="00742B39" w:rsidTr="008A476D">
        <w:trPr>
          <w:trHeight w:val="155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Pašreizējā situācija un problēmas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DF1507" w:rsidP="00387ED7">
            <w:pPr>
              <w:pStyle w:val="naisf"/>
              <w:spacing w:before="60" w:after="60"/>
              <w:ind w:firstLine="0"/>
            </w:pPr>
            <w:r>
              <w:t>Vienlaicīgi ar valsts aģentūras „Latvijas institūts” likvidēšanu un tiešās pārvaldes iestādes „Latvijas institūts” izveidošanu nepieciešams izdarīt atbilstošu grozījumu Ārlietu ministrijas kā pārraudzības iestādes nolikumā.</w:t>
            </w:r>
          </w:p>
          <w:p w:rsidR="007373D4" w:rsidRPr="00B1796D" w:rsidRDefault="007373D4" w:rsidP="00387ED7">
            <w:pPr>
              <w:pStyle w:val="naisf"/>
              <w:spacing w:before="60" w:after="60"/>
              <w:ind w:firstLine="0"/>
            </w:pPr>
          </w:p>
        </w:tc>
      </w:tr>
      <w:tr w:rsidR="007373D4" w:rsidRPr="00742B39" w:rsidTr="00FA47B6">
        <w:trPr>
          <w:trHeight w:val="81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Saistītie politikas ietekmes novērtējumi un pētījumi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7373D4" w:rsidP="00FA47B6">
            <w:pPr>
              <w:rPr>
                <w:lang w:eastAsia="en-US"/>
              </w:rPr>
            </w:pPr>
            <w:r w:rsidRPr="00B1796D">
              <w:rPr>
                <w:lang w:eastAsia="en-US"/>
              </w:rPr>
              <w:t>Nav attiecināms.</w:t>
            </w:r>
          </w:p>
        </w:tc>
      </w:tr>
      <w:tr w:rsidR="007373D4" w:rsidRPr="00742B39" w:rsidTr="00FA47B6">
        <w:trPr>
          <w:trHeight w:val="121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Tiesiskā regulējuma mērķis un būtība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3B" w:rsidRPr="00B1796D" w:rsidRDefault="007373D4" w:rsidP="008C353B">
            <w:pPr>
              <w:pStyle w:val="naisf"/>
              <w:spacing w:before="60" w:after="60"/>
              <w:ind w:firstLine="0"/>
            </w:pPr>
            <w:r w:rsidRPr="00B1796D">
              <w:t xml:space="preserve">Projekts paredz izdarīt grozījumu </w:t>
            </w:r>
            <w:r w:rsidR="000202F2" w:rsidRPr="000202F2">
              <w:t>Ministru kabineta 2003.gada 29.aprīļa noteikumos Nr.237„Ārlietu ministrijas nolikums”</w:t>
            </w:r>
            <w:r w:rsidR="00DF1507">
              <w:t>, lai aktualizētu Latvijas institūta juridisko statusu.</w:t>
            </w:r>
          </w:p>
          <w:p w:rsidR="007373D4" w:rsidRPr="00B1796D" w:rsidRDefault="007373D4" w:rsidP="00FA47B6">
            <w:pPr>
              <w:pStyle w:val="naisf"/>
              <w:ind w:firstLine="0"/>
            </w:pPr>
          </w:p>
        </w:tc>
      </w:tr>
      <w:tr w:rsidR="007373D4" w:rsidRPr="00742B39" w:rsidTr="00FA47B6">
        <w:trPr>
          <w:trHeight w:val="476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Projekta izstrādē iesaistītās institūcijas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0202F2" w:rsidP="00FA47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Ārlietu ministrija.</w:t>
            </w:r>
          </w:p>
        </w:tc>
      </w:tr>
      <w:tr w:rsidR="007373D4" w:rsidRPr="00742B39" w:rsidTr="00FA47B6">
        <w:trPr>
          <w:trHeight w:val="1101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Iemesli, kādēļ netika nodrošināta sabiedrības līdzdalība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B1796D" w:rsidP="00FA47B6">
            <w:pPr>
              <w:ind w:left="70"/>
              <w:jc w:val="both"/>
              <w:rPr>
                <w:lang w:eastAsia="en-US"/>
              </w:rPr>
            </w:pPr>
            <w:r w:rsidRPr="00B1796D">
              <w:t>Sabiedrības līdzdalība netika nodrošināta, ņemot vērā grozījuma tehnisko raksturu.</w:t>
            </w:r>
          </w:p>
        </w:tc>
      </w:tr>
      <w:tr w:rsidR="007373D4" w:rsidRPr="00742B39" w:rsidTr="00FA47B6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Cita informācija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7373D4" w:rsidP="00FA47B6">
            <w:pPr>
              <w:rPr>
                <w:lang w:eastAsia="en-US"/>
              </w:rPr>
            </w:pPr>
            <w:r w:rsidRPr="00B1796D">
              <w:rPr>
                <w:lang w:eastAsia="en-US"/>
              </w:rPr>
              <w:t>Nav.</w:t>
            </w:r>
          </w:p>
        </w:tc>
      </w:tr>
    </w:tbl>
    <w:p w:rsidR="007373D4" w:rsidRPr="00292FAE" w:rsidRDefault="007373D4" w:rsidP="007373D4">
      <w:pPr>
        <w:ind w:firstLine="375"/>
        <w:jc w:val="both"/>
        <w:rPr>
          <w:lang w:eastAsia="en-US"/>
        </w:rPr>
      </w:pPr>
      <w:r w:rsidRPr="00292FAE">
        <w:rPr>
          <w:lang w:eastAsia="en-US"/>
        </w:rPr>
        <w:t> 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2"/>
      </w:tblGrid>
      <w:tr w:rsidR="007373D4" w:rsidRPr="00292FAE" w:rsidTr="00FA47B6">
        <w:trPr>
          <w:trHeight w:val="246"/>
          <w:tblCellSpacing w:w="0" w:type="dxa"/>
        </w:trPr>
        <w:tc>
          <w:tcPr>
            <w:tcW w:w="9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73D4" w:rsidRPr="00AF0D7C" w:rsidRDefault="007373D4" w:rsidP="00FA47B6">
            <w:pPr>
              <w:spacing w:before="75" w:after="75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Anotācijas </w:t>
            </w:r>
            <w:r w:rsidR="00FA47B6">
              <w:rPr>
                <w:b/>
              </w:rPr>
              <w:t xml:space="preserve">II; </w:t>
            </w:r>
            <w:r>
              <w:rPr>
                <w:b/>
              </w:rPr>
              <w:t>III; IV; V un VI sadaļa – Ministru kabineta noteikumu projekts šīs jomas neskar.</w:t>
            </w:r>
          </w:p>
        </w:tc>
      </w:tr>
    </w:tbl>
    <w:p w:rsidR="007373D4" w:rsidRPr="00292FAE" w:rsidRDefault="007373D4" w:rsidP="007373D4">
      <w:pPr>
        <w:rPr>
          <w:i/>
          <w:iCs/>
          <w:lang w:eastAsia="en-US"/>
        </w:rPr>
      </w:pPr>
    </w:p>
    <w:tbl>
      <w:tblPr>
        <w:tblW w:w="9782" w:type="dxa"/>
        <w:tblCellSpacing w:w="0" w:type="dxa"/>
        <w:tblInd w:w="-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84"/>
        <w:gridCol w:w="2536"/>
        <w:gridCol w:w="6862"/>
      </w:tblGrid>
      <w:tr w:rsidR="007373D4" w:rsidRPr="00292FAE" w:rsidTr="00FA47B6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pPr>
              <w:jc w:val="center"/>
            </w:pPr>
            <w:r w:rsidRPr="00292FAE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7373D4" w:rsidRPr="00292FAE" w:rsidTr="00FA47B6">
        <w:trPr>
          <w:trHeight w:val="427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izpildē iesaistītās institūcijas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0202F2" w:rsidP="00FA47B6">
            <w:pPr>
              <w:jc w:val="both"/>
            </w:pPr>
            <w:r>
              <w:t>Ārlietu</w:t>
            </w:r>
            <w:r w:rsidR="00F95327">
              <w:t xml:space="preserve"> ministrija</w:t>
            </w:r>
          </w:p>
        </w:tc>
      </w:tr>
      <w:tr w:rsidR="007373D4" w:rsidRPr="00292FAE" w:rsidTr="00FA47B6">
        <w:trPr>
          <w:trHeight w:val="46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izpildes ietekme uz pārvaldes funkcijām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8A476D" w:rsidP="000202F2">
            <w:pPr>
              <w:ind w:right="70"/>
              <w:jc w:val="both"/>
            </w:pPr>
            <w:r>
              <w:rPr>
                <w:lang w:eastAsia="en-US"/>
              </w:rPr>
              <w:t>Nav.</w:t>
            </w:r>
          </w:p>
        </w:tc>
      </w:tr>
      <w:tr w:rsidR="007373D4" w:rsidRPr="00292FAE" w:rsidTr="00FA47B6">
        <w:trPr>
          <w:trHeight w:val="725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izpildes ietekme uz pārvaldes institucionālo struktūru.</w:t>
            </w:r>
          </w:p>
          <w:p w:rsidR="007373D4" w:rsidRPr="00292FAE" w:rsidRDefault="007373D4" w:rsidP="00FA47B6">
            <w:r w:rsidRPr="00292FAE">
              <w:t>Jaunu institūciju izveide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pPr>
              <w:jc w:val="both"/>
            </w:pPr>
            <w:r>
              <w:t>Ministru kabineta noteikumu projekts</w:t>
            </w:r>
            <w:r w:rsidRPr="00292FAE">
              <w:t xml:space="preserve"> neparedz jaunu valsts pārvaldes institūciju izveidi. </w:t>
            </w:r>
          </w:p>
        </w:tc>
      </w:tr>
      <w:tr w:rsidR="007373D4" w:rsidRPr="00292FAE" w:rsidTr="00FA47B6">
        <w:trPr>
          <w:trHeight w:val="780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lastRenderedPageBreak/>
              <w:t> 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izpildes ietekme uz pārvaldes institucionālo struktūru.</w:t>
            </w:r>
          </w:p>
          <w:p w:rsidR="007373D4" w:rsidRPr="00292FAE" w:rsidRDefault="007373D4" w:rsidP="00FA47B6">
            <w:r w:rsidRPr="00292FAE">
              <w:t>Esošu institūciju likvidācija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pPr>
              <w:jc w:val="both"/>
            </w:pPr>
            <w:r>
              <w:t>Ministru kabineta noteikumu projekts</w:t>
            </w:r>
            <w:r w:rsidRPr="00292FAE">
              <w:t xml:space="preserve"> neparedz esošo valsts pārvaldes institūciju likvidāciju.</w:t>
            </w:r>
          </w:p>
        </w:tc>
      </w:tr>
      <w:tr w:rsidR="007373D4" w:rsidRPr="00292FAE" w:rsidTr="00FA47B6">
        <w:trPr>
          <w:trHeight w:val="70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izpildes ietekme uz pārvaldes institucionālo struktūru.</w:t>
            </w:r>
          </w:p>
          <w:p w:rsidR="007373D4" w:rsidRPr="00292FAE" w:rsidRDefault="007373D4" w:rsidP="00FA47B6">
            <w:r w:rsidRPr="00292FAE">
              <w:t>Esošu institūciju reorganizācija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pPr>
              <w:jc w:val="both"/>
            </w:pPr>
            <w:r>
              <w:t>Ministru kabineta noteikumu projekts</w:t>
            </w:r>
            <w:r w:rsidRPr="00292FAE">
              <w:t xml:space="preserve"> neparedz esošo valsts pārvaldes institūciju reorganizāciju.</w:t>
            </w:r>
          </w:p>
        </w:tc>
      </w:tr>
      <w:tr w:rsidR="007373D4" w:rsidRPr="00EE48CB" w:rsidTr="00FA47B6">
        <w:trPr>
          <w:trHeight w:val="289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Cita informācija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EE48CB" w:rsidRDefault="007373D4" w:rsidP="00FA47B6">
            <w:r w:rsidRPr="00292FAE">
              <w:t>Nav.</w:t>
            </w:r>
          </w:p>
        </w:tc>
      </w:tr>
    </w:tbl>
    <w:p w:rsidR="007373D4" w:rsidRDefault="007373D4" w:rsidP="007373D4">
      <w:pPr>
        <w:jc w:val="both"/>
        <w:rPr>
          <w:sz w:val="12"/>
          <w:szCs w:val="12"/>
        </w:rPr>
      </w:pPr>
    </w:p>
    <w:p w:rsidR="007373D4" w:rsidRDefault="007373D4" w:rsidP="007373D4">
      <w:pPr>
        <w:jc w:val="both"/>
        <w:rPr>
          <w:sz w:val="12"/>
          <w:szCs w:val="12"/>
        </w:rPr>
      </w:pPr>
    </w:p>
    <w:p w:rsidR="007373D4" w:rsidRDefault="007373D4" w:rsidP="007373D4">
      <w:pPr>
        <w:jc w:val="both"/>
        <w:rPr>
          <w:sz w:val="12"/>
          <w:szCs w:val="12"/>
        </w:rPr>
      </w:pPr>
    </w:p>
    <w:p w:rsidR="00387ED7" w:rsidRDefault="00387ED7" w:rsidP="007373D4">
      <w:pPr>
        <w:jc w:val="both"/>
        <w:rPr>
          <w:sz w:val="12"/>
          <w:szCs w:val="12"/>
        </w:rPr>
      </w:pPr>
    </w:p>
    <w:p w:rsidR="00387ED7" w:rsidRPr="003360E2" w:rsidRDefault="00387ED7" w:rsidP="007373D4">
      <w:pPr>
        <w:jc w:val="both"/>
        <w:rPr>
          <w:sz w:val="12"/>
          <w:szCs w:val="12"/>
        </w:rPr>
      </w:pPr>
    </w:p>
    <w:p w:rsidR="007373D4" w:rsidRDefault="00EC5922" w:rsidP="007373D4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  <w:r>
        <w:t>Ārlietu ministrs</w:t>
      </w:r>
      <w:r w:rsidR="007373D4" w:rsidRPr="00B55706">
        <w:tab/>
      </w:r>
      <w:r w:rsidR="007373D4" w:rsidRPr="00B55706">
        <w:tab/>
      </w:r>
      <w:r>
        <w:tab/>
        <w:t xml:space="preserve">E. </w:t>
      </w:r>
      <w:proofErr w:type="spellStart"/>
      <w:r>
        <w:t>Rinkēvičs</w:t>
      </w:r>
      <w:proofErr w:type="spellEnd"/>
    </w:p>
    <w:p w:rsidR="007373D4" w:rsidRDefault="007373D4" w:rsidP="007373D4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</w:p>
    <w:p w:rsidR="007373D4" w:rsidRDefault="007373D4" w:rsidP="007373D4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</w:p>
    <w:p w:rsidR="007373D4" w:rsidRDefault="007373D4" w:rsidP="00EC592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  <w:r w:rsidRPr="00B55706">
        <w:t>Vīza:</w:t>
      </w:r>
      <w:r w:rsidR="00EC5922">
        <w:t xml:space="preserve"> </w:t>
      </w:r>
      <w:r w:rsidRPr="00B55706">
        <w:t>valsts sekretār</w:t>
      </w:r>
      <w:r w:rsidR="00EC5922">
        <w:t>s</w:t>
      </w:r>
      <w:r w:rsidRPr="00B55706">
        <w:tab/>
      </w:r>
      <w:r w:rsidR="00EC5922">
        <w:tab/>
      </w:r>
      <w:r w:rsidR="00EC5922">
        <w:tab/>
        <w:t xml:space="preserve">A. </w:t>
      </w:r>
      <w:proofErr w:type="spellStart"/>
      <w:r w:rsidR="00EC5922">
        <w:t>Teikmanis</w:t>
      </w:r>
      <w:proofErr w:type="spellEnd"/>
    </w:p>
    <w:p w:rsidR="007373D4" w:rsidRDefault="007373D4" w:rsidP="00B31988">
      <w:pPr>
        <w:pStyle w:val="BodyTextIndent3"/>
        <w:spacing w:after="0"/>
        <w:ind w:left="0"/>
        <w:jc w:val="center"/>
        <w:rPr>
          <w:sz w:val="20"/>
          <w:szCs w:val="20"/>
          <w:lang w:val="lv-LV"/>
        </w:rPr>
      </w:pPr>
    </w:p>
    <w:p w:rsidR="007373D4" w:rsidRDefault="007373D4" w:rsidP="007373D4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7373D4" w:rsidRDefault="00B1796D" w:rsidP="00B1796D">
      <w:pPr>
        <w:pStyle w:val="BodyTextIndent3"/>
        <w:tabs>
          <w:tab w:val="left" w:pos="1999"/>
        </w:tabs>
        <w:spacing w:after="0"/>
        <w:ind w:left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7373D4" w:rsidRDefault="008A476D" w:rsidP="007373D4">
      <w:pPr>
        <w:pStyle w:val="BodyTextIndent3"/>
        <w:spacing w:after="0"/>
        <w:ind w:left="-142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21</w:t>
      </w:r>
      <w:r w:rsidR="000529B2">
        <w:rPr>
          <w:sz w:val="18"/>
          <w:szCs w:val="18"/>
          <w:lang w:val="lv-LV"/>
        </w:rPr>
        <w:t>.1</w:t>
      </w:r>
      <w:r w:rsidR="00433A24">
        <w:rPr>
          <w:sz w:val="18"/>
          <w:szCs w:val="18"/>
          <w:lang w:val="lv-LV"/>
        </w:rPr>
        <w:t>2</w:t>
      </w:r>
      <w:r w:rsidR="007373D4" w:rsidRPr="00326F88">
        <w:rPr>
          <w:sz w:val="18"/>
          <w:szCs w:val="18"/>
          <w:lang w:val="lv-LV"/>
        </w:rPr>
        <w:t xml:space="preserve">.2011. </w:t>
      </w:r>
    </w:p>
    <w:p w:rsidR="006239E6" w:rsidRPr="00326F88" w:rsidRDefault="008A476D" w:rsidP="007373D4">
      <w:pPr>
        <w:pStyle w:val="BodyTextIndent3"/>
        <w:spacing w:after="0"/>
        <w:ind w:left="-142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262</w:t>
      </w:r>
    </w:p>
    <w:p w:rsidR="007373D4" w:rsidRPr="00326F88" w:rsidRDefault="00EC5922" w:rsidP="007373D4">
      <w:pPr>
        <w:ind w:left="-14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A.Krastiņš</w:t>
      </w:r>
    </w:p>
    <w:p w:rsidR="00DC678F" w:rsidRDefault="00EC5922" w:rsidP="00AB6891">
      <w:pPr>
        <w:ind w:left="-142"/>
      </w:pPr>
      <w:r>
        <w:rPr>
          <w:sz w:val="18"/>
          <w:szCs w:val="18"/>
        </w:rPr>
        <w:t>67016403, andris.krastins@mfa.gov.lv</w:t>
      </w:r>
    </w:p>
    <w:sectPr w:rsidR="00DC678F" w:rsidSect="00FA47B6">
      <w:headerReference w:type="default" r:id="rId7"/>
      <w:footerReference w:type="default" r:id="rId8"/>
      <w:footerReference w:type="first" r:id="rId9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F2" w:rsidRDefault="000202F2" w:rsidP="00742B39">
      <w:r>
        <w:separator/>
      </w:r>
    </w:p>
  </w:endnote>
  <w:endnote w:type="continuationSeparator" w:id="0">
    <w:p w:rsidR="000202F2" w:rsidRDefault="000202F2" w:rsidP="0074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F2" w:rsidRPr="00742B39" w:rsidRDefault="000202F2" w:rsidP="000529B2">
    <w:pPr>
      <w:pStyle w:val="NoSpacing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AMAnot_</w:t>
    </w:r>
    <w:r w:rsidR="008A476D">
      <w:rPr>
        <w:rFonts w:ascii="Times New Roman" w:hAnsi="Times New Roman"/>
        <w:sz w:val="20"/>
        <w:szCs w:val="20"/>
      </w:rPr>
      <w:t>21</w:t>
    </w:r>
    <w:r w:rsidR="007E6F77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 xml:space="preserve">11; </w:t>
    </w:r>
    <w:r w:rsidRPr="00742B39">
      <w:rPr>
        <w:rFonts w:ascii="Times New Roman" w:hAnsi="Times New Roman"/>
        <w:sz w:val="20"/>
        <w:szCs w:val="20"/>
      </w:rPr>
      <w:t>Ministru kabineta noteikumu projekta „</w:t>
    </w:r>
    <w:r w:rsidRPr="00EC5922">
      <w:rPr>
        <w:rFonts w:ascii="Times New Roman" w:hAnsi="Times New Roman"/>
        <w:sz w:val="20"/>
        <w:szCs w:val="20"/>
      </w:rPr>
      <w:t>Grozījums Ministru kabineta 2003.gada 29.aprīļa noteikumos Nr.237„Ārlietu ministrijas nolikums”</w:t>
    </w:r>
    <w:r>
      <w:rPr>
        <w:rFonts w:ascii="Times New Roman" w:hAnsi="Times New Roman"/>
        <w:sz w:val="20"/>
        <w:szCs w:val="20"/>
      </w:rPr>
      <w:t xml:space="preserve"> </w:t>
    </w:r>
    <w:r w:rsidRPr="00742B39">
      <w:rPr>
        <w:rFonts w:ascii="Times New Roman" w:hAnsi="Times New Roman"/>
        <w:sz w:val="20"/>
        <w:szCs w:val="20"/>
      </w:rPr>
      <w:t>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33" w:rsidRPr="00742B39" w:rsidRDefault="00950E33" w:rsidP="00950E33">
    <w:pPr>
      <w:pStyle w:val="NoSpacing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AMAnot_</w:t>
    </w:r>
    <w:r w:rsidR="00CE584D">
      <w:rPr>
        <w:rFonts w:ascii="Times New Roman" w:hAnsi="Times New Roman"/>
        <w:sz w:val="20"/>
        <w:szCs w:val="20"/>
      </w:rPr>
      <w:t>21</w:t>
    </w:r>
    <w:r w:rsidR="007E6F77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>11</w:t>
    </w:r>
    <w:r w:rsidR="00CE584D">
      <w:rPr>
        <w:rFonts w:ascii="Times New Roman" w:hAnsi="Times New Roman"/>
        <w:sz w:val="20"/>
        <w:szCs w:val="20"/>
      </w:rPr>
      <w:t>_</w:t>
    </w:r>
    <w:r w:rsidR="00D03978">
      <w:rPr>
        <w:rFonts w:ascii="Times New Roman" w:hAnsi="Times New Roman"/>
        <w:sz w:val="20"/>
        <w:szCs w:val="20"/>
      </w:rPr>
      <w:t>AM</w:t>
    </w:r>
    <w:r>
      <w:rPr>
        <w:rFonts w:ascii="Times New Roman" w:hAnsi="Times New Roman"/>
        <w:sz w:val="20"/>
        <w:szCs w:val="20"/>
      </w:rPr>
      <w:t xml:space="preserve">; </w:t>
    </w:r>
    <w:r w:rsidRPr="00742B39">
      <w:rPr>
        <w:rFonts w:ascii="Times New Roman" w:hAnsi="Times New Roman"/>
        <w:sz w:val="20"/>
        <w:szCs w:val="20"/>
      </w:rPr>
      <w:t>Ministru kabineta noteikumu projekta „</w:t>
    </w:r>
    <w:r w:rsidRPr="00EC5922">
      <w:rPr>
        <w:rFonts w:ascii="Times New Roman" w:hAnsi="Times New Roman"/>
        <w:sz w:val="20"/>
        <w:szCs w:val="20"/>
      </w:rPr>
      <w:t>Grozījums Ministru kabineta 2003.gada 29.aprīļa noteikumos Nr.237„Ārlietu ministrijas nolikums”</w:t>
    </w:r>
    <w:r>
      <w:rPr>
        <w:rFonts w:ascii="Times New Roman" w:hAnsi="Times New Roman"/>
        <w:sz w:val="20"/>
        <w:szCs w:val="20"/>
      </w:rPr>
      <w:t xml:space="preserve"> </w:t>
    </w:r>
    <w:r w:rsidRPr="00742B39">
      <w:rPr>
        <w:rFonts w:ascii="Times New Roman" w:hAnsi="Times New Roman"/>
        <w:sz w:val="20"/>
        <w:szCs w:val="20"/>
      </w:rPr>
      <w:t>sākotnējās ietekmes novērtējuma ziņojums (anotācija)</w:t>
    </w:r>
  </w:p>
  <w:p w:rsidR="000202F2" w:rsidRPr="00950E33" w:rsidRDefault="000202F2" w:rsidP="00950E33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F2" w:rsidRDefault="000202F2" w:rsidP="00742B39">
      <w:r>
        <w:separator/>
      </w:r>
    </w:p>
  </w:footnote>
  <w:footnote w:type="continuationSeparator" w:id="0">
    <w:p w:rsidR="000202F2" w:rsidRDefault="000202F2" w:rsidP="00742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F2" w:rsidRDefault="00BB42EA">
    <w:pPr>
      <w:pStyle w:val="Header"/>
      <w:jc w:val="center"/>
    </w:pPr>
    <w:fldSimple w:instr=" PAGE   \* MERGEFORMAT ">
      <w:r w:rsidR="00D03978">
        <w:rPr>
          <w:noProof/>
        </w:rPr>
        <w:t>2</w:t>
      </w:r>
    </w:fldSimple>
  </w:p>
  <w:p w:rsidR="000202F2" w:rsidRDefault="000202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373D4"/>
    <w:rsid w:val="000202F2"/>
    <w:rsid w:val="000529B2"/>
    <w:rsid w:val="00090B74"/>
    <w:rsid w:val="000F758C"/>
    <w:rsid w:val="001545ED"/>
    <w:rsid w:val="00156FD2"/>
    <w:rsid w:val="00177AC7"/>
    <w:rsid w:val="00286F1A"/>
    <w:rsid w:val="002D4F12"/>
    <w:rsid w:val="003122E4"/>
    <w:rsid w:val="0034561E"/>
    <w:rsid w:val="003806E4"/>
    <w:rsid w:val="00387ED7"/>
    <w:rsid w:val="0041394E"/>
    <w:rsid w:val="00433A24"/>
    <w:rsid w:val="005C38C6"/>
    <w:rsid w:val="005D4DB4"/>
    <w:rsid w:val="006239E6"/>
    <w:rsid w:val="006A7413"/>
    <w:rsid w:val="006C2F67"/>
    <w:rsid w:val="007373D4"/>
    <w:rsid w:val="00742B39"/>
    <w:rsid w:val="0075052F"/>
    <w:rsid w:val="007820D6"/>
    <w:rsid w:val="007B1031"/>
    <w:rsid w:val="007E6F77"/>
    <w:rsid w:val="00857397"/>
    <w:rsid w:val="00862594"/>
    <w:rsid w:val="008A476D"/>
    <w:rsid w:val="008B04EA"/>
    <w:rsid w:val="008C353B"/>
    <w:rsid w:val="00950E33"/>
    <w:rsid w:val="00962577"/>
    <w:rsid w:val="00AA3129"/>
    <w:rsid w:val="00AA6BF6"/>
    <w:rsid w:val="00AB6891"/>
    <w:rsid w:val="00B1796D"/>
    <w:rsid w:val="00B31988"/>
    <w:rsid w:val="00B5627A"/>
    <w:rsid w:val="00BB42EA"/>
    <w:rsid w:val="00BC434A"/>
    <w:rsid w:val="00CE584D"/>
    <w:rsid w:val="00D03978"/>
    <w:rsid w:val="00D657DA"/>
    <w:rsid w:val="00DC678F"/>
    <w:rsid w:val="00DF1507"/>
    <w:rsid w:val="00E20744"/>
    <w:rsid w:val="00EC1CB3"/>
    <w:rsid w:val="00EC5922"/>
    <w:rsid w:val="00F95327"/>
    <w:rsid w:val="00FA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373D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nhideWhenUsed/>
    <w:rsid w:val="007373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737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7373D4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373D4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BodyTextIndent">
    <w:name w:val="Body Text Indent"/>
    <w:basedOn w:val="Normal"/>
    <w:link w:val="BodyTextIndentChar"/>
    <w:rsid w:val="007373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373D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42B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B1AC-6765-40AF-9DBF-B4792651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1505</Words>
  <Characters>858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MKAnot_121011_Nolik</vt:lpstr>
      <vt:lpstr>Ministru kabineta noteikumu projekta „Grozījums Ministru kabineta 2003.gada 29.aprīļa noteikumos Nr.241 "Kultūras ministrijas nolikums"sākotnējās ietekmes novērtējuma ziņojums (anotācija)</vt:lpstr>
    </vt:vector>
  </TitlesOfParts>
  <Company>LR Kultūras Ministrija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MKAnot_121011_Nolik</dc:title>
  <dc:subject>Ministru kabineta noteikumu projekta „Grozījums Ministru kabineta 2003.gada 29.aprīļa noteikumos Nr.241 "Kultūras ministrijas nolikums"” sākotnējās ietekmes novērtējuma ziņojums (anotācija)</dc:subject>
  <dc:creator>Juris Šumeiko </dc:creator>
  <dc:description>J.Šumeiko
67330269, juris.sumeiko@km.gov.lv</dc:description>
  <cp:lastModifiedBy>Andris Krastins</cp:lastModifiedBy>
  <cp:revision>24</cp:revision>
  <cp:lastPrinted>2011-09-27T05:37:00Z</cp:lastPrinted>
  <dcterms:created xsi:type="dcterms:W3CDTF">2011-11-04T07:18:00Z</dcterms:created>
  <dcterms:modified xsi:type="dcterms:W3CDTF">2011-12-27T09:07:00Z</dcterms:modified>
</cp:coreProperties>
</file>