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E" w:rsidRPr="006807AD" w:rsidRDefault="005A554E" w:rsidP="005A554E">
      <w:pPr>
        <w:jc w:val="right"/>
        <w:rPr>
          <w:lang w:val="lv-LV"/>
        </w:rPr>
      </w:pPr>
      <w:r w:rsidRPr="006807AD">
        <w:rPr>
          <w:lang w:val="lv-LV"/>
        </w:rPr>
        <w:t>Projekts</w:t>
      </w:r>
    </w:p>
    <w:p w:rsidR="005A554E" w:rsidRPr="006807AD" w:rsidRDefault="005A554E" w:rsidP="005A554E">
      <w:pPr>
        <w:jc w:val="center"/>
        <w:rPr>
          <w:lang w:val="lv-LV"/>
        </w:rPr>
      </w:pPr>
      <w:r w:rsidRPr="006807AD">
        <w:rPr>
          <w:lang w:val="lv-LV"/>
        </w:rPr>
        <w:t>LATVIJAS REPUBLIKAS MINISTRU KABINETS</w:t>
      </w:r>
    </w:p>
    <w:p w:rsidR="005A554E" w:rsidRPr="006807AD" w:rsidRDefault="005A554E" w:rsidP="005A554E">
      <w:pPr>
        <w:jc w:val="center"/>
        <w:rPr>
          <w:lang w:val="lv-LV"/>
        </w:rPr>
      </w:pPr>
    </w:p>
    <w:p w:rsidR="005A554E" w:rsidRPr="006807AD" w:rsidRDefault="005A554E" w:rsidP="005A554E">
      <w:pPr>
        <w:jc w:val="center"/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  <w:r w:rsidRPr="006807AD">
        <w:rPr>
          <w:lang w:val="lv-LV"/>
        </w:rPr>
        <w:t>201</w:t>
      </w:r>
      <w:r w:rsidR="00E84E79">
        <w:rPr>
          <w:lang w:val="lv-LV"/>
        </w:rPr>
        <w:t>2</w:t>
      </w:r>
      <w:r w:rsidRPr="006807AD">
        <w:rPr>
          <w:lang w:val="lv-LV"/>
        </w:rPr>
        <w:t xml:space="preserve">.gada ___. </w:t>
      </w:r>
      <w:r w:rsidR="00B41218" w:rsidRPr="006807AD">
        <w:rPr>
          <w:lang w:val="lv-LV"/>
        </w:rPr>
        <w:t>_____</w:t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smartTag w:uri="urn:schemas-microsoft-com:office:smarttags" w:element="stockticker">
        <w:smartTagPr>
          <w:attr w:name="text" w:val="Rīkojums"/>
          <w:attr w:name="baseform" w:val="Rīkojums"/>
          <w:attr w:name="id" w:val="-1"/>
        </w:smartTagPr>
        <w:r w:rsidRPr="006807AD">
          <w:rPr>
            <w:lang w:val="lv-LV"/>
          </w:rPr>
          <w:t>Rīkojums</w:t>
        </w:r>
      </w:smartTag>
      <w:r w:rsidRPr="006807AD">
        <w:rPr>
          <w:lang w:val="lv-LV"/>
        </w:rPr>
        <w:t xml:space="preserve"> Nr. ___ </w:t>
      </w:r>
    </w:p>
    <w:p w:rsidR="005A554E" w:rsidRPr="006807AD" w:rsidRDefault="005A554E" w:rsidP="005A554E">
      <w:pPr>
        <w:tabs>
          <w:tab w:val="left" w:pos="6480"/>
          <w:tab w:val="left" w:pos="8280"/>
        </w:tabs>
        <w:jc w:val="both"/>
        <w:rPr>
          <w:lang w:val="lv-LV"/>
        </w:rPr>
      </w:pPr>
      <w:r w:rsidRPr="006807AD">
        <w:rPr>
          <w:lang w:val="lv-LV"/>
        </w:rPr>
        <w:t xml:space="preserve">Rīgā </w:t>
      </w:r>
      <w:r w:rsidRPr="006807AD">
        <w:rPr>
          <w:lang w:val="lv-LV"/>
        </w:rPr>
        <w:tab/>
        <w:t>(prot. Nr. __</w:t>
      </w:r>
      <w:proofErr w:type="gramStart"/>
      <w:r w:rsidRPr="006807AD">
        <w:rPr>
          <w:lang w:val="lv-LV"/>
        </w:rPr>
        <w:t xml:space="preserve">   </w:t>
      </w:r>
      <w:proofErr w:type="gramEnd"/>
      <w:r w:rsidRPr="006807AD">
        <w:rPr>
          <w:lang w:val="lv-LV"/>
        </w:rPr>
        <w:t xml:space="preserve">___.§)                                                                                                          </w:t>
      </w:r>
    </w:p>
    <w:p w:rsidR="005A554E" w:rsidRPr="006807AD" w:rsidRDefault="005A554E" w:rsidP="005A554E">
      <w:pPr>
        <w:jc w:val="both"/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</w:p>
    <w:p w:rsidR="00034471" w:rsidRPr="006807AD" w:rsidRDefault="005A554E" w:rsidP="005A554E">
      <w:pPr>
        <w:pStyle w:val="Heading1"/>
        <w:rPr>
          <w:color w:val="000000"/>
          <w:sz w:val="24"/>
        </w:rPr>
      </w:pPr>
      <w:bookmarkStart w:id="0" w:name="OLE_LINK3"/>
      <w:bookmarkStart w:id="1" w:name="OLE_LINK4"/>
      <w:bookmarkStart w:id="2" w:name="OLE_LINK1"/>
      <w:r w:rsidRPr="006807AD">
        <w:rPr>
          <w:sz w:val="24"/>
        </w:rPr>
        <w:t>Par</w:t>
      </w:r>
      <w:r w:rsidR="000D67D9" w:rsidRPr="006807AD">
        <w:rPr>
          <w:color w:val="000000"/>
          <w:sz w:val="24"/>
        </w:rPr>
        <w:t xml:space="preserve"> finanšu līdzekļu piešķiršanu no valsts budžeta programmas </w:t>
      </w:r>
    </w:p>
    <w:p w:rsidR="00034471" w:rsidRPr="006807AD" w:rsidRDefault="00CE56DF" w:rsidP="005A554E">
      <w:pPr>
        <w:pStyle w:val="Heading1"/>
        <w:rPr>
          <w:color w:val="000000"/>
          <w:sz w:val="24"/>
        </w:rPr>
      </w:pPr>
      <w:r w:rsidRPr="00CE56DF">
        <w:rPr>
          <w:iCs/>
          <w:sz w:val="24"/>
        </w:rPr>
        <w:t>„Apropriācijas rezerve”</w:t>
      </w:r>
      <w:r w:rsidRPr="00CE56DF">
        <w:rPr>
          <w:color w:val="000000"/>
          <w:sz w:val="24"/>
        </w:rPr>
        <w:t xml:space="preserve"> un </w:t>
      </w:r>
      <w:r w:rsidR="000D67D9" w:rsidRPr="00CE56DF">
        <w:rPr>
          <w:color w:val="000000"/>
          <w:sz w:val="24"/>
        </w:rPr>
        <w:t>„Līdzekļi</w:t>
      </w:r>
      <w:r w:rsidR="000D67D9" w:rsidRPr="006807AD">
        <w:rPr>
          <w:color w:val="000000"/>
          <w:sz w:val="24"/>
        </w:rPr>
        <w:t xml:space="preserve"> neparedzētiem gadījumiem”</w:t>
      </w:r>
      <w:r w:rsidR="006578F8">
        <w:rPr>
          <w:color w:val="000000"/>
          <w:sz w:val="24"/>
        </w:rPr>
        <w:t xml:space="preserve"> </w:t>
      </w:r>
    </w:p>
    <w:bookmarkEnd w:id="0"/>
    <w:bookmarkEnd w:id="1"/>
    <w:bookmarkEnd w:id="2"/>
    <w:p w:rsidR="008C0A70" w:rsidRDefault="008C0A70" w:rsidP="009E1BF4">
      <w:pPr>
        <w:jc w:val="center"/>
        <w:rPr>
          <w:lang w:val="lv-LV"/>
        </w:rPr>
      </w:pPr>
    </w:p>
    <w:p w:rsidR="00BF1B88" w:rsidRPr="00513040" w:rsidRDefault="00BF1B88" w:rsidP="009E1BF4">
      <w:pPr>
        <w:jc w:val="center"/>
        <w:rPr>
          <w:lang w:val="lv-LV"/>
        </w:rPr>
      </w:pPr>
    </w:p>
    <w:p w:rsidR="00CE56DF" w:rsidRPr="00CE56DF" w:rsidRDefault="00513040" w:rsidP="00CE56DF">
      <w:pPr>
        <w:tabs>
          <w:tab w:val="left" w:pos="284"/>
        </w:tabs>
        <w:spacing w:after="120"/>
        <w:ind w:left="284"/>
        <w:jc w:val="both"/>
        <w:rPr>
          <w:iCs/>
          <w:lang w:val="lv-LV"/>
        </w:rPr>
      </w:pPr>
      <w:r w:rsidRPr="00CE56DF">
        <w:rPr>
          <w:lang w:val="lv-LV"/>
        </w:rPr>
        <w:t xml:space="preserve">1. </w:t>
      </w:r>
      <w:r w:rsidR="00CE56DF" w:rsidRPr="00CE56DF">
        <w:rPr>
          <w:iCs/>
          <w:lang w:val="lv-LV"/>
        </w:rPr>
        <w:t xml:space="preserve">Lai nodrošinātu Latvijas prezidentūras Eiropas Savienības Padomē sekretariāta (turpmāk – Sekretariāts) darbības </w:t>
      </w:r>
      <w:r w:rsidR="00CE56DF">
        <w:rPr>
          <w:iCs/>
          <w:lang w:val="lv-LV"/>
        </w:rPr>
        <w:t>nodrošināšanu,</w:t>
      </w:r>
      <w:r w:rsidR="00CE56DF" w:rsidRPr="00CE56DF">
        <w:rPr>
          <w:iCs/>
          <w:lang w:val="lv-LV"/>
        </w:rPr>
        <w:t xml:space="preserve"> pārdalīt finansējumu no 74. resora „Gadskārtējā valsts budžeta izpildes pr</w:t>
      </w:r>
      <w:r w:rsidR="00CE56DF">
        <w:rPr>
          <w:iCs/>
          <w:lang w:val="lv-LV"/>
        </w:rPr>
        <w:t xml:space="preserve">ocesā pārdalāmais finansējums” </w:t>
      </w:r>
      <w:r w:rsidR="00CE56DF" w:rsidRPr="00CE56DF">
        <w:rPr>
          <w:iCs/>
          <w:lang w:val="lv-LV"/>
        </w:rPr>
        <w:t xml:space="preserve">budžeta programmas 01.00.00 „Apropriācijas rezerve” </w:t>
      </w:r>
      <w:r w:rsidR="00AF3DBF">
        <w:rPr>
          <w:iCs/>
          <w:lang w:val="lv-LV"/>
        </w:rPr>
        <w:t>202 594</w:t>
      </w:r>
      <w:r w:rsidR="00CE56DF" w:rsidRPr="00CE56DF">
        <w:rPr>
          <w:iCs/>
          <w:lang w:val="lv-LV"/>
        </w:rPr>
        <w:t xml:space="preserve"> latu apmērā</w:t>
      </w:r>
      <w:r w:rsidR="00CE56DF">
        <w:rPr>
          <w:iCs/>
          <w:lang w:val="lv-LV"/>
        </w:rPr>
        <w:t xml:space="preserve"> </w:t>
      </w:r>
      <w:r w:rsidR="00CE56DF" w:rsidRPr="00CE56DF">
        <w:rPr>
          <w:iCs/>
          <w:lang w:val="lv-LV"/>
        </w:rPr>
        <w:t xml:space="preserve">Ārlietu ministrijas budžeta apakšprogrammai 08.01.00 „Latvijas prezidentūras Eiropas Savienības Padomē sagatavošanas sekretariāta darbības nodrošināšana”. </w:t>
      </w:r>
    </w:p>
    <w:p w:rsidR="00CE56DF" w:rsidRPr="00CE56DF" w:rsidRDefault="00CE56DF" w:rsidP="00CE56DF">
      <w:pPr>
        <w:tabs>
          <w:tab w:val="left" w:pos="284"/>
        </w:tabs>
        <w:spacing w:after="120"/>
        <w:ind w:left="284"/>
        <w:jc w:val="both"/>
        <w:rPr>
          <w:iCs/>
          <w:lang w:val="lv-LV"/>
        </w:rPr>
      </w:pPr>
      <w:r w:rsidRPr="00CE56DF">
        <w:rPr>
          <w:iCs/>
          <w:lang w:val="lv-LV"/>
        </w:rPr>
        <w:t>2. Ārlietu ministrijai normatīvajos aktos noteiktajā kārtībā sagatavot un iesniegt Finanšu ministrijā pieprasījumu valsts budžeta apropriācijas pārdalei atbilstoši šā rīkojuma 1.punktam.</w:t>
      </w:r>
    </w:p>
    <w:p w:rsidR="00CE56DF" w:rsidRPr="00CE56DF" w:rsidRDefault="00CE56DF" w:rsidP="00CE56DF">
      <w:pPr>
        <w:tabs>
          <w:tab w:val="left" w:pos="284"/>
        </w:tabs>
        <w:spacing w:after="120"/>
        <w:ind w:left="284"/>
        <w:jc w:val="both"/>
        <w:rPr>
          <w:iCs/>
          <w:lang w:val="lv-LV"/>
        </w:rPr>
      </w:pPr>
      <w:r w:rsidRPr="00CE56DF">
        <w:rPr>
          <w:iCs/>
          <w:lang w:val="lv-LV"/>
        </w:rPr>
        <w:t>3. Finanšu ministram normatīvajos aktos noteiktajā kārtībā informēt Saeimu par apropriācijas pārdali starp 74.resoru un Ārlietu ministriju un pēc Saeimas atļaujas saņemšanas veikt apropriācijas pārdali.</w:t>
      </w:r>
    </w:p>
    <w:p w:rsidR="00E84E79" w:rsidRPr="00CE56DF" w:rsidRDefault="00CE56DF" w:rsidP="00CE56DF">
      <w:pPr>
        <w:tabs>
          <w:tab w:val="left" w:pos="284"/>
        </w:tabs>
        <w:spacing w:after="120"/>
        <w:ind w:left="284"/>
        <w:jc w:val="both"/>
        <w:rPr>
          <w:iCs/>
          <w:lang w:val="lv-LV"/>
        </w:rPr>
      </w:pPr>
      <w:r w:rsidRPr="00CE56DF">
        <w:rPr>
          <w:iCs/>
          <w:lang w:val="lv-LV"/>
        </w:rPr>
        <w:t xml:space="preserve">4. </w:t>
      </w:r>
      <w:r w:rsidR="00513040" w:rsidRPr="00CE56DF">
        <w:rPr>
          <w:lang w:val="lv-LV"/>
        </w:rPr>
        <w:t xml:space="preserve">Finanšu ministrijai no valsts budžeta programmas 02.00.00 "Līdzekļi neparedzētiem gadījumiem", lai </w:t>
      </w:r>
      <w:r w:rsidR="00513040" w:rsidRPr="00CE56DF">
        <w:rPr>
          <w:iCs/>
          <w:lang w:val="lv-LV"/>
        </w:rPr>
        <w:t>nodrošinātu Latvijas prezidentūras Eiropas Savienības Padomē 2015.gadā sagatavošanos</w:t>
      </w:r>
      <w:r w:rsidR="008427D2" w:rsidRPr="00CE56DF">
        <w:rPr>
          <w:iCs/>
          <w:lang w:val="lv-LV"/>
        </w:rPr>
        <w:t xml:space="preserve"> un Latvijas prezidentūras Eiropas Savienības Padomē sekretariāta darbības uzsākšanu</w:t>
      </w:r>
      <w:r w:rsidR="00907A11" w:rsidRPr="00CE56DF">
        <w:rPr>
          <w:iCs/>
          <w:lang w:val="lv-LV"/>
        </w:rPr>
        <w:t xml:space="preserve"> un </w:t>
      </w:r>
      <w:r w:rsidR="005E4CA4" w:rsidRPr="00CE56DF">
        <w:rPr>
          <w:iCs/>
          <w:lang w:val="lv-LV"/>
        </w:rPr>
        <w:t>tās</w:t>
      </w:r>
      <w:r w:rsidR="00907A11" w:rsidRPr="00CE56DF">
        <w:rPr>
          <w:iCs/>
          <w:lang w:val="lv-LV"/>
        </w:rPr>
        <w:t xml:space="preserve"> pilnvērtīgu nodrošināšanu</w:t>
      </w:r>
      <w:r w:rsidR="00513040" w:rsidRPr="00CE56DF">
        <w:rPr>
          <w:iCs/>
          <w:lang w:val="lv-LV"/>
        </w:rPr>
        <w:t>,</w:t>
      </w:r>
      <w:r w:rsidR="00513040" w:rsidRPr="00CE56DF">
        <w:rPr>
          <w:b/>
          <w:iCs/>
          <w:lang w:val="lv-LV"/>
        </w:rPr>
        <w:t xml:space="preserve"> </w:t>
      </w:r>
      <w:r w:rsidR="00513040" w:rsidRPr="00CE56DF">
        <w:rPr>
          <w:lang w:val="lv-LV"/>
        </w:rPr>
        <w:t>piešķirt</w:t>
      </w:r>
      <w:r w:rsidRPr="00CE56DF">
        <w:rPr>
          <w:lang w:val="lv-LV"/>
        </w:rPr>
        <w:t xml:space="preserve"> </w:t>
      </w:r>
      <w:r w:rsidR="00513040" w:rsidRPr="00CE56DF">
        <w:rPr>
          <w:lang w:val="lv-LV"/>
        </w:rPr>
        <w:t xml:space="preserve">Ārlietu ministrijai </w:t>
      </w:r>
      <w:r w:rsidR="0091184F" w:rsidRPr="00CE56DF">
        <w:rPr>
          <w:iCs/>
          <w:lang w:val="lv-LV"/>
        </w:rPr>
        <w:t>105 480</w:t>
      </w:r>
      <w:r w:rsidR="00513040" w:rsidRPr="00CE56DF">
        <w:rPr>
          <w:iCs/>
          <w:lang w:val="lv-LV"/>
        </w:rPr>
        <w:t xml:space="preserve"> latus Latvijas Republikas Pastāvīgās pārstāvniecības Eiropas Savienībā darbības nodrošināšanai, palielinot kapacitāti no 2012.gada 1.jūnija, darbā pieņemot trīs papildus darbiniekus.</w:t>
      </w:r>
    </w:p>
    <w:p w:rsidR="005A554E" w:rsidRPr="006807AD" w:rsidRDefault="009E1BF4" w:rsidP="009E1BF4">
      <w:pPr>
        <w:jc w:val="center"/>
        <w:rPr>
          <w:lang w:val="lv-LV"/>
        </w:rPr>
      </w:pPr>
      <w:r w:rsidRPr="006807AD">
        <w:rPr>
          <w:lang w:val="lv-LV"/>
        </w:rPr>
        <w:t xml:space="preserve"> </w:t>
      </w:r>
    </w:p>
    <w:p w:rsidR="005A554E" w:rsidRPr="00CE56DF" w:rsidRDefault="005A554E" w:rsidP="00CE56DF">
      <w:pPr>
        <w:ind w:firstLine="284"/>
        <w:rPr>
          <w:lang w:val="lv-LV"/>
        </w:rPr>
      </w:pPr>
      <w:r w:rsidRPr="00CE56DF">
        <w:rPr>
          <w:lang w:val="lv-LV"/>
        </w:rPr>
        <w:t xml:space="preserve">Ministru prezidents </w:t>
      </w:r>
      <w:r w:rsidR="00CE56DF" w:rsidRP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Pr="00CE56DF">
        <w:rPr>
          <w:lang w:val="lv-LV"/>
        </w:rPr>
        <w:t>V.Dombrovskis</w:t>
      </w:r>
    </w:p>
    <w:p w:rsidR="00330A78" w:rsidRDefault="00330A78" w:rsidP="00CE56DF">
      <w:pPr>
        <w:rPr>
          <w:lang w:val="lv-LV"/>
        </w:rPr>
      </w:pPr>
    </w:p>
    <w:p w:rsidR="00CE56DF" w:rsidRPr="006807AD" w:rsidRDefault="00CE56DF" w:rsidP="00CE56DF">
      <w:pPr>
        <w:rPr>
          <w:lang w:val="lv-LV"/>
        </w:rPr>
      </w:pPr>
    </w:p>
    <w:p w:rsidR="005A554E" w:rsidRPr="006807AD" w:rsidRDefault="00034471" w:rsidP="00CE56DF">
      <w:pPr>
        <w:ind w:firstLine="284"/>
        <w:rPr>
          <w:lang w:val="lv-LV"/>
        </w:rPr>
      </w:pPr>
      <w:r w:rsidRPr="006807AD">
        <w:rPr>
          <w:lang w:val="lv-LV"/>
        </w:rPr>
        <w:t>Ārlietu ministrs</w:t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proofErr w:type="spellStart"/>
      <w:r w:rsidR="00E84E79">
        <w:rPr>
          <w:lang w:val="lv-LV"/>
        </w:rPr>
        <w:t>E.Rinkēvičs</w:t>
      </w:r>
      <w:proofErr w:type="spellEnd"/>
    </w:p>
    <w:p w:rsidR="005A554E" w:rsidRDefault="005A554E" w:rsidP="00CE56DF">
      <w:pPr>
        <w:rPr>
          <w:lang w:val="lv-LV"/>
        </w:rPr>
      </w:pPr>
    </w:p>
    <w:p w:rsidR="00CE56DF" w:rsidRPr="006807AD" w:rsidRDefault="00CE56DF" w:rsidP="00CE56DF">
      <w:pPr>
        <w:rPr>
          <w:lang w:val="lv-LV"/>
        </w:rPr>
      </w:pPr>
    </w:p>
    <w:p w:rsidR="005A554E" w:rsidRDefault="00684CDF" w:rsidP="00CE56DF">
      <w:pPr>
        <w:ind w:firstLine="284"/>
        <w:rPr>
          <w:lang w:val="lv-LV"/>
        </w:rPr>
      </w:pPr>
      <w:r>
        <w:rPr>
          <w:lang w:val="lv-LV"/>
        </w:rPr>
        <w:t>Iesniedzējs:</w:t>
      </w:r>
      <w:r w:rsidR="00CE56DF">
        <w:rPr>
          <w:lang w:val="lv-LV"/>
        </w:rPr>
        <w:t xml:space="preserve"> </w:t>
      </w:r>
      <w:r w:rsidR="00CA53D4">
        <w:rPr>
          <w:lang w:val="lv-LV"/>
        </w:rPr>
        <w:t>ā</w:t>
      </w:r>
      <w:r w:rsidR="00034471" w:rsidRPr="006807AD">
        <w:rPr>
          <w:lang w:val="lv-LV"/>
        </w:rPr>
        <w:t>rlietu ministr</w:t>
      </w:r>
      <w:r w:rsidR="00CE56DF">
        <w:rPr>
          <w:lang w:val="lv-LV"/>
        </w:rPr>
        <w:t>s</w:t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proofErr w:type="spellStart"/>
      <w:r w:rsidR="00CE56DF">
        <w:rPr>
          <w:lang w:val="lv-LV"/>
        </w:rPr>
        <w:t>E.Rinkēvicš</w:t>
      </w:r>
      <w:proofErr w:type="spellEnd"/>
    </w:p>
    <w:p w:rsidR="00CE56DF" w:rsidRDefault="00CE56DF" w:rsidP="00CE56DF">
      <w:pPr>
        <w:ind w:firstLine="284"/>
        <w:rPr>
          <w:lang w:val="lv-LV"/>
        </w:rPr>
      </w:pPr>
    </w:p>
    <w:p w:rsidR="00CE56DF" w:rsidRDefault="00CE56DF" w:rsidP="00CE56DF">
      <w:pPr>
        <w:ind w:firstLine="284"/>
        <w:rPr>
          <w:lang w:val="lv-LV"/>
        </w:rPr>
      </w:pPr>
    </w:p>
    <w:p w:rsidR="005A554E" w:rsidRDefault="005A554E" w:rsidP="00CE56DF">
      <w:pPr>
        <w:ind w:firstLine="284"/>
        <w:rPr>
          <w:lang w:val="lv-LV"/>
        </w:rPr>
      </w:pPr>
      <w:r w:rsidRPr="006807AD">
        <w:rPr>
          <w:lang w:val="lv-LV"/>
        </w:rPr>
        <w:t xml:space="preserve">Vīza: </w:t>
      </w:r>
      <w:r w:rsidR="009D7AF4">
        <w:rPr>
          <w:lang w:val="lv-LV"/>
        </w:rPr>
        <w:t>v</w:t>
      </w:r>
      <w:r w:rsidRPr="006807AD">
        <w:rPr>
          <w:lang w:val="lv-LV"/>
        </w:rPr>
        <w:t xml:space="preserve">alsts </w:t>
      </w:r>
      <w:r w:rsidR="00A4754E">
        <w:rPr>
          <w:lang w:val="lv-LV"/>
        </w:rPr>
        <w:t>sekretār</w:t>
      </w:r>
      <w:r w:rsidR="00E84E79">
        <w:rPr>
          <w:lang w:val="lv-LV"/>
        </w:rPr>
        <w:t>s</w:t>
      </w:r>
      <w:r w:rsidRPr="006807AD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r w:rsidR="00CE56DF">
        <w:rPr>
          <w:lang w:val="lv-LV"/>
        </w:rPr>
        <w:tab/>
      </w:r>
      <w:proofErr w:type="spellStart"/>
      <w:r w:rsidR="00E84E79">
        <w:rPr>
          <w:lang w:val="lv-LV"/>
        </w:rPr>
        <w:t>A.Teikmanis</w:t>
      </w:r>
      <w:proofErr w:type="spellEnd"/>
    </w:p>
    <w:p w:rsid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</w:p>
    <w:p w:rsid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</w:p>
    <w:p w:rsid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</w:p>
    <w:p w:rsid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</w:p>
    <w:p w:rsid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</w:p>
    <w:p w:rsidR="00381322" w:rsidRP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  <w:r>
        <w:rPr>
          <w:sz w:val="16"/>
          <w:szCs w:val="16"/>
        </w:rPr>
        <w:t>02</w:t>
      </w:r>
      <w:r w:rsidR="00381322" w:rsidRPr="00CE56DF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381322" w:rsidRPr="00CE56DF">
        <w:rPr>
          <w:sz w:val="16"/>
          <w:szCs w:val="16"/>
        </w:rPr>
        <w:t>.2012.</w:t>
      </w:r>
    </w:p>
    <w:p w:rsidR="00381322" w:rsidRPr="00CE56DF" w:rsidRDefault="00CE56DF" w:rsidP="00381322">
      <w:pPr>
        <w:pStyle w:val="BodyText"/>
        <w:tabs>
          <w:tab w:val="left" w:pos="7740"/>
        </w:tabs>
        <w:rPr>
          <w:sz w:val="16"/>
          <w:szCs w:val="16"/>
        </w:rPr>
      </w:pPr>
      <w:r>
        <w:rPr>
          <w:sz w:val="16"/>
          <w:szCs w:val="16"/>
        </w:rPr>
        <w:t>20</w:t>
      </w:r>
      <w:r w:rsidR="00AF3DBF">
        <w:rPr>
          <w:sz w:val="16"/>
          <w:szCs w:val="16"/>
        </w:rPr>
        <w:t>2</w:t>
      </w:r>
    </w:p>
    <w:p w:rsidR="00381322" w:rsidRPr="00CE56DF" w:rsidRDefault="00381322" w:rsidP="00381322">
      <w:pPr>
        <w:pStyle w:val="BodyText"/>
        <w:tabs>
          <w:tab w:val="left" w:pos="7740"/>
        </w:tabs>
        <w:rPr>
          <w:sz w:val="16"/>
          <w:szCs w:val="16"/>
        </w:rPr>
      </w:pPr>
      <w:r w:rsidRPr="00CE56DF">
        <w:rPr>
          <w:sz w:val="16"/>
          <w:szCs w:val="16"/>
        </w:rPr>
        <w:t>A.Krastiņš</w:t>
      </w:r>
    </w:p>
    <w:p w:rsidR="00381322" w:rsidRPr="00CE56DF" w:rsidRDefault="00381322" w:rsidP="00381322">
      <w:pPr>
        <w:pStyle w:val="BodyText"/>
        <w:tabs>
          <w:tab w:val="left" w:pos="7740"/>
        </w:tabs>
        <w:rPr>
          <w:sz w:val="16"/>
          <w:szCs w:val="16"/>
        </w:rPr>
      </w:pPr>
      <w:r w:rsidRPr="00CE56DF">
        <w:rPr>
          <w:sz w:val="16"/>
          <w:szCs w:val="16"/>
        </w:rPr>
        <w:t>andris.krastins@mfa.gov.lv</w:t>
      </w:r>
    </w:p>
    <w:p w:rsidR="00381322" w:rsidRPr="00CE56DF" w:rsidRDefault="00381322" w:rsidP="00381322">
      <w:pPr>
        <w:pStyle w:val="BodyText"/>
        <w:tabs>
          <w:tab w:val="left" w:pos="7740"/>
        </w:tabs>
        <w:rPr>
          <w:sz w:val="16"/>
          <w:szCs w:val="16"/>
        </w:rPr>
      </w:pPr>
      <w:r w:rsidRPr="00CE56DF">
        <w:rPr>
          <w:sz w:val="16"/>
          <w:szCs w:val="16"/>
        </w:rPr>
        <w:t xml:space="preserve">67016403, </w:t>
      </w:r>
      <w:smartTag w:uri="urn:schemas-microsoft-com:office:smarttags" w:element="stockticker">
        <w:smartTagPr>
          <w:attr w:name="id" w:val="-1"/>
          <w:attr w:name="baseform" w:val="fakss"/>
          <w:attr w:name="text" w:val="fakss"/>
        </w:smartTagPr>
        <w:r w:rsidRPr="00CE56DF">
          <w:rPr>
            <w:sz w:val="16"/>
            <w:szCs w:val="16"/>
          </w:rPr>
          <w:t>fakss</w:t>
        </w:r>
      </w:smartTag>
      <w:r w:rsidRPr="00CE56DF">
        <w:rPr>
          <w:sz w:val="16"/>
          <w:szCs w:val="16"/>
        </w:rPr>
        <w:t>: 67284509</w:t>
      </w:r>
    </w:p>
    <w:sectPr w:rsidR="00381322" w:rsidRPr="00CE56DF" w:rsidSect="00781103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26" w:rsidRDefault="00DC4F26">
      <w:r>
        <w:separator/>
      </w:r>
    </w:p>
  </w:endnote>
  <w:endnote w:type="continuationSeparator" w:id="0">
    <w:p w:rsidR="00DC4F26" w:rsidRDefault="00DC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8" w:rsidRPr="006578F8" w:rsidRDefault="006807AD" w:rsidP="006578F8">
    <w:pPr>
      <w:pStyle w:val="Heading1"/>
      <w:jc w:val="both"/>
      <w:rPr>
        <w:b w:val="0"/>
        <w:color w:val="000000"/>
        <w:sz w:val="18"/>
        <w:szCs w:val="18"/>
      </w:rPr>
    </w:pPr>
    <w:r w:rsidRPr="006578F8">
      <w:rPr>
        <w:b w:val="0"/>
        <w:sz w:val="18"/>
        <w:szCs w:val="18"/>
      </w:rPr>
      <w:t>AMRik_</w:t>
    </w:r>
    <w:r w:rsidR="00CE56DF">
      <w:rPr>
        <w:b w:val="0"/>
        <w:sz w:val="18"/>
        <w:szCs w:val="18"/>
      </w:rPr>
      <w:t>02</w:t>
    </w:r>
    <w:r w:rsidR="00E84E79">
      <w:rPr>
        <w:b w:val="0"/>
        <w:sz w:val="18"/>
        <w:szCs w:val="18"/>
      </w:rPr>
      <w:t>0</w:t>
    </w:r>
    <w:r w:rsidR="00CE56DF">
      <w:rPr>
        <w:b w:val="0"/>
        <w:sz w:val="18"/>
        <w:szCs w:val="18"/>
      </w:rPr>
      <w:t>4</w:t>
    </w:r>
    <w:r w:rsidR="00E84E79">
      <w:rPr>
        <w:b w:val="0"/>
        <w:sz w:val="18"/>
        <w:szCs w:val="18"/>
      </w:rPr>
      <w:t>12_ESPS</w:t>
    </w:r>
    <w:r w:rsidRPr="006578F8">
      <w:rPr>
        <w:b w:val="0"/>
        <w:sz w:val="18"/>
        <w:szCs w:val="18"/>
      </w:rPr>
      <w:t>;</w:t>
    </w:r>
    <w:r w:rsidR="00A4754E">
      <w:rPr>
        <w:b w:val="0"/>
        <w:sz w:val="18"/>
        <w:szCs w:val="18"/>
      </w:rPr>
      <w:t xml:space="preserve"> Ministru kabineta rīkojuma projekts </w:t>
    </w:r>
    <w:r w:rsidR="005F3888">
      <w:rPr>
        <w:b w:val="0"/>
        <w:sz w:val="18"/>
        <w:szCs w:val="18"/>
      </w:rPr>
      <w:t>„</w:t>
    </w:r>
    <w:r w:rsidR="00CE56DF" w:rsidRPr="00CE56DF">
      <w:rPr>
        <w:b w:val="0"/>
        <w:sz w:val="18"/>
        <w:szCs w:val="18"/>
      </w:rPr>
      <w:t>Par finanšu līdzekļu piešķiršanu no valsts budžeta programmas</w:t>
    </w:r>
    <w:r w:rsidR="00CE56DF">
      <w:rPr>
        <w:b w:val="0"/>
        <w:sz w:val="18"/>
        <w:szCs w:val="18"/>
      </w:rPr>
      <w:t xml:space="preserve"> </w:t>
    </w:r>
    <w:r w:rsidR="00CE56DF" w:rsidRPr="00CE56DF">
      <w:rPr>
        <w:b w:val="0"/>
        <w:sz w:val="18"/>
        <w:szCs w:val="18"/>
      </w:rPr>
      <w:t>„Apropriācijas rezerve” un „Līdzekļi neparedzētiem gadījumiem”</w:t>
    </w:r>
    <w:r w:rsidR="00A4754E">
      <w:rPr>
        <w:b w:val="0"/>
        <w:color w:val="000000"/>
        <w:sz w:val="18"/>
        <w:szCs w:val="18"/>
      </w:rPr>
      <w:t>”</w:t>
    </w:r>
    <w:r w:rsidR="006578F8" w:rsidRPr="006578F8">
      <w:rPr>
        <w:b w:val="0"/>
        <w:color w:val="000000"/>
        <w:sz w:val="18"/>
        <w:szCs w:val="18"/>
      </w:rPr>
      <w:t xml:space="preserve"> </w:t>
    </w:r>
  </w:p>
  <w:p w:rsidR="006807AD" w:rsidRPr="006578F8" w:rsidRDefault="006807AD" w:rsidP="006578F8">
    <w:pPr>
      <w:pStyle w:val="Footer"/>
      <w:jc w:val="both"/>
      <w:rPr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26" w:rsidRDefault="00DC4F26">
      <w:r>
        <w:separator/>
      </w:r>
    </w:p>
  </w:footnote>
  <w:footnote w:type="continuationSeparator" w:id="0">
    <w:p w:rsidR="00DC4F26" w:rsidRDefault="00DC4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212"/>
    <w:multiLevelType w:val="hybridMultilevel"/>
    <w:tmpl w:val="4C70B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230D"/>
    <w:multiLevelType w:val="multilevel"/>
    <w:tmpl w:val="AEDA5EF4"/>
    <w:lvl w:ilvl="0">
      <w:start w:val="3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C96123"/>
    <w:multiLevelType w:val="multilevel"/>
    <w:tmpl w:val="8434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612926EB"/>
    <w:multiLevelType w:val="hybridMultilevel"/>
    <w:tmpl w:val="95B0F5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4E"/>
    <w:rsid w:val="000044DA"/>
    <w:rsid w:val="000059AE"/>
    <w:rsid w:val="00033A91"/>
    <w:rsid w:val="00033C00"/>
    <w:rsid w:val="00034471"/>
    <w:rsid w:val="00037DAA"/>
    <w:rsid w:val="00054237"/>
    <w:rsid w:val="00054C83"/>
    <w:rsid w:val="00077CE0"/>
    <w:rsid w:val="000A3952"/>
    <w:rsid w:val="000A507D"/>
    <w:rsid w:val="000B4566"/>
    <w:rsid w:val="000D4E28"/>
    <w:rsid w:val="000D67D9"/>
    <w:rsid w:val="001121DA"/>
    <w:rsid w:val="00116307"/>
    <w:rsid w:val="001747C7"/>
    <w:rsid w:val="001A0853"/>
    <w:rsid w:val="001B556C"/>
    <w:rsid w:val="001D67CE"/>
    <w:rsid w:val="00222C85"/>
    <w:rsid w:val="00264F25"/>
    <w:rsid w:val="00266186"/>
    <w:rsid w:val="00280CBE"/>
    <w:rsid w:val="002E3C2E"/>
    <w:rsid w:val="00324E80"/>
    <w:rsid w:val="00330A78"/>
    <w:rsid w:val="00342121"/>
    <w:rsid w:val="003433AA"/>
    <w:rsid w:val="0034397E"/>
    <w:rsid w:val="00381322"/>
    <w:rsid w:val="003B0379"/>
    <w:rsid w:val="003D771A"/>
    <w:rsid w:val="00420C7C"/>
    <w:rsid w:val="00432F73"/>
    <w:rsid w:val="00486DC8"/>
    <w:rsid w:val="004B2B16"/>
    <w:rsid w:val="004E4F65"/>
    <w:rsid w:val="004F3C54"/>
    <w:rsid w:val="00513040"/>
    <w:rsid w:val="00527041"/>
    <w:rsid w:val="00576D3E"/>
    <w:rsid w:val="005A173C"/>
    <w:rsid w:val="005A554E"/>
    <w:rsid w:val="005B473B"/>
    <w:rsid w:val="005C155D"/>
    <w:rsid w:val="005C6B63"/>
    <w:rsid w:val="005E4CA4"/>
    <w:rsid w:val="005F31E1"/>
    <w:rsid w:val="005F3888"/>
    <w:rsid w:val="006372C8"/>
    <w:rsid w:val="006578F8"/>
    <w:rsid w:val="006807AD"/>
    <w:rsid w:val="00684CDF"/>
    <w:rsid w:val="00697A46"/>
    <w:rsid w:val="006D1010"/>
    <w:rsid w:val="00705013"/>
    <w:rsid w:val="00723D17"/>
    <w:rsid w:val="00730F6C"/>
    <w:rsid w:val="007324D6"/>
    <w:rsid w:val="00735E05"/>
    <w:rsid w:val="00757E2E"/>
    <w:rsid w:val="00766429"/>
    <w:rsid w:val="007735CD"/>
    <w:rsid w:val="00781103"/>
    <w:rsid w:val="007E0676"/>
    <w:rsid w:val="007E3C63"/>
    <w:rsid w:val="008427D2"/>
    <w:rsid w:val="00881C93"/>
    <w:rsid w:val="00894B14"/>
    <w:rsid w:val="008A0F68"/>
    <w:rsid w:val="008B396D"/>
    <w:rsid w:val="008B56C5"/>
    <w:rsid w:val="008C0A70"/>
    <w:rsid w:val="008C4C34"/>
    <w:rsid w:val="008E422F"/>
    <w:rsid w:val="008E5481"/>
    <w:rsid w:val="00907A11"/>
    <w:rsid w:val="0091184F"/>
    <w:rsid w:val="009135DD"/>
    <w:rsid w:val="00925401"/>
    <w:rsid w:val="00946AD1"/>
    <w:rsid w:val="00985AE5"/>
    <w:rsid w:val="009A2740"/>
    <w:rsid w:val="009A53AE"/>
    <w:rsid w:val="009A7285"/>
    <w:rsid w:val="009B17E0"/>
    <w:rsid w:val="009D0106"/>
    <w:rsid w:val="009D7AF4"/>
    <w:rsid w:val="009E1BF4"/>
    <w:rsid w:val="00A21B57"/>
    <w:rsid w:val="00A220C5"/>
    <w:rsid w:val="00A23E91"/>
    <w:rsid w:val="00A248E4"/>
    <w:rsid w:val="00A4754E"/>
    <w:rsid w:val="00A539F3"/>
    <w:rsid w:val="00A55F1A"/>
    <w:rsid w:val="00AB5163"/>
    <w:rsid w:val="00AF3DBF"/>
    <w:rsid w:val="00B020FD"/>
    <w:rsid w:val="00B03388"/>
    <w:rsid w:val="00B23BD1"/>
    <w:rsid w:val="00B41218"/>
    <w:rsid w:val="00B7286C"/>
    <w:rsid w:val="00B9771F"/>
    <w:rsid w:val="00BA39F3"/>
    <w:rsid w:val="00BC6D2C"/>
    <w:rsid w:val="00BF1B88"/>
    <w:rsid w:val="00C022B5"/>
    <w:rsid w:val="00C60666"/>
    <w:rsid w:val="00C90BD7"/>
    <w:rsid w:val="00CA53D4"/>
    <w:rsid w:val="00CC584C"/>
    <w:rsid w:val="00CD437D"/>
    <w:rsid w:val="00CE56DF"/>
    <w:rsid w:val="00D03C9A"/>
    <w:rsid w:val="00D45AAB"/>
    <w:rsid w:val="00DA1618"/>
    <w:rsid w:val="00DB15B8"/>
    <w:rsid w:val="00DC4F26"/>
    <w:rsid w:val="00DD4CD2"/>
    <w:rsid w:val="00E24A0E"/>
    <w:rsid w:val="00E41D74"/>
    <w:rsid w:val="00E608BE"/>
    <w:rsid w:val="00E75E67"/>
    <w:rsid w:val="00E847D5"/>
    <w:rsid w:val="00E84E79"/>
    <w:rsid w:val="00E941D3"/>
    <w:rsid w:val="00EC6D87"/>
    <w:rsid w:val="00F04542"/>
    <w:rsid w:val="00F51FE8"/>
    <w:rsid w:val="00F72D18"/>
    <w:rsid w:val="00FB4110"/>
    <w:rsid w:val="00FB5DF2"/>
    <w:rsid w:val="00FB6149"/>
    <w:rsid w:val="00FE03F4"/>
    <w:rsid w:val="00FE1319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54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A554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5A554E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5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554E"/>
    <w:pPr>
      <w:tabs>
        <w:tab w:val="left" w:pos="1260"/>
      </w:tabs>
      <w:jc w:val="both"/>
    </w:pPr>
    <w:rPr>
      <w:sz w:val="28"/>
      <w:lang w:val="lv-LV"/>
    </w:rPr>
  </w:style>
  <w:style w:type="paragraph" w:styleId="Header">
    <w:name w:val="header"/>
    <w:basedOn w:val="Normal"/>
    <w:rsid w:val="005A55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423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A2740"/>
  </w:style>
  <w:style w:type="paragraph" w:styleId="TOC2">
    <w:name w:val="toc 2"/>
    <w:basedOn w:val="Normal"/>
    <w:next w:val="Normal"/>
    <w:autoRedefine/>
    <w:uiPriority w:val="39"/>
    <w:rsid w:val="009A2740"/>
    <w:pPr>
      <w:ind w:left="240"/>
    </w:pPr>
  </w:style>
  <w:style w:type="character" w:styleId="Hyperlink">
    <w:name w:val="Hyperlink"/>
    <w:uiPriority w:val="99"/>
    <w:unhideWhenUsed/>
    <w:rsid w:val="009A2740"/>
    <w:rPr>
      <w:color w:val="0000FF"/>
      <w:u w:val="single"/>
    </w:rPr>
  </w:style>
  <w:style w:type="paragraph" w:styleId="NormalWeb">
    <w:name w:val="Normal (Web)"/>
    <w:basedOn w:val="Normal"/>
    <w:rsid w:val="00513040"/>
    <w:pPr>
      <w:spacing w:before="100" w:beforeAutospacing="1" w:after="100" w:afterAutospacing="1"/>
    </w:pPr>
    <w:rPr>
      <w:sz w:val="21"/>
      <w:szCs w:val="21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2BC5-DB52-4F6B-8ADE-ED1CD4E7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MFA Latvia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Par finanšu līdzekļu piešķiršanu no valsts budžeta programmas „Līdzekļi neparedzētiem gadījumiem” Latvijas prezidentūras Eiropas Savienības Padomē sekretariāta darbības uzsākšanai </dc:subject>
  <dc:creator>Ārlietu ministrija</dc:creator>
  <dc:description>A. Krastiņš
andris.krastins@mfa.gov.lv
67016403, fakss: 678282745,</dc:description>
  <cp:lastModifiedBy>Andris Krastins</cp:lastModifiedBy>
  <cp:revision>21</cp:revision>
  <cp:lastPrinted>2012-04-02T11:19:00Z</cp:lastPrinted>
  <dcterms:created xsi:type="dcterms:W3CDTF">2012-03-26T10:19:00Z</dcterms:created>
  <dcterms:modified xsi:type="dcterms:W3CDTF">2012-04-02T11:45:00Z</dcterms:modified>
</cp:coreProperties>
</file>