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69" w:rsidRDefault="00334169" w:rsidP="000D53FF">
      <w:pPr>
        <w:pStyle w:val="Heading1"/>
        <w:rPr>
          <w:sz w:val="24"/>
        </w:rPr>
      </w:pPr>
      <w:bookmarkStart w:id="0" w:name="OLE_LINK3"/>
      <w:bookmarkStart w:id="1" w:name="OLE_LINK4"/>
    </w:p>
    <w:p w:rsidR="00334169" w:rsidRDefault="00334169" w:rsidP="000D53FF">
      <w:pPr>
        <w:pStyle w:val="Heading1"/>
        <w:rPr>
          <w:sz w:val="24"/>
        </w:rPr>
      </w:pPr>
    </w:p>
    <w:p w:rsidR="000D53FF" w:rsidRDefault="000D53FF" w:rsidP="000D53FF">
      <w:pPr>
        <w:pStyle w:val="Heading1"/>
        <w:rPr>
          <w:sz w:val="24"/>
        </w:rPr>
      </w:pPr>
      <w:r>
        <w:rPr>
          <w:sz w:val="24"/>
        </w:rPr>
        <w:t>Ministru kabineta rīkojuma</w:t>
      </w:r>
    </w:p>
    <w:bookmarkEnd w:id="0"/>
    <w:bookmarkEnd w:id="1"/>
    <w:p w:rsidR="00B32F77" w:rsidRPr="00044D14" w:rsidRDefault="00B32F77" w:rsidP="00044D14">
      <w:pPr>
        <w:pStyle w:val="Heading1"/>
        <w:rPr>
          <w:color w:val="000000"/>
          <w:sz w:val="24"/>
        </w:rPr>
      </w:pPr>
      <w:r w:rsidRPr="00044D14">
        <w:rPr>
          <w:sz w:val="24"/>
        </w:rPr>
        <w:t>„</w:t>
      </w:r>
      <w:r w:rsidR="00044D14" w:rsidRPr="00044D14">
        <w:rPr>
          <w:sz w:val="24"/>
        </w:rPr>
        <w:t>Par finanšu līdzekļu piešķiršanu no valsts budžeta programmas</w:t>
      </w:r>
      <w:r w:rsidR="00044D14">
        <w:rPr>
          <w:sz w:val="24"/>
        </w:rPr>
        <w:t xml:space="preserve"> </w:t>
      </w:r>
      <w:r w:rsidR="00044D14" w:rsidRPr="00044D14">
        <w:rPr>
          <w:sz w:val="24"/>
        </w:rPr>
        <w:t>„Apropriācijas rezerve” un „Līdzekļi neparedzētiem gadījumiem”</w:t>
      </w:r>
      <w:r w:rsidRPr="00044D14">
        <w:rPr>
          <w:color w:val="000000"/>
          <w:sz w:val="24"/>
        </w:rPr>
        <w:t>”</w:t>
      </w:r>
    </w:p>
    <w:p w:rsidR="005B5C9C" w:rsidRPr="000D53FF" w:rsidRDefault="008E31E5" w:rsidP="000D53FF">
      <w:pPr>
        <w:pStyle w:val="Heading1"/>
        <w:rPr>
          <w:bCs w:val="0"/>
          <w:sz w:val="24"/>
        </w:rPr>
      </w:pPr>
      <w:r w:rsidRPr="00044D14">
        <w:rPr>
          <w:bCs w:val="0"/>
          <w:sz w:val="24"/>
        </w:rPr>
        <w:t xml:space="preserve">sākotnējās ietekmes novērtējuma </w:t>
      </w:r>
      <w:smartTag w:uri="schemas-tilde-lv/tildestengine" w:element="veidnes">
        <w:smartTagPr>
          <w:attr w:name="id" w:val="-1"/>
          <w:attr w:name="baseform" w:val="ziņojums"/>
          <w:attr w:name="text" w:val="ziņojums"/>
        </w:smartTagPr>
        <w:r w:rsidRPr="00044D14">
          <w:rPr>
            <w:bCs w:val="0"/>
            <w:sz w:val="24"/>
          </w:rPr>
          <w:t>ziņojums</w:t>
        </w:r>
      </w:smartTag>
      <w:r w:rsidRPr="00044D14">
        <w:rPr>
          <w:bCs w:val="0"/>
          <w:sz w:val="24"/>
        </w:rPr>
        <w:t xml:space="preserve"> (anotācija)</w:t>
      </w:r>
    </w:p>
    <w:p w:rsidR="008E31E5" w:rsidRDefault="008E31E5" w:rsidP="000D53FF">
      <w:pPr>
        <w:jc w:val="center"/>
      </w:pPr>
    </w:p>
    <w:p w:rsidR="00334169" w:rsidRPr="00D701E4" w:rsidRDefault="00334169" w:rsidP="000D53FF">
      <w:pPr>
        <w:jc w:val="center"/>
      </w:pPr>
    </w:p>
    <w:tbl>
      <w:tblPr>
        <w:tblW w:w="10122" w:type="dxa"/>
        <w:tblCellSpacing w:w="0"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6"/>
        <w:gridCol w:w="182"/>
        <w:gridCol w:w="1670"/>
        <w:gridCol w:w="1324"/>
        <w:gridCol w:w="169"/>
        <w:gridCol w:w="1231"/>
        <w:gridCol w:w="417"/>
        <w:gridCol w:w="960"/>
        <w:gridCol w:w="1363"/>
        <w:gridCol w:w="1677"/>
        <w:gridCol w:w="258"/>
        <w:gridCol w:w="395"/>
        <w:gridCol w:w="10"/>
      </w:tblGrid>
      <w:tr w:rsidR="008E31E5" w:rsidRPr="00D701E4" w:rsidTr="00685725">
        <w:trPr>
          <w:gridAfter w:val="3"/>
          <w:wAfter w:w="663" w:type="dxa"/>
          <w:trHeight w:val="216"/>
          <w:tblCellSpacing w:w="0" w:type="dxa"/>
        </w:trPr>
        <w:tc>
          <w:tcPr>
            <w:tcW w:w="9459"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8E31E5" w:rsidRPr="00D701E4" w:rsidRDefault="008E31E5" w:rsidP="003C3B89">
            <w:pPr>
              <w:spacing w:before="75" w:after="75"/>
              <w:jc w:val="center"/>
            </w:pPr>
            <w:r w:rsidRPr="00D701E4">
              <w:rPr>
                <w:b/>
                <w:bCs/>
              </w:rPr>
              <w:t>I. Tiesību akta projekta izstrādes nepieciešamība</w:t>
            </w:r>
          </w:p>
        </w:tc>
      </w:tr>
      <w:tr w:rsidR="008E31E5" w:rsidRPr="00D701E4" w:rsidTr="00685725">
        <w:trPr>
          <w:gridAfter w:val="3"/>
          <w:wAfter w:w="663" w:type="dxa"/>
          <w:trHeight w:val="622"/>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1.</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Pamatojums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183CC9" w:rsidRDefault="00CF666B" w:rsidP="00D701E4">
            <w:pPr>
              <w:jc w:val="both"/>
            </w:pPr>
            <w:r w:rsidRPr="00D701E4">
              <w:t xml:space="preserve">Projekts izstrādāts atbilstoši Ārlietu ministrijas kompetencei </w:t>
            </w:r>
            <w:r w:rsidR="007C0C28" w:rsidRPr="00513040">
              <w:rPr>
                <w:iCs/>
              </w:rPr>
              <w:t>Latvijas Republikas Pastāvīgās pārstāvniecības Eiropas Savienīb</w:t>
            </w:r>
            <w:r w:rsidR="007C0C28">
              <w:rPr>
                <w:iCs/>
              </w:rPr>
              <w:t>ā un</w:t>
            </w:r>
            <w:r w:rsidR="007C0C28">
              <w:t xml:space="preserve"> </w:t>
            </w:r>
            <w:r w:rsidR="00B32F77">
              <w:t>pakļautības iestādes „</w:t>
            </w:r>
            <w:r w:rsidR="00B32F77" w:rsidRPr="00B32F77">
              <w:t>Latvijas prezidentūras Eiropas Savienības Padomē sekretariāts</w:t>
            </w:r>
            <w:r w:rsidR="00B32F77">
              <w:t xml:space="preserve">” </w:t>
            </w:r>
            <w:r w:rsidRPr="00D701E4">
              <w:t xml:space="preserve">funkciju nodrošināšanai saskaņā ar Ministru kabineta 2003.gada 29.aprīļa noteikumu Nr.237 „Ārlietu ministrijas nolikums” </w:t>
            </w:r>
            <w:r w:rsidR="00EB25DB">
              <w:t xml:space="preserve">5.4. un </w:t>
            </w:r>
            <w:r w:rsidR="00B32F77">
              <w:t>27</w:t>
            </w:r>
            <w:r w:rsidR="00222D55" w:rsidRPr="00D701E4">
              <w:t>.</w:t>
            </w:r>
            <w:r w:rsidRPr="00D701E4">
              <w:t>punktu.</w:t>
            </w:r>
          </w:p>
          <w:p w:rsidR="00334169" w:rsidRDefault="00334169" w:rsidP="00D701E4">
            <w:pPr>
              <w:jc w:val="both"/>
            </w:pPr>
          </w:p>
          <w:p w:rsidR="00791590" w:rsidRPr="00D701E4" w:rsidRDefault="00791590" w:rsidP="00D701E4">
            <w:pPr>
              <w:jc w:val="both"/>
            </w:pPr>
          </w:p>
        </w:tc>
      </w:tr>
      <w:tr w:rsidR="008E31E5" w:rsidRPr="00D701E4" w:rsidTr="00685725">
        <w:trPr>
          <w:gridAfter w:val="3"/>
          <w:wAfter w:w="663" w:type="dxa"/>
          <w:trHeight w:val="234"/>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2.</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Pašreizējā situācija un problēmas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AE4366" w:rsidRDefault="00EB285E" w:rsidP="00415727">
            <w:pPr>
              <w:jc w:val="both"/>
            </w:pPr>
            <w:r>
              <w:t xml:space="preserve">Ar 2012.gada 1.februāri </w:t>
            </w:r>
            <w:r w:rsidR="00E71E05">
              <w:t xml:space="preserve">ārlietu ministra pakļautībā </w:t>
            </w:r>
            <w:r>
              <w:t>ir izveidota tiešās pārvaldes iestāde - „</w:t>
            </w:r>
            <w:r w:rsidRPr="00B32F77">
              <w:t>Latvijas prezidentūras Eiropas Savienības Padomē sekretariāts</w:t>
            </w:r>
            <w:r>
              <w:t xml:space="preserve">” (turpmāk – Sekretariāts). Sekretariāta mērķis </w:t>
            </w:r>
            <w:r w:rsidRPr="00EB285E">
              <w:t xml:space="preserve">ir nodrošināt savlaicīgu un kvalitatīvu Latvijas sagatavošanos prezidentūrai Eiropas Savienības Padomē (turpmāk – prezidentūra) un atbilstoši kompetencei koordinēt darbu </w:t>
            </w:r>
            <w:r w:rsidRPr="007C0C28">
              <w:t>prezidentūras laikā.</w:t>
            </w:r>
          </w:p>
          <w:p w:rsidR="007C0C28" w:rsidRPr="007C0C28" w:rsidRDefault="007C0C28" w:rsidP="00415727">
            <w:pPr>
              <w:jc w:val="both"/>
            </w:pPr>
          </w:p>
          <w:p w:rsidR="00EB285E" w:rsidRDefault="005531D5" w:rsidP="00415727">
            <w:pPr>
              <w:jc w:val="both"/>
            </w:pPr>
            <w:r w:rsidRPr="007C0C28">
              <w:t xml:space="preserve">Lai īstenotu </w:t>
            </w:r>
            <w:r w:rsidR="007D1421" w:rsidRPr="007C0C28">
              <w:t>S</w:t>
            </w:r>
            <w:r w:rsidRPr="007C0C28">
              <w:t xml:space="preserve">ekretariāta nolikumā </w:t>
            </w:r>
            <w:r w:rsidR="00E71E05">
              <w:t xml:space="preserve">(MK 17.01.2012. noteikumi Nr.65) </w:t>
            </w:r>
            <w:r w:rsidRPr="007C0C28">
              <w:t>noteiktos saturiskos un administratīvi finansiālos uzdevumus, kā arī veiktu darbības atbilstoši MK 2011.gada 15.februārī</w:t>
            </w:r>
            <w:r w:rsidR="007C0C28" w:rsidRPr="007C0C28">
              <w:t xml:space="preserve"> (prot.Nr.10, 57.§)</w:t>
            </w:r>
            <w:r w:rsidRPr="007C0C28">
              <w:t xml:space="preserve"> apstiprinātā informatīvā ziņojuma rīcības plānā noteiktajam laika grafikam</w:t>
            </w:r>
            <w:r w:rsidR="00E71E05">
              <w:t>,</w:t>
            </w:r>
            <w:r w:rsidRPr="007C0C28">
              <w:t xml:space="preserve"> Sekretariātam ir nepieciešams pietiekams darbinieku skaits</w:t>
            </w:r>
            <w:r w:rsidR="00001D55" w:rsidRPr="007C0C28">
              <w:t>.</w:t>
            </w:r>
          </w:p>
          <w:p w:rsidR="007C0C28" w:rsidRPr="007C0C28" w:rsidRDefault="007C0C28" w:rsidP="00415727">
            <w:pPr>
              <w:jc w:val="both"/>
            </w:pPr>
          </w:p>
          <w:p w:rsidR="00EB285E" w:rsidRDefault="00001D55" w:rsidP="00415727">
            <w:pPr>
              <w:jc w:val="both"/>
            </w:pPr>
            <w:r w:rsidRPr="007C0C28">
              <w:t xml:space="preserve">Ar pašreizējo </w:t>
            </w:r>
            <w:r w:rsidR="0030242A">
              <w:t>2</w:t>
            </w:r>
            <w:r w:rsidRPr="007C0C28">
              <w:t xml:space="preserve"> amata vietu skaitu Sekretariāts nevar nodrošināt kvalitatīvu darbības uzsākšanu, kā arī veikt paredzētos uzdevumus plānotajā laikā.</w:t>
            </w:r>
          </w:p>
          <w:p w:rsidR="00E3019A" w:rsidRDefault="00E3019A" w:rsidP="00415727">
            <w:pPr>
              <w:jc w:val="both"/>
            </w:pPr>
          </w:p>
          <w:p w:rsidR="003005EF" w:rsidRPr="003005EF" w:rsidRDefault="003005EF" w:rsidP="003005EF">
            <w:pPr>
              <w:jc w:val="both"/>
              <w:rPr>
                <w:iCs/>
              </w:rPr>
            </w:pPr>
            <w:r w:rsidRPr="003005EF">
              <w:t xml:space="preserve">Tāpat Latvijas prezidentūras Eiropas Savienības Padomē nodrošināšanai 2012.gadā ir nepieciešams pieņemt darbā trīs papildus darbiniekus </w:t>
            </w:r>
            <w:r w:rsidRPr="003005EF">
              <w:rPr>
                <w:iCs/>
              </w:rPr>
              <w:t>Latvijas Republikas Pastāvīgajā pārstāvniecībā Eiropas Savienībā, lai nodrošinātu pilnvērtīgāku Pastāvīgās pārstāvniecības iesaistīšanos prezidentūras sagatavošanas darbā Briselē un atbalstu Sekretariāta darbam. Pastāvīgās pārstāvniecības papildus pienākumi būs saistīti gan ar administratīvajiem, gan saturiskā darba jautājumiem.</w:t>
            </w:r>
          </w:p>
          <w:p w:rsidR="003005EF" w:rsidRPr="003005EF" w:rsidRDefault="003005EF" w:rsidP="003005EF">
            <w:pPr>
              <w:jc w:val="both"/>
              <w:rPr>
                <w:iCs/>
              </w:rPr>
            </w:pPr>
          </w:p>
          <w:p w:rsidR="003005EF" w:rsidRDefault="003005EF" w:rsidP="003005EF">
            <w:pPr>
              <w:jc w:val="both"/>
            </w:pPr>
            <w:r w:rsidRPr="003005EF">
              <w:t xml:space="preserve">Lai gan atbilstoši Ministru kabineta 2011.gada 29.novembra sēdes protokola Nr.70 97.§ Ārlietu ministrijai (Sekretariātam) sadarbībā ar Finanšu ministriju </w:t>
            </w:r>
            <w:r w:rsidRPr="003005EF">
              <w:lastRenderedPageBreak/>
              <w:t>un citām atbildīgajām iestādēm līdz 2012.gada 15.aprīlim ir jāprecizē Latvijas prezidentūras Eiropas Savienības Padomē 2015.gadā tāme 2012.-2015.gadam, uzdevumam būs nepieciešams mainīts izpildes termiņš, jo Sekretariāt</w:t>
            </w:r>
            <w:r w:rsidR="00A4066D">
              <w:t>s</w:t>
            </w:r>
            <w:r w:rsidRPr="003005EF">
              <w:t xml:space="preserve"> </w:t>
            </w:r>
            <w:r w:rsidR="00A4066D">
              <w:t>darbu pilnvērtīgi ir uzsācis</w:t>
            </w:r>
            <w:r w:rsidRPr="003005EF">
              <w:t xml:space="preserve"> tikai 2012.gada 19.martā</w:t>
            </w:r>
            <w:r w:rsidR="00A4066D">
              <w:t xml:space="preserve"> ar tā direktores iecelšanu amatā</w:t>
            </w:r>
            <w:r w:rsidRPr="003005EF">
              <w:t>. Tā kā papildus darbinieki Briselē jānodrošina jau no 2012.gada 1.jūnija, jautājums par finansējumu ir izlemjams iespējami tuvākajā laikā un pirms precizētās prezidentūras sagatavošanas tāmes iesniegšanas Ministru kabinetā.</w:t>
            </w:r>
          </w:p>
          <w:p w:rsidR="00BA5D13" w:rsidRDefault="00BA5D13" w:rsidP="00415727">
            <w:pPr>
              <w:jc w:val="both"/>
            </w:pPr>
          </w:p>
          <w:p w:rsidR="00BA5D13" w:rsidRPr="008E65B0" w:rsidRDefault="00BA5D13" w:rsidP="00BA5D13">
            <w:pPr>
              <w:pStyle w:val="BodyTextIndent"/>
              <w:ind w:left="0"/>
              <w:jc w:val="both"/>
            </w:pPr>
            <w:r w:rsidRPr="008E65B0">
              <w:t>Ārlietu ministrijas 2011.gadā sagatavotais aprēķins par Sekretariāta darbībai nepieciešamo finansējumu tika veiks, pamatojoties uz lēmumu, ka Sekretariāts ir Ārlietu ministrijas struktūrvienība.</w:t>
            </w:r>
          </w:p>
          <w:p w:rsidR="00BA5D13" w:rsidRPr="008E65B0" w:rsidRDefault="00BA5D13" w:rsidP="00BA5D13">
            <w:pPr>
              <w:pStyle w:val="BodyTextIndent"/>
              <w:ind w:left="0"/>
              <w:jc w:val="both"/>
              <w:rPr>
                <w:color w:val="000000"/>
              </w:rPr>
            </w:pPr>
            <w:r w:rsidRPr="008E65B0">
              <w:t>Saskaņā ar 2011.gada 29.novembra M</w:t>
            </w:r>
            <w:r>
              <w:t>inistru kabineta</w:t>
            </w:r>
            <w:r w:rsidRPr="008E65B0">
              <w:t xml:space="preserve"> sēdē nolemto (protokols Nr.70 97.§) tika atbalstīts</w:t>
            </w:r>
            <w:r>
              <w:t xml:space="preserve"> cits</w:t>
            </w:r>
            <w:r w:rsidRPr="008E65B0">
              <w:t xml:space="preserve"> Sekretariāta institucionālais risinājums – izveidot </w:t>
            </w:r>
            <w:r w:rsidRPr="008E65B0">
              <w:rPr>
                <w:color w:val="000000"/>
              </w:rPr>
              <w:t>tiešās pārvaldes iestādi</w:t>
            </w:r>
            <w:r>
              <w:rPr>
                <w:color w:val="000000"/>
              </w:rPr>
              <w:t>. Tiešās pārvaldes iestāde Latvijas prezidentūras Eiropas Savienības Padomē sekretariāts sākot ar 2012.gada 1.februāri ir izveidots pamatojoties uz 2012.gada 24.janvāra Ministru kabineta rīkojumu Nr. 39.</w:t>
            </w:r>
          </w:p>
          <w:p w:rsidR="00BA5D13" w:rsidRDefault="00BA5D13" w:rsidP="00BA5D13">
            <w:pPr>
              <w:pStyle w:val="BodyTextIndent"/>
              <w:ind w:left="0"/>
              <w:jc w:val="both"/>
              <w:rPr>
                <w:color w:val="000000"/>
              </w:rPr>
            </w:pPr>
            <w:r w:rsidRPr="008E65B0">
              <w:rPr>
                <w:color w:val="000000"/>
              </w:rPr>
              <w:t>Līdz ar to Sekretariāta darbības nodrošināšanai nepieciešam</w:t>
            </w:r>
            <w:r>
              <w:rPr>
                <w:color w:val="000000"/>
              </w:rPr>
              <w:t>ais finansējums tika pārrēķināts</w:t>
            </w:r>
            <w:r w:rsidRPr="008E65B0">
              <w:rPr>
                <w:color w:val="000000"/>
              </w:rPr>
              <w:t xml:space="preserve">, </w:t>
            </w:r>
            <w:r>
              <w:rPr>
                <w:color w:val="000000"/>
              </w:rPr>
              <w:t xml:space="preserve">lai </w:t>
            </w:r>
            <w:r w:rsidRPr="008E65B0">
              <w:rPr>
                <w:color w:val="000000"/>
              </w:rPr>
              <w:t xml:space="preserve">varētu izveidot un uzturēt jaunu </w:t>
            </w:r>
            <w:r>
              <w:rPr>
                <w:color w:val="000000"/>
              </w:rPr>
              <w:t xml:space="preserve">atsevišķu </w:t>
            </w:r>
            <w:r w:rsidRPr="008E65B0">
              <w:rPr>
                <w:color w:val="000000"/>
              </w:rPr>
              <w:t>iestādi</w:t>
            </w:r>
            <w:r>
              <w:rPr>
                <w:color w:val="000000"/>
              </w:rPr>
              <w:t>, p</w:t>
            </w:r>
            <w:r w:rsidRPr="008E65B0">
              <w:rPr>
                <w:color w:val="000000"/>
              </w:rPr>
              <w:t xml:space="preserve">aredzot gan pastāvīgās izmaksas (darbinieku atlīdzības izmaksas, telpu īres un uzturēšanas izmaksas, komunālie pakalpojumi, sakaru pakalpojumi, informācijas sistēmas licenču noma, biroja preces u.c.), gan vienreizējās izmaksas (piemēram, telefona līnijas uzstādīšana, </w:t>
            </w:r>
            <w:proofErr w:type="spellStart"/>
            <w:r w:rsidRPr="008E65B0">
              <w:rPr>
                <w:color w:val="000000"/>
              </w:rPr>
              <w:t>servertelpas</w:t>
            </w:r>
            <w:proofErr w:type="spellEnd"/>
            <w:r w:rsidRPr="008E65B0">
              <w:rPr>
                <w:color w:val="000000"/>
              </w:rPr>
              <w:t xml:space="preserve"> iekārtošana, iestādes</w:t>
            </w:r>
            <w:r>
              <w:rPr>
                <w:color w:val="000000"/>
              </w:rPr>
              <w:t xml:space="preserve"> </w:t>
            </w:r>
            <w:r w:rsidRPr="008E65B0">
              <w:rPr>
                <w:color w:val="000000"/>
              </w:rPr>
              <w:t>iekārtošanas izmaksas un darbinieku darbavietas iekārtošanas izmaksas)</w:t>
            </w:r>
            <w:r>
              <w:rPr>
                <w:color w:val="000000"/>
              </w:rPr>
              <w:t>. Precīzi nodefinējot sekretariāta uzdevumus 2012.gadā un turpmāk un personāla pienākumus un atbildību, tika precizēta arī informācija par amata vietu skaitu un atlīdzību, nosakot atbilstošas amata saimes, līmeņus un mēnešalgu grupas. Tiek paredzēts, ka personāla nokomplektēšana notiek pakāpeniski, taču vistuvākajā laikā, lai nodrošinātu Ministru kabineta doto uzdevumu izpildi noteiktajos termiņos.</w:t>
            </w:r>
          </w:p>
          <w:p w:rsidR="00980A59" w:rsidRDefault="00BA5D13" w:rsidP="00BA5D13">
            <w:pPr>
              <w:pStyle w:val="BodyTextIndent"/>
              <w:numPr>
                <w:ilvl w:val="0"/>
                <w:numId w:val="9"/>
              </w:numPr>
              <w:overflowPunct w:val="0"/>
              <w:autoSpaceDE w:val="0"/>
              <w:autoSpaceDN w:val="0"/>
              <w:adjustRightInd w:val="0"/>
              <w:spacing w:after="0"/>
              <w:jc w:val="both"/>
              <w:textAlignment w:val="baseline"/>
              <w:rPr>
                <w:color w:val="000000"/>
              </w:rPr>
            </w:pPr>
            <w:r>
              <w:rPr>
                <w:color w:val="000000"/>
              </w:rPr>
              <w:t>F</w:t>
            </w:r>
            <w:r w:rsidRPr="008E65B0">
              <w:rPr>
                <w:color w:val="000000"/>
              </w:rPr>
              <w:t xml:space="preserve">inansējums kapitālām iegādēm ir palielinājies, jo tiek plānotas ne tikai darbavietas iekārtošanas izmaksas, bet arī iestādes iekārtošanas izmaksas. </w:t>
            </w:r>
          </w:p>
          <w:p w:rsidR="00BA5D13" w:rsidRPr="008E65B0" w:rsidRDefault="00BA5D13" w:rsidP="00BA5D13">
            <w:pPr>
              <w:pStyle w:val="BodyTextIndent"/>
              <w:numPr>
                <w:ilvl w:val="0"/>
                <w:numId w:val="9"/>
              </w:numPr>
              <w:overflowPunct w:val="0"/>
              <w:autoSpaceDE w:val="0"/>
              <w:autoSpaceDN w:val="0"/>
              <w:adjustRightInd w:val="0"/>
              <w:spacing w:after="0"/>
              <w:jc w:val="both"/>
              <w:textAlignment w:val="baseline"/>
              <w:rPr>
                <w:color w:val="000000"/>
              </w:rPr>
            </w:pPr>
            <w:r w:rsidRPr="008E65B0">
              <w:rPr>
                <w:color w:val="000000"/>
              </w:rPr>
              <w:t>Finansējums sakaru pakalpojumiem ir palielinājies, jo tiek plānotas ISDN līnijas abonēšanas, telefonu numuru un analog</w:t>
            </w:r>
            <w:r>
              <w:rPr>
                <w:color w:val="000000"/>
              </w:rPr>
              <w:t>o</w:t>
            </w:r>
            <w:r w:rsidRPr="008E65B0">
              <w:rPr>
                <w:color w:val="000000"/>
              </w:rPr>
              <w:t xml:space="preserve"> līnij</w:t>
            </w:r>
            <w:r>
              <w:rPr>
                <w:color w:val="000000"/>
              </w:rPr>
              <w:t>u</w:t>
            </w:r>
            <w:r w:rsidRPr="008E65B0">
              <w:rPr>
                <w:color w:val="000000"/>
              </w:rPr>
              <w:t xml:space="preserve"> abonēšana, interneta pakalpojumi u.c.</w:t>
            </w:r>
          </w:p>
          <w:p w:rsidR="00BA5D13" w:rsidRPr="003005EF" w:rsidRDefault="00BA5D13" w:rsidP="00BA5D13">
            <w:pPr>
              <w:pStyle w:val="BodyTextIndent"/>
              <w:numPr>
                <w:ilvl w:val="0"/>
                <w:numId w:val="9"/>
              </w:numPr>
              <w:overflowPunct w:val="0"/>
              <w:autoSpaceDE w:val="0"/>
              <w:autoSpaceDN w:val="0"/>
              <w:adjustRightInd w:val="0"/>
              <w:spacing w:after="0"/>
              <w:jc w:val="both"/>
              <w:textAlignment w:val="baseline"/>
            </w:pPr>
            <w:r>
              <w:rPr>
                <w:color w:val="000000"/>
              </w:rPr>
              <w:t xml:space="preserve">Finansējums ir aprēķināts, paredzot papildus </w:t>
            </w:r>
            <w:r w:rsidRPr="003005EF">
              <w:t>astoņu amata vietu pakāpenisku nokomplektēšanu.</w:t>
            </w:r>
          </w:p>
          <w:p w:rsidR="003005EF" w:rsidRPr="003005EF" w:rsidRDefault="003B687A" w:rsidP="003005EF">
            <w:pPr>
              <w:pStyle w:val="BodyTextIndent"/>
              <w:numPr>
                <w:ilvl w:val="0"/>
                <w:numId w:val="9"/>
              </w:numPr>
              <w:overflowPunct w:val="0"/>
              <w:autoSpaceDE w:val="0"/>
              <w:autoSpaceDN w:val="0"/>
              <w:adjustRightInd w:val="0"/>
              <w:spacing w:after="0"/>
              <w:jc w:val="both"/>
              <w:textAlignment w:val="baseline"/>
            </w:pPr>
            <w:r w:rsidRPr="003005EF">
              <w:t xml:space="preserve">Darba stacijas ir jāapgādā ar </w:t>
            </w:r>
            <w:r w:rsidRPr="003005EF">
              <w:rPr>
                <w:i/>
              </w:rPr>
              <w:t>Microsoft</w:t>
            </w:r>
            <w:r w:rsidRPr="003005EF">
              <w:t xml:space="preserve"> licencēm, </w:t>
            </w:r>
            <w:r w:rsidRPr="003005EF">
              <w:lastRenderedPageBreak/>
              <w:t xml:space="preserve">kuras ir pieejamas ar izdevīgiem nomas nosacījumiem. Savukārt antivīrusa un citas darba stacijas aizsardzības programmatūras licences ir pieejamas, licenci iegādājoties. Darba staciju izmantošana bez </w:t>
            </w:r>
            <w:r w:rsidRPr="003005EF">
              <w:rPr>
                <w:i/>
              </w:rPr>
              <w:t>Microsof</w:t>
            </w:r>
            <w:r w:rsidRPr="003005EF">
              <w:t>t, antivīrusa un citām aizsardzības programmu licencēm nav pieļaujama.</w:t>
            </w:r>
          </w:p>
          <w:p w:rsidR="003005EF" w:rsidRPr="003005EF" w:rsidRDefault="003005EF" w:rsidP="003005EF">
            <w:pPr>
              <w:pStyle w:val="BodyTextIndent"/>
              <w:overflowPunct w:val="0"/>
              <w:autoSpaceDE w:val="0"/>
              <w:autoSpaceDN w:val="0"/>
              <w:adjustRightInd w:val="0"/>
              <w:spacing w:after="0"/>
              <w:ind w:left="720"/>
              <w:jc w:val="both"/>
              <w:textAlignment w:val="baseline"/>
            </w:pPr>
          </w:p>
          <w:p w:rsidR="00BA5D13" w:rsidRDefault="00980A59" w:rsidP="003005EF">
            <w:pPr>
              <w:pStyle w:val="BodyTextIndent"/>
              <w:numPr>
                <w:ilvl w:val="0"/>
                <w:numId w:val="9"/>
              </w:numPr>
              <w:overflowPunct w:val="0"/>
              <w:autoSpaceDE w:val="0"/>
              <w:autoSpaceDN w:val="0"/>
              <w:adjustRightInd w:val="0"/>
              <w:spacing w:after="0"/>
              <w:jc w:val="both"/>
              <w:textAlignment w:val="baseline"/>
              <w:rPr>
                <w:color w:val="000000"/>
              </w:rPr>
            </w:pPr>
            <w:r w:rsidRPr="003005EF">
              <w:t>Finanšu ministrijā ir iesniegts detalizēts aprēķins</w:t>
            </w:r>
            <w:r w:rsidR="00BA5D13" w:rsidRPr="003005EF">
              <w:t xml:space="preserve">, tai skaitā </w:t>
            </w:r>
            <w:r w:rsidR="009A35FF" w:rsidRPr="003005EF">
              <w:t>amata vietu saimju</w:t>
            </w:r>
            <w:r w:rsidR="00BA5D13" w:rsidRPr="003005EF">
              <w:t xml:space="preserve"> un mēnešalgu grupu </w:t>
            </w:r>
            <w:r w:rsidRPr="003005EF">
              <w:t>atšifrējums</w:t>
            </w:r>
            <w:r w:rsidR="00BA5D13" w:rsidRPr="003005EF">
              <w:t xml:space="preserve">, plānoto telpu platības </w:t>
            </w:r>
            <w:r w:rsidRPr="003005EF">
              <w:t>atšifrējums</w:t>
            </w:r>
            <w:r w:rsidR="00BA5D13" w:rsidRPr="003005EF">
              <w:t>, izdevumu pozīciju „administratīvie izdevumi un sabiedriskās attiecības, kursu</w:t>
            </w:r>
            <w:r w:rsidR="00BA5D13" w:rsidRPr="00904CDC">
              <w:t xml:space="preserve"> un semināru organizēšana</w:t>
            </w:r>
            <w:r w:rsidR="00BA5D13" w:rsidRPr="003005EF">
              <w:rPr>
                <w:color w:val="000000"/>
              </w:rPr>
              <w:t xml:space="preserve">” un „pārējie iestādes administratīvie izdevumi” </w:t>
            </w:r>
            <w:r w:rsidRPr="003005EF">
              <w:rPr>
                <w:color w:val="000000"/>
              </w:rPr>
              <w:t>atšifrējums</w:t>
            </w:r>
            <w:r w:rsidR="00BA5D13" w:rsidRPr="003005EF">
              <w:rPr>
                <w:color w:val="000000"/>
              </w:rPr>
              <w:t>, inventāra un kapitālo iegāžu atšifrējum</w:t>
            </w:r>
            <w:r w:rsidRPr="003005EF">
              <w:rPr>
                <w:color w:val="000000"/>
              </w:rPr>
              <w:t>s</w:t>
            </w:r>
            <w:r w:rsidR="00BA5D13" w:rsidRPr="003005EF">
              <w:rPr>
                <w:color w:val="000000"/>
              </w:rPr>
              <w:t>.</w:t>
            </w:r>
          </w:p>
          <w:p w:rsidR="00FD5E98" w:rsidRDefault="00FD5E98" w:rsidP="00FD5E98">
            <w:pPr>
              <w:pStyle w:val="ListParagraph"/>
              <w:rPr>
                <w:color w:val="000000"/>
              </w:rPr>
            </w:pPr>
          </w:p>
          <w:p w:rsidR="00FD5E98" w:rsidRPr="003005EF" w:rsidRDefault="00FD5E98" w:rsidP="003005EF">
            <w:pPr>
              <w:pStyle w:val="BodyTextIndent"/>
              <w:numPr>
                <w:ilvl w:val="0"/>
                <w:numId w:val="9"/>
              </w:numPr>
              <w:overflowPunct w:val="0"/>
              <w:autoSpaceDE w:val="0"/>
              <w:autoSpaceDN w:val="0"/>
              <w:adjustRightInd w:val="0"/>
              <w:spacing w:after="0"/>
              <w:jc w:val="both"/>
              <w:textAlignment w:val="baseline"/>
              <w:rPr>
                <w:color w:val="000000"/>
              </w:rPr>
            </w:pPr>
            <w:r>
              <w:rPr>
                <w:color w:val="000000"/>
              </w:rPr>
              <w:t>Izdevumi par apkuri ir aprēķināti, ņemot vērā ministrijas vidējos mēneša izdevumus gada laikā.</w:t>
            </w:r>
          </w:p>
          <w:p w:rsidR="00BA5D13" w:rsidRDefault="00BA5D13" w:rsidP="00415727">
            <w:pPr>
              <w:jc w:val="both"/>
            </w:pPr>
          </w:p>
          <w:p w:rsidR="00E462DD" w:rsidRPr="002366A4" w:rsidRDefault="00980A59" w:rsidP="00415727">
            <w:pPr>
              <w:jc w:val="both"/>
            </w:pPr>
            <w:r>
              <w:t>Šā brīža aprēķinos vairs nav iekļautas izmaksas par 2012.gada marta mēnesi.</w:t>
            </w:r>
          </w:p>
        </w:tc>
      </w:tr>
      <w:tr w:rsidR="008E31E5" w:rsidRPr="00D701E4" w:rsidTr="00685725">
        <w:trPr>
          <w:gridAfter w:val="3"/>
          <w:wAfter w:w="663" w:type="dxa"/>
          <w:trHeight w:val="291"/>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lastRenderedPageBreak/>
              <w:t> 3.</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Saistītie politikas ietekmes novērtējumi un pētījumi</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0311A6" w:rsidP="00B51A08">
            <w:pPr>
              <w:spacing w:before="75" w:after="75"/>
            </w:pPr>
            <w:r w:rsidRPr="00D701E4">
              <w:t xml:space="preserve">Nav </w:t>
            </w:r>
            <w:r w:rsidR="00B51A08" w:rsidRPr="00D701E4">
              <w:t>veikti</w:t>
            </w:r>
            <w:r w:rsidR="00CD75EC" w:rsidRPr="00D701E4">
              <w:t>.</w:t>
            </w:r>
          </w:p>
        </w:tc>
      </w:tr>
      <w:tr w:rsidR="008E31E5" w:rsidRPr="00D701E4" w:rsidTr="00685725">
        <w:trPr>
          <w:gridAfter w:val="3"/>
          <w:wAfter w:w="663" w:type="dxa"/>
          <w:trHeight w:val="190"/>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4.</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Tiesiskā regulējuma mērķis un būtība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001D55" w:rsidRPr="009C79AF" w:rsidRDefault="009C79AF" w:rsidP="009C79AF">
            <w:pPr>
              <w:pStyle w:val="Heading1"/>
              <w:jc w:val="both"/>
              <w:rPr>
                <w:b w:val="0"/>
                <w:sz w:val="24"/>
              </w:rPr>
            </w:pPr>
            <w:r>
              <w:rPr>
                <w:b w:val="0"/>
                <w:sz w:val="24"/>
              </w:rPr>
              <w:t>P</w:t>
            </w:r>
            <w:r w:rsidR="000919FC" w:rsidRPr="005308B5">
              <w:rPr>
                <w:b w:val="0"/>
                <w:sz w:val="24"/>
              </w:rPr>
              <w:t xml:space="preserve">rojekts paredz </w:t>
            </w:r>
            <w:r w:rsidR="00222D55" w:rsidRPr="005308B5">
              <w:rPr>
                <w:b w:val="0"/>
                <w:sz w:val="24"/>
              </w:rPr>
              <w:t xml:space="preserve">piešķirt nepieciešamos </w:t>
            </w:r>
            <w:r w:rsidR="00222D55" w:rsidRPr="009C79AF">
              <w:rPr>
                <w:b w:val="0"/>
                <w:sz w:val="24"/>
              </w:rPr>
              <w:t xml:space="preserve">līdzekļus </w:t>
            </w:r>
            <w:r w:rsidR="00B32F77" w:rsidRPr="009C79AF">
              <w:rPr>
                <w:b w:val="0"/>
                <w:sz w:val="24"/>
              </w:rPr>
              <w:t>tiešās pārvaldes iestādes „Latvijas prezidentūras Eiropas Savienības Padomē sekretariāts” darbības uzsākšanai</w:t>
            </w:r>
            <w:r>
              <w:rPr>
                <w:b w:val="0"/>
                <w:sz w:val="24"/>
              </w:rPr>
              <w:t xml:space="preserve"> un nodrošināšanai, kā arī </w:t>
            </w:r>
            <w:r w:rsidRPr="009C79AF">
              <w:rPr>
                <w:b w:val="0"/>
                <w:sz w:val="24"/>
              </w:rPr>
              <w:t xml:space="preserve">līdzekļus </w:t>
            </w:r>
            <w:r w:rsidRPr="009C79AF">
              <w:rPr>
                <w:b w:val="0"/>
                <w:iCs/>
                <w:sz w:val="24"/>
              </w:rPr>
              <w:t>Latvijas Pastāvīgās pārstāvniecības Eiropas Savienībā darbības spēju stiprināšanai</w:t>
            </w:r>
            <w:r w:rsidR="00153122">
              <w:rPr>
                <w:b w:val="0"/>
                <w:iCs/>
                <w:sz w:val="24"/>
              </w:rPr>
              <w:t>.</w:t>
            </w:r>
          </w:p>
          <w:p w:rsidR="00791590" w:rsidRDefault="00791590" w:rsidP="00791590">
            <w:pPr>
              <w:rPr>
                <w:lang w:eastAsia="en-US"/>
              </w:rPr>
            </w:pPr>
          </w:p>
          <w:p w:rsidR="00334169" w:rsidRPr="00791590" w:rsidRDefault="00334169" w:rsidP="00791590">
            <w:pPr>
              <w:rPr>
                <w:lang w:eastAsia="en-US"/>
              </w:rPr>
            </w:pPr>
          </w:p>
        </w:tc>
      </w:tr>
      <w:tr w:rsidR="008E31E5" w:rsidRPr="00D701E4" w:rsidTr="00685725">
        <w:trPr>
          <w:gridAfter w:val="3"/>
          <w:wAfter w:w="663" w:type="dxa"/>
          <w:trHeight w:val="236"/>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5.</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Projekta izstrādē iesaistītās institūcijas</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Default="00055A83" w:rsidP="00222D55">
            <w:pPr>
              <w:spacing w:before="75" w:after="75"/>
            </w:pPr>
            <w:r w:rsidRPr="00D701E4">
              <w:t>Ārlietu ministrija</w:t>
            </w:r>
            <w:r w:rsidR="00D24074" w:rsidRPr="00D701E4">
              <w:t>.</w:t>
            </w:r>
          </w:p>
          <w:p w:rsidR="00334169" w:rsidRPr="00D701E4" w:rsidRDefault="00334169" w:rsidP="00222D55">
            <w:pPr>
              <w:spacing w:before="75" w:after="75"/>
            </w:pPr>
          </w:p>
        </w:tc>
      </w:tr>
      <w:tr w:rsidR="008E31E5" w:rsidRPr="00D701E4" w:rsidTr="00685725">
        <w:trPr>
          <w:gridAfter w:val="3"/>
          <w:wAfter w:w="663" w:type="dxa"/>
          <w:trHeight w:val="498"/>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6.</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Iemesli, kādēļ netika nodrošināta sabiedrības līdzdalība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8E31E5" w:rsidRDefault="00222D55" w:rsidP="00055A83">
            <w:pPr>
              <w:spacing w:before="75" w:after="75"/>
              <w:ind w:right="180"/>
              <w:jc w:val="both"/>
            </w:pPr>
            <w:r w:rsidRPr="00D701E4">
              <w:t>Projekts attiecas tikai uz valsts pārvaldes funkciju nodrošināšanu.</w:t>
            </w:r>
          </w:p>
          <w:p w:rsidR="00334169" w:rsidRPr="00D701E4" w:rsidRDefault="00334169" w:rsidP="00055A83">
            <w:pPr>
              <w:spacing w:before="75" w:after="75"/>
              <w:ind w:right="180"/>
              <w:jc w:val="both"/>
            </w:pPr>
          </w:p>
        </w:tc>
      </w:tr>
      <w:tr w:rsidR="008E31E5" w:rsidRPr="00D701E4" w:rsidTr="00685725">
        <w:trPr>
          <w:gridAfter w:val="3"/>
          <w:wAfter w:w="663" w:type="dxa"/>
          <w:trHeight w:val="379"/>
          <w:tblCellSpacing w:w="0" w:type="dxa"/>
        </w:trPr>
        <w:tc>
          <w:tcPr>
            <w:tcW w:w="466" w:type="dxa"/>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7.</w:t>
            </w:r>
          </w:p>
        </w:tc>
        <w:tc>
          <w:tcPr>
            <w:tcW w:w="3345" w:type="dxa"/>
            <w:gridSpan w:val="4"/>
            <w:tcBorders>
              <w:top w:val="outset" w:sz="6" w:space="0" w:color="auto"/>
              <w:left w:val="outset" w:sz="6" w:space="0" w:color="auto"/>
              <w:bottom w:val="outset" w:sz="6" w:space="0" w:color="auto"/>
              <w:right w:val="outset" w:sz="6" w:space="0" w:color="auto"/>
            </w:tcBorders>
            <w:shd w:val="clear" w:color="auto" w:fill="auto"/>
          </w:tcPr>
          <w:p w:rsidR="008E31E5" w:rsidRPr="00D701E4" w:rsidRDefault="008E31E5" w:rsidP="003C3B89">
            <w:pPr>
              <w:spacing w:before="75" w:after="75"/>
            </w:pPr>
            <w:r w:rsidRPr="00D701E4">
              <w:t> Cita informācija</w:t>
            </w:r>
          </w:p>
        </w:tc>
        <w:tc>
          <w:tcPr>
            <w:tcW w:w="5648" w:type="dxa"/>
            <w:gridSpan w:val="5"/>
            <w:tcBorders>
              <w:top w:val="outset" w:sz="6" w:space="0" w:color="auto"/>
              <w:left w:val="outset" w:sz="6" w:space="0" w:color="auto"/>
              <w:bottom w:val="outset" w:sz="6" w:space="0" w:color="auto"/>
              <w:right w:val="outset" w:sz="6" w:space="0" w:color="auto"/>
            </w:tcBorders>
            <w:shd w:val="clear" w:color="auto" w:fill="auto"/>
          </w:tcPr>
          <w:p w:rsidR="00334169" w:rsidRDefault="00A1601B" w:rsidP="00FF01EC">
            <w:pPr>
              <w:spacing w:before="75" w:after="75"/>
              <w:jc w:val="both"/>
            </w:pPr>
            <w:r w:rsidRPr="00D701E4">
              <w:t>Nav.</w:t>
            </w:r>
          </w:p>
          <w:p w:rsidR="00334169" w:rsidRPr="00D701E4" w:rsidRDefault="00334169" w:rsidP="00FF01EC">
            <w:pPr>
              <w:spacing w:before="75" w:after="75"/>
              <w:jc w:val="both"/>
            </w:pPr>
          </w:p>
        </w:tc>
      </w:tr>
      <w:tr w:rsidR="00334169" w:rsidRPr="002405FE"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323"/>
          <w:jc w:val="center"/>
        </w:trPr>
        <w:tc>
          <w:tcPr>
            <w:tcW w:w="9474" w:type="dxa"/>
            <w:gridSpan w:val="11"/>
          </w:tcPr>
          <w:p w:rsidR="00334169" w:rsidRPr="002405FE" w:rsidRDefault="00334169" w:rsidP="00685725">
            <w:pPr>
              <w:pStyle w:val="naisnod"/>
              <w:spacing w:before="0" w:after="0"/>
              <w:jc w:val="center"/>
              <w:rPr>
                <w:b/>
                <w:i/>
              </w:rPr>
            </w:pPr>
            <w:r w:rsidRPr="00901868">
              <w:br w:type="page"/>
            </w:r>
            <w:r w:rsidRPr="002405FE">
              <w:rPr>
                <w:b/>
              </w:rPr>
              <w:t>III. Tiesību akta projekta ietekme uz valsts budžetu un pašvaldību budžetiem</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34"/>
          <w:jc w:val="center"/>
        </w:trPr>
        <w:tc>
          <w:tcPr>
            <w:tcW w:w="1670" w:type="dxa"/>
            <w:vMerge w:val="restart"/>
            <w:vAlign w:val="center"/>
          </w:tcPr>
          <w:p w:rsidR="00334169" w:rsidRPr="00901868" w:rsidRDefault="00334169" w:rsidP="00685725">
            <w:pPr>
              <w:pStyle w:val="naisf"/>
              <w:spacing w:before="0" w:after="0"/>
              <w:jc w:val="center"/>
              <w:rPr>
                <w:b/>
              </w:rPr>
            </w:pPr>
            <w:r w:rsidRPr="00901868">
              <w:rPr>
                <w:b/>
              </w:rPr>
              <w:t>Rādītāji</w:t>
            </w:r>
          </w:p>
        </w:tc>
        <w:tc>
          <w:tcPr>
            <w:tcW w:w="2724" w:type="dxa"/>
            <w:gridSpan w:val="3"/>
            <w:vMerge w:val="restart"/>
            <w:vAlign w:val="center"/>
          </w:tcPr>
          <w:p w:rsidR="00334169" w:rsidRPr="00901868" w:rsidRDefault="00334169" w:rsidP="00685725">
            <w:pPr>
              <w:pStyle w:val="naisf"/>
              <w:spacing w:before="0" w:after="0"/>
              <w:jc w:val="center"/>
              <w:rPr>
                <w:b/>
              </w:rPr>
            </w:pPr>
            <w:r w:rsidRPr="00901868">
              <w:rPr>
                <w:b/>
              </w:rPr>
              <w:t>201</w:t>
            </w:r>
            <w:r>
              <w:rPr>
                <w:b/>
              </w:rPr>
              <w:t>2</w:t>
            </w:r>
            <w:r w:rsidRPr="00901868">
              <w:rPr>
                <w:b/>
              </w:rPr>
              <w:t>. gads</w:t>
            </w:r>
          </w:p>
        </w:tc>
        <w:tc>
          <w:tcPr>
            <w:tcW w:w="5080" w:type="dxa"/>
            <w:gridSpan w:val="7"/>
            <w:vAlign w:val="center"/>
          </w:tcPr>
          <w:p w:rsidR="00334169" w:rsidRPr="00901868" w:rsidRDefault="00334169" w:rsidP="00685725">
            <w:pPr>
              <w:pStyle w:val="naisf"/>
              <w:spacing w:before="0" w:after="0"/>
              <w:jc w:val="center"/>
              <w:rPr>
                <w:b/>
                <w:i/>
              </w:rPr>
            </w:pPr>
            <w:r w:rsidRPr="00901868">
              <w:t>Turpmākie trīs gadi (tūkst</w:t>
            </w:r>
            <w:smartTag w:uri="schemas-tilde-lv/tildestengine" w:element="currency2">
              <w:smartTagPr>
                <w:attr w:name="currency_id" w:val="48"/>
                <w:attr w:name="currency_key" w:val="LVL"/>
                <w:attr w:name="currency_value" w:val="."/>
                <w:attr w:name="currency_text" w:val="latu"/>
              </w:smartTagPr>
              <w:r w:rsidRPr="00901868">
                <w:t>. latu</w:t>
              </w:r>
            </w:smartTag>
            <w:r w:rsidRPr="00901868">
              <w:t>)</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vAlign w:val="center"/>
          </w:tcPr>
          <w:p w:rsidR="00334169" w:rsidRPr="00901868" w:rsidRDefault="00334169" w:rsidP="00685725">
            <w:pPr>
              <w:pStyle w:val="naisf"/>
              <w:spacing w:before="0" w:after="0"/>
              <w:jc w:val="center"/>
              <w:rPr>
                <w:b/>
                <w:i/>
              </w:rPr>
            </w:pPr>
          </w:p>
        </w:tc>
        <w:tc>
          <w:tcPr>
            <w:tcW w:w="2724" w:type="dxa"/>
            <w:gridSpan w:val="3"/>
            <w:vMerge/>
            <w:vAlign w:val="center"/>
          </w:tcPr>
          <w:p w:rsidR="00334169" w:rsidRPr="00901868" w:rsidRDefault="00334169" w:rsidP="00685725">
            <w:pPr>
              <w:pStyle w:val="naisf"/>
              <w:spacing w:before="0" w:after="0"/>
              <w:jc w:val="center"/>
              <w:rPr>
                <w:b/>
                <w:i/>
              </w:rPr>
            </w:pPr>
          </w:p>
        </w:tc>
        <w:tc>
          <w:tcPr>
            <w:tcW w:w="1377" w:type="dxa"/>
            <w:gridSpan w:val="2"/>
            <w:vAlign w:val="center"/>
          </w:tcPr>
          <w:p w:rsidR="00334169" w:rsidRPr="00901868" w:rsidRDefault="00334169" w:rsidP="00685725">
            <w:pPr>
              <w:pStyle w:val="naisf"/>
              <w:spacing w:before="0" w:after="0"/>
              <w:jc w:val="center"/>
              <w:rPr>
                <w:b/>
                <w:i/>
              </w:rPr>
            </w:pPr>
            <w:r w:rsidRPr="00901868">
              <w:rPr>
                <w:b/>
                <w:bCs/>
              </w:rPr>
              <w:t>201</w:t>
            </w:r>
            <w:r>
              <w:rPr>
                <w:b/>
                <w:bCs/>
              </w:rPr>
              <w:t>3</w:t>
            </w:r>
          </w:p>
        </w:tc>
        <w:tc>
          <w:tcPr>
            <w:tcW w:w="1363" w:type="dxa"/>
            <w:vAlign w:val="center"/>
          </w:tcPr>
          <w:p w:rsidR="00334169" w:rsidRPr="00901868" w:rsidRDefault="00334169" w:rsidP="00685725">
            <w:pPr>
              <w:pStyle w:val="naisf"/>
              <w:spacing w:before="0" w:after="0"/>
              <w:jc w:val="center"/>
              <w:rPr>
                <w:b/>
                <w:i/>
              </w:rPr>
            </w:pPr>
            <w:r w:rsidRPr="00901868">
              <w:rPr>
                <w:b/>
                <w:bCs/>
              </w:rPr>
              <w:t>201</w:t>
            </w:r>
            <w:r>
              <w:rPr>
                <w:b/>
                <w:bCs/>
              </w:rPr>
              <w:t>4</w:t>
            </w:r>
          </w:p>
        </w:tc>
        <w:tc>
          <w:tcPr>
            <w:tcW w:w="2340" w:type="dxa"/>
            <w:gridSpan w:val="4"/>
            <w:vAlign w:val="center"/>
          </w:tcPr>
          <w:p w:rsidR="00334169" w:rsidRPr="00901868" w:rsidRDefault="00334169" w:rsidP="00685725">
            <w:pPr>
              <w:pStyle w:val="naisf"/>
              <w:spacing w:before="0" w:after="0"/>
              <w:jc w:val="center"/>
              <w:rPr>
                <w:b/>
                <w:i/>
              </w:rPr>
            </w:pPr>
            <w:r w:rsidRPr="00901868">
              <w:rPr>
                <w:b/>
                <w:bCs/>
              </w:rPr>
              <w:t>201</w:t>
            </w:r>
            <w:r>
              <w:rPr>
                <w:b/>
                <w:bCs/>
              </w:rPr>
              <w:t>5</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vAlign w:val="center"/>
          </w:tcPr>
          <w:p w:rsidR="00334169" w:rsidRPr="00901868" w:rsidRDefault="00334169" w:rsidP="00685725">
            <w:pPr>
              <w:pStyle w:val="naisf"/>
              <w:spacing w:before="0" w:after="0"/>
              <w:jc w:val="center"/>
              <w:rPr>
                <w:b/>
                <w:i/>
              </w:rPr>
            </w:pPr>
          </w:p>
        </w:tc>
        <w:tc>
          <w:tcPr>
            <w:tcW w:w="1324" w:type="dxa"/>
            <w:vAlign w:val="center"/>
          </w:tcPr>
          <w:p w:rsidR="00334169" w:rsidRPr="00901868" w:rsidRDefault="00334169" w:rsidP="00685725">
            <w:pPr>
              <w:pStyle w:val="naisf"/>
              <w:spacing w:before="0" w:after="0"/>
              <w:jc w:val="center"/>
              <w:rPr>
                <w:b/>
                <w:i/>
              </w:rPr>
            </w:pPr>
            <w:r w:rsidRPr="00901868">
              <w:t>Saskaņā ar valsts budžetu kārtējam gadam</w:t>
            </w:r>
          </w:p>
        </w:tc>
        <w:tc>
          <w:tcPr>
            <w:tcW w:w="1400" w:type="dxa"/>
            <w:gridSpan w:val="2"/>
            <w:vAlign w:val="center"/>
          </w:tcPr>
          <w:p w:rsidR="00334169" w:rsidRPr="00901868" w:rsidRDefault="00334169" w:rsidP="00685725">
            <w:pPr>
              <w:pStyle w:val="naisf"/>
              <w:spacing w:before="0" w:after="0"/>
              <w:jc w:val="center"/>
              <w:rPr>
                <w:b/>
                <w:i/>
              </w:rPr>
            </w:pPr>
            <w:r w:rsidRPr="00901868">
              <w:t>Izmaiņas kārtējā gadā, salīdzinot ar budžetu kārtējam gadam</w:t>
            </w:r>
          </w:p>
        </w:tc>
        <w:tc>
          <w:tcPr>
            <w:tcW w:w="1377" w:type="dxa"/>
            <w:gridSpan w:val="2"/>
            <w:vAlign w:val="center"/>
          </w:tcPr>
          <w:p w:rsidR="00334169" w:rsidRPr="00901868" w:rsidRDefault="00334169" w:rsidP="00685725">
            <w:pPr>
              <w:pStyle w:val="naisf"/>
              <w:spacing w:before="0" w:after="0"/>
              <w:jc w:val="center"/>
              <w:rPr>
                <w:b/>
                <w:i/>
              </w:rPr>
            </w:pPr>
            <w:r w:rsidRPr="00901868">
              <w:t>Izmaiņas, salīdzinot ar kārtējo (n) gadu</w:t>
            </w:r>
          </w:p>
        </w:tc>
        <w:tc>
          <w:tcPr>
            <w:tcW w:w="1363" w:type="dxa"/>
            <w:vAlign w:val="center"/>
          </w:tcPr>
          <w:p w:rsidR="00334169" w:rsidRPr="00901868" w:rsidRDefault="00334169" w:rsidP="00685725">
            <w:pPr>
              <w:pStyle w:val="naisf"/>
              <w:spacing w:before="0" w:after="0"/>
              <w:jc w:val="center"/>
              <w:rPr>
                <w:b/>
                <w:i/>
              </w:rPr>
            </w:pPr>
            <w:r w:rsidRPr="00901868">
              <w:t>Izmaiņas, salīdzinot ar kārtējo (n) gadu</w:t>
            </w:r>
          </w:p>
        </w:tc>
        <w:tc>
          <w:tcPr>
            <w:tcW w:w="2340" w:type="dxa"/>
            <w:gridSpan w:val="4"/>
            <w:vAlign w:val="center"/>
          </w:tcPr>
          <w:p w:rsidR="00334169" w:rsidRPr="00901868" w:rsidRDefault="00334169" w:rsidP="00685725">
            <w:pPr>
              <w:pStyle w:val="naisf"/>
              <w:spacing w:before="0" w:after="0"/>
              <w:jc w:val="center"/>
              <w:rPr>
                <w:b/>
                <w:i/>
              </w:rPr>
            </w:pPr>
            <w:r w:rsidRPr="00901868">
              <w:t>Izmaiņas, salīdzinot ar kārtējo (n) gadu</w:t>
            </w:r>
          </w:p>
        </w:tc>
      </w:tr>
      <w:tr w:rsidR="00334169" w:rsidRPr="0090186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41"/>
          <w:jc w:val="center"/>
        </w:trPr>
        <w:tc>
          <w:tcPr>
            <w:tcW w:w="1670" w:type="dxa"/>
            <w:vAlign w:val="center"/>
          </w:tcPr>
          <w:p w:rsidR="00334169" w:rsidRPr="00901868" w:rsidRDefault="00334169" w:rsidP="00685725">
            <w:pPr>
              <w:pStyle w:val="naisf"/>
              <w:spacing w:before="0" w:after="0"/>
              <w:jc w:val="center"/>
              <w:rPr>
                <w:bCs/>
              </w:rPr>
            </w:pPr>
            <w:r w:rsidRPr="00901868">
              <w:rPr>
                <w:bCs/>
              </w:rPr>
              <w:lastRenderedPageBreak/>
              <w:t>1</w:t>
            </w:r>
          </w:p>
        </w:tc>
        <w:tc>
          <w:tcPr>
            <w:tcW w:w="1324" w:type="dxa"/>
            <w:vAlign w:val="center"/>
          </w:tcPr>
          <w:p w:rsidR="00334169" w:rsidRPr="00901868" w:rsidRDefault="00334169" w:rsidP="00685725">
            <w:pPr>
              <w:pStyle w:val="naisf"/>
              <w:spacing w:before="0" w:after="0"/>
              <w:jc w:val="center"/>
              <w:rPr>
                <w:bCs/>
              </w:rPr>
            </w:pPr>
            <w:r w:rsidRPr="00901868">
              <w:rPr>
                <w:bCs/>
              </w:rPr>
              <w:t>2</w:t>
            </w:r>
          </w:p>
        </w:tc>
        <w:tc>
          <w:tcPr>
            <w:tcW w:w="1400" w:type="dxa"/>
            <w:gridSpan w:val="2"/>
            <w:vAlign w:val="center"/>
          </w:tcPr>
          <w:p w:rsidR="00334169" w:rsidRPr="00901868" w:rsidRDefault="00334169" w:rsidP="00685725">
            <w:pPr>
              <w:pStyle w:val="naisf"/>
              <w:spacing w:before="0" w:after="0"/>
              <w:jc w:val="center"/>
              <w:rPr>
                <w:bCs/>
              </w:rPr>
            </w:pPr>
            <w:r w:rsidRPr="00901868">
              <w:rPr>
                <w:bCs/>
              </w:rPr>
              <w:t>3</w:t>
            </w:r>
          </w:p>
        </w:tc>
        <w:tc>
          <w:tcPr>
            <w:tcW w:w="1377" w:type="dxa"/>
            <w:gridSpan w:val="2"/>
            <w:vAlign w:val="center"/>
          </w:tcPr>
          <w:p w:rsidR="00334169" w:rsidRPr="00901868" w:rsidRDefault="00334169" w:rsidP="00685725">
            <w:pPr>
              <w:pStyle w:val="naisf"/>
              <w:spacing w:before="0" w:after="0"/>
              <w:jc w:val="center"/>
              <w:rPr>
                <w:bCs/>
              </w:rPr>
            </w:pPr>
            <w:r w:rsidRPr="00901868">
              <w:rPr>
                <w:bCs/>
              </w:rPr>
              <w:t>4</w:t>
            </w:r>
          </w:p>
        </w:tc>
        <w:tc>
          <w:tcPr>
            <w:tcW w:w="1363" w:type="dxa"/>
            <w:vAlign w:val="center"/>
          </w:tcPr>
          <w:p w:rsidR="00334169" w:rsidRPr="00901868" w:rsidRDefault="00334169" w:rsidP="00685725">
            <w:pPr>
              <w:pStyle w:val="naisf"/>
              <w:spacing w:before="0" w:after="0"/>
              <w:jc w:val="center"/>
              <w:rPr>
                <w:bCs/>
              </w:rPr>
            </w:pPr>
            <w:r w:rsidRPr="00901868">
              <w:rPr>
                <w:bCs/>
              </w:rPr>
              <w:t>5</w:t>
            </w:r>
          </w:p>
        </w:tc>
        <w:tc>
          <w:tcPr>
            <w:tcW w:w="2340" w:type="dxa"/>
            <w:gridSpan w:val="4"/>
            <w:vAlign w:val="center"/>
          </w:tcPr>
          <w:p w:rsidR="00334169" w:rsidRPr="00901868" w:rsidRDefault="00334169" w:rsidP="00685725">
            <w:pPr>
              <w:pStyle w:val="naisf"/>
              <w:spacing w:before="0" w:after="0"/>
              <w:jc w:val="center"/>
              <w:rPr>
                <w:bCs/>
              </w:rPr>
            </w:pPr>
            <w:r w:rsidRPr="00901868">
              <w:rPr>
                <w:bCs/>
              </w:rPr>
              <w:t>6</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34169" w:rsidRPr="00901868" w:rsidRDefault="00334169" w:rsidP="00685725">
            <w:pPr>
              <w:pStyle w:val="naisf"/>
              <w:spacing w:before="0" w:after="0"/>
              <w:rPr>
                <w:i/>
              </w:rPr>
            </w:pPr>
            <w:r w:rsidRPr="00901868">
              <w:t>1. Budžeta ieņēmumi:</w:t>
            </w:r>
          </w:p>
        </w:tc>
        <w:tc>
          <w:tcPr>
            <w:tcW w:w="1324" w:type="dxa"/>
          </w:tcPr>
          <w:p w:rsidR="00334169" w:rsidRPr="00BD7AD4" w:rsidRDefault="00334169" w:rsidP="00685725">
            <w:pPr>
              <w:pStyle w:val="naisf"/>
              <w:spacing w:before="0" w:after="0"/>
              <w:jc w:val="center"/>
            </w:pPr>
            <w:r>
              <w:t>65,8</w:t>
            </w:r>
          </w:p>
        </w:tc>
        <w:tc>
          <w:tcPr>
            <w:tcW w:w="1400" w:type="dxa"/>
            <w:gridSpan w:val="2"/>
          </w:tcPr>
          <w:p w:rsidR="00334169" w:rsidRPr="00BD7AD4" w:rsidRDefault="00334169" w:rsidP="00685725">
            <w:pPr>
              <w:pStyle w:val="naisf"/>
              <w:spacing w:before="0" w:after="0"/>
              <w:jc w:val="center"/>
            </w:pPr>
            <w:r>
              <w:t>0</w:t>
            </w:r>
          </w:p>
        </w:tc>
        <w:tc>
          <w:tcPr>
            <w:tcW w:w="1377" w:type="dxa"/>
            <w:gridSpan w:val="2"/>
          </w:tcPr>
          <w:p w:rsidR="00334169" w:rsidRPr="00BD7AD4" w:rsidRDefault="00334169" w:rsidP="00685725">
            <w:pPr>
              <w:pStyle w:val="naisf"/>
              <w:spacing w:before="0" w:after="0"/>
              <w:jc w:val="center"/>
            </w:pPr>
            <w:r>
              <w:t>0</w:t>
            </w:r>
          </w:p>
        </w:tc>
        <w:tc>
          <w:tcPr>
            <w:tcW w:w="1363" w:type="dxa"/>
          </w:tcPr>
          <w:p w:rsidR="00334169" w:rsidRPr="00BD7AD4" w:rsidRDefault="00334169" w:rsidP="00685725">
            <w:pPr>
              <w:pStyle w:val="naisf"/>
              <w:spacing w:before="0" w:after="0"/>
              <w:jc w:val="center"/>
            </w:pPr>
            <w:r>
              <w:t>0</w:t>
            </w:r>
          </w:p>
        </w:tc>
        <w:tc>
          <w:tcPr>
            <w:tcW w:w="2340" w:type="dxa"/>
            <w:gridSpan w:val="4"/>
          </w:tcPr>
          <w:p w:rsidR="00334169" w:rsidRPr="00BD7AD4" w:rsidRDefault="00334169" w:rsidP="00685725">
            <w:pPr>
              <w:pStyle w:val="naisf"/>
              <w:spacing w:before="0" w:after="0"/>
              <w:jc w:val="center"/>
            </w:pPr>
            <w:r>
              <w:t>0</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228"/>
          <w:jc w:val="center"/>
        </w:trPr>
        <w:tc>
          <w:tcPr>
            <w:tcW w:w="1670" w:type="dxa"/>
          </w:tcPr>
          <w:p w:rsidR="00334169" w:rsidRPr="00901868" w:rsidRDefault="00334169" w:rsidP="00685725">
            <w:pPr>
              <w:pStyle w:val="naisf"/>
              <w:spacing w:before="0" w:after="0"/>
              <w:rPr>
                <w:i/>
              </w:rPr>
            </w:pPr>
            <w:r w:rsidRPr="00901868">
              <w:t>1.1. valsts pamatbudžets, tai skaitā ieņēmumi no maksas pakalpo-</w:t>
            </w:r>
            <w:proofErr w:type="spellStart"/>
            <w:r w:rsidRPr="00901868">
              <w:t>jumiem</w:t>
            </w:r>
            <w:proofErr w:type="spellEnd"/>
            <w:r w:rsidRPr="00901868">
              <w:t xml:space="preserve"> un citi pašu ieņēmumi</w:t>
            </w:r>
          </w:p>
        </w:tc>
        <w:tc>
          <w:tcPr>
            <w:tcW w:w="1324" w:type="dxa"/>
          </w:tcPr>
          <w:p w:rsidR="00334169" w:rsidRPr="00BD7AD4" w:rsidRDefault="00334169" w:rsidP="00685725">
            <w:pPr>
              <w:pStyle w:val="naisf"/>
              <w:spacing w:before="0" w:after="0"/>
              <w:jc w:val="center"/>
            </w:pPr>
            <w:r>
              <w:t>65,8</w:t>
            </w:r>
          </w:p>
        </w:tc>
        <w:tc>
          <w:tcPr>
            <w:tcW w:w="1400" w:type="dxa"/>
            <w:gridSpan w:val="2"/>
          </w:tcPr>
          <w:p w:rsidR="00334169" w:rsidRPr="00BD7AD4" w:rsidRDefault="00334169" w:rsidP="00685725">
            <w:pPr>
              <w:pStyle w:val="naisf"/>
              <w:spacing w:before="0" w:after="0"/>
              <w:jc w:val="center"/>
            </w:pPr>
            <w:r>
              <w:t>0</w:t>
            </w:r>
          </w:p>
        </w:tc>
        <w:tc>
          <w:tcPr>
            <w:tcW w:w="1377" w:type="dxa"/>
            <w:gridSpan w:val="2"/>
          </w:tcPr>
          <w:p w:rsidR="00334169" w:rsidRPr="00BD7AD4" w:rsidRDefault="00334169" w:rsidP="00685725">
            <w:pPr>
              <w:pStyle w:val="naisf"/>
              <w:spacing w:before="0" w:after="0"/>
              <w:jc w:val="center"/>
            </w:pPr>
            <w:r>
              <w:t>0</w:t>
            </w:r>
          </w:p>
        </w:tc>
        <w:tc>
          <w:tcPr>
            <w:tcW w:w="1363" w:type="dxa"/>
          </w:tcPr>
          <w:p w:rsidR="00334169" w:rsidRPr="00BD7AD4" w:rsidRDefault="00334169" w:rsidP="00685725">
            <w:pPr>
              <w:pStyle w:val="naisf"/>
              <w:spacing w:before="0" w:after="0"/>
              <w:jc w:val="center"/>
            </w:pPr>
            <w:r>
              <w:t>0</w:t>
            </w:r>
          </w:p>
        </w:tc>
        <w:tc>
          <w:tcPr>
            <w:tcW w:w="2340" w:type="dxa"/>
            <w:gridSpan w:val="4"/>
          </w:tcPr>
          <w:p w:rsidR="00334169" w:rsidRPr="00BD7AD4" w:rsidRDefault="00334169" w:rsidP="00685725">
            <w:pPr>
              <w:pStyle w:val="naisf"/>
              <w:spacing w:before="0" w:after="0"/>
              <w:jc w:val="center"/>
            </w:pPr>
            <w:r>
              <w:t>0</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34169" w:rsidRPr="00901868" w:rsidRDefault="00334169" w:rsidP="00685725">
            <w:pPr>
              <w:pStyle w:val="naisf"/>
              <w:spacing w:before="0" w:after="0"/>
              <w:rPr>
                <w:i/>
              </w:rPr>
            </w:pPr>
            <w:r w:rsidRPr="00901868">
              <w:t>1.2. valsts speciālais budžets</w:t>
            </w:r>
          </w:p>
        </w:tc>
        <w:tc>
          <w:tcPr>
            <w:tcW w:w="1324" w:type="dxa"/>
          </w:tcPr>
          <w:p w:rsidR="00334169" w:rsidRPr="00BD7AD4" w:rsidRDefault="00334169" w:rsidP="00685725">
            <w:pPr>
              <w:pStyle w:val="naisf"/>
              <w:spacing w:before="0" w:after="0"/>
              <w:jc w:val="center"/>
            </w:pPr>
          </w:p>
        </w:tc>
        <w:tc>
          <w:tcPr>
            <w:tcW w:w="1400" w:type="dxa"/>
            <w:gridSpan w:val="2"/>
          </w:tcPr>
          <w:p w:rsidR="00334169" w:rsidRPr="00BD7AD4" w:rsidRDefault="00334169" w:rsidP="00685725">
            <w:pPr>
              <w:pStyle w:val="naisf"/>
              <w:spacing w:before="0" w:after="0"/>
              <w:jc w:val="center"/>
            </w:pPr>
          </w:p>
        </w:tc>
        <w:tc>
          <w:tcPr>
            <w:tcW w:w="1377" w:type="dxa"/>
            <w:gridSpan w:val="2"/>
          </w:tcPr>
          <w:p w:rsidR="00334169" w:rsidRPr="00BD7AD4" w:rsidRDefault="00334169" w:rsidP="00685725">
            <w:pPr>
              <w:pStyle w:val="naisf"/>
              <w:spacing w:before="0" w:after="0"/>
              <w:jc w:val="center"/>
            </w:pPr>
          </w:p>
        </w:tc>
        <w:tc>
          <w:tcPr>
            <w:tcW w:w="1363" w:type="dxa"/>
          </w:tcPr>
          <w:p w:rsidR="00334169" w:rsidRPr="00BD7AD4" w:rsidRDefault="00334169" w:rsidP="00685725">
            <w:pPr>
              <w:pStyle w:val="naisf"/>
              <w:spacing w:before="0" w:after="0"/>
              <w:jc w:val="center"/>
            </w:pPr>
          </w:p>
        </w:tc>
        <w:tc>
          <w:tcPr>
            <w:tcW w:w="2340" w:type="dxa"/>
            <w:gridSpan w:val="4"/>
          </w:tcPr>
          <w:p w:rsidR="00334169" w:rsidRPr="00BD7AD4" w:rsidRDefault="00334169" w:rsidP="00685725">
            <w:pPr>
              <w:pStyle w:val="naisf"/>
              <w:spacing w:before="0" w:after="0"/>
              <w:jc w:val="center"/>
            </w:pP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34169" w:rsidRPr="00901868" w:rsidRDefault="00334169" w:rsidP="00685725">
            <w:pPr>
              <w:pStyle w:val="naisf"/>
              <w:spacing w:before="0" w:after="0"/>
              <w:rPr>
                <w:i/>
              </w:rPr>
            </w:pPr>
            <w:r w:rsidRPr="00901868">
              <w:t>1.3. pašvaldību budžets</w:t>
            </w:r>
          </w:p>
        </w:tc>
        <w:tc>
          <w:tcPr>
            <w:tcW w:w="1324" w:type="dxa"/>
          </w:tcPr>
          <w:p w:rsidR="00334169" w:rsidRPr="00BD7AD4" w:rsidRDefault="00334169" w:rsidP="00685725">
            <w:pPr>
              <w:pStyle w:val="naisf"/>
              <w:spacing w:before="0" w:after="0"/>
              <w:jc w:val="center"/>
            </w:pPr>
          </w:p>
        </w:tc>
        <w:tc>
          <w:tcPr>
            <w:tcW w:w="1400" w:type="dxa"/>
            <w:gridSpan w:val="2"/>
          </w:tcPr>
          <w:p w:rsidR="00334169" w:rsidRPr="00BD7AD4" w:rsidRDefault="00334169" w:rsidP="00685725">
            <w:pPr>
              <w:pStyle w:val="naisf"/>
              <w:spacing w:before="0" w:after="0"/>
              <w:jc w:val="center"/>
            </w:pPr>
          </w:p>
        </w:tc>
        <w:tc>
          <w:tcPr>
            <w:tcW w:w="1377" w:type="dxa"/>
            <w:gridSpan w:val="2"/>
          </w:tcPr>
          <w:p w:rsidR="00334169" w:rsidRPr="00BD7AD4" w:rsidRDefault="00334169" w:rsidP="00685725">
            <w:pPr>
              <w:pStyle w:val="naisf"/>
              <w:spacing w:before="0" w:after="0"/>
              <w:jc w:val="center"/>
            </w:pPr>
          </w:p>
        </w:tc>
        <w:tc>
          <w:tcPr>
            <w:tcW w:w="1363" w:type="dxa"/>
          </w:tcPr>
          <w:p w:rsidR="00334169" w:rsidRPr="00BD7AD4" w:rsidRDefault="00334169" w:rsidP="00685725">
            <w:pPr>
              <w:pStyle w:val="naisf"/>
              <w:spacing w:before="0" w:after="0"/>
              <w:jc w:val="center"/>
            </w:pPr>
          </w:p>
        </w:tc>
        <w:tc>
          <w:tcPr>
            <w:tcW w:w="2340" w:type="dxa"/>
            <w:gridSpan w:val="4"/>
          </w:tcPr>
          <w:p w:rsidR="00334169" w:rsidRPr="00BD7AD4" w:rsidRDefault="00334169" w:rsidP="0068572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901868" w:rsidRDefault="003A64C7" w:rsidP="00685725">
            <w:pPr>
              <w:jc w:val="both"/>
            </w:pPr>
            <w:r w:rsidRPr="00901868">
              <w:t>2. Budžeta izdevumi:</w:t>
            </w:r>
          </w:p>
        </w:tc>
        <w:tc>
          <w:tcPr>
            <w:tcW w:w="1324" w:type="dxa"/>
          </w:tcPr>
          <w:p w:rsidR="003A64C7" w:rsidRPr="00BD7AD4" w:rsidRDefault="003A64C7" w:rsidP="00685725">
            <w:pPr>
              <w:pStyle w:val="naisf"/>
              <w:spacing w:before="0" w:after="0"/>
              <w:jc w:val="center"/>
            </w:pPr>
            <w:r>
              <w:t>65,8</w:t>
            </w:r>
          </w:p>
        </w:tc>
        <w:tc>
          <w:tcPr>
            <w:tcW w:w="1400" w:type="dxa"/>
            <w:gridSpan w:val="2"/>
          </w:tcPr>
          <w:p w:rsidR="003A64C7" w:rsidRPr="00BD7AD4" w:rsidRDefault="003A64C7" w:rsidP="003A64C7">
            <w:pPr>
              <w:pStyle w:val="naisf"/>
              <w:spacing w:before="0" w:after="0"/>
              <w:jc w:val="center"/>
            </w:pPr>
            <w:r>
              <w:t>+ 308,1</w:t>
            </w:r>
          </w:p>
        </w:tc>
        <w:tc>
          <w:tcPr>
            <w:tcW w:w="1377" w:type="dxa"/>
            <w:gridSpan w:val="2"/>
          </w:tcPr>
          <w:p w:rsidR="003A64C7" w:rsidRPr="00BD7AD4" w:rsidRDefault="003A64C7" w:rsidP="003A64C7">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A64C7" w:rsidRPr="00901868" w:rsidRDefault="003A64C7" w:rsidP="00685725">
            <w:pPr>
              <w:jc w:val="both"/>
            </w:pPr>
            <w:r w:rsidRPr="00901868">
              <w:t>2.1. valsts pamatbudžets</w:t>
            </w:r>
          </w:p>
        </w:tc>
        <w:tc>
          <w:tcPr>
            <w:tcW w:w="1324" w:type="dxa"/>
          </w:tcPr>
          <w:p w:rsidR="003A64C7" w:rsidRPr="00BD7AD4" w:rsidRDefault="003A64C7" w:rsidP="00685725">
            <w:pPr>
              <w:pStyle w:val="naisf"/>
              <w:spacing w:before="0" w:after="0"/>
              <w:jc w:val="center"/>
            </w:pPr>
            <w:r>
              <w:t>65,8</w:t>
            </w:r>
          </w:p>
        </w:tc>
        <w:tc>
          <w:tcPr>
            <w:tcW w:w="1400" w:type="dxa"/>
            <w:gridSpan w:val="2"/>
          </w:tcPr>
          <w:p w:rsidR="003A64C7" w:rsidRPr="00BD7AD4" w:rsidRDefault="003A64C7" w:rsidP="003B687A">
            <w:pPr>
              <w:pStyle w:val="naisf"/>
              <w:spacing w:before="0" w:after="0"/>
              <w:jc w:val="center"/>
            </w:pPr>
            <w:r>
              <w:t>+ 308,1</w:t>
            </w:r>
          </w:p>
        </w:tc>
        <w:tc>
          <w:tcPr>
            <w:tcW w:w="1377" w:type="dxa"/>
            <w:gridSpan w:val="2"/>
          </w:tcPr>
          <w:p w:rsidR="003A64C7" w:rsidRPr="00BD7AD4" w:rsidRDefault="003A64C7" w:rsidP="00685725">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901868" w:rsidRDefault="003A64C7" w:rsidP="00685725">
            <w:pPr>
              <w:jc w:val="both"/>
            </w:pPr>
            <w:r w:rsidRPr="00901868">
              <w:t>2.2. valsts speciālais budžets</w:t>
            </w:r>
          </w:p>
        </w:tc>
        <w:tc>
          <w:tcPr>
            <w:tcW w:w="1324" w:type="dxa"/>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center"/>
            </w:pPr>
          </w:p>
        </w:tc>
        <w:tc>
          <w:tcPr>
            <w:tcW w:w="1377" w:type="dxa"/>
            <w:gridSpan w:val="2"/>
          </w:tcPr>
          <w:p w:rsidR="003A64C7" w:rsidRPr="00BD7AD4" w:rsidRDefault="003A64C7" w:rsidP="00685725">
            <w:pPr>
              <w:pStyle w:val="naisf"/>
              <w:spacing w:before="0" w:after="0"/>
              <w:jc w:val="center"/>
            </w:pPr>
          </w:p>
        </w:tc>
        <w:tc>
          <w:tcPr>
            <w:tcW w:w="1363" w:type="dxa"/>
          </w:tcPr>
          <w:p w:rsidR="003A64C7" w:rsidRPr="00BD7AD4" w:rsidRDefault="003A64C7" w:rsidP="00F96EE5">
            <w:pPr>
              <w:pStyle w:val="naisf"/>
              <w:spacing w:before="0" w:after="0"/>
              <w:jc w:val="center"/>
            </w:pPr>
          </w:p>
        </w:tc>
        <w:tc>
          <w:tcPr>
            <w:tcW w:w="2340" w:type="dxa"/>
            <w:gridSpan w:val="4"/>
          </w:tcPr>
          <w:p w:rsidR="003A64C7" w:rsidRPr="00BD7AD4"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2"/>
          <w:jc w:val="center"/>
        </w:trPr>
        <w:tc>
          <w:tcPr>
            <w:tcW w:w="1670" w:type="dxa"/>
          </w:tcPr>
          <w:p w:rsidR="003A64C7" w:rsidRPr="00901868" w:rsidRDefault="003A64C7" w:rsidP="00685725">
            <w:pPr>
              <w:jc w:val="both"/>
            </w:pPr>
            <w:r w:rsidRPr="00901868">
              <w:t xml:space="preserve">2.3. pašvaldību budžets </w:t>
            </w:r>
          </w:p>
        </w:tc>
        <w:tc>
          <w:tcPr>
            <w:tcW w:w="1324" w:type="dxa"/>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center"/>
            </w:pPr>
          </w:p>
        </w:tc>
        <w:tc>
          <w:tcPr>
            <w:tcW w:w="1377" w:type="dxa"/>
            <w:gridSpan w:val="2"/>
          </w:tcPr>
          <w:p w:rsidR="003A64C7" w:rsidRPr="00BD7AD4" w:rsidRDefault="003A64C7" w:rsidP="00685725">
            <w:pPr>
              <w:pStyle w:val="naisf"/>
              <w:spacing w:before="0" w:after="0"/>
              <w:jc w:val="center"/>
            </w:pPr>
          </w:p>
        </w:tc>
        <w:tc>
          <w:tcPr>
            <w:tcW w:w="1363" w:type="dxa"/>
          </w:tcPr>
          <w:p w:rsidR="003A64C7" w:rsidRPr="00BD7AD4" w:rsidRDefault="003A64C7" w:rsidP="00F96EE5">
            <w:pPr>
              <w:pStyle w:val="naisf"/>
              <w:spacing w:before="0" w:after="0"/>
              <w:jc w:val="center"/>
            </w:pPr>
          </w:p>
        </w:tc>
        <w:tc>
          <w:tcPr>
            <w:tcW w:w="2340" w:type="dxa"/>
            <w:gridSpan w:val="4"/>
          </w:tcPr>
          <w:p w:rsidR="003A64C7" w:rsidRPr="00BD7AD4"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901868" w:rsidRDefault="003A64C7" w:rsidP="00685725">
            <w:pPr>
              <w:jc w:val="both"/>
            </w:pPr>
            <w:r w:rsidRPr="00901868">
              <w:t>3. Finansiālā ietekme:</w:t>
            </w:r>
          </w:p>
        </w:tc>
        <w:tc>
          <w:tcPr>
            <w:tcW w:w="1324" w:type="dxa"/>
            <w:shd w:val="clear" w:color="auto" w:fill="auto"/>
            <w:vAlign w:val="center"/>
          </w:tcPr>
          <w:p w:rsidR="003A64C7" w:rsidRPr="00BD7AD4" w:rsidRDefault="003A64C7" w:rsidP="00685725">
            <w:pPr>
              <w:pStyle w:val="naisf"/>
              <w:spacing w:before="0" w:after="0"/>
              <w:jc w:val="center"/>
            </w:pPr>
          </w:p>
        </w:tc>
        <w:tc>
          <w:tcPr>
            <w:tcW w:w="1400" w:type="dxa"/>
            <w:gridSpan w:val="2"/>
          </w:tcPr>
          <w:p w:rsidR="003A64C7" w:rsidRPr="00BD7AD4" w:rsidRDefault="003A64C7" w:rsidP="003A64C7">
            <w:pPr>
              <w:pStyle w:val="naisf"/>
              <w:spacing w:before="0" w:after="0"/>
              <w:jc w:val="center"/>
            </w:pPr>
            <w:r>
              <w:t>-308,1</w:t>
            </w:r>
          </w:p>
        </w:tc>
        <w:tc>
          <w:tcPr>
            <w:tcW w:w="1377" w:type="dxa"/>
            <w:gridSpan w:val="2"/>
          </w:tcPr>
          <w:p w:rsidR="003A64C7" w:rsidRPr="00BD7AD4" w:rsidRDefault="003A64C7" w:rsidP="003A64C7">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A64C7" w:rsidRPr="00901868" w:rsidRDefault="003A64C7" w:rsidP="00685725">
            <w:pPr>
              <w:jc w:val="both"/>
            </w:pPr>
            <w:r w:rsidRPr="00901868">
              <w:t>3.1. valsts pamatbudžets</w:t>
            </w:r>
          </w:p>
        </w:tc>
        <w:tc>
          <w:tcPr>
            <w:tcW w:w="1324" w:type="dxa"/>
            <w:shd w:val="clear" w:color="auto" w:fill="auto"/>
          </w:tcPr>
          <w:p w:rsidR="003A64C7" w:rsidRPr="00BD7AD4" w:rsidRDefault="003A64C7" w:rsidP="00685725">
            <w:pPr>
              <w:pStyle w:val="naisf"/>
              <w:spacing w:before="0" w:after="0"/>
              <w:jc w:val="center"/>
            </w:pPr>
          </w:p>
        </w:tc>
        <w:tc>
          <w:tcPr>
            <w:tcW w:w="1400" w:type="dxa"/>
            <w:gridSpan w:val="2"/>
          </w:tcPr>
          <w:p w:rsidR="003A64C7" w:rsidRPr="00BD7AD4" w:rsidRDefault="003A64C7" w:rsidP="003A64C7">
            <w:pPr>
              <w:pStyle w:val="naisf"/>
              <w:spacing w:before="0" w:after="0"/>
              <w:jc w:val="center"/>
            </w:pPr>
            <w:r>
              <w:t>-308,1</w:t>
            </w:r>
          </w:p>
        </w:tc>
        <w:tc>
          <w:tcPr>
            <w:tcW w:w="1377" w:type="dxa"/>
            <w:gridSpan w:val="2"/>
          </w:tcPr>
          <w:p w:rsidR="003A64C7" w:rsidRPr="00BD7AD4" w:rsidRDefault="003A64C7" w:rsidP="003A64C7">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901868" w:rsidRDefault="003A64C7" w:rsidP="00685725">
            <w:pPr>
              <w:jc w:val="both"/>
            </w:pPr>
            <w:r w:rsidRPr="00901868">
              <w:t>3.2. speciālais budžets</w:t>
            </w:r>
          </w:p>
        </w:tc>
        <w:tc>
          <w:tcPr>
            <w:tcW w:w="1324" w:type="dxa"/>
            <w:shd w:val="clear" w:color="auto" w:fill="auto"/>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center"/>
            </w:pPr>
          </w:p>
        </w:tc>
        <w:tc>
          <w:tcPr>
            <w:tcW w:w="1377" w:type="dxa"/>
            <w:gridSpan w:val="2"/>
          </w:tcPr>
          <w:p w:rsidR="003A64C7" w:rsidRPr="00BD7AD4" w:rsidRDefault="003A64C7" w:rsidP="00685725">
            <w:pPr>
              <w:pStyle w:val="naisf"/>
              <w:spacing w:before="0" w:after="0"/>
              <w:jc w:val="center"/>
            </w:pPr>
          </w:p>
        </w:tc>
        <w:tc>
          <w:tcPr>
            <w:tcW w:w="1363" w:type="dxa"/>
          </w:tcPr>
          <w:p w:rsidR="003A64C7" w:rsidRPr="00BD7AD4" w:rsidRDefault="003A64C7" w:rsidP="00F96EE5">
            <w:pPr>
              <w:pStyle w:val="naisf"/>
              <w:spacing w:before="0" w:after="0"/>
              <w:jc w:val="center"/>
            </w:pPr>
          </w:p>
        </w:tc>
        <w:tc>
          <w:tcPr>
            <w:tcW w:w="2340" w:type="dxa"/>
            <w:gridSpan w:val="4"/>
          </w:tcPr>
          <w:p w:rsidR="003A64C7" w:rsidRPr="00BD7AD4"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901868" w:rsidRDefault="003A64C7" w:rsidP="00685725">
            <w:pPr>
              <w:jc w:val="both"/>
            </w:pPr>
            <w:r w:rsidRPr="00901868">
              <w:t xml:space="preserve">3.3. pašvaldību budžets </w:t>
            </w:r>
          </w:p>
        </w:tc>
        <w:tc>
          <w:tcPr>
            <w:tcW w:w="1324" w:type="dxa"/>
            <w:shd w:val="clear" w:color="auto" w:fill="auto"/>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center"/>
            </w:pPr>
          </w:p>
        </w:tc>
        <w:tc>
          <w:tcPr>
            <w:tcW w:w="1377" w:type="dxa"/>
            <w:gridSpan w:val="2"/>
          </w:tcPr>
          <w:p w:rsidR="003A64C7" w:rsidRPr="00BD7AD4" w:rsidRDefault="003A64C7" w:rsidP="00685725">
            <w:pPr>
              <w:pStyle w:val="naisf"/>
              <w:spacing w:before="0" w:after="0"/>
              <w:jc w:val="center"/>
            </w:pPr>
          </w:p>
        </w:tc>
        <w:tc>
          <w:tcPr>
            <w:tcW w:w="1363" w:type="dxa"/>
          </w:tcPr>
          <w:p w:rsidR="003A64C7" w:rsidRPr="00BD7AD4" w:rsidRDefault="003A64C7" w:rsidP="00F96EE5">
            <w:pPr>
              <w:pStyle w:val="naisf"/>
              <w:spacing w:before="0" w:after="0"/>
              <w:jc w:val="center"/>
            </w:pPr>
          </w:p>
        </w:tc>
        <w:tc>
          <w:tcPr>
            <w:tcW w:w="2340" w:type="dxa"/>
            <w:gridSpan w:val="4"/>
          </w:tcPr>
          <w:p w:rsidR="003A64C7" w:rsidRPr="00BD7AD4" w:rsidRDefault="003A64C7" w:rsidP="00F96EE5">
            <w:pPr>
              <w:pStyle w:val="naisf"/>
              <w:spacing w:before="0" w:after="0"/>
              <w:jc w:val="center"/>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134"/>
          <w:jc w:val="center"/>
        </w:trPr>
        <w:tc>
          <w:tcPr>
            <w:tcW w:w="1670" w:type="dxa"/>
            <w:vMerge w:val="restart"/>
          </w:tcPr>
          <w:p w:rsidR="003A64C7" w:rsidRPr="00901868" w:rsidRDefault="003A64C7" w:rsidP="00685725">
            <w:pPr>
              <w:jc w:val="both"/>
            </w:pPr>
            <w:r w:rsidRPr="00901868">
              <w:t>4. Finanšu līdzekļi papildu izde</w:t>
            </w:r>
            <w:r w:rsidRPr="00901868">
              <w:softHyphen/>
              <w:t>vumu finansēšanai (kompensējošu izdevumu samazinājumu norāda ar "+" zīmi)</w:t>
            </w:r>
          </w:p>
        </w:tc>
        <w:tc>
          <w:tcPr>
            <w:tcW w:w="1324" w:type="dxa"/>
            <w:vMerge w:val="restart"/>
          </w:tcPr>
          <w:p w:rsidR="003A64C7" w:rsidRPr="00BD7AD4" w:rsidRDefault="003A64C7" w:rsidP="00685725">
            <w:pPr>
              <w:pStyle w:val="naisf"/>
              <w:spacing w:before="0" w:after="0"/>
              <w:jc w:val="center"/>
            </w:pPr>
            <w:r w:rsidRPr="00BD7AD4">
              <w:t>X</w:t>
            </w:r>
          </w:p>
        </w:tc>
        <w:tc>
          <w:tcPr>
            <w:tcW w:w="1400" w:type="dxa"/>
            <w:gridSpan w:val="2"/>
          </w:tcPr>
          <w:p w:rsidR="003A64C7" w:rsidRPr="00BD7AD4" w:rsidRDefault="003A64C7" w:rsidP="003A64C7">
            <w:pPr>
              <w:pStyle w:val="naisf"/>
              <w:spacing w:before="0" w:after="0"/>
              <w:jc w:val="center"/>
            </w:pPr>
            <w:r>
              <w:t>+ 308,1</w:t>
            </w:r>
          </w:p>
        </w:tc>
        <w:tc>
          <w:tcPr>
            <w:tcW w:w="1377" w:type="dxa"/>
            <w:gridSpan w:val="2"/>
          </w:tcPr>
          <w:p w:rsidR="003A64C7" w:rsidRPr="00BD7AD4" w:rsidRDefault="003A64C7" w:rsidP="00685725">
            <w:pPr>
              <w:pStyle w:val="naisf"/>
              <w:spacing w:before="0" w:after="0"/>
              <w:jc w:val="left"/>
            </w:pPr>
          </w:p>
        </w:tc>
        <w:tc>
          <w:tcPr>
            <w:tcW w:w="1363" w:type="dxa"/>
          </w:tcPr>
          <w:p w:rsidR="003A64C7" w:rsidRPr="00BD7AD4" w:rsidRDefault="003A64C7" w:rsidP="00F96EE5">
            <w:pPr>
              <w:pStyle w:val="naisf"/>
              <w:spacing w:before="0" w:after="0"/>
              <w:jc w:val="left"/>
            </w:pPr>
          </w:p>
        </w:tc>
        <w:tc>
          <w:tcPr>
            <w:tcW w:w="2340" w:type="dxa"/>
            <w:gridSpan w:val="4"/>
          </w:tcPr>
          <w:p w:rsidR="003A64C7" w:rsidRPr="00BD7AD4"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tcPr>
          <w:p w:rsidR="003A64C7" w:rsidRPr="00901868" w:rsidRDefault="003A64C7" w:rsidP="00685725">
            <w:pPr>
              <w:jc w:val="both"/>
            </w:pPr>
          </w:p>
        </w:tc>
        <w:tc>
          <w:tcPr>
            <w:tcW w:w="1324" w:type="dxa"/>
            <w:vMerge/>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left"/>
            </w:pPr>
          </w:p>
        </w:tc>
        <w:tc>
          <w:tcPr>
            <w:tcW w:w="1377" w:type="dxa"/>
            <w:gridSpan w:val="2"/>
          </w:tcPr>
          <w:p w:rsidR="003A64C7" w:rsidRPr="00BD7AD4" w:rsidRDefault="003A64C7" w:rsidP="00685725">
            <w:pPr>
              <w:pStyle w:val="naisf"/>
              <w:spacing w:before="0" w:after="0"/>
              <w:jc w:val="left"/>
            </w:pPr>
          </w:p>
        </w:tc>
        <w:tc>
          <w:tcPr>
            <w:tcW w:w="1363" w:type="dxa"/>
          </w:tcPr>
          <w:p w:rsidR="003A64C7" w:rsidRPr="00BD7AD4" w:rsidRDefault="003A64C7" w:rsidP="00F96EE5">
            <w:pPr>
              <w:pStyle w:val="naisf"/>
              <w:spacing w:before="0" w:after="0"/>
              <w:jc w:val="left"/>
            </w:pPr>
          </w:p>
        </w:tc>
        <w:tc>
          <w:tcPr>
            <w:tcW w:w="2340" w:type="dxa"/>
            <w:gridSpan w:val="4"/>
          </w:tcPr>
          <w:p w:rsidR="003A64C7" w:rsidRPr="00BD7AD4"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vMerge/>
          </w:tcPr>
          <w:p w:rsidR="003A64C7" w:rsidRPr="00901868" w:rsidRDefault="003A64C7" w:rsidP="00685725">
            <w:pPr>
              <w:jc w:val="both"/>
            </w:pPr>
          </w:p>
        </w:tc>
        <w:tc>
          <w:tcPr>
            <w:tcW w:w="1324" w:type="dxa"/>
            <w:vMerge/>
          </w:tcPr>
          <w:p w:rsidR="003A64C7" w:rsidRPr="00BD7AD4" w:rsidRDefault="003A64C7" w:rsidP="00685725">
            <w:pPr>
              <w:pStyle w:val="naisf"/>
              <w:spacing w:before="0" w:after="0"/>
              <w:jc w:val="center"/>
            </w:pPr>
          </w:p>
        </w:tc>
        <w:tc>
          <w:tcPr>
            <w:tcW w:w="1400" w:type="dxa"/>
            <w:gridSpan w:val="2"/>
          </w:tcPr>
          <w:p w:rsidR="003A64C7" w:rsidRPr="00BD7AD4" w:rsidRDefault="003A64C7" w:rsidP="00685725">
            <w:pPr>
              <w:pStyle w:val="naisf"/>
              <w:spacing w:before="0" w:after="0"/>
              <w:jc w:val="left"/>
            </w:pPr>
          </w:p>
        </w:tc>
        <w:tc>
          <w:tcPr>
            <w:tcW w:w="1377" w:type="dxa"/>
            <w:gridSpan w:val="2"/>
          </w:tcPr>
          <w:p w:rsidR="003A64C7" w:rsidRPr="00BD7AD4" w:rsidRDefault="003A64C7" w:rsidP="00685725">
            <w:pPr>
              <w:pStyle w:val="naisf"/>
              <w:spacing w:before="0" w:after="0"/>
              <w:jc w:val="left"/>
            </w:pPr>
          </w:p>
        </w:tc>
        <w:tc>
          <w:tcPr>
            <w:tcW w:w="1363" w:type="dxa"/>
          </w:tcPr>
          <w:p w:rsidR="003A64C7" w:rsidRPr="00BD7AD4" w:rsidRDefault="003A64C7" w:rsidP="00F96EE5">
            <w:pPr>
              <w:pStyle w:val="naisf"/>
              <w:spacing w:before="0" w:after="0"/>
              <w:jc w:val="left"/>
            </w:pPr>
          </w:p>
        </w:tc>
        <w:tc>
          <w:tcPr>
            <w:tcW w:w="2340" w:type="dxa"/>
            <w:gridSpan w:val="4"/>
          </w:tcPr>
          <w:p w:rsidR="003A64C7" w:rsidRPr="00BD7AD4" w:rsidRDefault="003A64C7" w:rsidP="00F96EE5">
            <w:pPr>
              <w:pStyle w:val="naisf"/>
              <w:spacing w:before="0" w:after="0"/>
              <w:jc w:val="left"/>
            </w:pP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09"/>
          <w:jc w:val="center"/>
        </w:trPr>
        <w:tc>
          <w:tcPr>
            <w:tcW w:w="1670" w:type="dxa"/>
          </w:tcPr>
          <w:p w:rsidR="003A64C7" w:rsidRPr="00901868" w:rsidRDefault="003A64C7" w:rsidP="00685725">
            <w:pPr>
              <w:jc w:val="both"/>
            </w:pPr>
            <w:r w:rsidRPr="00901868">
              <w:t>5. Precizēta finansiālā ietekme:</w:t>
            </w:r>
          </w:p>
        </w:tc>
        <w:tc>
          <w:tcPr>
            <w:tcW w:w="1324" w:type="dxa"/>
            <w:vMerge w:val="restart"/>
          </w:tcPr>
          <w:p w:rsidR="003A64C7" w:rsidRPr="00A54A3A" w:rsidRDefault="003A64C7" w:rsidP="00685725">
            <w:pPr>
              <w:pStyle w:val="naisf"/>
              <w:jc w:val="center"/>
            </w:pPr>
            <w:r w:rsidRPr="00A54A3A">
              <w:t>X</w:t>
            </w:r>
          </w:p>
        </w:tc>
        <w:tc>
          <w:tcPr>
            <w:tcW w:w="1400" w:type="dxa"/>
            <w:gridSpan w:val="2"/>
          </w:tcPr>
          <w:p w:rsidR="003A64C7" w:rsidRPr="00BD7AD4" w:rsidRDefault="003A64C7" w:rsidP="00685725">
            <w:pPr>
              <w:pStyle w:val="naisf"/>
              <w:spacing w:before="0" w:after="0"/>
              <w:jc w:val="center"/>
            </w:pPr>
            <w:r>
              <w:t>0</w:t>
            </w:r>
          </w:p>
        </w:tc>
        <w:tc>
          <w:tcPr>
            <w:tcW w:w="1377" w:type="dxa"/>
            <w:gridSpan w:val="2"/>
          </w:tcPr>
          <w:p w:rsidR="003A64C7" w:rsidRPr="00BD7AD4" w:rsidRDefault="003A64C7" w:rsidP="003A64C7">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A64C7"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68"/>
          <w:jc w:val="center"/>
        </w:trPr>
        <w:tc>
          <w:tcPr>
            <w:tcW w:w="1670" w:type="dxa"/>
          </w:tcPr>
          <w:p w:rsidR="003A64C7" w:rsidRPr="00901868" w:rsidRDefault="003A64C7" w:rsidP="00685725">
            <w:pPr>
              <w:jc w:val="both"/>
            </w:pPr>
            <w:r w:rsidRPr="00901868">
              <w:t xml:space="preserve">5.1. valsts </w:t>
            </w:r>
            <w:r w:rsidRPr="00901868">
              <w:lastRenderedPageBreak/>
              <w:t>pamatbudžets</w:t>
            </w:r>
          </w:p>
        </w:tc>
        <w:tc>
          <w:tcPr>
            <w:tcW w:w="1324" w:type="dxa"/>
            <w:vMerge/>
            <w:vAlign w:val="center"/>
          </w:tcPr>
          <w:p w:rsidR="003A64C7" w:rsidRPr="00A54A3A" w:rsidRDefault="003A64C7" w:rsidP="00685725">
            <w:pPr>
              <w:pStyle w:val="naisf"/>
              <w:jc w:val="center"/>
            </w:pPr>
          </w:p>
        </w:tc>
        <w:tc>
          <w:tcPr>
            <w:tcW w:w="1400" w:type="dxa"/>
            <w:gridSpan w:val="2"/>
          </w:tcPr>
          <w:p w:rsidR="003A64C7" w:rsidRPr="00BD7AD4" w:rsidRDefault="003A64C7" w:rsidP="00685725">
            <w:pPr>
              <w:pStyle w:val="naisf"/>
              <w:spacing w:before="0" w:after="0"/>
              <w:jc w:val="center"/>
            </w:pPr>
            <w:r>
              <w:t>0</w:t>
            </w:r>
          </w:p>
        </w:tc>
        <w:tc>
          <w:tcPr>
            <w:tcW w:w="1377" w:type="dxa"/>
            <w:gridSpan w:val="2"/>
          </w:tcPr>
          <w:p w:rsidR="003A64C7" w:rsidRPr="00BD7AD4" w:rsidRDefault="003A64C7" w:rsidP="003A64C7">
            <w:pPr>
              <w:pStyle w:val="naisf"/>
              <w:spacing w:before="0" w:after="0"/>
              <w:jc w:val="center"/>
            </w:pPr>
            <w:r>
              <w:t>-400,0</w:t>
            </w:r>
          </w:p>
        </w:tc>
        <w:tc>
          <w:tcPr>
            <w:tcW w:w="1363" w:type="dxa"/>
          </w:tcPr>
          <w:p w:rsidR="003A64C7" w:rsidRPr="00BD7AD4" w:rsidRDefault="003A64C7" w:rsidP="00F96EE5">
            <w:pPr>
              <w:pStyle w:val="naisf"/>
              <w:spacing w:before="0" w:after="0"/>
              <w:jc w:val="center"/>
            </w:pPr>
            <w:r>
              <w:t>-400,0</w:t>
            </w:r>
          </w:p>
        </w:tc>
        <w:tc>
          <w:tcPr>
            <w:tcW w:w="2340" w:type="dxa"/>
            <w:gridSpan w:val="4"/>
          </w:tcPr>
          <w:p w:rsidR="003A64C7" w:rsidRPr="00BD7AD4" w:rsidRDefault="003A64C7" w:rsidP="00F96EE5">
            <w:pPr>
              <w:pStyle w:val="naisf"/>
              <w:spacing w:before="0" w:after="0"/>
              <w:jc w:val="center"/>
            </w:pPr>
            <w:r>
              <w:t>-400,0</w:t>
            </w: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275"/>
          <w:jc w:val="center"/>
        </w:trPr>
        <w:tc>
          <w:tcPr>
            <w:tcW w:w="1670" w:type="dxa"/>
          </w:tcPr>
          <w:p w:rsidR="00334169" w:rsidRPr="00901868" w:rsidRDefault="00334169" w:rsidP="00685725">
            <w:pPr>
              <w:jc w:val="both"/>
            </w:pPr>
            <w:r w:rsidRPr="00901868">
              <w:lastRenderedPageBreak/>
              <w:t>5.2. speciālais budžets</w:t>
            </w:r>
          </w:p>
        </w:tc>
        <w:tc>
          <w:tcPr>
            <w:tcW w:w="1324" w:type="dxa"/>
            <w:vMerge/>
            <w:vAlign w:val="center"/>
          </w:tcPr>
          <w:p w:rsidR="00334169" w:rsidRPr="00A54A3A" w:rsidRDefault="00334169" w:rsidP="00685725">
            <w:pPr>
              <w:pStyle w:val="naisf"/>
              <w:jc w:val="center"/>
            </w:pPr>
          </w:p>
        </w:tc>
        <w:tc>
          <w:tcPr>
            <w:tcW w:w="1400" w:type="dxa"/>
            <w:gridSpan w:val="2"/>
          </w:tcPr>
          <w:p w:rsidR="00334169" w:rsidRPr="00BD7AD4" w:rsidRDefault="00334169" w:rsidP="00685725">
            <w:pPr>
              <w:pStyle w:val="naisf"/>
              <w:spacing w:before="0" w:after="0"/>
            </w:pPr>
          </w:p>
        </w:tc>
        <w:tc>
          <w:tcPr>
            <w:tcW w:w="1377" w:type="dxa"/>
            <w:gridSpan w:val="2"/>
          </w:tcPr>
          <w:p w:rsidR="00334169" w:rsidRPr="00BD7AD4" w:rsidRDefault="00334169" w:rsidP="00685725">
            <w:pPr>
              <w:pStyle w:val="naisf"/>
              <w:spacing w:before="0" w:after="0"/>
            </w:pPr>
          </w:p>
        </w:tc>
        <w:tc>
          <w:tcPr>
            <w:tcW w:w="1363" w:type="dxa"/>
          </w:tcPr>
          <w:p w:rsidR="00334169" w:rsidRPr="00BD7AD4" w:rsidRDefault="00334169" w:rsidP="00685725">
            <w:pPr>
              <w:pStyle w:val="naisf"/>
              <w:spacing w:before="0" w:after="0"/>
            </w:pPr>
          </w:p>
        </w:tc>
        <w:tc>
          <w:tcPr>
            <w:tcW w:w="2340" w:type="dxa"/>
            <w:gridSpan w:val="4"/>
          </w:tcPr>
          <w:p w:rsidR="00334169" w:rsidRPr="00BD7AD4" w:rsidRDefault="00334169" w:rsidP="00685725">
            <w:pPr>
              <w:pStyle w:val="naisf"/>
              <w:spacing w:before="0" w:after="0"/>
            </w:pPr>
          </w:p>
        </w:tc>
      </w:tr>
      <w:tr w:rsidR="00334169" w:rsidRPr="00BD7AD4"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Pr>
          <w:p w:rsidR="00334169" w:rsidRPr="00901868" w:rsidRDefault="00334169" w:rsidP="00685725">
            <w:pPr>
              <w:jc w:val="both"/>
            </w:pPr>
            <w:r w:rsidRPr="00901868">
              <w:t xml:space="preserve">5.3. pašvaldību budžets </w:t>
            </w:r>
          </w:p>
        </w:tc>
        <w:tc>
          <w:tcPr>
            <w:tcW w:w="1324" w:type="dxa"/>
            <w:vMerge/>
            <w:vAlign w:val="center"/>
          </w:tcPr>
          <w:p w:rsidR="00334169" w:rsidRPr="00A54A3A" w:rsidRDefault="00334169" w:rsidP="00685725">
            <w:pPr>
              <w:pStyle w:val="naisf"/>
              <w:jc w:val="center"/>
            </w:pPr>
          </w:p>
        </w:tc>
        <w:tc>
          <w:tcPr>
            <w:tcW w:w="1400" w:type="dxa"/>
            <w:gridSpan w:val="2"/>
          </w:tcPr>
          <w:p w:rsidR="00334169" w:rsidRPr="00BD7AD4" w:rsidRDefault="00334169" w:rsidP="00685725">
            <w:pPr>
              <w:pStyle w:val="naisf"/>
              <w:spacing w:before="0" w:after="0"/>
            </w:pPr>
          </w:p>
        </w:tc>
        <w:tc>
          <w:tcPr>
            <w:tcW w:w="1377" w:type="dxa"/>
            <w:gridSpan w:val="2"/>
          </w:tcPr>
          <w:p w:rsidR="00334169" w:rsidRPr="00BD7AD4" w:rsidRDefault="00334169" w:rsidP="00685725">
            <w:pPr>
              <w:pStyle w:val="naisf"/>
              <w:spacing w:before="0" w:after="0"/>
            </w:pPr>
          </w:p>
        </w:tc>
        <w:tc>
          <w:tcPr>
            <w:tcW w:w="1363" w:type="dxa"/>
          </w:tcPr>
          <w:p w:rsidR="00334169" w:rsidRPr="00BD7AD4" w:rsidRDefault="00334169" w:rsidP="00685725">
            <w:pPr>
              <w:pStyle w:val="naisf"/>
              <w:spacing w:before="0" w:after="0"/>
            </w:pPr>
          </w:p>
        </w:tc>
        <w:tc>
          <w:tcPr>
            <w:tcW w:w="2340" w:type="dxa"/>
            <w:gridSpan w:val="4"/>
          </w:tcPr>
          <w:p w:rsidR="00334169" w:rsidRPr="00BD7AD4" w:rsidRDefault="00334169" w:rsidP="00685725">
            <w:pPr>
              <w:pStyle w:val="naisf"/>
              <w:spacing w:before="0" w:after="0"/>
            </w:pPr>
          </w:p>
        </w:tc>
      </w:tr>
      <w:tr w:rsidR="00334169" w:rsidRPr="00E24E67"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4495"/>
          <w:jc w:val="center"/>
        </w:trPr>
        <w:tc>
          <w:tcPr>
            <w:tcW w:w="1670" w:type="dxa"/>
          </w:tcPr>
          <w:p w:rsidR="00334169" w:rsidRPr="00901868" w:rsidRDefault="00334169" w:rsidP="00685725">
            <w:pPr>
              <w:jc w:val="both"/>
            </w:pPr>
            <w:r w:rsidRPr="00901868">
              <w:t>6. Detalizēts ieņēmumu un izdevu</w:t>
            </w:r>
            <w:r w:rsidRPr="00901868">
              <w:softHyphen/>
              <w:t>mu aprēķins (ja nepieciešams, detalizētu ieņēmumu un izdevumu aprēķinu var pievienot anotācijas pielikumā):</w:t>
            </w:r>
          </w:p>
        </w:tc>
        <w:tc>
          <w:tcPr>
            <w:tcW w:w="7804" w:type="dxa"/>
            <w:gridSpan w:val="10"/>
            <w:vMerge w:val="restart"/>
          </w:tcPr>
          <w:p w:rsidR="00334169" w:rsidRPr="009A2DC9" w:rsidRDefault="00334169" w:rsidP="00685725">
            <w:pPr>
              <w:jc w:val="both"/>
              <w:rPr>
                <w:b/>
              </w:rPr>
            </w:pPr>
            <w:r w:rsidRPr="009A2DC9">
              <w:t>Latvijas prezidentūras Eiropa</w:t>
            </w:r>
            <w:r>
              <w:t xml:space="preserve">s Savienības Padomē sekretariāta </w:t>
            </w:r>
            <w:r w:rsidRPr="009A2DC9">
              <w:t xml:space="preserve">darbības nodrošināšanai 2012.gadā papildus nepieciešams finansējums </w:t>
            </w:r>
            <w:r w:rsidR="00065E32">
              <w:t>202 594</w:t>
            </w:r>
            <w:r w:rsidRPr="009A2DC9">
              <w:t xml:space="preserve"> latu apmērā (papildus 8 amata vietām</w:t>
            </w:r>
            <w:r>
              <w:t>) nepilnam gadam</w:t>
            </w:r>
            <w:r w:rsidRPr="009A2DC9">
              <w:t xml:space="preserve">, tai skaitā </w:t>
            </w:r>
            <w:r w:rsidR="003B687A">
              <w:t> 1</w:t>
            </w:r>
            <w:r w:rsidR="00065E32">
              <w:t xml:space="preserve">18 426 </w:t>
            </w:r>
            <w:r w:rsidRPr="009A2DC9">
              <w:t xml:space="preserve">lati atlīdzībai, </w:t>
            </w:r>
            <w:r w:rsidR="00065E32">
              <w:t>51 350</w:t>
            </w:r>
            <w:r w:rsidRPr="009A2DC9">
              <w:t xml:space="preserve"> lati precēm un pakalpojumiem un 32 818 lati kapitālajiem izdevumiem;</w:t>
            </w:r>
          </w:p>
          <w:p w:rsidR="00334169" w:rsidRPr="009A2DC9" w:rsidRDefault="00334169" w:rsidP="00685725">
            <w:pPr>
              <w:jc w:val="both"/>
              <w:rPr>
                <w:b/>
              </w:rPr>
            </w:pPr>
            <w:r w:rsidRPr="009A2DC9">
              <w:t xml:space="preserve">un attiecīgi 2013.gadā un turpmākajiem gadiem papildus nepieciešams finansējums </w:t>
            </w:r>
            <w:r w:rsidR="00F95CFD">
              <w:t>250 525</w:t>
            </w:r>
            <w:r w:rsidRPr="009A2DC9">
              <w:t xml:space="preserve"> latu apmērā katru gadu (papildus 8 amata vietām) tai skaitā </w:t>
            </w:r>
            <w:r w:rsidR="00F95CFD">
              <w:t>185 776</w:t>
            </w:r>
            <w:r w:rsidRPr="009A2DC9">
              <w:t xml:space="preserve"> lati atlīdzībai, 64 749 lati precēm un pakalpojumiem.</w:t>
            </w:r>
          </w:p>
          <w:p w:rsidR="00334169" w:rsidRPr="009A2DC9" w:rsidRDefault="00334169" w:rsidP="00685725">
            <w:pPr>
              <w:pStyle w:val="Heading4"/>
              <w:spacing w:before="0"/>
              <w:jc w:val="both"/>
              <w:rPr>
                <w:b w:val="0"/>
              </w:rPr>
            </w:pPr>
          </w:p>
          <w:tbl>
            <w:tblPr>
              <w:tblW w:w="6588" w:type="dxa"/>
              <w:tblInd w:w="95" w:type="dxa"/>
              <w:tblLook w:val="04A0"/>
            </w:tblPr>
            <w:tblGrid>
              <w:gridCol w:w="3731"/>
              <w:gridCol w:w="1286"/>
              <w:gridCol w:w="285"/>
              <w:gridCol w:w="1286"/>
            </w:tblGrid>
            <w:tr w:rsidR="00334169" w:rsidRPr="00ED6A4E" w:rsidTr="00685725">
              <w:trPr>
                <w:trHeight w:val="488"/>
              </w:trPr>
              <w:tc>
                <w:tcPr>
                  <w:tcW w:w="3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169" w:rsidRPr="00ED6A4E" w:rsidRDefault="00334169" w:rsidP="00685725">
                  <w:pPr>
                    <w:jc w:val="center"/>
                    <w:rPr>
                      <w:b/>
                      <w:bCs/>
                      <w:sz w:val="16"/>
                      <w:szCs w:val="16"/>
                    </w:rPr>
                  </w:pPr>
                  <w:r w:rsidRPr="00ED6A4E">
                    <w:rPr>
                      <w:b/>
                      <w:bCs/>
                      <w:sz w:val="16"/>
                      <w:szCs w:val="16"/>
                    </w:rPr>
                    <w:t>Atlīdzības izmaksas: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169" w:rsidRPr="00ED6A4E" w:rsidRDefault="00334169" w:rsidP="00685725">
                  <w:pPr>
                    <w:jc w:val="center"/>
                    <w:rPr>
                      <w:b/>
                      <w:bCs/>
                      <w:sz w:val="16"/>
                      <w:szCs w:val="16"/>
                    </w:rPr>
                  </w:pPr>
                  <w:r w:rsidRPr="00ED6A4E">
                    <w:rPr>
                      <w:b/>
                      <w:bCs/>
                      <w:sz w:val="16"/>
                      <w:szCs w:val="16"/>
                    </w:rPr>
                    <w:t>Papildus nepieciešams 2012.gadā</w:t>
                  </w:r>
                  <w:r>
                    <w:rPr>
                      <w:b/>
                      <w:bCs/>
                      <w:sz w:val="16"/>
                      <w:szCs w:val="16"/>
                    </w:rPr>
                    <w:t>, LVL</w:t>
                  </w:r>
                </w:p>
              </w:tc>
              <w:tc>
                <w:tcPr>
                  <w:tcW w:w="285" w:type="dxa"/>
                  <w:tcBorders>
                    <w:top w:val="nil"/>
                    <w:left w:val="single" w:sz="4" w:space="0" w:color="auto"/>
                    <w:bottom w:val="nil"/>
                    <w:right w:val="single" w:sz="4" w:space="0" w:color="auto"/>
                  </w:tcBorders>
                  <w:shd w:val="clear" w:color="auto" w:fill="FFFFFF" w:themeFill="background1"/>
                  <w:vAlign w:val="center"/>
                  <w:hideMark/>
                </w:tcPr>
                <w:p w:rsidR="00334169" w:rsidRPr="00ED6A4E" w:rsidRDefault="00334169" w:rsidP="00685725">
                  <w:pPr>
                    <w:jc w:val="center"/>
                    <w:rPr>
                      <w:b/>
                      <w:b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169" w:rsidRPr="00ED6A4E" w:rsidRDefault="00334169" w:rsidP="00685725">
                  <w:pPr>
                    <w:jc w:val="center"/>
                    <w:rPr>
                      <w:b/>
                      <w:bCs/>
                      <w:sz w:val="16"/>
                      <w:szCs w:val="16"/>
                    </w:rPr>
                  </w:pPr>
                  <w:r w:rsidRPr="00ED6A4E">
                    <w:rPr>
                      <w:b/>
                      <w:bCs/>
                      <w:sz w:val="16"/>
                      <w:szCs w:val="16"/>
                    </w:rPr>
                    <w:t>Papildus nepieciešams 2013.gadā un turpmākajos gados</w:t>
                  </w:r>
                  <w:r>
                    <w:rPr>
                      <w:b/>
                      <w:bCs/>
                      <w:sz w:val="16"/>
                      <w:szCs w:val="16"/>
                    </w:rPr>
                    <w:t>, LVL</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rPr>
                      <w:sz w:val="16"/>
                      <w:szCs w:val="16"/>
                    </w:rPr>
                  </w:pPr>
                  <w:r w:rsidRPr="0077537D">
                    <w:rPr>
                      <w:sz w:val="16"/>
                      <w:szCs w:val="16"/>
                    </w:rPr>
                    <w:t>mēnešalga</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3B687A" w:rsidP="00685725">
                  <w:pPr>
                    <w:jc w:val="right"/>
                    <w:rPr>
                      <w:sz w:val="16"/>
                      <w:szCs w:val="16"/>
                    </w:rPr>
                  </w:pPr>
                  <w:r>
                    <w:rPr>
                      <w:sz w:val="16"/>
                      <w:szCs w:val="16"/>
                    </w:rPr>
                    <w:t>86 008</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334169" w:rsidP="00685725">
                  <w:pPr>
                    <w:jc w:val="right"/>
                    <w:rPr>
                      <w:sz w:val="16"/>
                      <w:szCs w:val="16"/>
                    </w:rPr>
                  </w:pPr>
                  <w:r w:rsidRPr="00AE1C14">
                    <w:rPr>
                      <w:sz w:val="16"/>
                      <w:szCs w:val="16"/>
                    </w:rPr>
                    <w:t>133 392</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rPr>
                      <w:sz w:val="16"/>
                      <w:szCs w:val="16"/>
                    </w:rPr>
                  </w:pPr>
                  <w:r w:rsidRPr="00ED6A4E">
                    <w:rPr>
                      <w:sz w:val="16"/>
                      <w:szCs w:val="16"/>
                    </w:rPr>
                    <w:t>piemaksas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7 604</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334169" w:rsidP="00685725">
                  <w:pPr>
                    <w:jc w:val="right"/>
                    <w:rPr>
                      <w:sz w:val="16"/>
                      <w:szCs w:val="16"/>
                    </w:rPr>
                  </w:pPr>
                  <w:r w:rsidRPr="00AE1C14">
                    <w:rPr>
                      <w:sz w:val="16"/>
                      <w:szCs w:val="16"/>
                    </w:rPr>
                    <w:t>14 327</w:t>
                  </w:r>
                </w:p>
              </w:tc>
            </w:tr>
            <w:tr w:rsidR="00334169" w:rsidRPr="00ED6A4E" w:rsidTr="00685725">
              <w:trPr>
                <w:trHeight w:val="29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darba devēja pabalsti un kompensācijas, no kuriem aprēķina ienākuma nodokli, val</w:t>
                  </w:r>
                  <w:r>
                    <w:rPr>
                      <w:sz w:val="16"/>
                      <w:szCs w:val="16"/>
                    </w:rPr>
                    <w:t>sts sociālās apdrošināšanas obli</w:t>
                  </w:r>
                  <w:r w:rsidRPr="00ED6A4E">
                    <w:rPr>
                      <w:sz w:val="16"/>
                      <w:szCs w:val="16"/>
                    </w:rPr>
                    <w:t xml:space="preserve">gātās iemaksas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1 465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1 633</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darba devēja valsts sociālās apdrošināšanas obligātās iemaksas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22 904</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334169" w:rsidP="00065E32">
                  <w:pPr>
                    <w:jc w:val="right"/>
                    <w:rPr>
                      <w:sz w:val="16"/>
                      <w:szCs w:val="16"/>
                    </w:rPr>
                  </w:pPr>
                  <w:r w:rsidRPr="00AE1C14">
                    <w:rPr>
                      <w:sz w:val="16"/>
                      <w:szCs w:val="16"/>
                    </w:rPr>
                    <w:t>3</w:t>
                  </w:r>
                  <w:r w:rsidR="00065E32">
                    <w:rPr>
                      <w:sz w:val="16"/>
                      <w:szCs w:val="16"/>
                    </w:rPr>
                    <w:t>5 979</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rPr>
                      <w:sz w:val="16"/>
                      <w:szCs w:val="16"/>
                    </w:rPr>
                  </w:pPr>
                  <w:r w:rsidRPr="00ED6A4E">
                    <w:rPr>
                      <w:sz w:val="16"/>
                      <w:szCs w:val="16"/>
                    </w:rPr>
                    <w:t>darba devēja izdevumi veselības apdrošināšanai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445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sz w:val="16"/>
                      <w:szCs w:val="16"/>
                    </w:rPr>
                  </w:pPr>
                  <w:r>
                    <w:rPr>
                      <w:sz w:val="16"/>
                      <w:szCs w:val="16"/>
                    </w:rPr>
                    <w:t>445</w:t>
                  </w:r>
                </w:p>
              </w:tc>
            </w:tr>
            <w:tr w:rsidR="00334169" w:rsidRPr="00ED6A4E" w:rsidTr="00685725">
              <w:trPr>
                <w:trHeight w:val="141"/>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jc w:val="right"/>
                    <w:rPr>
                      <w:b/>
                      <w:bCs/>
                      <w:i/>
                      <w:iCs/>
                      <w:sz w:val="16"/>
                      <w:szCs w:val="16"/>
                    </w:rPr>
                  </w:pPr>
                  <w:r w:rsidRPr="00ED6A4E">
                    <w:rPr>
                      <w:b/>
                      <w:bCs/>
                      <w:i/>
                      <w:iCs/>
                      <w:sz w:val="16"/>
                      <w:szCs w:val="16"/>
                    </w:rPr>
                    <w:t>Kopā:</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065E32" w:rsidP="00685725">
                  <w:pPr>
                    <w:jc w:val="right"/>
                    <w:rPr>
                      <w:b/>
                      <w:bCs/>
                      <w:i/>
                      <w:iCs/>
                      <w:sz w:val="16"/>
                      <w:szCs w:val="16"/>
                    </w:rPr>
                  </w:pPr>
                  <w:r>
                    <w:rPr>
                      <w:b/>
                      <w:bCs/>
                      <w:i/>
                      <w:iCs/>
                      <w:sz w:val="16"/>
                      <w:szCs w:val="16"/>
                    </w:rPr>
                    <w:t>118 426</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jc w:val="right"/>
                    <w:rPr>
                      <w:b/>
                      <w:bCs/>
                      <w:i/>
                      <w:i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AE1C14" w:rsidRDefault="00F95CFD" w:rsidP="00685725">
                  <w:pPr>
                    <w:jc w:val="right"/>
                    <w:rPr>
                      <w:b/>
                      <w:bCs/>
                      <w:i/>
                      <w:iCs/>
                      <w:sz w:val="16"/>
                      <w:szCs w:val="16"/>
                    </w:rPr>
                  </w:pPr>
                  <w:r>
                    <w:rPr>
                      <w:b/>
                      <w:bCs/>
                      <w:i/>
                      <w:iCs/>
                      <w:sz w:val="16"/>
                      <w:szCs w:val="16"/>
                    </w:rPr>
                    <w:t>185 776</w:t>
                  </w:r>
                </w:p>
              </w:tc>
            </w:tr>
            <w:tr w:rsidR="00334169" w:rsidRPr="00ED6A4E" w:rsidTr="00685725">
              <w:trPr>
                <w:trHeight w:val="134"/>
              </w:trPr>
              <w:tc>
                <w:tcPr>
                  <w:tcW w:w="3731"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rPr>
                      <w:b/>
                      <w:bCs/>
                      <w:color w:val="0000FF"/>
                      <w:sz w:val="16"/>
                      <w:szCs w:val="16"/>
                    </w:rPr>
                  </w:pPr>
                </w:p>
              </w:tc>
              <w:tc>
                <w:tcPr>
                  <w:tcW w:w="1286"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rPr>
                      <w:sz w:val="16"/>
                      <w:szCs w:val="16"/>
                    </w:rPr>
                  </w:pPr>
                </w:p>
              </w:tc>
              <w:tc>
                <w:tcPr>
                  <w:tcW w:w="285" w:type="dxa"/>
                  <w:tcBorders>
                    <w:top w:val="nil"/>
                    <w:left w:val="nil"/>
                    <w:bottom w:val="nil"/>
                    <w:right w:val="nil"/>
                  </w:tcBorders>
                  <w:shd w:val="clear" w:color="auto" w:fill="auto"/>
                  <w:noWrap/>
                  <w:vAlign w:val="bottom"/>
                  <w:hideMark/>
                </w:tcPr>
                <w:p w:rsidR="00334169" w:rsidRPr="00ED6A4E" w:rsidRDefault="00334169" w:rsidP="00685725">
                  <w:pPr>
                    <w:rPr>
                      <w:sz w:val="16"/>
                      <w:szCs w:val="16"/>
                    </w:rPr>
                  </w:pPr>
                </w:p>
              </w:tc>
              <w:tc>
                <w:tcPr>
                  <w:tcW w:w="1286"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rPr>
                      <w:sz w:val="16"/>
                      <w:szCs w:val="16"/>
                    </w:rPr>
                  </w:pPr>
                </w:p>
              </w:tc>
            </w:tr>
            <w:tr w:rsidR="00334169" w:rsidRPr="00ED6A4E" w:rsidTr="00685725">
              <w:trPr>
                <w:trHeight w:val="448"/>
              </w:trPr>
              <w:tc>
                <w:tcPr>
                  <w:tcW w:w="3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4169" w:rsidRPr="00ED6A4E" w:rsidRDefault="00334169" w:rsidP="00685725">
                  <w:pPr>
                    <w:jc w:val="center"/>
                    <w:rPr>
                      <w:b/>
                      <w:bCs/>
                      <w:sz w:val="16"/>
                      <w:szCs w:val="16"/>
                    </w:rPr>
                  </w:pPr>
                  <w:r w:rsidRPr="00ED6A4E">
                    <w:rPr>
                      <w:b/>
                      <w:bCs/>
                      <w:sz w:val="16"/>
                      <w:szCs w:val="16"/>
                    </w:rPr>
                    <w:t>Preču un pakalpojumu izmaksas:</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center"/>
                    <w:rPr>
                      <w:b/>
                      <w:bCs/>
                      <w:sz w:val="16"/>
                      <w:szCs w:val="16"/>
                    </w:rPr>
                  </w:pPr>
                  <w:r w:rsidRPr="00ED6A4E">
                    <w:rPr>
                      <w:b/>
                      <w:bCs/>
                      <w:sz w:val="16"/>
                      <w:szCs w:val="16"/>
                    </w:rPr>
                    <w:t>Papildus nepieciešams 2012.gadā</w:t>
                  </w:r>
                  <w:r>
                    <w:rPr>
                      <w:b/>
                      <w:bCs/>
                      <w:sz w:val="16"/>
                      <w:szCs w:val="16"/>
                    </w:rPr>
                    <w:t>, LVL</w:t>
                  </w:r>
                </w:p>
              </w:tc>
              <w:tc>
                <w:tcPr>
                  <w:tcW w:w="285" w:type="dxa"/>
                  <w:tcBorders>
                    <w:top w:val="nil"/>
                    <w:left w:val="single" w:sz="4" w:space="0" w:color="auto"/>
                    <w:bottom w:val="nil"/>
                    <w:right w:val="single" w:sz="4" w:space="0" w:color="auto"/>
                  </w:tcBorders>
                  <w:shd w:val="clear" w:color="auto" w:fill="auto"/>
                  <w:vAlign w:val="center"/>
                  <w:hideMark/>
                </w:tcPr>
                <w:p w:rsidR="00334169" w:rsidRPr="00ED6A4E" w:rsidRDefault="00334169" w:rsidP="00685725">
                  <w:pPr>
                    <w:jc w:val="center"/>
                    <w:rPr>
                      <w:b/>
                      <w:b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center"/>
                    <w:rPr>
                      <w:b/>
                      <w:bCs/>
                      <w:sz w:val="16"/>
                      <w:szCs w:val="16"/>
                    </w:rPr>
                  </w:pPr>
                  <w:r w:rsidRPr="00ED6A4E">
                    <w:rPr>
                      <w:b/>
                      <w:bCs/>
                      <w:sz w:val="16"/>
                      <w:szCs w:val="16"/>
                    </w:rPr>
                    <w:t>Papildus nepieciešams 2013.gadā un turpmākajos gados</w:t>
                  </w:r>
                  <w:r>
                    <w:rPr>
                      <w:b/>
                      <w:bCs/>
                      <w:sz w:val="16"/>
                      <w:szCs w:val="16"/>
                    </w:rPr>
                    <w:t>, LVL</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komandējumi un dienesta braucieni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15 326</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20 682</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pārējie sakaru pakalpojumi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5 686</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7 818</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ēku, telpu īre un noma</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Pr>
                      <w:sz w:val="16"/>
                      <w:szCs w:val="16"/>
                    </w:rPr>
                    <w:t>4 698</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 xml:space="preserve">7 </w:t>
                  </w:r>
                  <w:r>
                    <w:rPr>
                      <w:sz w:val="16"/>
                      <w:szCs w:val="16"/>
                    </w:rPr>
                    <w:t>620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ēku, būvju un telpu kārtējais remonts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366</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izdevumi par apkuri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625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973</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izdevumi par ūdeni un kanalizāciju</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36</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54</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izdevumi par elektroenerģiju</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1 694</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2 502</w:t>
                  </w:r>
                </w:p>
              </w:tc>
            </w:tr>
            <w:tr w:rsidR="00334169" w:rsidRPr="00ED6A4E" w:rsidTr="00685725">
              <w:trPr>
                <w:trHeight w:val="233"/>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B836A0" w:rsidRDefault="00334169" w:rsidP="00685725">
                  <w:pPr>
                    <w:pStyle w:val="naiskr"/>
                  </w:pPr>
                  <w:r>
                    <w:rPr>
                      <w:sz w:val="16"/>
                      <w:szCs w:val="16"/>
                    </w:rPr>
                    <w:t>a</w:t>
                  </w:r>
                  <w:r w:rsidRPr="00B836A0">
                    <w:rPr>
                      <w:sz w:val="16"/>
                      <w:szCs w:val="16"/>
                    </w:rPr>
                    <w:t>dministratīvie izdevumi un sabiedriskās attiecības, kursu un semināru organizēšana</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065E32">
                  <w:pPr>
                    <w:jc w:val="right"/>
                    <w:rPr>
                      <w:sz w:val="16"/>
                      <w:szCs w:val="16"/>
                    </w:rPr>
                  </w:pPr>
                  <w:r>
                    <w:rPr>
                      <w:sz w:val="16"/>
                      <w:szCs w:val="16"/>
                    </w:rPr>
                    <w:t>1</w:t>
                  </w:r>
                  <w:r w:rsidR="00065E32">
                    <w:rPr>
                      <w:sz w:val="16"/>
                      <w:szCs w:val="16"/>
                    </w:rPr>
                    <w:t>0</w:t>
                  </w:r>
                  <w:r w:rsidRPr="00F357B5">
                    <w:rPr>
                      <w:sz w:val="16"/>
                      <w:szCs w:val="16"/>
                    </w:rPr>
                    <w:t xml:space="preserve"> 345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Pr>
                      <w:sz w:val="16"/>
                      <w:szCs w:val="16"/>
                    </w:rPr>
                    <w:t>1</w:t>
                  </w:r>
                  <w:r w:rsidRPr="00F357B5">
                    <w:rPr>
                      <w:sz w:val="16"/>
                      <w:szCs w:val="16"/>
                    </w:rPr>
                    <w:t>3 350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iekārtas, inventāra un aparatūras remonts, tehniskā apkalpošana</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175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417</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informācijas sistēmas licenču nomas izdevumi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F4297B" w:rsidP="00685725">
                  <w:pPr>
                    <w:jc w:val="right"/>
                    <w:rPr>
                      <w:sz w:val="16"/>
                      <w:szCs w:val="16"/>
                    </w:rPr>
                  </w:pPr>
                  <w:r>
                    <w:rPr>
                      <w:sz w:val="16"/>
                      <w:szCs w:val="16"/>
                    </w:rPr>
                    <w:t>1 931</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2 793</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Pr>
                      <w:sz w:val="16"/>
                      <w:szCs w:val="16"/>
                    </w:rPr>
                    <w:t>p</w:t>
                  </w:r>
                  <w:r w:rsidRPr="000838B9">
                    <w:rPr>
                      <w:sz w:val="16"/>
                      <w:szCs w:val="16"/>
                    </w:rPr>
                    <w:t>ārējie iestādes administratīvie izdevumi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4 500</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6 000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biroja preces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367</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705</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inventārs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4 139</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541</w:t>
                  </w:r>
                </w:p>
              </w:tc>
            </w:tr>
            <w:tr w:rsidR="00334169" w:rsidRPr="00ED6A4E" w:rsidTr="00685725">
              <w:trPr>
                <w:trHeight w:val="253"/>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1E6AD1" w:rsidP="00685725">
                  <w:pPr>
                    <w:rPr>
                      <w:sz w:val="16"/>
                      <w:szCs w:val="16"/>
                    </w:rPr>
                  </w:pPr>
                  <w:r>
                    <w:rPr>
                      <w:sz w:val="16"/>
                      <w:szCs w:val="16"/>
                    </w:rPr>
                    <w:t>k</w:t>
                  </w:r>
                  <w:r w:rsidR="00334169">
                    <w:rPr>
                      <w:sz w:val="16"/>
                      <w:szCs w:val="16"/>
                    </w:rPr>
                    <w:t>ārtēj</w:t>
                  </w:r>
                  <w:r>
                    <w:rPr>
                      <w:sz w:val="16"/>
                      <w:szCs w:val="16"/>
                    </w:rPr>
                    <w:t xml:space="preserve">ā </w:t>
                  </w:r>
                  <w:r w:rsidR="00334169" w:rsidRPr="00ED6A4E">
                    <w:rPr>
                      <w:sz w:val="16"/>
                      <w:szCs w:val="16"/>
                    </w:rPr>
                    <w:t>remonta un iestāžu uzturēšanas materiāli (aparatūras, datortehnikas, kopēšanas tehnikas, sakaru līdzekļu detaļas)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727</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301</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169" w:rsidRPr="00ED6A4E" w:rsidRDefault="00334169" w:rsidP="00685725">
                  <w:pPr>
                    <w:rPr>
                      <w:sz w:val="16"/>
                      <w:szCs w:val="16"/>
                    </w:rPr>
                  </w:pPr>
                  <w:r w:rsidRPr="00ED6A4E">
                    <w:rPr>
                      <w:sz w:val="16"/>
                      <w:szCs w:val="16"/>
                    </w:rPr>
                    <w:t>pārējās preces (zīmogi utt.)</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685725">
                  <w:pPr>
                    <w:jc w:val="right"/>
                    <w:rPr>
                      <w:sz w:val="16"/>
                      <w:szCs w:val="16"/>
                    </w:rPr>
                  </w:pPr>
                  <w:r>
                    <w:rPr>
                      <w:sz w:val="16"/>
                      <w:szCs w:val="16"/>
                    </w:rPr>
                    <w:t>735</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rPr>
                      <w:sz w:val="16"/>
                      <w:szCs w:val="16"/>
                    </w:rPr>
                  </w:pPr>
                  <w:r w:rsidRPr="00ED6A4E">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sz w:val="16"/>
                      <w:szCs w:val="16"/>
                    </w:rPr>
                  </w:pPr>
                  <w:r w:rsidRPr="00F357B5">
                    <w:rPr>
                      <w:sz w:val="16"/>
                      <w:szCs w:val="16"/>
                    </w:rPr>
                    <w:t>993</w:t>
                  </w:r>
                </w:p>
              </w:tc>
            </w:tr>
            <w:tr w:rsidR="00334169" w:rsidRPr="00ED6A4E" w:rsidTr="00685725">
              <w:trPr>
                <w:trHeight w:val="141"/>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jc w:val="right"/>
                    <w:rPr>
                      <w:b/>
                      <w:bCs/>
                      <w:i/>
                      <w:iCs/>
                      <w:sz w:val="16"/>
                      <w:szCs w:val="16"/>
                    </w:rPr>
                  </w:pPr>
                  <w:r w:rsidRPr="00ED6A4E">
                    <w:rPr>
                      <w:b/>
                      <w:bCs/>
                      <w:i/>
                      <w:iCs/>
                      <w:sz w:val="16"/>
                      <w:szCs w:val="16"/>
                    </w:rPr>
                    <w:t>Kopā:</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B687A" w:rsidP="0059400F">
                  <w:pPr>
                    <w:jc w:val="right"/>
                    <w:rPr>
                      <w:b/>
                      <w:bCs/>
                      <w:i/>
                      <w:iCs/>
                      <w:sz w:val="16"/>
                      <w:szCs w:val="16"/>
                    </w:rPr>
                  </w:pPr>
                  <w:r>
                    <w:rPr>
                      <w:b/>
                      <w:bCs/>
                      <w:i/>
                      <w:iCs/>
                      <w:sz w:val="16"/>
                      <w:szCs w:val="16"/>
                    </w:rPr>
                    <w:t>5</w:t>
                  </w:r>
                  <w:r w:rsidR="0059400F">
                    <w:rPr>
                      <w:b/>
                      <w:bCs/>
                      <w:i/>
                      <w:iCs/>
                      <w:sz w:val="16"/>
                      <w:szCs w:val="16"/>
                    </w:rPr>
                    <w:t>1</w:t>
                  </w:r>
                  <w:r>
                    <w:rPr>
                      <w:b/>
                      <w:bCs/>
                      <w:i/>
                      <w:iCs/>
                      <w:sz w:val="16"/>
                      <w:szCs w:val="16"/>
                    </w:rPr>
                    <w:t xml:space="preserve"> </w:t>
                  </w:r>
                  <w:r w:rsidR="00F4297B">
                    <w:rPr>
                      <w:b/>
                      <w:bCs/>
                      <w:i/>
                      <w:iCs/>
                      <w:sz w:val="16"/>
                      <w:szCs w:val="16"/>
                    </w:rPr>
                    <w:t>350</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jc w:val="right"/>
                    <w:rPr>
                      <w:b/>
                      <w:bCs/>
                      <w:i/>
                      <w:i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F357B5" w:rsidRDefault="00334169" w:rsidP="00685725">
                  <w:pPr>
                    <w:jc w:val="right"/>
                    <w:rPr>
                      <w:b/>
                      <w:bCs/>
                      <w:i/>
                      <w:iCs/>
                      <w:sz w:val="16"/>
                      <w:szCs w:val="16"/>
                    </w:rPr>
                  </w:pPr>
                  <w:r w:rsidRPr="00F357B5">
                    <w:rPr>
                      <w:b/>
                      <w:bCs/>
                      <w:i/>
                      <w:iCs/>
                      <w:sz w:val="16"/>
                      <w:szCs w:val="16"/>
                    </w:rPr>
                    <w:t>64 749</w:t>
                  </w:r>
                </w:p>
              </w:tc>
            </w:tr>
            <w:tr w:rsidR="00334169" w:rsidRPr="00ED6A4E" w:rsidTr="00685725">
              <w:trPr>
                <w:trHeight w:val="141"/>
              </w:trPr>
              <w:tc>
                <w:tcPr>
                  <w:tcW w:w="3731"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jc w:val="right"/>
                    <w:rPr>
                      <w:b/>
                      <w:bCs/>
                      <w:i/>
                      <w:iCs/>
                      <w:sz w:val="16"/>
                      <w:szCs w:val="16"/>
                    </w:rPr>
                  </w:pPr>
                </w:p>
              </w:tc>
              <w:tc>
                <w:tcPr>
                  <w:tcW w:w="1286"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jc w:val="right"/>
                    <w:rPr>
                      <w:b/>
                      <w:bCs/>
                      <w:i/>
                      <w:iCs/>
                      <w:sz w:val="16"/>
                      <w:szCs w:val="16"/>
                    </w:rPr>
                  </w:pPr>
                </w:p>
              </w:tc>
              <w:tc>
                <w:tcPr>
                  <w:tcW w:w="285" w:type="dxa"/>
                  <w:tcBorders>
                    <w:top w:val="nil"/>
                    <w:left w:val="nil"/>
                    <w:bottom w:val="nil"/>
                    <w:right w:val="nil"/>
                  </w:tcBorders>
                  <w:shd w:val="clear" w:color="auto" w:fill="auto"/>
                  <w:noWrap/>
                  <w:vAlign w:val="bottom"/>
                  <w:hideMark/>
                </w:tcPr>
                <w:p w:rsidR="00334169" w:rsidRPr="00ED6A4E" w:rsidRDefault="00334169" w:rsidP="00685725">
                  <w:pPr>
                    <w:jc w:val="right"/>
                    <w:rPr>
                      <w:b/>
                      <w:bCs/>
                      <w:i/>
                      <w:iCs/>
                      <w:sz w:val="16"/>
                      <w:szCs w:val="16"/>
                    </w:rPr>
                  </w:pPr>
                </w:p>
              </w:tc>
              <w:tc>
                <w:tcPr>
                  <w:tcW w:w="1286" w:type="dxa"/>
                  <w:tcBorders>
                    <w:top w:val="single" w:sz="4" w:space="0" w:color="auto"/>
                    <w:left w:val="nil"/>
                    <w:bottom w:val="single" w:sz="4" w:space="0" w:color="auto"/>
                    <w:right w:val="nil"/>
                  </w:tcBorders>
                  <w:shd w:val="clear" w:color="auto" w:fill="auto"/>
                  <w:noWrap/>
                  <w:vAlign w:val="bottom"/>
                  <w:hideMark/>
                </w:tcPr>
                <w:p w:rsidR="00334169" w:rsidRPr="00ED6A4E" w:rsidRDefault="00334169" w:rsidP="00685725">
                  <w:pPr>
                    <w:jc w:val="right"/>
                    <w:rPr>
                      <w:b/>
                      <w:bCs/>
                      <w:i/>
                      <w:iCs/>
                      <w:sz w:val="16"/>
                      <w:szCs w:val="16"/>
                    </w:rPr>
                  </w:pPr>
                </w:p>
              </w:tc>
            </w:tr>
            <w:tr w:rsidR="00334169" w:rsidRPr="00ED6A4E" w:rsidTr="00685725">
              <w:trPr>
                <w:trHeight w:val="503"/>
              </w:trPr>
              <w:tc>
                <w:tcPr>
                  <w:tcW w:w="3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4169" w:rsidRPr="00ED6A4E" w:rsidRDefault="00334169" w:rsidP="00685725">
                  <w:pPr>
                    <w:jc w:val="center"/>
                    <w:rPr>
                      <w:b/>
                      <w:bCs/>
                      <w:sz w:val="16"/>
                      <w:szCs w:val="16"/>
                    </w:rPr>
                  </w:pPr>
                  <w:r w:rsidRPr="00ED6A4E">
                    <w:rPr>
                      <w:b/>
                      <w:bCs/>
                      <w:sz w:val="16"/>
                      <w:szCs w:val="16"/>
                    </w:rPr>
                    <w:t>Pamatkapitāla veidošanas izmaksas (vienreizējas):</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center"/>
                    <w:rPr>
                      <w:b/>
                      <w:bCs/>
                      <w:sz w:val="16"/>
                      <w:szCs w:val="16"/>
                    </w:rPr>
                  </w:pPr>
                  <w:r w:rsidRPr="00ED6A4E">
                    <w:rPr>
                      <w:b/>
                      <w:bCs/>
                      <w:sz w:val="16"/>
                      <w:szCs w:val="16"/>
                    </w:rPr>
                    <w:t>Papildus nepieciešams 2012.gadā</w:t>
                  </w:r>
                  <w:r>
                    <w:rPr>
                      <w:b/>
                      <w:bCs/>
                      <w:sz w:val="16"/>
                      <w:szCs w:val="16"/>
                    </w:rPr>
                    <w:t>, LVL</w:t>
                  </w:r>
                </w:p>
              </w:tc>
              <w:tc>
                <w:tcPr>
                  <w:tcW w:w="285" w:type="dxa"/>
                  <w:tcBorders>
                    <w:top w:val="nil"/>
                    <w:left w:val="single" w:sz="4" w:space="0" w:color="auto"/>
                    <w:bottom w:val="nil"/>
                    <w:right w:val="single" w:sz="4" w:space="0" w:color="auto"/>
                  </w:tcBorders>
                  <w:shd w:val="clear" w:color="auto" w:fill="auto"/>
                  <w:vAlign w:val="center"/>
                  <w:hideMark/>
                </w:tcPr>
                <w:p w:rsidR="00334169" w:rsidRPr="00ED6A4E" w:rsidRDefault="00334169" w:rsidP="00685725">
                  <w:pPr>
                    <w:jc w:val="center"/>
                    <w:rPr>
                      <w:b/>
                      <w:b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center"/>
                    <w:rPr>
                      <w:b/>
                      <w:bCs/>
                      <w:sz w:val="16"/>
                      <w:szCs w:val="16"/>
                    </w:rPr>
                  </w:pPr>
                  <w:r w:rsidRPr="00ED6A4E">
                    <w:rPr>
                      <w:b/>
                      <w:bCs/>
                      <w:sz w:val="16"/>
                      <w:szCs w:val="16"/>
                    </w:rPr>
                    <w:t>Papildus nepieciešams 2013.gadā un turpmākajos gados</w:t>
                  </w:r>
                  <w:r>
                    <w:rPr>
                      <w:b/>
                      <w:bCs/>
                      <w:sz w:val="16"/>
                      <w:szCs w:val="16"/>
                    </w:rPr>
                    <w:t>, LVL</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4169" w:rsidRPr="00ED6A4E" w:rsidRDefault="00334169" w:rsidP="00685725">
                  <w:pPr>
                    <w:rPr>
                      <w:sz w:val="16"/>
                      <w:szCs w:val="16"/>
                    </w:rPr>
                  </w:pPr>
                  <w:r w:rsidRPr="00ED6A4E">
                    <w:rPr>
                      <w:sz w:val="16"/>
                      <w:szCs w:val="16"/>
                    </w:rPr>
                    <w:t>licences</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600</w:t>
                  </w:r>
                </w:p>
              </w:tc>
              <w:tc>
                <w:tcPr>
                  <w:tcW w:w="285" w:type="dxa"/>
                  <w:tcBorders>
                    <w:top w:val="nil"/>
                    <w:left w:val="single" w:sz="4" w:space="0" w:color="auto"/>
                    <w:bottom w:val="nil"/>
                    <w:right w:val="single" w:sz="4" w:space="0" w:color="auto"/>
                  </w:tcBorders>
                  <w:shd w:val="clear" w:color="auto" w:fill="auto"/>
                  <w:vAlign w:val="center"/>
                  <w:hideMark/>
                </w:tcPr>
                <w:p w:rsidR="00334169" w:rsidRPr="00ED6A4E" w:rsidRDefault="00334169" w:rsidP="00685725">
                  <w:pPr>
                    <w:jc w:val="right"/>
                    <w:rPr>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4169" w:rsidRPr="00ED6A4E" w:rsidRDefault="00334169" w:rsidP="00685725">
                  <w:pPr>
                    <w:rPr>
                      <w:sz w:val="16"/>
                      <w:szCs w:val="16"/>
                    </w:rPr>
                  </w:pPr>
                  <w:r w:rsidRPr="00ED6A4E">
                    <w:rPr>
                      <w:sz w:val="16"/>
                      <w:szCs w:val="16"/>
                    </w:rPr>
                    <w:t>datortehnika, sakaru un cita biroja tehnika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21 439</w:t>
                  </w:r>
                </w:p>
              </w:tc>
              <w:tc>
                <w:tcPr>
                  <w:tcW w:w="285" w:type="dxa"/>
                  <w:tcBorders>
                    <w:top w:val="nil"/>
                    <w:left w:val="single" w:sz="4" w:space="0" w:color="auto"/>
                    <w:bottom w:val="nil"/>
                    <w:right w:val="single" w:sz="4" w:space="0" w:color="auto"/>
                  </w:tcBorders>
                  <w:shd w:val="clear" w:color="auto" w:fill="auto"/>
                  <w:vAlign w:val="center"/>
                  <w:hideMark/>
                </w:tcPr>
                <w:p w:rsidR="00334169" w:rsidRPr="00ED6A4E" w:rsidRDefault="00334169" w:rsidP="00685725">
                  <w:pPr>
                    <w:jc w:val="right"/>
                    <w:rPr>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0</w:t>
                  </w:r>
                </w:p>
              </w:tc>
            </w:tr>
            <w:tr w:rsidR="00334169" w:rsidRPr="00ED6A4E" w:rsidTr="00685725">
              <w:trPr>
                <w:trHeight w:val="126"/>
              </w:trPr>
              <w:tc>
                <w:tcPr>
                  <w:tcW w:w="3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4169" w:rsidRPr="00ED6A4E" w:rsidRDefault="00334169" w:rsidP="00685725">
                  <w:pPr>
                    <w:rPr>
                      <w:sz w:val="16"/>
                      <w:szCs w:val="16"/>
                    </w:rPr>
                  </w:pPr>
                  <w:r w:rsidRPr="00ED6A4E">
                    <w:rPr>
                      <w:sz w:val="16"/>
                      <w:szCs w:val="16"/>
                    </w:rPr>
                    <w:t>pārējie iepriekš neklasificētie pamatlīdzekļi (galdi, krēsli utt.)</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10 779</w:t>
                  </w:r>
                </w:p>
              </w:tc>
              <w:tc>
                <w:tcPr>
                  <w:tcW w:w="285" w:type="dxa"/>
                  <w:tcBorders>
                    <w:top w:val="nil"/>
                    <w:left w:val="single" w:sz="4" w:space="0" w:color="auto"/>
                    <w:bottom w:val="nil"/>
                    <w:right w:val="single" w:sz="4" w:space="0" w:color="auto"/>
                  </w:tcBorders>
                  <w:shd w:val="clear" w:color="auto" w:fill="auto"/>
                  <w:vAlign w:val="center"/>
                  <w:hideMark/>
                </w:tcPr>
                <w:p w:rsidR="00334169" w:rsidRPr="00ED6A4E" w:rsidRDefault="00334169" w:rsidP="00685725">
                  <w:pPr>
                    <w:jc w:val="right"/>
                    <w:rPr>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ED6A4E" w:rsidRDefault="00334169" w:rsidP="00685725">
                  <w:pPr>
                    <w:jc w:val="right"/>
                    <w:rPr>
                      <w:sz w:val="16"/>
                      <w:szCs w:val="16"/>
                    </w:rPr>
                  </w:pPr>
                  <w:r w:rsidRPr="00ED6A4E">
                    <w:rPr>
                      <w:sz w:val="16"/>
                      <w:szCs w:val="16"/>
                    </w:rPr>
                    <w:t>0</w:t>
                  </w:r>
                </w:p>
              </w:tc>
            </w:tr>
            <w:tr w:rsidR="00334169" w:rsidRPr="00ED6A4E" w:rsidTr="00685725">
              <w:trPr>
                <w:trHeight w:val="141"/>
              </w:trPr>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4169" w:rsidRPr="00ED6A4E" w:rsidRDefault="00334169" w:rsidP="00685725">
                  <w:pPr>
                    <w:jc w:val="right"/>
                    <w:rPr>
                      <w:b/>
                      <w:bCs/>
                      <w:i/>
                      <w:iCs/>
                      <w:sz w:val="16"/>
                      <w:szCs w:val="16"/>
                    </w:rPr>
                  </w:pPr>
                  <w:r w:rsidRPr="00ED6A4E">
                    <w:rPr>
                      <w:b/>
                      <w:bCs/>
                      <w:i/>
                      <w:iCs/>
                      <w:sz w:val="16"/>
                      <w:szCs w:val="16"/>
                    </w:rPr>
                    <w:t>Kopā:</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ED6A4E" w:rsidRDefault="00334169" w:rsidP="00685725">
                  <w:pPr>
                    <w:jc w:val="right"/>
                    <w:rPr>
                      <w:b/>
                      <w:bCs/>
                      <w:i/>
                      <w:iCs/>
                      <w:sz w:val="16"/>
                      <w:szCs w:val="16"/>
                    </w:rPr>
                  </w:pPr>
                  <w:r w:rsidRPr="00ED6A4E">
                    <w:rPr>
                      <w:b/>
                      <w:bCs/>
                      <w:i/>
                      <w:iCs/>
                      <w:sz w:val="16"/>
                      <w:szCs w:val="16"/>
                    </w:rPr>
                    <w:t>32 818</w:t>
                  </w:r>
                </w:p>
              </w:tc>
              <w:tc>
                <w:tcPr>
                  <w:tcW w:w="285" w:type="dxa"/>
                  <w:tcBorders>
                    <w:top w:val="nil"/>
                    <w:left w:val="single" w:sz="4" w:space="0" w:color="auto"/>
                    <w:bottom w:val="nil"/>
                    <w:right w:val="single" w:sz="4" w:space="0" w:color="auto"/>
                  </w:tcBorders>
                  <w:shd w:val="clear" w:color="auto" w:fill="auto"/>
                  <w:noWrap/>
                  <w:vAlign w:val="bottom"/>
                  <w:hideMark/>
                </w:tcPr>
                <w:p w:rsidR="00334169" w:rsidRPr="00ED6A4E" w:rsidRDefault="00334169" w:rsidP="00685725">
                  <w:pPr>
                    <w:jc w:val="right"/>
                    <w:rPr>
                      <w:b/>
                      <w:bCs/>
                      <w:i/>
                      <w:iCs/>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69" w:rsidRPr="00ED6A4E" w:rsidRDefault="00334169" w:rsidP="00685725">
                  <w:pPr>
                    <w:jc w:val="right"/>
                    <w:rPr>
                      <w:b/>
                      <w:bCs/>
                      <w:i/>
                      <w:iCs/>
                      <w:sz w:val="16"/>
                      <w:szCs w:val="16"/>
                    </w:rPr>
                  </w:pPr>
                  <w:r w:rsidRPr="00ED6A4E">
                    <w:rPr>
                      <w:b/>
                      <w:bCs/>
                      <w:i/>
                      <w:iCs/>
                      <w:sz w:val="16"/>
                      <w:szCs w:val="16"/>
                    </w:rPr>
                    <w:t>0</w:t>
                  </w:r>
                </w:p>
              </w:tc>
            </w:tr>
            <w:tr w:rsidR="00334169" w:rsidRPr="00ED6A4E" w:rsidTr="00685725">
              <w:trPr>
                <w:trHeight w:val="134"/>
              </w:trPr>
              <w:tc>
                <w:tcPr>
                  <w:tcW w:w="3731" w:type="dxa"/>
                  <w:tcBorders>
                    <w:top w:val="single" w:sz="4" w:space="0" w:color="auto"/>
                    <w:left w:val="nil"/>
                    <w:right w:val="nil"/>
                  </w:tcBorders>
                  <w:shd w:val="clear" w:color="auto" w:fill="auto"/>
                  <w:noWrap/>
                  <w:vAlign w:val="bottom"/>
                  <w:hideMark/>
                </w:tcPr>
                <w:p w:rsidR="00334169" w:rsidRPr="00ED6A4E" w:rsidRDefault="00334169" w:rsidP="00685725">
                  <w:pPr>
                    <w:rPr>
                      <w:sz w:val="16"/>
                      <w:szCs w:val="16"/>
                    </w:rPr>
                  </w:pPr>
                </w:p>
              </w:tc>
              <w:tc>
                <w:tcPr>
                  <w:tcW w:w="1286" w:type="dxa"/>
                  <w:tcBorders>
                    <w:top w:val="single" w:sz="4" w:space="0" w:color="auto"/>
                    <w:left w:val="nil"/>
                    <w:right w:val="nil"/>
                  </w:tcBorders>
                  <w:shd w:val="clear" w:color="auto" w:fill="auto"/>
                  <w:noWrap/>
                  <w:vAlign w:val="bottom"/>
                  <w:hideMark/>
                </w:tcPr>
                <w:p w:rsidR="00334169" w:rsidRPr="00ED6A4E" w:rsidRDefault="00334169" w:rsidP="00685725">
                  <w:pPr>
                    <w:rPr>
                      <w:sz w:val="16"/>
                      <w:szCs w:val="16"/>
                    </w:rPr>
                  </w:pPr>
                </w:p>
              </w:tc>
              <w:tc>
                <w:tcPr>
                  <w:tcW w:w="285" w:type="dxa"/>
                  <w:tcBorders>
                    <w:top w:val="nil"/>
                    <w:left w:val="nil"/>
                    <w:right w:val="nil"/>
                  </w:tcBorders>
                  <w:shd w:val="clear" w:color="auto" w:fill="auto"/>
                  <w:noWrap/>
                  <w:vAlign w:val="bottom"/>
                  <w:hideMark/>
                </w:tcPr>
                <w:p w:rsidR="00334169" w:rsidRPr="00ED6A4E" w:rsidRDefault="00334169" w:rsidP="00685725">
                  <w:pPr>
                    <w:rPr>
                      <w:sz w:val="16"/>
                      <w:szCs w:val="16"/>
                    </w:rPr>
                  </w:pPr>
                </w:p>
              </w:tc>
              <w:tc>
                <w:tcPr>
                  <w:tcW w:w="1286" w:type="dxa"/>
                  <w:tcBorders>
                    <w:top w:val="single" w:sz="4" w:space="0" w:color="auto"/>
                    <w:left w:val="nil"/>
                    <w:right w:val="nil"/>
                  </w:tcBorders>
                  <w:shd w:val="clear" w:color="auto" w:fill="auto"/>
                  <w:noWrap/>
                  <w:vAlign w:val="bottom"/>
                  <w:hideMark/>
                </w:tcPr>
                <w:p w:rsidR="00334169" w:rsidRPr="00ED6A4E" w:rsidRDefault="00334169" w:rsidP="00685725">
                  <w:pPr>
                    <w:rPr>
                      <w:sz w:val="16"/>
                      <w:szCs w:val="16"/>
                    </w:rPr>
                  </w:pPr>
                </w:p>
              </w:tc>
            </w:tr>
            <w:tr w:rsidR="00334169" w:rsidRPr="00ED6A4E" w:rsidTr="00685725">
              <w:trPr>
                <w:trHeight w:val="134"/>
              </w:trPr>
              <w:tc>
                <w:tcPr>
                  <w:tcW w:w="3731" w:type="dxa"/>
                  <w:tcBorders>
                    <w:top w:val="nil"/>
                    <w:left w:val="nil"/>
                    <w:bottom w:val="nil"/>
                    <w:right w:val="nil"/>
                  </w:tcBorders>
                  <w:shd w:val="clear" w:color="auto" w:fill="FFFFFF" w:themeFill="background1"/>
                  <w:noWrap/>
                  <w:vAlign w:val="bottom"/>
                  <w:hideMark/>
                </w:tcPr>
                <w:p w:rsidR="00334169" w:rsidRPr="00ED6A4E" w:rsidRDefault="00334169" w:rsidP="00685725">
                  <w:pPr>
                    <w:jc w:val="right"/>
                    <w:rPr>
                      <w:b/>
                      <w:bCs/>
                      <w:i/>
                      <w:iCs/>
                      <w:sz w:val="16"/>
                      <w:szCs w:val="16"/>
                    </w:rPr>
                  </w:pPr>
                  <w:r w:rsidRPr="00ED6A4E">
                    <w:rPr>
                      <w:b/>
                      <w:bCs/>
                      <w:i/>
                      <w:iCs/>
                      <w:sz w:val="16"/>
                      <w:szCs w:val="16"/>
                    </w:rPr>
                    <w:t>Pavisam kopā</w:t>
                  </w:r>
                </w:p>
              </w:tc>
              <w:tc>
                <w:tcPr>
                  <w:tcW w:w="1286" w:type="dxa"/>
                  <w:tcBorders>
                    <w:top w:val="nil"/>
                    <w:left w:val="nil"/>
                    <w:bottom w:val="nil"/>
                    <w:right w:val="nil"/>
                  </w:tcBorders>
                  <w:shd w:val="clear" w:color="auto" w:fill="FFFFFF" w:themeFill="background1"/>
                  <w:noWrap/>
                  <w:vAlign w:val="bottom"/>
                  <w:hideMark/>
                </w:tcPr>
                <w:p w:rsidR="00334169" w:rsidRPr="00ED6A4E" w:rsidRDefault="00065E32" w:rsidP="00685725">
                  <w:pPr>
                    <w:jc w:val="right"/>
                    <w:rPr>
                      <w:b/>
                      <w:bCs/>
                      <w:i/>
                      <w:iCs/>
                      <w:sz w:val="16"/>
                      <w:szCs w:val="16"/>
                    </w:rPr>
                  </w:pPr>
                  <w:r>
                    <w:rPr>
                      <w:b/>
                      <w:bCs/>
                      <w:i/>
                      <w:iCs/>
                      <w:sz w:val="16"/>
                      <w:szCs w:val="16"/>
                    </w:rPr>
                    <w:t>202 594</w:t>
                  </w:r>
                </w:p>
              </w:tc>
              <w:tc>
                <w:tcPr>
                  <w:tcW w:w="285" w:type="dxa"/>
                  <w:tcBorders>
                    <w:top w:val="nil"/>
                    <w:left w:val="nil"/>
                    <w:bottom w:val="nil"/>
                    <w:right w:val="nil"/>
                  </w:tcBorders>
                  <w:shd w:val="clear" w:color="auto" w:fill="FFFFFF" w:themeFill="background1"/>
                  <w:noWrap/>
                  <w:vAlign w:val="bottom"/>
                  <w:hideMark/>
                </w:tcPr>
                <w:p w:rsidR="00334169" w:rsidRPr="00ED6A4E" w:rsidRDefault="00334169" w:rsidP="00685725">
                  <w:pPr>
                    <w:rPr>
                      <w:b/>
                      <w:bCs/>
                      <w:i/>
                      <w:iCs/>
                      <w:sz w:val="16"/>
                      <w:szCs w:val="16"/>
                    </w:rPr>
                  </w:pPr>
                </w:p>
              </w:tc>
              <w:tc>
                <w:tcPr>
                  <w:tcW w:w="1286" w:type="dxa"/>
                  <w:tcBorders>
                    <w:top w:val="nil"/>
                    <w:left w:val="nil"/>
                    <w:bottom w:val="nil"/>
                    <w:right w:val="nil"/>
                  </w:tcBorders>
                  <w:shd w:val="clear" w:color="auto" w:fill="FFFFFF" w:themeFill="background1"/>
                  <w:noWrap/>
                  <w:vAlign w:val="bottom"/>
                  <w:hideMark/>
                </w:tcPr>
                <w:p w:rsidR="00334169" w:rsidRPr="00ED6A4E" w:rsidRDefault="0059400F" w:rsidP="00685725">
                  <w:pPr>
                    <w:jc w:val="right"/>
                    <w:rPr>
                      <w:b/>
                      <w:bCs/>
                      <w:i/>
                      <w:iCs/>
                      <w:sz w:val="16"/>
                      <w:szCs w:val="16"/>
                    </w:rPr>
                  </w:pPr>
                  <w:r>
                    <w:rPr>
                      <w:b/>
                      <w:bCs/>
                      <w:i/>
                      <w:iCs/>
                      <w:sz w:val="16"/>
                      <w:szCs w:val="16"/>
                    </w:rPr>
                    <w:t>250 52</w:t>
                  </w:r>
                  <w:r w:rsidR="00334169">
                    <w:rPr>
                      <w:b/>
                      <w:bCs/>
                      <w:i/>
                      <w:iCs/>
                      <w:sz w:val="16"/>
                      <w:szCs w:val="16"/>
                    </w:rPr>
                    <w:t>5</w:t>
                  </w:r>
                </w:p>
              </w:tc>
            </w:tr>
          </w:tbl>
          <w:p w:rsidR="00334169" w:rsidRDefault="00334169" w:rsidP="00685725">
            <w:pPr>
              <w:pStyle w:val="Heading4"/>
              <w:spacing w:before="0"/>
              <w:jc w:val="both"/>
              <w:rPr>
                <w:b w:val="0"/>
                <w:color w:val="0000FF"/>
              </w:rPr>
            </w:pPr>
          </w:p>
          <w:p w:rsidR="00334169" w:rsidRPr="009A2DC9" w:rsidRDefault="00334169" w:rsidP="00685725">
            <w:pPr>
              <w:jc w:val="both"/>
              <w:rPr>
                <w:b/>
              </w:rPr>
            </w:pPr>
            <w:r w:rsidRPr="009A2DC9">
              <w:lastRenderedPageBreak/>
              <w:t xml:space="preserve">Latvijas </w:t>
            </w:r>
            <w:r>
              <w:t xml:space="preserve">Republikas Pastāvīgās pārstāvniecības </w:t>
            </w:r>
            <w:r w:rsidRPr="009A2DC9">
              <w:t>Eiropa</w:t>
            </w:r>
            <w:r>
              <w:t xml:space="preserve">s Savienībā </w:t>
            </w:r>
            <w:r w:rsidRPr="009A2DC9">
              <w:t xml:space="preserve">darbības nodrošināšanai 2012.gadā papildus nepieciešams finansējums </w:t>
            </w:r>
            <w:r>
              <w:t>105 480 latu apmērā (papildus 3</w:t>
            </w:r>
            <w:r w:rsidRPr="009A2DC9">
              <w:t xml:space="preserve"> amata vietām</w:t>
            </w:r>
            <w:r>
              <w:t>) 7 mēnešiem</w:t>
            </w:r>
            <w:r w:rsidRPr="009A2DC9">
              <w:t xml:space="preserve">, tai skaitā </w:t>
            </w:r>
            <w:r>
              <w:t>60 005</w:t>
            </w:r>
            <w:r w:rsidRPr="009A2DC9">
              <w:t xml:space="preserve"> lati atlīdzībai, </w:t>
            </w:r>
            <w:r>
              <w:t>40 525</w:t>
            </w:r>
            <w:r w:rsidRPr="009A2DC9">
              <w:t xml:space="preserve"> lati precēm un pakalpojumiem un </w:t>
            </w:r>
            <w:r>
              <w:t>4 950</w:t>
            </w:r>
            <w:r w:rsidRPr="009A2DC9">
              <w:t xml:space="preserve"> lati kapitālajiem izdevumiem;</w:t>
            </w:r>
          </w:p>
          <w:p w:rsidR="00334169" w:rsidRPr="00E24E67" w:rsidRDefault="00334169" w:rsidP="00685725">
            <w:pPr>
              <w:jc w:val="both"/>
              <w:rPr>
                <w:b/>
              </w:rPr>
            </w:pPr>
            <w:r w:rsidRPr="009A2DC9">
              <w:t xml:space="preserve">un attiecīgi 2013.gadā un turpmākajiem gadiem papildus nepieciešams finansējums </w:t>
            </w:r>
            <w:r>
              <w:t>149 524</w:t>
            </w:r>
            <w:r w:rsidRPr="009A2DC9">
              <w:t xml:space="preserve"> la</w:t>
            </w:r>
            <w:r>
              <w:t>tu apmērā katru gadu (papildus 3</w:t>
            </w:r>
            <w:r w:rsidRPr="009A2DC9">
              <w:t xml:space="preserve"> amata vietām)</w:t>
            </w:r>
            <w:r>
              <w:t>,</w:t>
            </w:r>
            <w:r w:rsidRPr="009A2DC9">
              <w:t xml:space="preserve"> tai skaitā </w:t>
            </w:r>
            <w:r>
              <w:t>98 519</w:t>
            </w:r>
            <w:r w:rsidRPr="009A2DC9">
              <w:t xml:space="preserve"> lati atlīdzībai, </w:t>
            </w:r>
            <w:r>
              <w:t>51 005</w:t>
            </w:r>
            <w:r w:rsidRPr="009A2DC9">
              <w:t xml:space="preserve"> lati pr</w:t>
            </w:r>
            <w:r>
              <w:t>ecēm un pakalpojumiem.</w:t>
            </w:r>
          </w:p>
        </w:tc>
      </w:tr>
      <w:tr w:rsidR="00334169" w:rsidRPr="00A96709"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Pr>
          <w:p w:rsidR="00334169" w:rsidRPr="00901868" w:rsidRDefault="00334169" w:rsidP="00685725">
            <w:pPr>
              <w:jc w:val="both"/>
            </w:pPr>
            <w:r w:rsidRPr="00901868">
              <w:t>6.1. detalizēts ieņēmumu aprēķins</w:t>
            </w:r>
          </w:p>
        </w:tc>
        <w:tc>
          <w:tcPr>
            <w:tcW w:w="7804" w:type="dxa"/>
            <w:gridSpan w:val="10"/>
            <w:vMerge/>
          </w:tcPr>
          <w:p w:rsidR="00334169" w:rsidRPr="00A96709" w:rsidRDefault="00334169" w:rsidP="00685725">
            <w:pPr>
              <w:pStyle w:val="naisf"/>
              <w:spacing w:before="0" w:after="0"/>
              <w:rPr>
                <w:b/>
                <w:i/>
              </w:rPr>
            </w:pPr>
          </w:p>
        </w:tc>
      </w:tr>
      <w:tr w:rsidR="00334169" w:rsidRPr="00A96709"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71"/>
          <w:jc w:val="center"/>
        </w:trPr>
        <w:tc>
          <w:tcPr>
            <w:tcW w:w="1670" w:type="dxa"/>
            <w:tcBorders>
              <w:bottom w:val="nil"/>
            </w:tcBorders>
          </w:tcPr>
          <w:p w:rsidR="00334169" w:rsidRPr="00901868" w:rsidRDefault="00334169" w:rsidP="00685725">
            <w:pPr>
              <w:jc w:val="both"/>
            </w:pPr>
            <w:r w:rsidRPr="00901868">
              <w:t>6.2. detalizēts izdevumu aprēķins</w:t>
            </w:r>
          </w:p>
        </w:tc>
        <w:tc>
          <w:tcPr>
            <w:tcW w:w="7804" w:type="dxa"/>
            <w:gridSpan w:val="10"/>
            <w:vMerge/>
            <w:tcBorders>
              <w:bottom w:val="nil"/>
            </w:tcBorders>
          </w:tcPr>
          <w:p w:rsidR="00334169" w:rsidRPr="00A96709" w:rsidRDefault="00334169" w:rsidP="00685725">
            <w:pPr>
              <w:pStyle w:val="naisf"/>
              <w:spacing w:before="0" w:after="0"/>
              <w:rPr>
                <w:b/>
                <w:i/>
              </w:rPr>
            </w:pPr>
          </w:p>
        </w:tc>
      </w:tr>
      <w:tr w:rsidR="00334169"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wBefore w:w="648" w:type="dxa"/>
          <w:trHeight w:val="8925"/>
          <w:jc w:val="center"/>
        </w:trPr>
        <w:tc>
          <w:tcPr>
            <w:tcW w:w="1670" w:type="dxa"/>
            <w:tcBorders>
              <w:top w:val="nil"/>
            </w:tcBorders>
          </w:tcPr>
          <w:p w:rsidR="00334169" w:rsidRPr="00901868" w:rsidRDefault="00334169" w:rsidP="00685725">
            <w:pPr>
              <w:jc w:val="both"/>
            </w:pPr>
          </w:p>
        </w:tc>
        <w:tc>
          <w:tcPr>
            <w:tcW w:w="7804" w:type="dxa"/>
            <w:gridSpan w:val="10"/>
            <w:tcBorders>
              <w:top w:val="nil"/>
            </w:tcBorders>
          </w:tcPr>
          <w:tbl>
            <w:tblPr>
              <w:tblpPr w:leftFromText="180" w:rightFromText="180" w:vertAnchor="text" w:horzAnchor="margin" w:tblpY="327"/>
              <w:tblOverlap w:val="never"/>
              <w:tblW w:w="5874" w:type="dxa"/>
              <w:tblInd w:w="1" w:type="dxa"/>
              <w:tblLook w:val="04A0"/>
            </w:tblPr>
            <w:tblGrid>
              <w:gridCol w:w="3588"/>
              <w:gridCol w:w="1143"/>
              <w:gridCol w:w="1143"/>
            </w:tblGrid>
            <w:tr w:rsidR="00334169" w:rsidRPr="0077537D" w:rsidTr="00685725">
              <w:trPr>
                <w:trHeight w:val="490"/>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69" w:rsidRPr="0077537D" w:rsidRDefault="00334169" w:rsidP="00685725">
                  <w:pPr>
                    <w:jc w:val="center"/>
                    <w:rPr>
                      <w:b/>
                      <w:bCs/>
                      <w:color w:val="000000"/>
                      <w:sz w:val="16"/>
                      <w:szCs w:val="16"/>
                    </w:rPr>
                  </w:pP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34169" w:rsidRPr="0077537D" w:rsidRDefault="00334169" w:rsidP="00685725">
                  <w:pPr>
                    <w:jc w:val="center"/>
                    <w:rPr>
                      <w:b/>
                      <w:bCs/>
                      <w:sz w:val="16"/>
                      <w:szCs w:val="16"/>
                    </w:rPr>
                  </w:pPr>
                  <w:r w:rsidRPr="0077537D">
                    <w:rPr>
                      <w:b/>
                      <w:bCs/>
                      <w:sz w:val="16"/>
                      <w:szCs w:val="16"/>
                    </w:rPr>
                    <w:t>Papildus nepieciešams 2012.gadā, LVL</w:t>
                  </w:r>
                </w:p>
              </w:tc>
              <w:tc>
                <w:tcPr>
                  <w:tcW w:w="1143" w:type="dxa"/>
                  <w:tcBorders>
                    <w:top w:val="single" w:sz="4" w:space="0" w:color="auto"/>
                    <w:left w:val="nil"/>
                    <w:bottom w:val="single" w:sz="4" w:space="0" w:color="auto"/>
                    <w:right w:val="single" w:sz="4" w:space="0" w:color="auto"/>
                  </w:tcBorders>
                </w:tcPr>
                <w:p w:rsidR="00334169" w:rsidRPr="0077537D" w:rsidRDefault="00334169" w:rsidP="00685725">
                  <w:pPr>
                    <w:jc w:val="center"/>
                    <w:rPr>
                      <w:b/>
                      <w:bCs/>
                      <w:sz w:val="16"/>
                      <w:szCs w:val="16"/>
                    </w:rPr>
                  </w:pPr>
                  <w:r w:rsidRPr="00ED6A4E">
                    <w:rPr>
                      <w:b/>
                      <w:bCs/>
                      <w:sz w:val="16"/>
                      <w:szCs w:val="16"/>
                    </w:rPr>
                    <w:t>Papildus nepieciešams 2013.gadā un turpmākajos gados</w:t>
                  </w:r>
                  <w:r>
                    <w:rPr>
                      <w:b/>
                      <w:bCs/>
                      <w:sz w:val="16"/>
                      <w:szCs w:val="16"/>
                    </w:rPr>
                    <w:t>, LVL</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rsidR="00334169" w:rsidRPr="0077537D" w:rsidRDefault="00334169" w:rsidP="00685725">
                  <w:pPr>
                    <w:rPr>
                      <w:b/>
                      <w:bCs/>
                      <w:sz w:val="16"/>
                      <w:szCs w:val="16"/>
                    </w:rPr>
                  </w:pPr>
                  <w:r w:rsidRPr="00582398">
                    <w:rPr>
                      <w:b/>
                      <w:bCs/>
                      <w:sz w:val="16"/>
                      <w:szCs w:val="16"/>
                    </w:rPr>
                    <w:t xml:space="preserve"> </w:t>
                  </w:r>
                  <w:r>
                    <w:rPr>
                      <w:b/>
                      <w:bCs/>
                      <w:sz w:val="16"/>
                      <w:szCs w:val="16"/>
                    </w:rPr>
                    <w:t>I</w:t>
                  </w:r>
                  <w:r w:rsidRPr="0077537D">
                    <w:rPr>
                      <w:b/>
                      <w:bCs/>
                      <w:sz w:val="16"/>
                      <w:szCs w:val="16"/>
                    </w:rPr>
                    <w:t>zdevumi - kopā</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b/>
                      <w:bCs/>
                      <w:sz w:val="16"/>
                      <w:szCs w:val="16"/>
                    </w:rPr>
                  </w:pPr>
                  <w:r w:rsidRPr="0077537D">
                    <w:rPr>
                      <w:b/>
                      <w:bCs/>
                      <w:sz w:val="16"/>
                      <w:szCs w:val="16"/>
                    </w:rPr>
                    <w:t>10</w:t>
                  </w:r>
                  <w:r>
                    <w:rPr>
                      <w:b/>
                      <w:bCs/>
                      <w:sz w:val="16"/>
                      <w:szCs w:val="16"/>
                    </w:rPr>
                    <w:t>5 480</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b/>
                      <w:bCs/>
                      <w:sz w:val="16"/>
                      <w:szCs w:val="16"/>
                    </w:rPr>
                  </w:pPr>
                  <w:r>
                    <w:rPr>
                      <w:rFonts w:ascii="Times New Roman Tilde" w:hAnsi="Times New Roman Tilde"/>
                      <w:b/>
                      <w:bCs/>
                      <w:sz w:val="16"/>
                      <w:szCs w:val="16"/>
                    </w:rPr>
                    <w:t>149 524</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b/>
                      <w:bCs/>
                      <w:sz w:val="16"/>
                      <w:szCs w:val="16"/>
                    </w:rPr>
                  </w:pPr>
                  <w:r w:rsidRPr="0077537D">
                    <w:rPr>
                      <w:b/>
                      <w:bCs/>
                      <w:sz w:val="16"/>
                      <w:szCs w:val="16"/>
                    </w:rPr>
                    <w:t>Atlīdzība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b/>
                      <w:bCs/>
                      <w:sz w:val="16"/>
                      <w:szCs w:val="16"/>
                    </w:rPr>
                  </w:pPr>
                  <w:r>
                    <w:rPr>
                      <w:rFonts w:ascii="Times New Roman Tilde" w:hAnsi="Times New Roman Tilde"/>
                      <w:b/>
                      <w:bCs/>
                      <w:sz w:val="16"/>
                      <w:szCs w:val="16"/>
                    </w:rPr>
                    <w:t>60 00</w:t>
                  </w:r>
                  <w:r w:rsidRPr="0077537D">
                    <w:rPr>
                      <w:rFonts w:ascii="Times New Roman Tilde" w:hAnsi="Times New Roman Tilde"/>
                      <w:b/>
                      <w:bCs/>
                      <w:sz w:val="16"/>
                      <w:szCs w:val="16"/>
                    </w:rPr>
                    <w:t>5</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b/>
                      <w:bCs/>
                      <w:sz w:val="16"/>
                      <w:szCs w:val="16"/>
                    </w:rPr>
                  </w:pPr>
                  <w:r>
                    <w:rPr>
                      <w:rFonts w:ascii="Times New Roman Tilde" w:hAnsi="Times New Roman Tilde"/>
                      <w:b/>
                      <w:bCs/>
                      <w:sz w:val="16"/>
                      <w:szCs w:val="16"/>
                    </w:rPr>
                    <w:t>98 519</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sidRPr="0077537D">
                    <w:rPr>
                      <w:sz w:val="16"/>
                      <w:szCs w:val="16"/>
                    </w:rPr>
                    <w:t>mēnešalga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14 497</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24 852</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p</w:t>
                  </w:r>
                  <w:r w:rsidRPr="0077537D">
                    <w:rPr>
                      <w:sz w:val="16"/>
                      <w:szCs w:val="16"/>
                    </w:rPr>
                    <w:t xml:space="preserve">iemaksas </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Pr>
                      <w:rFonts w:ascii="Times New Roman Tilde" w:hAnsi="Times New Roman Tilde"/>
                      <w:sz w:val="16"/>
                      <w:szCs w:val="16"/>
                    </w:rPr>
                    <w:t>3 141</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Pr>
                      <w:rFonts w:ascii="Times New Roman Tilde" w:hAnsi="Times New Roman Tilde"/>
                      <w:sz w:val="16"/>
                      <w:szCs w:val="16"/>
                    </w:rPr>
                    <w:t>5 384</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d</w:t>
                  </w:r>
                  <w:r w:rsidRPr="0077537D">
                    <w:rPr>
                      <w:sz w:val="16"/>
                      <w:szCs w:val="16"/>
                    </w:rPr>
                    <w:t>arba devēja valsts sociālās apdrošināšanas obligātās iemaksas</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4 395</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7 534</w:t>
                  </w:r>
                </w:p>
              </w:tc>
            </w:tr>
            <w:tr w:rsidR="00334169" w:rsidRPr="0077537D" w:rsidTr="00685725">
              <w:trPr>
                <w:trHeight w:val="299"/>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d</w:t>
                  </w:r>
                  <w:r w:rsidRPr="0077537D">
                    <w:rPr>
                      <w:sz w:val="16"/>
                      <w:szCs w:val="16"/>
                    </w:rPr>
                    <w:t xml:space="preserve">arba devēja pabalsti un kompensācijas, no kuriem aprēķina ienākuma nodokli, valsts sociālās apdrošināšanas obligātās iemaksas </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605</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1 037</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ā</w:t>
                  </w:r>
                  <w:r w:rsidRPr="0077537D">
                    <w:rPr>
                      <w:sz w:val="16"/>
                      <w:szCs w:val="16"/>
                    </w:rPr>
                    <w:t>rvalstīs strādājošo darbinieku pabalsts mājsaimniecības inventāra iegādei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2 535</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r w:rsidRPr="00582398">
                    <w:rPr>
                      <w:rFonts w:ascii="Times New Roman Tilde" w:hAnsi="Times New Roman Tilde"/>
                      <w:sz w:val="16"/>
                      <w:szCs w:val="16"/>
                    </w:rPr>
                    <w:t>0</w:t>
                  </w:r>
                </w:p>
              </w:tc>
            </w:tr>
            <w:tr w:rsidR="00334169" w:rsidRPr="0077537D" w:rsidTr="00685725">
              <w:trPr>
                <w:trHeight w:val="209"/>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a</w:t>
                  </w:r>
                  <w:r w:rsidRPr="0077537D">
                    <w:rPr>
                      <w:sz w:val="16"/>
                      <w:szCs w:val="16"/>
                    </w:rPr>
                    <w:t>lgas pabalsts, pabalsts par dzīvesbiedra un bērna uzturēšanos ārvalstīs, piemaksa par apdraudējumu dienesta vietā</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29 426</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50 445</w:t>
                  </w:r>
                </w:p>
              </w:tc>
            </w:tr>
            <w:tr w:rsidR="00334169" w:rsidRPr="0077537D" w:rsidTr="00685725">
              <w:trPr>
                <w:trHeight w:val="21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d</w:t>
                  </w:r>
                  <w:r w:rsidRPr="0077537D">
                    <w:rPr>
                      <w:sz w:val="16"/>
                      <w:szCs w:val="16"/>
                    </w:rPr>
                    <w:t>arba devēja izdevumi veselības, dzīvības un nelaimes gadījumu apdrošināšanai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5 406</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9 267</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b/>
                      <w:bCs/>
                      <w:sz w:val="16"/>
                      <w:szCs w:val="16"/>
                    </w:rPr>
                  </w:pPr>
                  <w:r w:rsidRPr="0077537D">
                    <w:rPr>
                      <w:b/>
                      <w:bCs/>
                      <w:sz w:val="16"/>
                      <w:szCs w:val="16"/>
                    </w:rPr>
                    <w:t>Preces un pakalpojumi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b/>
                      <w:bCs/>
                      <w:sz w:val="16"/>
                      <w:szCs w:val="16"/>
                    </w:rPr>
                  </w:pPr>
                  <w:r w:rsidRPr="0077537D">
                    <w:rPr>
                      <w:rFonts w:ascii="Times New Roman Tilde" w:hAnsi="Times New Roman Tilde"/>
                      <w:b/>
                      <w:bCs/>
                      <w:sz w:val="16"/>
                      <w:szCs w:val="16"/>
                    </w:rPr>
                    <w:t>4</w:t>
                  </w:r>
                  <w:r>
                    <w:rPr>
                      <w:rFonts w:ascii="Times New Roman Tilde" w:hAnsi="Times New Roman Tilde"/>
                      <w:b/>
                      <w:bCs/>
                      <w:sz w:val="16"/>
                      <w:szCs w:val="16"/>
                    </w:rPr>
                    <w:t>0 52</w:t>
                  </w:r>
                  <w:r w:rsidRPr="0077537D">
                    <w:rPr>
                      <w:rFonts w:ascii="Times New Roman Tilde" w:hAnsi="Times New Roman Tilde"/>
                      <w:b/>
                      <w:bCs/>
                      <w:sz w:val="16"/>
                      <w:szCs w:val="16"/>
                    </w:rPr>
                    <w:t>5</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b/>
                      <w:bCs/>
                      <w:sz w:val="16"/>
                      <w:szCs w:val="16"/>
                    </w:rPr>
                  </w:pPr>
                  <w:r>
                    <w:rPr>
                      <w:rFonts w:ascii="Times New Roman Tilde" w:hAnsi="Times New Roman Tilde"/>
                      <w:b/>
                      <w:bCs/>
                      <w:sz w:val="16"/>
                      <w:szCs w:val="16"/>
                    </w:rPr>
                    <w:t>51 005</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b/>
                      <w:bCs/>
                      <w:i/>
                      <w:iCs/>
                      <w:sz w:val="16"/>
                      <w:szCs w:val="16"/>
                    </w:rPr>
                  </w:pPr>
                  <w:r w:rsidRPr="00ED6A4E">
                    <w:rPr>
                      <w:sz w:val="16"/>
                      <w:szCs w:val="16"/>
                    </w:rPr>
                    <w:t>komandējumi un dienesta braucieni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84CB0" w:rsidRDefault="00334169" w:rsidP="00685725">
                  <w:pPr>
                    <w:jc w:val="right"/>
                    <w:rPr>
                      <w:rFonts w:ascii="Times New Roman Tilde" w:hAnsi="Times New Roman Tilde"/>
                      <w:bCs/>
                      <w:iCs/>
                      <w:sz w:val="16"/>
                      <w:szCs w:val="16"/>
                    </w:rPr>
                  </w:pPr>
                  <w:r w:rsidRPr="00784CB0">
                    <w:rPr>
                      <w:rFonts w:ascii="Times New Roman Tilde" w:hAnsi="Times New Roman Tilde"/>
                      <w:bCs/>
                      <w:iCs/>
                      <w:sz w:val="16"/>
                      <w:szCs w:val="16"/>
                    </w:rPr>
                    <w:t>5 984</w:t>
                  </w:r>
                </w:p>
              </w:tc>
              <w:tc>
                <w:tcPr>
                  <w:tcW w:w="1143" w:type="dxa"/>
                  <w:tcBorders>
                    <w:top w:val="nil"/>
                    <w:left w:val="nil"/>
                    <w:bottom w:val="single" w:sz="4" w:space="0" w:color="auto"/>
                    <w:right w:val="single" w:sz="4" w:space="0" w:color="auto"/>
                  </w:tcBorders>
                  <w:vAlign w:val="bottom"/>
                </w:tcPr>
                <w:p w:rsidR="00334169" w:rsidRPr="00784CB0" w:rsidRDefault="00334169" w:rsidP="00685725">
                  <w:pPr>
                    <w:jc w:val="right"/>
                    <w:rPr>
                      <w:rFonts w:ascii="Times New Roman Tilde" w:hAnsi="Times New Roman Tilde"/>
                      <w:bCs/>
                      <w:iCs/>
                      <w:sz w:val="16"/>
                      <w:szCs w:val="16"/>
                    </w:rPr>
                  </w:pPr>
                  <w:r w:rsidRPr="00784CB0">
                    <w:rPr>
                      <w:rFonts w:ascii="Times New Roman Tilde" w:hAnsi="Times New Roman Tilde"/>
                      <w:bCs/>
                      <w:iCs/>
                      <w:sz w:val="16"/>
                      <w:szCs w:val="16"/>
                    </w:rPr>
                    <w:t>6 000</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tcPr>
                <w:p w:rsidR="00334169" w:rsidRPr="00582398" w:rsidRDefault="00334169" w:rsidP="00685725">
                  <w:pPr>
                    <w:rPr>
                      <w:sz w:val="16"/>
                      <w:szCs w:val="16"/>
                    </w:rPr>
                  </w:pPr>
                  <w:r>
                    <w:rPr>
                      <w:sz w:val="16"/>
                      <w:szCs w:val="16"/>
                    </w:rPr>
                    <w:t>p</w:t>
                  </w:r>
                  <w:r w:rsidRPr="00ED6A4E">
                    <w:rPr>
                      <w:sz w:val="16"/>
                      <w:szCs w:val="16"/>
                    </w:rPr>
                    <w:t>ārējie sakaru pakalpojumi</w:t>
                  </w:r>
                </w:p>
              </w:tc>
              <w:tc>
                <w:tcPr>
                  <w:tcW w:w="1143" w:type="dxa"/>
                  <w:tcBorders>
                    <w:top w:val="nil"/>
                    <w:left w:val="nil"/>
                    <w:bottom w:val="single" w:sz="4" w:space="0" w:color="auto"/>
                    <w:right w:val="single" w:sz="4" w:space="0" w:color="auto"/>
                  </w:tcBorders>
                  <w:shd w:val="clear" w:color="auto" w:fill="auto"/>
                  <w:noWrap/>
                  <w:vAlign w:val="bottom"/>
                </w:tcPr>
                <w:p w:rsidR="00334169" w:rsidRPr="00582398" w:rsidRDefault="00334169" w:rsidP="00685725">
                  <w:pPr>
                    <w:jc w:val="right"/>
                    <w:rPr>
                      <w:rFonts w:ascii="Times New Roman Tilde" w:hAnsi="Times New Roman Tilde"/>
                      <w:sz w:val="16"/>
                      <w:szCs w:val="16"/>
                    </w:rPr>
                  </w:pPr>
                  <w:r w:rsidRPr="00582398">
                    <w:rPr>
                      <w:rFonts w:ascii="Times New Roman Tilde" w:hAnsi="Times New Roman Tilde"/>
                      <w:sz w:val="16"/>
                      <w:szCs w:val="16"/>
                    </w:rPr>
                    <w:t>1 404</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r w:rsidRPr="00582398">
                    <w:rPr>
                      <w:rFonts w:ascii="Times New Roman Tilde" w:hAnsi="Times New Roman Tilde"/>
                      <w:sz w:val="16"/>
                      <w:szCs w:val="16"/>
                    </w:rPr>
                    <w:t>2 406</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a</w:t>
                  </w:r>
                  <w:r w:rsidRPr="0077537D">
                    <w:rPr>
                      <w:sz w:val="16"/>
                      <w:szCs w:val="16"/>
                    </w:rPr>
                    <w:t>dministratīvie izdevumi un sabiedriskās attiecības, kursu un semināru organizēšana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43</w:t>
                  </w:r>
                  <w:r>
                    <w:rPr>
                      <w:rFonts w:ascii="Times New Roman Tilde" w:hAnsi="Times New Roman Tilde"/>
                      <w:sz w:val="16"/>
                      <w:szCs w:val="16"/>
                    </w:rPr>
                    <w:t>5</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747</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i</w:t>
                  </w:r>
                  <w:r w:rsidRPr="0077537D">
                    <w:rPr>
                      <w:sz w:val="16"/>
                      <w:szCs w:val="16"/>
                    </w:rPr>
                    <w:t>zdevumi par transporta pakalpojumiem</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1 800</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r w:rsidRPr="00582398">
                    <w:rPr>
                      <w:rFonts w:ascii="Times New Roman Tilde" w:hAnsi="Times New Roman Tilde"/>
                      <w:sz w:val="16"/>
                      <w:szCs w:val="16"/>
                    </w:rPr>
                    <w:t>0</w:t>
                  </w:r>
                </w:p>
              </w:tc>
            </w:tr>
            <w:tr w:rsidR="00334169" w:rsidRPr="0077537D" w:rsidTr="00685725">
              <w:trPr>
                <w:trHeight w:val="199"/>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ā</w:t>
                  </w:r>
                  <w:r w:rsidRPr="0077537D">
                    <w:rPr>
                      <w:sz w:val="16"/>
                      <w:szCs w:val="16"/>
                    </w:rPr>
                    <w:t>rvalstīs strādājošo darbinieku dzīvokļa īres un komunālo izdevumu kompensācija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22 706</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38 924</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m</w:t>
                  </w:r>
                  <w:r w:rsidRPr="0077537D">
                    <w:rPr>
                      <w:sz w:val="16"/>
                      <w:szCs w:val="16"/>
                    </w:rPr>
                    <w:t>ākleru pakalpojumi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3 244</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a</w:t>
                  </w:r>
                  <w:r w:rsidRPr="0077537D">
                    <w:rPr>
                      <w:sz w:val="16"/>
                      <w:szCs w:val="16"/>
                    </w:rPr>
                    <w:t>r dienesta dzīvokļa īres līguma slēgšanu saistītie citi izdevumi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3 244</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i</w:t>
                  </w:r>
                  <w:r w:rsidRPr="0077537D">
                    <w:rPr>
                      <w:sz w:val="16"/>
                      <w:szCs w:val="16"/>
                    </w:rPr>
                    <w:t>nformācijas sistēmas licenču nomas izdevumi</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394</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675</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b</w:t>
                  </w:r>
                  <w:r w:rsidRPr="0077537D">
                    <w:rPr>
                      <w:sz w:val="16"/>
                      <w:szCs w:val="16"/>
                    </w:rPr>
                    <w:t>iroja preces</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51</w:t>
                  </w:r>
                  <w:r>
                    <w:rPr>
                      <w:rFonts w:ascii="Times New Roman Tilde" w:hAnsi="Times New Roman Tilde"/>
                      <w:sz w:val="16"/>
                      <w:szCs w:val="16"/>
                    </w:rPr>
                    <w:t>0</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876</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i</w:t>
                  </w:r>
                  <w:r w:rsidRPr="0077537D">
                    <w:rPr>
                      <w:sz w:val="16"/>
                      <w:szCs w:val="16"/>
                    </w:rPr>
                    <w:t xml:space="preserve">nventārs </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7</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12</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d</w:t>
                  </w:r>
                  <w:r w:rsidRPr="0077537D">
                    <w:rPr>
                      <w:sz w:val="16"/>
                      <w:szCs w:val="16"/>
                    </w:rPr>
                    <w:t>egviela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357</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612</w:t>
                  </w:r>
                </w:p>
              </w:tc>
            </w:tr>
            <w:tr w:rsidR="00334169" w:rsidRPr="0077537D" w:rsidTr="00685725">
              <w:trPr>
                <w:trHeight w:val="157"/>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sidRPr="00784CB0">
                    <w:rPr>
                      <w:sz w:val="16"/>
                      <w:szCs w:val="16"/>
                    </w:rPr>
                    <w:t>kārtējā remonta un iestāžu uzturēšanas materiāli (aparatūras, datortehnikas, kopēšanas tehnikas, sakaru līdzekļu detaļas)</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256</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438</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i</w:t>
                  </w:r>
                  <w:r w:rsidRPr="0077537D">
                    <w:rPr>
                      <w:sz w:val="16"/>
                      <w:szCs w:val="16"/>
                    </w:rPr>
                    <w:t>zdevumi par materiāliem saimniecības vajadzībām</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154</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264</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sidRPr="00ED6A4E">
                    <w:rPr>
                      <w:sz w:val="16"/>
                      <w:szCs w:val="16"/>
                    </w:rPr>
                    <w:t>pārējās preces (zīmogi utt.)</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30</w:t>
                  </w:r>
                </w:p>
              </w:tc>
              <w:tc>
                <w:tcPr>
                  <w:tcW w:w="1143" w:type="dxa"/>
                  <w:tcBorders>
                    <w:top w:val="nil"/>
                    <w:left w:val="nil"/>
                    <w:bottom w:val="single" w:sz="4" w:space="0" w:color="auto"/>
                    <w:right w:val="single" w:sz="4" w:space="0" w:color="auto"/>
                  </w:tcBorders>
                  <w:vAlign w:val="bottom"/>
                </w:tcPr>
                <w:p w:rsidR="00334169" w:rsidRPr="009058E7" w:rsidRDefault="00334169" w:rsidP="00685725">
                  <w:pPr>
                    <w:jc w:val="right"/>
                    <w:rPr>
                      <w:rFonts w:ascii="Times New Roman Tilde" w:hAnsi="Times New Roman Tilde"/>
                      <w:sz w:val="16"/>
                      <w:szCs w:val="16"/>
                    </w:rPr>
                  </w:pPr>
                  <w:r w:rsidRPr="009058E7">
                    <w:rPr>
                      <w:rFonts w:ascii="Times New Roman Tilde" w:hAnsi="Times New Roman Tilde"/>
                      <w:sz w:val="16"/>
                      <w:szCs w:val="16"/>
                    </w:rPr>
                    <w:t>51</w:t>
                  </w:r>
                </w:p>
              </w:tc>
            </w:tr>
            <w:tr w:rsidR="00334169" w:rsidRPr="0077537D" w:rsidTr="00685725">
              <w:trPr>
                <w:trHeight w:val="132"/>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b/>
                      <w:bCs/>
                      <w:sz w:val="16"/>
                      <w:szCs w:val="16"/>
                    </w:rPr>
                  </w:pPr>
                  <w:r w:rsidRPr="00ED6A4E">
                    <w:rPr>
                      <w:b/>
                      <w:bCs/>
                      <w:sz w:val="16"/>
                      <w:szCs w:val="16"/>
                    </w:rPr>
                    <w:t>Pamatkapitāla veidošanas izmaksas (vienreizējas):</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b/>
                      <w:bCs/>
                      <w:sz w:val="16"/>
                      <w:szCs w:val="16"/>
                    </w:rPr>
                  </w:pPr>
                  <w:r w:rsidRPr="0077537D">
                    <w:rPr>
                      <w:rFonts w:ascii="Times New Roman Tilde" w:hAnsi="Times New Roman Tilde"/>
                      <w:b/>
                      <w:bCs/>
                      <w:sz w:val="16"/>
                      <w:szCs w:val="16"/>
                    </w:rPr>
                    <w:t>4 950</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b/>
                      <w:bCs/>
                      <w:sz w:val="16"/>
                      <w:szCs w:val="16"/>
                    </w:rPr>
                  </w:pPr>
                  <w:r w:rsidRPr="00582398">
                    <w:rPr>
                      <w:rFonts w:ascii="Times New Roman Tilde" w:hAnsi="Times New Roman Tilde"/>
                      <w:b/>
                      <w:bCs/>
                      <w:sz w:val="16"/>
                      <w:szCs w:val="16"/>
                    </w:rPr>
                    <w:t>0</w:t>
                  </w:r>
                </w:p>
              </w:tc>
            </w:tr>
            <w:tr w:rsidR="00334169" w:rsidRPr="0077537D" w:rsidTr="00685725">
              <w:trPr>
                <w:trHeight w:val="149"/>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334169" w:rsidRPr="0077537D" w:rsidRDefault="00334169" w:rsidP="00685725">
                  <w:pPr>
                    <w:rPr>
                      <w:sz w:val="16"/>
                      <w:szCs w:val="16"/>
                    </w:rPr>
                  </w:pPr>
                  <w:r>
                    <w:rPr>
                      <w:sz w:val="16"/>
                      <w:szCs w:val="16"/>
                    </w:rPr>
                    <w:t>d</w:t>
                  </w:r>
                  <w:r w:rsidRPr="0077537D">
                    <w:rPr>
                      <w:sz w:val="16"/>
                      <w:szCs w:val="16"/>
                    </w:rPr>
                    <w:t>atortehnika, sakaru un cita biroja tehnika</w:t>
                  </w:r>
                </w:p>
              </w:tc>
              <w:tc>
                <w:tcPr>
                  <w:tcW w:w="1143" w:type="dxa"/>
                  <w:tcBorders>
                    <w:top w:val="nil"/>
                    <w:left w:val="nil"/>
                    <w:bottom w:val="single" w:sz="4" w:space="0" w:color="auto"/>
                    <w:right w:val="single" w:sz="4" w:space="0" w:color="auto"/>
                  </w:tcBorders>
                  <w:shd w:val="clear" w:color="auto" w:fill="auto"/>
                  <w:noWrap/>
                  <w:vAlign w:val="bottom"/>
                  <w:hideMark/>
                </w:tcPr>
                <w:p w:rsidR="00334169" w:rsidRPr="0077537D" w:rsidRDefault="00334169" w:rsidP="00685725">
                  <w:pPr>
                    <w:jc w:val="right"/>
                    <w:rPr>
                      <w:rFonts w:ascii="Times New Roman Tilde" w:hAnsi="Times New Roman Tilde"/>
                      <w:sz w:val="16"/>
                      <w:szCs w:val="16"/>
                    </w:rPr>
                  </w:pPr>
                  <w:r w:rsidRPr="0077537D">
                    <w:rPr>
                      <w:rFonts w:ascii="Times New Roman Tilde" w:hAnsi="Times New Roman Tilde"/>
                      <w:sz w:val="16"/>
                      <w:szCs w:val="16"/>
                    </w:rPr>
                    <w:t>4 950</w:t>
                  </w:r>
                </w:p>
              </w:tc>
              <w:tc>
                <w:tcPr>
                  <w:tcW w:w="1143" w:type="dxa"/>
                  <w:tcBorders>
                    <w:top w:val="nil"/>
                    <w:left w:val="nil"/>
                    <w:bottom w:val="single" w:sz="4" w:space="0" w:color="auto"/>
                    <w:right w:val="single" w:sz="4" w:space="0" w:color="auto"/>
                  </w:tcBorders>
                  <w:vAlign w:val="bottom"/>
                </w:tcPr>
                <w:p w:rsidR="00334169" w:rsidRPr="00582398" w:rsidRDefault="00334169" w:rsidP="00685725">
                  <w:pPr>
                    <w:jc w:val="right"/>
                    <w:rPr>
                      <w:rFonts w:ascii="Times New Roman Tilde" w:hAnsi="Times New Roman Tilde"/>
                      <w:sz w:val="16"/>
                      <w:szCs w:val="16"/>
                    </w:rPr>
                  </w:pPr>
                  <w:r w:rsidRPr="00582398">
                    <w:rPr>
                      <w:rFonts w:ascii="Times New Roman Tilde" w:hAnsi="Times New Roman Tilde"/>
                      <w:sz w:val="16"/>
                      <w:szCs w:val="16"/>
                    </w:rPr>
                    <w:t>0</w:t>
                  </w:r>
                </w:p>
              </w:tc>
            </w:tr>
          </w:tbl>
          <w:p w:rsidR="00334169" w:rsidRDefault="00334169" w:rsidP="00685725">
            <w:pPr>
              <w:pStyle w:val="naisf"/>
              <w:tabs>
                <w:tab w:val="left" w:pos="4644"/>
              </w:tabs>
            </w:pPr>
          </w:p>
          <w:p w:rsidR="00334169" w:rsidRDefault="00334169" w:rsidP="00685725">
            <w:pPr>
              <w:pStyle w:val="naisf"/>
              <w:tabs>
                <w:tab w:val="left" w:pos="4644"/>
              </w:tabs>
            </w:pPr>
          </w:p>
          <w:p w:rsidR="00334169" w:rsidRDefault="00334169" w:rsidP="00685725">
            <w:pPr>
              <w:pStyle w:val="naisf"/>
              <w:tabs>
                <w:tab w:val="left" w:pos="4644"/>
              </w:tabs>
            </w:pPr>
          </w:p>
          <w:p w:rsidR="00334169" w:rsidRDefault="00334169" w:rsidP="00685725">
            <w:pPr>
              <w:pStyle w:val="naisf"/>
              <w:tabs>
                <w:tab w:val="left" w:pos="4644"/>
              </w:tabs>
            </w:pPr>
          </w:p>
          <w:p w:rsidR="00334169" w:rsidRDefault="00334169" w:rsidP="00685725">
            <w:pPr>
              <w:pStyle w:val="naisf"/>
              <w:tabs>
                <w:tab w:val="left" w:pos="4644"/>
              </w:tabs>
            </w:pPr>
          </w:p>
          <w:p w:rsidR="00334169" w:rsidRDefault="00334169" w:rsidP="00685725">
            <w:pPr>
              <w:pStyle w:val="naisf"/>
              <w:tabs>
                <w:tab w:val="left" w:pos="4644"/>
              </w:tabs>
            </w:pPr>
          </w:p>
          <w:p w:rsidR="00334169" w:rsidRDefault="00334169" w:rsidP="00685725">
            <w:pPr>
              <w:pStyle w:val="naisf"/>
              <w:tabs>
                <w:tab w:val="left" w:pos="4644"/>
              </w:tabs>
            </w:pPr>
          </w:p>
        </w:tc>
      </w:tr>
      <w:tr w:rsidR="00334169" w:rsidRPr="00F64A88" w:rsidTr="00685725">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2"/>
          <w:gridAfter w:val="1"/>
          <w:wBefore w:w="648" w:type="dxa"/>
          <w:wAfter w:w="10" w:type="dxa"/>
          <w:trHeight w:val="71"/>
          <w:jc w:val="center"/>
        </w:trPr>
        <w:tc>
          <w:tcPr>
            <w:tcW w:w="1670" w:type="dxa"/>
          </w:tcPr>
          <w:p w:rsidR="00334169" w:rsidRPr="00901868" w:rsidRDefault="00334169" w:rsidP="00685725">
            <w:pPr>
              <w:jc w:val="both"/>
            </w:pPr>
            <w:r w:rsidRPr="00901868">
              <w:t>7. Cita informācija</w:t>
            </w:r>
          </w:p>
        </w:tc>
        <w:tc>
          <w:tcPr>
            <w:tcW w:w="7794" w:type="dxa"/>
            <w:gridSpan w:val="9"/>
          </w:tcPr>
          <w:p w:rsidR="00334169" w:rsidRDefault="00334169" w:rsidP="00685725">
            <w:pPr>
              <w:pStyle w:val="naisf"/>
              <w:tabs>
                <w:tab w:val="left" w:pos="4644"/>
              </w:tabs>
            </w:pPr>
            <w:r>
              <w:t>Izdevumus</w:t>
            </w:r>
            <w:r>
              <w:t xml:space="preserve"> </w:t>
            </w:r>
            <w:r w:rsidR="00AF3E98" w:rsidRPr="009A2DC9">
              <w:t>Latvijas prezidentūras Eiropa</w:t>
            </w:r>
            <w:r w:rsidR="00AF3E98">
              <w:t xml:space="preserve">s Savienības Padomē sekretariāta </w:t>
            </w:r>
            <w:r w:rsidR="00AF3E98" w:rsidRPr="009A2DC9">
              <w:t xml:space="preserve">darbības nodrošināšanai </w:t>
            </w:r>
            <w:r>
              <w:t xml:space="preserve">sedz no </w:t>
            </w:r>
            <w:r w:rsidRPr="00FD5E98">
              <w:t xml:space="preserve">valsts budžeta programmas </w:t>
            </w:r>
            <w:r w:rsidR="00B05F50" w:rsidRPr="00FD5E98">
              <w:rPr>
                <w:iCs/>
              </w:rPr>
              <w:t>01.00.00 „Apropriācijas rezerve”</w:t>
            </w:r>
            <w:r w:rsidRPr="00FD5E98">
              <w:t>.</w:t>
            </w:r>
          </w:p>
          <w:p w:rsidR="00AF3E98" w:rsidRPr="00FD5E98" w:rsidRDefault="00AF3E98" w:rsidP="00AF3E98">
            <w:pPr>
              <w:pStyle w:val="naisf"/>
              <w:tabs>
                <w:tab w:val="left" w:pos="4644"/>
              </w:tabs>
            </w:pPr>
            <w:r>
              <w:t xml:space="preserve">Izdevumus </w:t>
            </w:r>
            <w:r w:rsidRPr="009A2DC9">
              <w:t xml:space="preserve">Latvijas </w:t>
            </w:r>
            <w:r>
              <w:t xml:space="preserve">Republikas Pastāvīgās pārstāvniecības </w:t>
            </w:r>
            <w:r w:rsidRPr="009A2DC9">
              <w:t>Eiropa</w:t>
            </w:r>
            <w:r>
              <w:t xml:space="preserve">s Savienībā </w:t>
            </w:r>
            <w:r w:rsidRPr="009A2DC9">
              <w:t xml:space="preserve">darbības nodrošināšanai </w:t>
            </w:r>
            <w:r>
              <w:t xml:space="preserve">sedz no </w:t>
            </w:r>
            <w:r w:rsidRPr="00FD5E98">
              <w:t xml:space="preserve">valsts budžeta programmas </w:t>
            </w:r>
            <w:r>
              <w:rPr>
                <w:iCs/>
              </w:rPr>
              <w:t>02</w:t>
            </w:r>
            <w:r w:rsidRPr="00FD5E98">
              <w:rPr>
                <w:iCs/>
              </w:rPr>
              <w:t>.00.00 „</w:t>
            </w:r>
            <w:r w:rsidRPr="00CE56DF">
              <w:t>Līdzekļi neparedzētiem gadījumiem</w:t>
            </w:r>
            <w:r w:rsidRPr="00FD5E98">
              <w:rPr>
                <w:iCs/>
              </w:rPr>
              <w:t>”</w:t>
            </w:r>
            <w:r w:rsidRPr="00FD5E98">
              <w:t>.</w:t>
            </w:r>
          </w:p>
          <w:p w:rsidR="00334169" w:rsidRPr="00F64A88" w:rsidRDefault="00334169" w:rsidP="00685725">
            <w:pPr>
              <w:pStyle w:val="naisf"/>
              <w:tabs>
                <w:tab w:val="left" w:pos="4644"/>
              </w:tabs>
            </w:pPr>
            <w:r w:rsidRPr="00FD5E98">
              <w:t>Saskaņā ar Finanšu ministrijas š.g. 17.februāra rīkojumu Nr.77 par apropriācijas pārdali Ārlietu</w:t>
            </w:r>
            <w:r>
              <w:t xml:space="preserve"> ministrijas</w:t>
            </w:r>
            <w:r w:rsidRPr="00F1634E">
              <w:t xml:space="preserve"> budžeta </w:t>
            </w:r>
            <w:r>
              <w:t>apakš</w:t>
            </w:r>
            <w:r w:rsidRPr="00F1634E">
              <w:t>programmā „Latvijas prezidentūras E</w:t>
            </w:r>
            <w:r>
              <w:t xml:space="preserve">iropas </w:t>
            </w:r>
            <w:r w:rsidRPr="00F1634E">
              <w:t>S</w:t>
            </w:r>
            <w:r>
              <w:t>avien</w:t>
            </w:r>
            <w:bookmarkStart w:id="2" w:name="_GoBack"/>
            <w:bookmarkEnd w:id="2"/>
            <w:r>
              <w:t>ības</w:t>
            </w:r>
            <w:r w:rsidRPr="00F1634E">
              <w:t xml:space="preserve"> </w:t>
            </w:r>
            <w:r>
              <w:t>Padomē sagatavošanas sekretariāta darbības nodrošināšana” 2012.gadā ir apstiprināts finansējums 65 845 latu apmērā (2</w:t>
            </w:r>
            <w:r w:rsidRPr="00F1634E">
              <w:t xml:space="preserve"> amata viet</w:t>
            </w:r>
            <w:r>
              <w:t xml:space="preserve">u nodrošināšanai) un attiecīgi 2013.-2014.gadā budžeta „bāzes </w:t>
            </w:r>
            <w:r>
              <w:lastRenderedPageBreak/>
              <w:t>izdevumos” ir apstiprināts finansējums 63 761 lata apmērā katru gadu.</w:t>
            </w:r>
          </w:p>
        </w:tc>
      </w:tr>
      <w:tr w:rsidR="008E31E5" w:rsidRPr="00D701E4" w:rsidTr="00685725">
        <w:trPr>
          <w:gridAfter w:val="2"/>
          <w:wAfter w:w="405" w:type="dxa"/>
          <w:trHeight w:val="71"/>
          <w:tblCellSpacing w:w="0" w:type="dxa"/>
        </w:trPr>
        <w:tc>
          <w:tcPr>
            <w:tcW w:w="9717" w:type="dxa"/>
            <w:gridSpan w:val="11"/>
            <w:tcBorders>
              <w:top w:val="outset" w:sz="6" w:space="0" w:color="auto"/>
              <w:left w:val="outset" w:sz="6" w:space="0" w:color="auto"/>
              <w:bottom w:val="outset" w:sz="6" w:space="0" w:color="auto"/>
              <w:right w:val="outset" w:sz="6" w:space="0" w:color="auto"/>
            </w:tcBorders>
          </w:tcPr>
          <w:p w:rsidR="008E31E5" w:rsidRPr="00D701E4" w:rsidRDefault="008E31E5" w:rsidP="003C3B89">
            <w:pPr>
              <w:pStyle w:val="naisnod"/>
              <w:spacing w:before="120" w:beforeAutospacing="0" w:after="120" w:afterAutospacing="0"/>
              <w:ind w:firstLine="181"/>
              <w:jc w:val="center"/>
            </w:pPr>
            <w:r w:rsidRPr="00D701E4">
              <w:lastRenderedPageBreak/>
              <w:t> </w:t>
            </w:r>
            <w:r w:rsidRPr="00D701E4">
              <w:rPr>
                <w:b/>
                <w:bCs/>
              </w:rPr>
              <w:t> </w:t>
            </w:r>
            <w:smartTag w:uri="urn:schemas-microsoft-com:office:smarttags" w:element="stockticker">
              <w:r w:rsidRPr="00D701E4">
                <w:rPr>
                  <w:b/>
                  <w:bCs/>
                </w:rPr>
                <w:t>VII</w:t>
              </w:r>
            </w:smartTag>
            <w:r w:rsidRPr="00D701E4">
              <w:rPr>
                <w:b/>
                <w:bCs/>
              </w:rPr>
              <w:t>. Tiesību akta projekta izpildes nodrošināšana un tās ietekme uz institūcijām</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numPr>
                <w:ilvl w:val="0"/>
                <w:numId w:val="1"/>
              </w:numPr>
              <w:tabs>
                <w:tab w:val="clear" w:pos="540"/>
                <w:tab w:val="num" w:pos="345"/>
              </w:tabs>
              <w:spacing w:before="75" w:beforeAutospacing="0" w:after="75" w:afterAutospacing="0"/>
              <w:ind w:left="0" w:firstLine="0"/>
            </w:pPr>
            <w:r w:rsidRPr="00D701E4">
              <w:t>Projekta izpildē iesaistītās institūcijas</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704364" w:rsidP="0031396F">
            <w:pPr>
              <w:ind w:right="165"/>
              <w:jc w:val="both"/>
              <w:rPr>
                <w:highlight w:val="yellow"/>
              </w:rPr>
            </w:pPr>
            <w:r w:rsidRPr="00D701E4">
              <w:t>Ā</w:t>
            </w:r>
            <w:r w:rsidR="00BD519E" w:rsidRPr="00D701E4">
              <w:t>rlietu ministrija</w:t>
            </w:r>
            <w:r w:rsidR="00334169">
              <w:t xml:space="preserve">, </w:t>
            </w:r>
            <w:r w:rsidR="002B63BB" w:rsidRPr="00B32F77">
              <w:t>Latvijas prezidentūras Eiropas Savienības Padomē sekretariāts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2. Projekta ietekme uz pārvaldes funkcijām</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 tiks nodrošināta līdzšinējo funkciju ietvaros.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3. Projekta ietekme uz pārvaldes institucionālo struktūru</w:t>
            </w:r>
          </w:p>
          <w:p w:rsidR="008E31E5" w:rsidRPr="00D701E4" w:rsidRDefault="008E31E5" w:rsidP="00BD519E">
            <w:pPr>
              <w:pStyle w:val="naiskr"/>
              <w:spacing w:before="75" w:beforeAutospacing="0" w:after="75" w:afterAutospacing="0"/>
            </w:pPr>
            <w:r w:rsidRPr="00D701E4">
              <w:t>Jaunu institūciju izveide</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izveidot jaunas institūcijas.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4. Projekta ietekme uz pārvaldes institucionālo struktūru</w:t>
            </w:r>
          </w:p>
          <w:p w:rsidR="008E31E5" w:rsidRPr="00D701E4" w:rsidRDefault="008E31E5" w:rsidP="00BD519E">
            <w:pPr>
              <w:pStyle w:val="naiskr"/>
              <w:spacing w:before="75" w:beforeAutospacing="0" w:after="75" w:afterAutospacing="0"/>
            </w:pPr>
            <w:r w:rsidRPr="00D701E4">
              <w:t>Esošu institūciju likvidācija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likvidēt esošu institūciju.</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5. Projekta ietekme uz pārvaldes institucionālo struktūru</w:t>
            </w:r>
          </w:p>
          <w:p w:rsidR="008E31E5" w:rsidRPr="00D701E4" w:rsidRDefault="008E31E5" w:rsidP="00BD519E">
            <w:pPr>
              <w:pStyle w:val="naiskr"/>
              <w:spacing w:before="75" w:beforeAutospacing="0" w:after="75" w:afterAutospacing="0"/>
            </w:pPr>
            <w:r w:rsidRPr="00D701E4">
              <w:t>Esošu institūciju reorganizācija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2F7CAF" w:rsidP="0031396F">
            <w:pPr>
              <w:pStyle w:val="naiskr"/>
              <w:ind w:right="165"/>
              <w:jc w:val="both"/>
            </w:pPr>
            <w:r w:rsidRPr="00D701E4">
              <w:t>Rīkojuma</w:t>
            </w:r>
            <w:r w:rsidR="00BD519E" w:rsidRPr="00D701E4">
              <w:t xml:space="preserve"> projekta izpildei nav nepieciešams reorganizēt esošu institūciju vai apvienot esošas institūcijas.</w:t>
            </w:r>
          </w:p>
        </w:tc>
      </w:tr>
      <w:tr w:rsidR="008E31E5" w:rsidRPr="00D701E4" w:rsidTr="00685725">
        <w:trPr>
          <w:gridAfter w:val="2"/>
          <w:wAfter w:w="405" w:type="dxa"/>
          <w:trHeight w:val="71"/>
          <w:tblCellSpacing w:w="0" w:type="dxa"/>
        </w:trPr>
        <w:tc>
          <w:tcPr>
            <w:tcW w:w="5459" w:type="dxa"/>
            <w:gridSpan w:val="7"/>
            <w:tcBorders>
              <w:top w:val="outset" w:sz="6" w:space="0" w:color="auto"/>
              <w:left w:val="outset" w:sz="6" w:space="0" w:color="auto"/>
              <w:bottom w:val="outset" w:sz="6" w:space="0" w:color="auto"/>
              <w:right w:val="outset" w:sz="6" w:space="0" w:color="auto"/>
            </w:tcBorders>
          </w:tcPr>
          <w:p w:rsidR="008E31E5" w:rsidRPr="00D701E4" w:rsidRDefault="008E31E5" w:rsidP="00BD519E">
            <w:pPr>
              <w:pStyle w:val="naiskr"/>
              <w:spacing w:before="75" w:beforeAutospacing="0" w:after="75" w:afterAutospacing="0"/>
            </w:pPr>
            <w:r w:rsidRPr="00D701E4">
              <w:t>6. Cita informācija</w:t>
            </w:r>
          </w:p>
        </w:tc>
        <w:tc>
          <w:tcPr>
            <w:tcW w:w="4258" w:type="dxa"/>
            <w:gridSpan w:val="4"/>
            <w:tcBorders>
              <w:top w:val="outset" w:sz="6" w:space="0" w:color="auto"/>
              <w:left w:val="outset" w:sz="6" w:space="0" w:color="auto"/>
              <w:bottom w:val="outset" w:sz="6" w:space="0" w:color="auto"/>
              <w:right w:val="outset" w:sz="6" w:space="0" w:color="auto"/>
            </w:tcBorders>
          </w:tcPr>
          <w:p w:rsidR="008E31E5" w:rsidRPr="00D701E4" w:rsidRDefault="008E31E5" w:rsidP="0031396F">
            <w:pPr>
              <w:pStyle w:val="naiskr"/>
              <w:jc w:val="both"/>
            </w:pPr>
            <w:r w:rsidRPr="00D701E4">
              <w:t>Nav.</w:t>
            </w:r>
          </w:p>
        </w:tc>
      </w:tr>
    </w:tbl>
    <w:p w:rsidR="00D701E4" w:rsidRPr="00D701E4" w:rsidRDefault="00D701E4" w:rsidP="00544115">
      <w:pPr>
        <w:outlineLvl w:val="0"/>
      </w:pPr>
    </w:p>
    <w:p w:rsidR="00B910CC" w:rsidRPr="00D701E4" w:rsidRDefault="00B910CC" w:rsidP="00544115">
      <w:pPr>
        <w:outlineLvl w:val="0"/>
      </w:pPr>
      <w:r w:rsidRPr="00D701E4">
        <w:t>Anotācijas</w:t>
      </w:r>
      <w:r w:rsidR="00FF2E65" w:rsidRPr="00D701E4">
        <w:t xml:space="preserve"> </w:t>
      </w:r>
      <w:r w:rsidR="00A1601B" w:rsidRPr="00D701E4">
        <w:rPr>
          <w:bCs/>
        </w:rPr>
        <w:t xml:space="preserve"> II, IV, </w:t>
      </w:r>
      <w:r w:rsidRPr="00D701E4">
        <w:t>V un VI sadaļa - nav attiecināms.</w:t>
      </w:r>
    </w:p>
    <w:p w:rsidR="008E31E5" w:rsidRDefault="008E31E5" w:rsidP="008E31E5">
      <w:pPr>
        <w:pStyle w:val="naisf"/>
        <w:spacing w:before="0" w:after="0"/>
        <w:ind w:firstLine="0"/>
      </w:pPr>
    </w:p>
    <w:p w:rsidR="001F5FE9" w:rsidRDefault="001F5FE9" w:rsidP="008E31E5">
      <w:pPr>
        <w:pStyle w:val="naisf"/>
        <w:spacing w:before="0" w:after="0"/>
        <w:ind w:firstLine="0"/>
      </w:pPr>
    </w:p>
    <w:p w:rsidR="00940E32" w:rsidRDefault="00940E32" w:rsidP="008E31E5">
      <w:pPr>
        <w:pStyle w:val="naisf"/>
        <w:spacing w:before="0" w:after="0"/>
        <w:ind w:firstLine="0"/>
      </w:pPr>
    </w:p>
    <w:p w:rsidR="008E31E5" w:rsidRPr="00D701E4" w:rsidRDefault="0071613F" w:rsidP="00044D14">
      <w:pPr>
        <w:pStyle w:val="naisf"/>
        <w:spacing w:before="0" w:after="0"/>
        <w:ind w:firstLine="0"/>
      </w:pPr>
      <w:bookmarkStart w:id="3" w:name="OLE_LINK1"/>
      <w:r w:rsidRPr="00D701E4">
        <w:t>Ā</w:t>
      </w:r>
      <w:r w:rsidR="00EE63DD">
        <w:t>rlietu ministr</w:t>
      </w:r>
      <w:r w:rsidR="00044D14">
        <w:t>s</w:t>
      </w:r>
      <w:r w:rsidR="00044D14">
        <w:tab/>
      </w:r>
      <w:r w:rsidR="00044D14">
        <w:tab/>
      </w:r>
      <w:r w:rsidR="00044D14">
        <w:tab/>
      </w:r>
      <w:r w:rsidR="00044D14">
        <w:tab/>
      </w:r>
      <w:r w:rsidR="00044D14">
        <w:tab/>
      </w:r>
      <w:r w:rsidR="00044D14">
        <w:tab/>
      </w:r>
      <w:proofErr w:type="spellStart"/>
      <w:r w:rsidR="00044D14">
        <w:t>E.Rinkēvičs</w:t>
      </w:r>
      <w:proofErr w:type="spellEnd"/>
    </w:p>
    <w:p w:rsidR="008E31E5" w:rsidRDefault="008E31E5" w:rsidP="008E31E5">
      <w:pPr>
        <w:pStyle w:val="naisf"/>
        <w:spacing w:before="0" w:after="0"/>
      </w:pPr>
    </w:p>
    <w:p w:rsidR="001F5FE9" w:rsidRDefault="001F5FE9" w:rsidP="008E31E5">
      <w:pPr>
        <w:pStyle w:val="naisf"/>
        <w:spacing w:before="0" w:after="0"/>
      </w:pPr>
    </w:p>
    <w:p w:rsidR="00940E32" w:rsidRPr="00D701E4" w:rsidRDefault="00940E32" w:rsidP="008E31E5">
      <w:pPr>
        <w:pStyle w:val="naisf"/>
        <w:spacing w:before="0" w:after="0"/>
      </w:pPr>
    </w:p>
    <w:p w:rsidR="00D701E4" w:rsidRDefault="003B31C8" w:rsidP="004A49F4">
      <w:pPr>
        <w:pStyle w:val="naisf"/>
        <w:spacing w:before="0" w:after="0"/>
        <w:ind w:firstLine="0"/>
        <w:rPr>
          <w:bCs/>
          <w:sz w:val="16"/>
          <w:szCs w:val="16"/>
        </w:rPr>
      </w:pPr>
      <w:r w:rsidRPr="00D701E4">
        <w:t>Vīza: V</w:t>
      </w:r>
      <w:r w:rsidR="00CF3123" w:rsidRPr="00D701E4">
        <w:t>alsts sekretār</w:t>
      </w:r>
      <w:r w:rsidR="00B32F77">
        <w:t>s</w:t>
      </w:r>
      <w:r w:rsidR="00CF3123" w:rsidRPr="00D701E4">
        <w:tab/>
      </w:r>
      <w:r w:rsidR="00D701E4" w:rsidRPr="00D701E4">
        <w:t xml:space="preserve"> </w:t>
      </w:r>
      <w:r w:rsidR="00D701E4" w:rsidRPr="00D701E4">
        <w:tab/>
      </w:r>
      <w:r w:rsidR="00D701E4" w:rsidRPr="00D701E4">
        <w:tab/>
      </w:r>
      <w:r w:rsidR="00D701E4" w:rsidRPr="00D701E4">
        <w:tab/>
      </w:r>
      <w:r w:rsidR="004A49F4">
        <w:tab/>
      </w:r>
      <w:r w:rsidR="00B32F77">
        <w:tab/>
      </w:r>
      <w:proofErr w:type="spellStart"/>
      <w:r w:rsidR="00B32F77">
        <w:t>A</w:t>
      </w:r>
      <w:r w:rsidR="00EE63DD">
        <w:t>.Teikmanis</w:t>
      </w:r>
      <w:proofErr w:type="spellEnd"/>
    </w:p>
    <w:bookmarkEnd w:id="3"/>
    <w:p w:rsidR="0054388D" w:rsidRDefault="0054388D" w:rsidP="00DB7589">
      <w:pPr>
        <w:pStyle w:val="Header"/>
        <w:tabs>
          <w:tab w:val="center" w:pos="900"/>
        </w:tabs>
        <w:jc w:val="both"/>
        <w:rPr>
          <w:bCs/>
          <w:sz w:val="16"/>
          <w:szCs w:val="16"/>
        </w:rPr>
      </w:pPr>
    </w:p>
    <w:p w:rsidR="0054388D" w:rsidRDefault="0054388D" w:rsidP="001F5FE9">
      <w:pPr>
        <w:pStyle w:val="Header"/>
        <w:tabs>
          <w:tab w:val="clear" w:pos="4153"/>
          <w:tab w:val="clear" w:pos="8306"/>
          <w:tab w:val="left" w:pos="2790"/>
        </w:tabs>
        <w:jc w:val="both"/>
        <w:rPr>
          <w:bCs/>
          <w:sz w:val="16"/>
          <w:szCs w:val="16"/>
        </w:rPr>
      </w:pPr>
    </w:p>
    <w:p w:rsidR="001F5FE9" w:rsidRDefault="001F5FE9" w:rsidP="001F5FE9">
      <w:pPr>
        <w:pStyle w:val="Header"/>
        <w:tabs>
          <w:tab w:val="clear" w:pos="4153"/>
          <w:tab w:val="clear" w:pos="8306"/>
          <w:tab w:val="left" w:pos="2790"/>
        </w:tabs>
        <w:jc w:val="both"/>
        <w:rPr>
          <w:bCs/>
          <w:sz w:val="16"/>
          <w:szCs w:val="16"/>
        </w:rPr>
      </w:pPr>
    </w:p>
    <w:p w:rsidR="00B32F77" w:rsidRDefault="00B32F77" w:rsidP="00B910CC">
      <w:pPr>
        <w:jc w:val="both"/>
        <w:rPr>
          <w:sz w:val="16"/>
          <w:szCs w:val="16"/>
        </w:rPr>
      </w:pPr>
    </w:p>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Default="00B32F77" w:rsidP="00B32F77"/>
    <w:p w:rsidR="00B32F77" w:rsidRPr="007315ED" w:rsidRDefault="00044D14" w:rsidP="00B32F77">
      <w:pPr>
        <w:rPr>
          <w:sz w:val="20"/>
          <w:szCs w:val="20"/>
        </w:rPr>
      </w:pPr>
      <w:r>
        <w:rPr>
          <w:sz w:val="20"/>
          <w:szCs w:val="20"/>
        </w:rPr>
        <w:t>02.04</w:t>
      </w:r>
      <w:r w:rsidR="00B32F77">
        <w:rPr>
          <w:sz w:val="20"/>
          <w:szCs w:val="20"/>
        </w:rPr>
        <w:t>.2012.</w:t>
      </w:r>
    </w:p>
    <w:p w:rsidR="00B32F77" w:rsidRPr="00FB4110" w:rsidRDefault="00791F73" w:rsidP="00B32F77">
      <w:pPr>
        <w:rPr>
          <w:sz w:val="20"/>
          <w:szCs w:val="20"/>
        </w:rPr>
      </w:pPr>
      <w:bookmarkStart w:id="4" w:name="OLE_LINK5"/>
      <w:bookmarkStart w:id="5" w:name="OLE_LINK6"/>
      <w:r>
        <w:rPr>
          <w:sz w:val="20"/>
          <w:szCs w:val="20"/>
        </w:rPr>
        <w:t>1</w:t>
      </w:r>
      <w:r w:rsidR="003005EF">
        <w:rPr>
          <w:sz w:val="20"/>
          <w:szCs w:val="20"/>
        </w:rPr>
        <w:t>7</w:t>
      </w:r>
      <w:r w:rsidR="00044D14">
        <w:rPr>
          <w:sz w:val="20"/>
          <w:szCs w:val="20"/>
        </w:rPr>
        <w:t>45</w:t>
      </w:r>
    </w:p>
    <w:p w:rsidR="00B32F77" w:rsidRDefault="00B32F77" w:rsidP="00B32F77">
      <w:pPr>
        <w:rPr>
          <w:sz w:val="20"/>
          <w:szCs w:val="20"/>
        </w:rPr>
      </w:pPr>
      <w:r>
        <w:rPr>
          <w:sz w:val="20"/>
          <w:szCs w:val="20"/>
        </w:rPr>
        <w:t>A.Krastiņš</w:t>
      </w:r>
    </w:p>
    <w:p w:rsidR="00B32F77" w:rsidRPr="007315ED" w:rsidRDefault="00B32F77" w:rsidP="00B32F77">
      <w:pPr>
        <w:rPr>
          <w:sz w:val="20"/>
          <w:szCs w:val="20"/>
        </w:rPr>
      </w:pPr>
      <w:r>
        <w:rPr>
          <w:sz w:val="20"/>
          <w:szCs w:val="20"/>
        </w:rPr>
        <w:t>andris.krastins</w:t>
      </w:r>
      <w:r w:rsidRPr="007315ED">
        <w:rPr>
          <w:sz w:val="20"/>
          <w:szCs w:val="20"/>
        </w:rPr>
        <w:t>@mfa.gov.lv</w:t>
      </w:r>
    </w:p>
    <w:p w:rsidR="00B32F77" w:rsidRDefault="00B32F77" w:rsidP="00B32F77">
      <w:pPr>
        <w:rPr>
          <w:sz w:val="20"/>
          <w:szCs w:val="20"/>
        </w:rPr>
      </w:pPr>
      <w:r w:rsidRPr="007315ED">
        <w:rPr>
          <w:sz w:val="20"/>
          <w:szCs w:val="20"/>
        </w:rPr>
        <w:t>67016</w:t>
      </w:r>
      <w:r>
        <w:rPr>
          <w:sz w:val="20"/>
          <w:szCs w:val="20"/>
        </w:rPr>
        <w:t>403</w:t>
      </w:r>
      <w:r w:rsidRPr="007315ED">
        <w:rPr>
          <w:sz w:val="20"/>
          <w:szCs w:val="20"/>
        </w:rPr>
        <w:t xml:space="preserve">, </w:t>
      </w:r>
      <w:smartTag w:uri="urn:schemas-microsoft-com:office:smarttags" w:element="stockticker">
        <w:smartTagPr>
          <w:attr w:name="text" w:val="fakss"/>
          <w:attr w:name="baseform" w:val="fakss"/>
          <w:attr w:name="id" w:val="-1"/>
        </w:smartTagPr>
        <w:r w:rsidRPr="007315ED">
          <w:rPr>
            <w:sz w:val="20"/>
            <w:szCs w:val="20"/>
          </w:rPr>
          <w:t>fakss</w:t>
        </w:r>
      </w:smartTag>
      <w:r w:rsidRPr="007315ED">
        <w:rPr>
          <w:sz w:val="20"/>
          <w:szCs w:val="20"/>
        </w:rPr>
        <w:t>: 67</w:t>
      </w:r>
      <w:r>
        <w:rPr>
          <w:sz w:val="20"/>
          <w:szCs w:val="20"/>
        </w:rPr>
        <w:t>284509</w:t>
      </w:r>
    </w:p>
    <w:p w:rsidR="002B63BB" w:rsidRDefault="002B63BB" w:rsidP="00B32F77">
      <w:pPr>
        <w:rPr>
          <w:sz w:val="20"/>
          <w:szCs w:val="20"/>
        </w:rPr>
      </w:pPr>
      <w:proofErr w:type="spellStart"/>
      <w:r>
        <w:rPr>
          <w:sz w:val="20"/>
          <w:szCs w:val="20"/>
        </w:rPr>
        <w:t>M.Slikšāne</w:t>
      </w:r>
      <w:proofErr w:type="spellEnd"/>
    </w:p>
    <w:p w:rsidR="002B63BB" w:rsidRDefault="002B63BB" w:rsidP="00B32F77">
      <w:pPr>
        <w:rPr>
          <w:sz w:val="20"/>
          <w:szCs w:val="20"/>
        </w:rPr>
      </w:pPr>
      <w:r>
        <w:rPr>
          <w:sz w:val="20"/>
          <w:szCs w:val="20"/>
        </w:rPr>
        <w:t>marite.sliksane@mfa.gov.lv</w:t>
      </w:r>
    </w:p>
    <w:p w:rsidR="002B63BB" w:rsidRPr="007315ED" w:rsidRDefault="002B63BB" w:rsidP="00B32F77">
      <w:pPr>
        <w:rPr>
          <w:sz w:val="20"/>
          <w:szCs w:val="20"/>
        </w:rPr>
      </w:pPr>
      <w:r>
        <w:rPr>
          <w:sz w:val="20"/>
          <w:szCs w:val="20"/>
        </w:rPr>
        <w:t>67016151</w:t>
      </w:r>
    </w:p>
    <w:bookmarkEnd w:id="4"/>
    <w:bookmarkEnd w:id="5"/>
    <w:p w:rsidR="00B32F77" w:rsidRPr="00E5292F" w:rsidRDefault="00B32F77" w:rsidP="00B910CC">
      <w:pPr>
        <w:jc w:val="both"/>
        <w:rPr>
          <w:sz w:val="16"/>
          <w:szCs w:val="16"/>
        </w:rPr>
      </w:pPr>
    </w:p>
    <w:sectPr w:rsidR="00B32F77" w:rsidRPr="00E5292F" w:rsidSect="002405FE">
      <w:headerReference w:type="even" r:id="rId8"/>
      <w:headerReference w:type="default" r:id="rId9"/>
      <w:footerReference w:type="even" r:id="rId10"/>
      <w:footerReference w:type="default" r:id="rId11"/>
      <w:footerReference w:type="first" r:id="rId12"/>
      <w:pgSz w:w="11906" w:h="16838"/>
      <w:pgMar w:top="851" w:right="141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C7" w:rsidRDefault="00741AC7">
      <w:r>
        <w:separator/>
      </w:r>
    </w:p>
  </w:endnote>
  <w:endnote w:type="continuationSeparator" w:id="0">
    <w:p w:rsidR="00741AC7" w:rsidRDefault="00741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Til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8B430B" w:rsidP="00260722">
    <w:pPr>
      <w:pStyle w:val="Footer"/>
      <w:framePr w:wrap="around" w:vAnchor="text" w:hAnchor="margin" w:xAlign="right" w:y="1"/>
      <w:rPr>
        <w:rStyle w:val="PageNumber"/>
      </w:rPr>
    </w:pPr>
    <w:r>
      <w:rPr>
        <w:rStyle w:val="PageNumber"/>
      </w:rPr>
      <w:fldChar w:fldCharType="begin"/>
    </w:r>
    <w:r w:rsidR="00685725">
      <w:rPr>
        <w:rStyle w:val="PageNumber"/>
      </w:rPr>
      <w:instrText xml:space="preserve">PAGE  </w:instrText>
    </w:r>
    <w:r>
      <w:rPr>
        <w:rStyle w:val="PageNumber"/>
      </w:rPr>
      <w:fldChar w:fldCharType="end"/>
    </w:r>
  </w:p>
  <w:p w:rsidR="00685725" w:rsidRDefault="00685725" w:rsidP="00874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685725" w:rsidP="00260722">
    <w:pPr>
      <w:pStyle w:val="Footer"/>
      <w:framePr w:wrap="around" w:vAnchor="text" w:hAnchor="margin" w:xAlign="right" w:y="1"/>
      <w:rPr>
        <w:rStyle w:val="PageNumber"/>
      </w:rPr>
    </w:pPr>
  </w:p>
  <w:p w:rsidR="00685725" w:rsidRPr="002366A4" w:rsidRDefault="00685725" w:rsidP="00B32F77">
    <w:pPr>
      <w:pStyle w:val="Heading1"/>
      <w:jc w:val="both"/>
      <w:rPr>
        <w:b w:val="0"/>
        <w:color w:val="000000"/>
        <w:sz w:val="18"/>
        <w:szCs w:val="18"/>
      </w:rPr>
    </w:pPr>
    <w:r w:rsidRPr="002366A4">
      <w:rPr>
        <w:b w:val="0"/>
        <w:sz w:val="18"/>
        <w:szCs w:val="18"/>
      </w:rPr>
      <w:t>AMAnot_</w:t>
    </w:r>
    <w:r w:rsidR="00044D14">
      <w:rPr>
        <w:b w:val="0"/>
        <w:sz w:val="18"/>
        <w:szCs w:val="18"/>
      </w:rPr>
      <w:t>0204</w:t>
    </w:r>
    <w:r>
      <w:rPr>
        <w:b w:val="0"/>
        <w:sz w:val="18"/>
        <w:szCs w:val="18"/>
      </w:rPr>
      <w:t>12_ESPS</w:t>
    </w:r>
    <w:r w:rsidRPr="002366A4">
      <w:rPr>
        <w:b w:val="0"/>
        <w:sz w:val="18"/>
        <w:szCs w:val="18"/>
      </w:rPr>
      <w:t xml:space="preserve">; </w:t>
    </w:r>
    <w:r w:rsidRPr="00B32F77">
      <w:rPr>
        <w:b w:val="0"/>
        <w:sz w:val="18"/>
        <w:szCs w:val="18"/>
      </w:rPr>
      <w:t>Ministru kabineta rīkojuma</w:t>
    </w:r>
    <w:r>
      <w:rPr>
        <w:b w:val="0"/>
        <w:sz w:val="18"/>
        <w:szCs w:val="18"/>
      </w:rPr>
      <w:t xml:space="preserve"> </w:t>
    </w:r>
    <w:r w:rsidR="00044D14">
      <w:rPr>
        <w:b w:val="0"/>
        <w:sz w:val="18"/>
        <w:szCs w:val="18"/>
      </w:rPr>
      <w:t>”</w:t>
    </w:r>
    <w:r w:rsidR="00044D14" w:rsidRPr="00CE56DF">
      <w:rPr>
        <w:b w:val="0"/>
        <w:sz w:val="18"/>
        <w:szCs w:val="18"/>
      </w:rPr>
      <w:t>Par finanšu līdzekļu piešķiršanu no valsts budžeta programmas</w:t>
    </w:r>
    <w:r w:rsidR="00044D14">
      <w:rPr>
        <w:b w:val="0"/>
        <w:sz w:val="18"/>
        <w:szCs w:val="18"/>
      </w:rPr>
      <w:t xml:space="preserve"> </w:t>
    </w:r>
    <w:r w:rsidR="00044D14" w:rsidRPr="00CE56DF">
      <w:rPr>
        <w:b w:val="0"/>
        <w:sz w:val="18"/>
        <w:szCs w:val="18"/>
      </w:rPr>
      <w:t>„Apropriācijas rezerve” un „Līdzekļi neparedzētiem gadījumiem”</w:t>
    </w:r>
    <w:r w:rsidR="00044D14">
      <w:rPr>
        <w:b w:val="0"/>
        <w:color w:val="000000"/>
        <w:sz w:val="18"/>
        <w:szCs w:val="18"/>
      </w:rPr>
      <w:t>”</w:t>
    </w:r>
    <w:r w:rsidR="00EE7A15">
      <w:rPr>
        <w:b w:val="0"/>
        <w:color w:val="000000"/>
        <w:sz w:val="18"/>
        <w:szCs w:val="18"/>
      </w:rPr>
      <w:t xml:space="preserve"> </w:t>
    </w:r>
    <w:r w:rsidRPr="00B32F77">
      <w:rPr>
        <w:b w:val="0"/>
        <w:sz w:val="18"/>
        <w:szCs w:val="18"/>
      </w:rPr>
      <w:t>sākotnējās ietekmes novērtējuma ziņojums (anotācija)</w:t>
    </w:r>
  </w:p>
  <w:p w:rsidR="00685725" w:rsidRPr="00A1601B" w:rsidRDefault="00685725" w:rsidP="002366A4">
    <w:pPr>
      <w:pStyle w:val="Heading1"/>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14" w:rsidRPr="002366A4" w:rsidRDefault="00044D14" w:rsidP="00044D14">
    <w:pPr>
      <w:pStyle w:val="Heading1"/>
      <w:jc w:val="both"/>
      <w:rPr>
        <w:b w:val="0"/>
        <w:color w:val="000000"/>
        <w:sz w:val="18"/>
        <w:szCs w:val="18"/>
      </w:rPr>
    </w:pPr>
    <w:r w:rsidRPr="002366A4">
      <w:rPr>
        <w:b w:val="0"/>
        <w:sz w:val="18"/>
        <w:szCs w:val="18"/>
      </w:rPr>
      <w:t>AMAnot_</w:t>
    </w:r>
    <w:r>
      <w:rPr>
        <w:b w:val="0"/>
        <w:sz w:val="18"/>
        <w:szCs w:val="18"/>
      </w:rPr>
      <w:t>020412_ESPS</w:t>
    </w:r>
    <w:r w:rsidRPr="002366A4">
      <w:rPr>
        <w:b w:val="0"/>
        <w:sz w:val="18"/>
        <w:szCs w:val="18"/>
      </w:rPr>
      <w:t xml:space="preserve">; </w:t>
    </w:r>
    <w:r w:rsidRPr="00B32F77">
      <w:rPr>
        <w:b w:val="0"/>
        <w:sz w:val="18"/>
        <w:szCs w:val="18"/>
      </w:rPr>
      <w:t>Ministru kabineta rīkojuma</w:t>
    </w:r>
    <w:r>
      <w:rPr>
        <w:b w:val="0"/>
        <w:sz w:val="18"/>
        <w:szCs w:val="18"/>
      </w:rPr>
      <w:t xml:space="preserve"> ”</w:t>
    </w:r>
    <w:r w:rsidRPr="00CE56DF">
      <w:rPr>
        <w:b w:val="0"/>
        <w:sz w:val="18"/>
        <w:szCs w:val="18"/>
      </w:rPr>
      <w:t>Par finanšu līdzekļu piešķiršanu no valsts budžeta programmas</w:t>
    </w:r>
    <w:r>
      <w:rPr>
        <w:b w:val="0"/>
        <w:sz w:val="18"/>
        <w:szCs w:val="18"/>
      </w:rPr>
      <w:t xml:space="preserve"> </w:t>
    </w:r>
    <w:r w:rsidRPr="00CE56DF">
      <w:rPr>
        <w:b w:val="0"/>
        <w:sz w:val="18"/>
        <w:szCs w:val="18"/>
      </w:rPr>
      <w:t>„Apropriācijas rezerve” un „Līdzekļi neparedzētiem gadījumiem”</w:t>
    </w:r>
    <w:r>
      <w:rPr>
        <w:b w:val="0"/>
        <w:color w:val="000000"/>
        <w:sz w:val="18"/>
        <w:szCs w:val="18"/>
      </w:rPr>
      <w:t>”</w:t>
    </w:r>
    <w:proofErr w:type="gramStart"/>
    <w:r w:rsidRPr="006578F8">
      <w:rPr>
        <w:b w:val="0"/>
        <w:color w:val="000000"/>
        <w:sz w:val="18"/>
        <w:szCs w:val="18"/>
      </w:rPr>
      <w:t xml:space="preserve"> </w:t>
    </w:r>
    <w:r>
      <w:rPr>
        <w:b w:val="0"/>
        <w:sz w:val="18"/>
        <w:szCs w:val="18"/>
      </w:rPr>
      <w:t xml:space="preserve"> </w:t>
    </w:r>
    <w:proofErr w:type="gramEnd"/>
    <w:r w:rsidRPr="00B32F77">
      <w:rPr>
        <w:b w:val="0"/>
        <w:sz w:val="18"/>
        <w:szCs w:val="18"/>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C7" w:rsidRDefault="00741AC7">
      <w:r>
        <w:separator/>
      </w:r>
    </w:p>
  </w:footnote>
  <w:footnote w:type="continuationSeparator" w:id="0">
    <w:p w:rsidR="00741AC7" w:rsidRDefault="00741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8B430B" w:rsidP="00260722">
    <w:pPr>
      <w:pStyle w:val="Header"/>
      <w:framePr w:wrap="around" w:vAnchor="text" w:hAnchor="margin" w:xAlign="center" w:y="1"/>
      <w:rPr>
        <w:rStyle w:val="PageNumber"/>
      </w:rPr>
    </w:pPr>
    <w:r>
      <w:rPr>
        <w:rStyle w:val="PageNumber"/>
      </w:rPr>
      <w:fldChar w:fldCharType="begin"/>
    </w:r>
    <w:r w:rsidR="00685725">
      <w:rPr>
        <w:rStyle w:val="PageNumber"/>
      </w:rPr>
      <w:instrText xml:space="preserve">PAGE  </w:instrText>
    </w:r>
    <w:r>
      <w:rPr>
        <w:rStyle w:val="PageNumber"/>
      </w:rPr>
      <w:fldChar w:fldCharType="end"/>
    </w:r>
  </w:p>
  <w:p w:rsidR="00685725" w:rsidRDefault="00685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5" w:rsidRDefault="008B430B" w:rsidP="00260722">
    <w:pPr>
      <w:pStyle w:val="Header"/>
      <w:framePr w:wrap="around" w:vAnchor="text" w:hAnchor="margin" w:xAlign="center" w:y="1"/>
      <w:rPr>
        <w:rStyle w:val="PageNumber"/>
      </w:rPr>
    </w:pPr>
    <w:r>
      <w:rPr>
        <w:rStyle w:val="PageNumber"/>
      </w:rPr>
      <w:fldChar w:fldCharType="begin"/>
    </w:r>
    <w:r w:rsidR="00685725">
      <w:rPr>
        <w:rStyle w:val="PageNumber"/>
      </w:rPr>
      <w:instrText xml:space="preserve">PAGE  </w:instrText>
    </w:r>
    <w:r>
      <w:rPr>
        <w:rStyle w:val="PageNumber"/>
      </w:rPr>
      <w:fldChar w:fldCharType="separate"/>
    </w:r>
    <w:r w:rsidR="00EE7A15">
      <w:rPr>
        <w:rStyle w:val="PageNumber"/>
        <w:noProof/>
      </w:rPr>
      <w:t>7</w:t>
    </w:r>
    <w:r>
      <w:rPr>
        <w:rStyle w:val="PageNumber"/>
      </w:rPr>
      <w:fldChar w:fldCharType="end"/>
    </w:r>
  </w:p>
  <w:p w:rsidR="00685725" w:rsidRDefault="00685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0B"/>
    <w:multiLevelType w:val="hybridMultilevel"/>
    <w:tmpl w:val="E4F8907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30D7163"/>
    <w:multiLevelType w:val="hybridMultilevel"/>
    <w:tmpl w:val="6AF47F2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C205882"/>
    <w:multiLevelType w:val="hybridMultilevel"/>
    <w:tmpl w:val="911080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E5A4E73"/>
    <w:multiLevelType w:val="hybridMultilevel"/>
    <w:tmpl w:val="925E9AF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23704CF"/>
    <w:multiLevelType w:val="hybridMultilevel"/>
    <w:tmpl w:val="A2AC3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7DE45C3"/>
    <w:multiLevelType w:val="hybridMultilevel"/>
    <w:tmpl w:val="F6C238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EA6071A"/>
    <w:multiLevelType w:val="hybridMultilevel"/>
    <w:tmpl w:val="1A909072"/>
    <w:lvl w:ilvl="0" w:tplc="2F88C870">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7">
    <w:nsid w:val="63811CE0"/>
    <w:multiLevelType w:val="hybridMultilevel"/>
    <w:tmpl w:val="EF261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6C371FD"/>
    <w:multiLevelType w:val="hybridMultilevel"/>
    <w:tmpl w:val="29D2E4E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7FAF25B1"/>
    <w:multiLevelType w:val="multilevel"/>
    <w:tmpl w:val="672A2C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
  </w:num>
  <w:num w:numId="2">
    <w:abstractNumId w:val="3"/>
  </w:num>
  <w:num w:numId="3">
    <w:abstractNumId w:val="8"/>
  </w:num>
  <w:num w:numId="4">
    <w:abstractNumId w:val="0"/>
  </w:num>
  <w:num w:numId="5">
    <w:abstractNumId w:val="2"/>
  </w:num>
  <w:num w:numId="6">
    <w:abstractNumId w:val="9"/>
  </w:num>
  <w:num w:numId="7">
    <w:abstractNumId w:val="1"/>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E31E5"/>
    <w:rsid w:val="00001D55"/>
    <w:rsid w:val="000106A5"/>
    <w:rsid w:val="000143BC"/>
    <w:rsid w:val="000157E0"/>
    <w:rsid w:val="0001654D"/>
    <w:rsid w:val="0001672D"/>
    <w:rsid w:val="00023094"/>
    <w:rsid w:val="00025AFD"/>
    <w:rsid w:val="00027034"/>
    <w:rsid w:val="000311A6"/>
    <w:rsid w:val="00032ED3"/>
    <w:rsid w:val="00044313"/>
    <w:rsid w:val="00044D14"/>
    <w:rsid w:val="0004611B"/>
    <w:rsid w:val="0004759E"/>
    <w:rsid w:val="00055A83"/>
    <w:rsid w:val="00057157"/>
    <w:rsid w:val="00065E32"/>
    <w:rsid w:val="00070A87"/>
    <w:rsid w:val="0007266D"/>
    <w:rsid w:val="0007434C"/>
    <w:rsid w:val="0008049A"/>
    <w:rsid w:val="000808D3"/>
    <w:rsid w:val="00080E41"/>
    <w:rsid w:val="000849B3"/>
    <w:rsid w:val="000919FC"/>
    <w:rsid w:val="000A0ADA"/>
    <w:rsid w:val="000A68C3"/>
    <w:rsid w:val="000B298F"/>
    <w:rsid w:val="000B4B15"/>
    <w:rsid w:val="000C2CC2"/>
    <w:rsid w:val="000C5F29"/>
    <w:rsid w:val="000D23D3"/>
    <w:rsid w:val="000D2A14"/>
    <w:rsid w:val="000D53FF"/>
    <w:rsid w:val="000D68CA"/>
    <w:rsid w:val="000E2732"/>
    <w:rsid w:val="000F27EB"/>
    <w:rsid w:val="00101B30"/>
    <w:rsid w:val="00115641"/>
    <w:rsid w:val="001157FA"/>
    <w:rsid w:val="00121509"/>
    <w:rsid w:val="00122499"/>
    <w:rsid w:val="00137F01"/>
    <w:rsid w:val="00140D0E"/>
    <w:rsid w:val="00152FD2"/>
    <w:rsid w:val="00153122"/>
    <w:rsid w:val="001538E8"/>
    <w:rsid w:val="00154C9D"/>
    <w:rsid w:val="00160583"/>
    <w:rsid w:val="00171BB3"/>
    <w:rsid w:val="0018208F"/>
    <w:rsid w:val="00183CC9"/>
    <w:rsid w:val="001912B3"/>
    <w:rsid w:val="00193839"/>
    <w:rsid w:val="001C203F"/>
    <w:rsid w:val="001C25F9"/>
    <w:rsid w:val="001E4D86"/>
    <w:rsid w:val="001E6AD1"/>
    <w:rsid w:val="001E7F6D"/>
    <w:rsid w:val="001F5FE9"/>
    <w:rsid w:val="002026DF"/>
    <w:rsid w:val="00203051"/>
    <w:rsid w:val="00204AAD"/>
    <w:rsid w:val="002109E0"/>
    <w:rsid w:val="00212359"/>
    <w:rsid w:val="00221069"/>
    <w:rsid w:val="002210E4"/>
    <w:rsid w:val="00222D55"/>
    <w:rsid w:val="00223289"/>
    <w:rsid w:val="002308F6"/>
    <w:rsid w:val="00231979"/>
    <w:rsid w:val="002319BD"/>
    <w:rsid w:val="002366A4"/>
    <w:rsid w:val="0024043C"/>
    <w:rsid w:val="002405FE"/>
    <w:rsid w:val="002455A1"/>
    <w:rsid w:val="002527CD"/>
    <w:rsid w:val="0026029C"/>
    <w:rsid w:val="00260722"/>
    <w:rsid w:val="00260E46"/>
    <w:rsid w:val="002617B9"/>
    <w:rsid w:val="002650A3"/>
    <w:rsid w:val="00274329"/>
    <w:rsid w:val="002745E8"/>
    <w:rsid w:val="0028137A"/>
    <w:rsid w:val="002854BC"/>
    <w:rsid w:val="00285FC2"/>
    <w:rsid w:val="00287918"/>
    <w:rsid w:val="00293D4D"/>
    <w:rsid w:val="00295B4F"/>
    <w:rsid w:val="00297356"/>
    <w:rsid w:val="002A421F"/>
    <w:rsid w:val="002A4486"/>
    <w:rsid w:val="002A688E"/>
    <w:rsid w:val="002B02F8"/>
    <w:rsid w:val="002B064E"/>
    <w:rsid w:val="002B12B8"/>
    <w:rsid w:val="002B183A"/>
    <w:rsid w:val="002B1C61"/>
    <w:rsid w:val="002B37EF"/>
    <w:rsid w:val="002B63BB"/>
    <w:rsid w:val="002E3860"/>
    <w:rsid w:val="002F0C58"/>
    <w:rsid w:val="002F7CAF"/>
    <w:rsid w:val="002F7F1D"/>
    <w:rsid w:val="003005EF"/>
    <w:rsid w:val="00301C2A"/>
    <w:rsid w:val="0030242A"/>
    <w:rsid w:val="00305CF8"/>
    <w:rsid w:val="003105AD"/>
    <w:rsid w:val="0031396F"/>
    <w:rsid w:val="00314D32"/>
    <w:rsid w:val="00320866"/>
    <w:rsid w:val="00332FDA"/>
    <w:rsid w:val="00334169"/>
    <w:rsid w:val="00340665"/>
    <w:rsid w:val="0034608A"/>
    <w:rsid w:val="00354066"/>
    <w:rsid w:val="00361FAA"/>
    <w:rsid w:val="00365C4B"/>
    <w:rsid w:val="00367754"/>
    <w:rsid w:val="00387B2D"/>
    <w:rsid w:val="00387DCD"/>
    <w:rsid w:val="0039091C"/>
    <w:rsid w:val="00392A3D"/>
    <w:rsid w:val="0039569C"/>
    <w:rsid w:val="003A0497"/>
    <w:rsid w:val="003A2551"/>
    <w:rsid w:val="003A64C7"/>
    <w:rsid w:val="003A7394"/>
    <w:rsid w:val="003A741B"/>
    <w:rsid w:val="003B31C8"/>
    <w:rsid w:val="003B687A"/>
    <w:rsid w:val="003C0EB4"/>
    <w:rsid w:val="003C258D"/>
    <w:rsid w:val="003C358D"/>
    <w:rsid w:val="003C3B89"/>
    <w:rsid w:val="003D4FE2"/>
    <w:rsid w:val="003E2855"/>
    <w:rsid w:val="003E4061"/>
    <w:rsid w:val="003E5E23"/>
    <w:rsid w:val="003E7418"/>
    <w:rsid w:val="003F1AA8"/>
    <w:rsid w:val="004130BD"/>
    <w:rsid w:val="00413CC6"/>
    <w:rsid w:val="00415727"/>
    <w:rsid w:val="00415CD0"/>
    <w:rsid w:val="00417A32"/>
    <w:rsid w:val="004261FB"/>
    <w:rsid w:val="004303E1"/>
    <w:rsid w:val="00431703"/>
    <w:rsid w:val="00436D35"/>
    <w:rsid w:val="0045094A"/>
    <w:rsid w:val="004525CD"/>
    <w:rsid w:val="00456206"/>
    <w:rsid w:val="00464842"/>
    <w:rsid w:val="00464F20"/>
    <w:rsid w:val="0048132D"/>
    <w:rsid w:val="004941C2"/>
    <w:rsid w:val="00494307"/>
    <w:rsid w:val="00496C95"/>
    <w:rsid w:val="004A48B7"/>
    <w:rsid w:val="004A49F4"/>
    <w:rsid w:val="004A7173"/>
    <w:rsid w:val="004C4B00"/>
    <w:rsid w:val="004C7C0B"/>
    <w:rsid w:val="004E468B"/>
    <w:rsid w:val="004E7C5E"/>
    <w:rsid w:val="00500D74"/>
    <w:rsid w:val="00500F6D"/>
    <w:rsid w:val="00501FC8"/>
    <w:rsid w:val="00517634"/>
    <w:rsid w:val="005223C7"/>
    <w:rsid w:val="005246AA"/>
    <w:rsid w:val="005251C4"/>
    <w:rsid w:val="005308B5"/>
    <w:rsid w:val="005350C5"/>
    <w:rsid w:val="00540A85"/>
    <w:rsid w:val="005419CB"/>
    <w:rsid w:val="0054388D"/>
    <w:rsid w:val="00544115"/>
    <w:rsid w:val="005531D5"/>
    <w:rsid w:val="00554784"/>
    <w:rsid w:val="0056114A"/>
    <w:rsid w:val="0056610A"/>
    <w:rsid w:val="00573F99"/>
    <w:rsid w:val="00585C9F"/>
    <w:rsid w:val="00586D3B"/>
    <w:rsid w:val="00590A47"/>
    <w:rsid w:val="0059400F"/>
    <w:rsid w:val="00597220"/>
    <w:rsid w:val="005B5C9C"/>
    <w:rsid w:val="005C5569"/>
    <w:rsid w:val="005C6D7D"/>
    <w:rsid w:val="005D2C6F"/>
    <w:rsid w:val="005D7014"/>
    <w:rsid w:val="005D79BF"/>
    <w:rsid w:val="005E2F45"/>
    <w:rsid w:val="005E5499"/>
    <w:rsid w:val="005E5FEB"/>
    <w:rsid w:val="005E75DE"/>
    <w:rsid w:val="005F77A7"/>
    <w:rsid w:val="006017A5"/>
    <w:rsid w:val="00612200"/>
    <w:rsid w:val="00616E36"/>
    <w:rsid w:val="00626F30"/>
    <w:rsid w:val="00627A0C"/>
    <w:rsid w:val="0063181F"/>
    <w:rsid w:val="006318B4"/>
    <w:rsid w:val="0063596E"/>
    <w:rsid w:val="00660047"/>
    <w:rsid w:val="00663B70"/>
    <w:rsid w:val="006732B5"/>
    <w:rsid w:val="00684E11"/>
    <w:rsid w:val="00685725"/>
    <w:rsid w:val="006A1A4A"/>
    <w:rsid w:val="006A732C"/>
    <w:rsid w:val="006B0CB7"/>
    <w:rsid w:val="006B3660"/>
    <w:rsid w:val="006E38D5"/>
    <w:rsid w:val="006E56B9"/>
    <w:rsid w:val="006F2466"/>
    <w:rsid w:val="006F2EC2"/>
    <w:rsid w:val="00704364"/>
    <w:rsid w:val="007068DB"/>
    <w:rsid w:val="0071613F"/>
    <w:rsid w:val="00725AEC"/>
    <w:rsid w:val="00730833"/>
    <w:rsid w:val="00741AC7"/>
    <w:rsid w:val="007467DC"/>
    <w:rsid w:val="007501D2"/>
    <w:rsid w:val="00756A3F"/>
    <w:rsid w:val="00760DF1"/>
    <w:rsid w:val="00761BA3"/>
    <w:rsid w:val="00765EF2"/>
    <w:rsid w:val="007875D9"/>
    <w:rsid w:val="00791590"/>
    <w:rsid w:val="00791AFD"/>
    <w:rsid w:val="00791F73"/>
    <w:rsid w:val="007920DC"/>
    <w:rsid w:val="00792620"/>
    <w:rsid w:val="00794E1E"/>
    <w:rsid w:val="007A3DCE"/>
    <w:rsid w:val="007A71DA"/>
    <w:rsid w:val="007C0C28"/>
    <w:rsid w:val="007C16DF"/>
    <w:rsid w:val="007C1E88"/>
    <w:rsid w:val="007C6F14"/>
    <w:rsid w:val="007D1421"/>
    <w:rsid w:val="007D2CE1"/>
    <w:rsid w:val="007F5FCF"/>
    <w:rsid w:val="007F7D7D"/>
    <w:rsid w:val="00805448"/>
    <w:rsid w:val="00805BF8"/>
    <w:rsid w:val="0080619E"/>
    <w:rsid w:val="0081532E"/>
    <w:rsid w:val="008244BC"/>
    <w:rsid w:val="00844643"/>
    <w:rsid w:val="00844C4C"/>
    <w:rsid w:val="00844DA9"/>
    <w:rsid w:val="00851F3F"/>
    <w:rsid w:val="00852B41"/>
    <w:rsid w:val="008618A7"/>
    <w:rsid w:val="00866878"/>
    <w:rsid w:val="00871C0F"/>
    <w:rsid w:val="00874C1D"/>
    <w:rsid w:val="0087608A"/>
    <w:rsid w:val="0087757F"/>
    <w:rsid w:val="00877A4E"/>
    <w:rsid w:val="00890F32"/>
    <w:rsid w:val="008936BB"/>
    <w:rsid w:val="00895D4F"/>
    <w:rsid w:val="00896090"/>
    <w:rsid w:val="00896F42"/>
    <w:rsid w:val="008B2953"/>
    <w:rsid w:val="008B430B"/>
    <w:rsid w:val="008C49A1"/>
    <w:rsid w:val="008E31E5"/>
    <w:rsid w:val="008E46AA"/>
    <w:rsid w:val="008F0D8F"/>
    <w:rsid w:val="008F10E8"/>
    <w:rsid w:val="008F5711"/>
    <w:rsid w:val="00903EC0"/>
    <w:rsid w:val="00905963"/>
    <w:rsid w:val="00910751"/>
    <w:rsid w:val="009158FE"/>
    <w:rsid w:val="00917410"/>
    <w:rsid w:val="0092197D"/>
    <w:rsid w:val="009220EF"/>
    <w:rsid w:val="00924545"/>
    <w:rsid w:val="0093270E"/>
    <w:rsid w:val="00932C63"/>
    <w:rsid w:val="0093570E"/>
    <w:rsid w:val="00937A3D"/>
    <w:rsid w:val="00940E32"/>
    <w:rsid w:val="009429CB"/>
    <w:rsid w:val="009518D5"/>
    <w:rsid w:val="00961C27"/>
    <w:rsid w:val="00980A59"/>
    <w:rsid w:val="00987737"/>
    <w:rsid w:val="009927B0"/>
    <w:rsid w:val="00993BA9"/>
    <w:rsid w:val="009976B7"/>
    <w:rsid w:val="009A35FF"/>
    <w:rsid w:val="009A6814"/>
    <w:rsid w:val="009A73E6"/>
    <w:rsid w:val="009B634A"/>
    <w:rsid w:val="009C3762"/>
    <w:rsid w:val="009C3E24"/>
    <w:rsid w:val="009C79AF"/>
    <w:rsid w:val="009E07E6"/>
    <w:rsid w:val="00A0119D"/>
    <w:rsid w:val="00A022A3"/>
    <w:rsid w:val="00A14A22"/>
    <w:rsid w:val="00A1601B"/>
    <w:rsid w:val="00A23536"/>
    <w:rsid w:val="00A30438"/>
    <w:rsid w:val="00A30B62"/>
    <w:rsid w:val="00A4066D"/>
    <w:rsid w:val="00A473C7"/>
    <w:rsid w:val="00A5303E"/>
    <w:rsid w:val="00A865AD"/>
    <w:rsid w:val="00A869BA"/>
    <w:rsid w:val="00A86AFD"/>
    <w:rsid w:val="00A92EF5"/>
    <w:rsid w:val="00A94D44"/>
    <w:rsid w:val="00AB1382"/>
    <w:rsid w:val="00AC0594"/>
    <w:rsid w:val="00AD2537"/>
    <w:rsid w:val="00AD417E"/>
    <w:rsid w:val="00AD6953"/>
    <w:rsid w:val="00AE10CE"/>
    <w:rsid w:val="00AE4366"/>
    <w:rsid w:val="00AE5553"/>
    <w:rsid w:val="00AE76F3"/>
    <w:rsid w:val="00AF3E98"/>
    <w:rsid w:val="00AF7F88"/>
    <w:rsid w:val="00B05F50"/>
    <w:rsid w:val="00B15AB1"/>
    <w:rsid w:val="00B24513"/>
    <w:rsid w:val="00B25523"/>
    <w:rsid w:val="00B32F77"/>
    <w:rsid w:val="00B330D3"/>
    <w:rsid w:val="00B4484F"/>
    <w:rsid w:val="00B51A08"/>
    <w:rsid w:val="00B5246E"/>
    <w:rsid w:val="00B55A8D"/>
    <w:rsid w:val="00B620B1"/>
    <w:rsid w:val="00B63AC8"/>
    <w:rsid w:val="00B74B2D"/>
    <w:rsid w:val="00B83DFE"/>
    <w:rsid w:val="00B86CB5"/>
    <w:rsid w:val="00B8793D"/>
    <w:rsid w:val="00B910CC"/>
    <w:rsid w:val="00B9402A"/>
    <w:rsid w:val="00B94467"/>
    <w:rsid w:val="00B9783A"/>
    <w:rsid w:val="00BA5D13"/>
    <w:rsid w:val="00BA6B89"/>
    <w:rsid w:val="00BB3ECC"/>
    <w:rsid w:val="00BC2B01"/>
    <w:rsid w:val="00BD2AD7"/>
    <w:rsid w:val="00BD519E"/>
    <w:rsid w:val="00BE4561"/>
    <w:rsid w:val="00BF6D04"/>
    <w:rsid w:val="00C01A29"/>
    <w:rsid w:val="00C11AB8"/>
    <w:rsid w:val="00C154AB"/>
    <w:rsid w:val="00C16258"/>
    <w:rsid w:val="00C162B2"/>
    <w:rsid w:val="00C16E91"/>
    <w:rsid w:val="00C21F1B"/>
    <w:rsid w:val="00C2243D"/>
    <w:rsid w:val="00C31EF1"/>
    <w:rsid w:val="00C343E6"/>
    <w:rsid w:val="00C3689B"/>
    <w:rsid w:val="00C36B4A"/>
    <w:rsid w:val="00C43E3E"/>
    <w:rsid w:val="00C44EDA"/>
    <w:rsid w:val="00C54FB3"/>
    <w:rsid w:val="00C55702"/>
    <w:rsid w:val="00C61B45"/>
    <w:rsid w:val="00C74F66"/>
    <w:rsid w:val="00C85B46"/>
    <w:rsid w:val="00C8698A"/>
    <w:rsid w:val="00C92AC4"/>
    <w:rsid w:val="00CA472A"/>
    <w:rsid w:val="00CA7C5A"/>
    <w:rsid w:val="00CB02AF"/>
    <w:rsid w:val="00CB7A78"/>
    <w:rsid w:val="00CD1D7A"/>
    <w:rsid w:val="00CD3CBE"/>
    <w:rsid w:val="00CD75EC"/>
    <w:rsid w:val="00CD7C1C"/>
    <w:rsid w:val="00CF3123"/>
    <w:rsid w:val="00CF59F5"/>
    <w:rsid w:val="00CF666B"/>
    <w:rsid w:val="00D16C3E"/>
    <w:rsid w:val="00D205FB"/>
    <w:rsid w:val="00D20DB2"/>
    <w:rsid w:val="00D230C3"/>
    <w:rsid w:val="00D24074"/>
    <w:rsid w:val="00D37634"/>
    <w:rsid w:val="00D37946"/>
    <w:rsid w:val="00D42367"/>
    <w:rsid w:val="00D51A71"/>
    <w:rsid w:val="00D60C7F"/>
    <w:rsid w:val="00D662B9"/>
    <w:rsid w:val="00D701E4"/>
    <w:rsid w:val="00D80EDD"/>
    <w:rsid w:val="00D84A86"/>
    <w:rsid w:val="00D86756"/>
    <w:rsid w:val="00D90EB8"/>
    <w:rsid w:val="00D91400"/>
    <w:rsid w:val="00DB7589"/>
    <w:rsid w:val="00DC33F9"/>
    <w:rsid w:val="00DD3E74"/>
    <w:rsid w:val="00DD5391"/>
    <w:rsid w:val="00DE5640"/>
    <w:rsid w:val="00DF0221"/>
    <w:rsid w:val="00DF14C2"/>
    <w:rsid w:val="00DF2218"/>
    <w:rsid w:val="00E04047"/>
    <w:rsid w:val="00E3019A"/>
    <w:rsid w:val="00E4061D"/>
    <w:rsid w:val="00E441EC"/>
    <w:rsid w:val="00E462DD"/>
    <w:rsid w:val="00E50E03"/>
    <w:rsid w:val="00E51F43"/>
    <w:rsid w:val="00E5292F"/>
    <w:rsid w:val="00E537C6"/>
    <w:rsid w:val="00E6545E"/>
    <w:rsid w:val="00E71E05"/>
    <w:rsid w:val="00E73F0A"/>
    <w:rsid w:val="00E75600"/>
    <w:rsid w:val="00E81958"/>
    <w:rsid w:val="00E85E61"/>
    <w:rsid w:val="00E87E30"/>
    <w:rsid w:val="00E937C5"/>
    <w:rsid w:val="00E93BD6"/>
    <w:rsid w:val="00E971E8"/>
    <w:rsid w:val="00EA40C8"/>
    <w:rsid w:val="00EB25DB"/>
    <w:rsid w:val="00EB285E"/>
    <w:rsid w:val="00EB5D53"/>
    <w:rsid w:val="00ED52BA"/>
    <w:rsid w:val="00EE3B34"/>
    <w:rsid w:val="00EE63DD"/>
    <w:rsid w:val="00EE7A15"/>
    <w:rsid w:val="00EF43EF"/>
    <w:rsid w:val="00F1017D"/>
    <w:rsid w:val="00F11637"/>
    <w:rsid w:val="00F35572"/>
    <w:rsid w:val="00F418CC"/>
    <w:rsid w:val="00F41A62"/>
    <w:rsid w:val="00F4297B"/>
    <w:rsid w:val="00F46033"/>
    <w:rsid w:val="00F46682"/>
    <w:rsid w:val="00F46D0A"/>
    <w:rsid w:val="00F638BB"/>
    <w:rsid w:val="00F675E6"/>
    <w:rsid w:val="00F67B76"/>
    <w:rsid w:val="00F724DA"/>
    <w:rsid w:val="00F73328"/>
    <w:rsid w:val="00F74D61"/>
    <w:rsid w:val="00F92BF0"/>
    <w:rsid w:val="00F955F4"/>
    <w:rsid w:val="00F95CFD"/>
    <w:rsid w:val="00FA0C9A"/>
    <w:rsid w:val="00FA191D"/>
    <w:rsid w:val="00FA19E6"/>
    <w:rsid w:val="00FA7329"/>
    <w:rsid w:val="00FC6DFE"/>
    <w:rsid w:val="00FC7C46"/>
    <w:rsid w:val="00FD5E98"/>
    <w:rsid w:val="00FE1587"/>
    <w:rsid w:val="00FE3110"/>
    <w:rsid w:val="00FF01EC"/>
    <w:rsid w:val="00FF0737"/>
    <w:rsid w:val="00FF2E65"/>
    <w:rsid w:val="00FF6B0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3D"/>
    <w:rPr>
      <w:sz w:val="24"/>
      <w:szCs w:val="24"/>
    </w:rPr>
  </w:style>
  <w:style w:type="paragraph" w:styleId="Heading1">
    <w:name w:val="heading 1"/>
    <w:basedOn w:val="Normal"/>
    <w:next w:val="Normal"/>
    <w:link w:val="Heading1Char"/>
    <w:qFormat/>
    <w:rsid w:val="005308B5"/>
    <w:pPr>
      <w:keepNext/>
      <w:jc w:val="center"/>
      <w:outlineLvl w:val="0"/>
    </w:pPr>
    <w:rPr>
      <w:b/>
      <w:bCs/>
      <w:sz w:val="28"/>
      <w:lang w:eastAsia="en-US"/>
    </w:rPr>
  </w:style>
  <w:style w:type="paragraph" w:styleId="Heading4">
    <w:name w:val="heading 4"/>
    <w:basedOn w:val="Normal"/>
    <w:next w:val="Normal"/>
    <w:link w:val="Heading4Char"/>
    <w:semiHidden/>
    <w:unhideWhenUsed/>
    <w:qFormat/>
    <w:rsid w:val="002405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31E5"/>
    <w:pPr>
      <w:spacing w:after="120"/>
    </w:pPr>
  </w:style>
  <w:style w:type="paragraph" w:styleId="BodyTextIndent">
    <w:name w:val="Body Text Indent"/>
    <w:basedOn w:val="Normal"/>
    <w:rsid w:val="008E31E5"/>
    <w:pPr>
      <w:spacing w:after="120"/>
      <w:ind w:left="283"/>
    </w:pPr>
  </w:style>
  <w:style w:type="paragraph" w:styleId="Header">
    <w:name w:val="header"/>
    <w:basedOn w:val="Normal"/>
    <w:link w:val="HeaderChar"/>
    <w:uiPriority w:val="99"/>
    <w:rsid w:val="008E31E5"/>
    <w:pPr>
      <w:tabs>
        <w:tab w:val="center" w:pos="4153"/>
        <w:tab w:val="right" w:pos="8306"/>
      </w:tabs>
    </w:pPr>
  </w:style>
  <w:style w:type="paragraph" w:styleId="Footer">
    <w:name w:val="footer"/>
    <w:basedOn w:val="Normal"/>
    <w:rsid w:val="008E31E5"/>
    <w:pPr>
      <w:tabs>
        <w:tab w:val="center" w:pos="4153"/>
        <w:tab w:val="right" w:pos="8306"/>
      </w:tabs>
    </w:pPr>
  </w:style>
  <w:style w:type="paragraph" w:customStyle="1" w:styleId="naisnod">
    <w:name w:val="naisnod"/>
    <w:basedOn w:val="Normal"/>
    <w:rsid w:val="008E31E5"/>
    <w:pPr>
      <w:spacing w:before="100" w:beforeAutospacing="1" w:after="100" w:afterAutospacing="1"/>
    </w:pPr>
  </w:style>
  <w:style w:type="paragraph" w:customStyle="1" w:styleId="naiskr">
    <w:name w:val="naiskr"/>
    <w:basedOn w:val="Normal"/>
    <w:rsid w:val="008E31E5"/>
    <w:pPr>
      <w:spacing w:before="100" w:beforeAutospacing="1" w:after="100" w:afterAutospacing="1"/>
    </w:pPr>
  </w:style>
  <w:style w:type="paragraph" w:customStyle="1" w:styleId="naisf">
    <w:name w:val="naisf"/>
    <w:basedOn w:val="Normal"/>
    <w:rsid w:val="008E31E5"/>
    <w:pPr>
      <w:spacing w:before="75" w:after="75"/>
      <w:ind w:firstLine="375"/>
      <w:jc w:val="both"/>
    </w:pPr>
  </w:style>
  <w:style w:type="paragraph" w:customStyle="1" w:styleId="RakstzCharCharRakstz">
    <w:name w:val="Rakstz. Char Char Rakstz."/>
    <w:basedOn w:val="Normal"/>
    <w:rsid w:val="008E31E5"/>
    <w:pPr>
      <w:spacing w:after="160" w:line="240" w:lineRule="exact"/>
    </w:pPr>
    <w:rPr>
      <w:rFonts w:ascii="Tahoma" w:hAnsi="Tahoma"/>
      <w:sz w:val="20"/>
      <w:szCs w:val="20"/>
      <w:lang w:val="en-US" w:eastAsia="en-US"/>
    </w:rPr>
  </w:style>
  <w:style w:type="character" w:styleId="PageNumber">
    <w:name w:val="page number"/>
    <w:basedOn w:val="DefaultParagraphFont"/>
    <w:rsid w:val="00874C1D"/>
  </w:style>
  <w:style w:type="character" w:styleId="CommentReference">
    <w:name w:val="annotation reference"/>
    <w:semiHidden/>
    <w:rsid w:val="000143BC"/>
    <w:rPr>
      <w:sz w:val="16"/>
      <w:szCs w:val="16"/>
    </w:rPr>
  </w:style>
  <w:style w:type="paragraph" w:styleId="CommentText">
    <w:name w:val="annotation text"/>
    <w:basedOn w:val="Normal"/>
    <w:semiHidden/>
    <w:rsid w:val="000143BC"/>
    <w:rPr>
      <w:sz w:val="20"/>
      <w:szCs w:val="20"/>
    </w:rPr>
  </w:style>
  <w:style w:type="paragraph" w:styleId="CommentSubject">
    <w:name w:val="annotation subject"/>
    <w:basedOn w:val="CommentText"/>
    <w:next w:val="CommentText"/>
    <w:semiHidden/>
    <w:rsid w:val="000143BC"/>
    <w:rPr>
      <w:b/>
      <w:bCs/>
    </w:rPr>
  </w:style>
  <w:style w:type="paragraph" w:styleId="BalloonText">
    <w:name w:val="Balloon Text"/>
    <w:basedOn w:val="Normal"/>
    <w:semiHidden/>
    <w:rsid w:val="000143BC"/>
    <w:rPr>
      <w:rFonts w:ascii="Tahoma" w:hAnsi="Tahoma" w:cs="Tahoma"/>
      <w:sz w:val="16"/>
      <w:szCs w:val="16"/>
    </w:rPr>
  </w:style>
  <w:style w:type="paragraph" w:styleId="DocumentMap">
    <w:name w:val="Document Map"/>
    <w:basedOn w:val="Normal"/>
    <w:semiHidden/>
    <w:rsid w:val="00544115"/>
    <w:pPr>
      <w:shd w:val="clear" w:color="auto" w:fill="000080"/>
    </w:pPr>
    <w:rPr>
      <w:rFonts w:ascii="Tahoma" w:hAnsi="Tahoma" w:cs="Tahoma"/>
      <w:sz w:val="20"/>
      <w:szCs w:val="20"/>
    </w:rPr>
  </w:style>
  <w:style w:type="paragraph" w:customStyle="1" w:styleId="naisc">
    <w:name w:val="naisc"/>
    <w:basedOn w:val="Normal"/>
    <w:rsid w:val="00FE1587"/>
    <w:pPr>
      <w:spacing w:before="75" w:after="75"/>
      <w:jc w:val="center"/>
    </w:pPr>
  </w:style>
  <w:style w:type="table" w:styleId="TableGrid">
    <w:name w:val="Table Grid"/>
    <w:basedOn w:val="TableNormal"/>
    <w:rsid w:val="0008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74B2D"/>
    <w:rPr>
      <w:color w:val="0000FF"/>
      <w:u w:val="single"/>
    </w:rPr>
  </w:style>
  <w:style w:type="paragraph" w:styleId="NormalWeb">
    <w:name w:val="Normal (Web)"/>
    <w:basedOn w:val="Normal"/>
    <w:rsid w:val="001157FA"/>
    <w:pPr>
      <w:spacing w:before="75" w:after="225"/>
    </w:pPr>
  </w:style>
  <w:style w:type="character" w:customStyle="1" w:styleId="HeaderChar">
    <w:name w:val="Header Char"/>
    <w:link w:val="Header"/>
    <w:uiPriority w:val="99"/>
    <w:locked/>
    <w:rsid w:val="00203051"/>
    <w:rPr>
      <w:sz w:val="24"/>
      <w:szCs w:val="24"/>
    </w:rPr>
  </w:style>
  <w:style w:type="character" w:customStyle="1" w:styleId="Heading1Char">
    <w:name w:val="Heading 1 Char"/>
    <w:basedOn w:val="DefaultParagraphFont"/>
    <w:link w:val="Heading1"/>
    <w:rsid w:val="005308B5"/>
    <w:rPr>
      <w:b/>
      <w:bCs/>
      <w:sz w:val="28"/>
      <w:szCs w:val="24"/>
      <w:lang w:eastAsia="en-US"/>
    </w:rPr>
  </w:style>
  <w:style w:type="character" w:customStyle="1" w:styleId="Heading4Char">
    <w:name w:val="Heading 4 Char"/>
    <w:basedOn w:val="DefaultParagraphFont"/>
    <w:link w:val="Heading4"/>
    <w:semiHidden/>
    <w:rsid w:val="002405F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D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434130">
      <w:bodyDiv w:val="1"/>
      <w:marLeft w:val="0"/>
      <w:marRight w:val="0"/>
      <w:marTop w:val="0"/>
      <w:marBottom w:val="0"/>
      <w:divBdr>
        <w:top w:val="none" w:sz="0" w:space="0" w:color="auto"/>
        <w:left w:val="none" w:sz="0" w:space="0" w:color="auto"/>
        <w:bottom w:val="none" w:sz="0" w:space="0" w:color="auto"/>
        <w:right w:val="none" w:sz="0" w:space="0" w:color="auto"/>
      </w:divBdr>
    </w:div>
    <w:div w:id="1401832888">
      <w:bodyDiv w:val="1"/>
      <w:marLeft w:val="0"/>
      <w:marRight w:val="0"/>
      <w:marTop w:val="0"/>
      <w:marBottom w:val="0"/>
      <w:divBdr>
        <w:top w:val="none" w:sz="0" w:space="0" w:color="auto"/>
        <w:left w:val="none" w:sz="0" w:space="0" w:color="auto"/>
        <w:bottom w:val="none" w:sz="0" w:space="0" w:color="auto"/>
        <w:right w:val="none" w:sz="0" w:space="0" w:color="auto"/>
      </w:divBdr>
    </w:div>
    <w:div w:id="1493788988">
      <w:bodyDiv w:val="1"/>
      <w:marLeft w:val="0"/>
      <w:marRight w:val="0"/>
      <w:marTop w:val="0"/>
      <w:marBottom w:val="0"/>
      <w:divBdr>
        <w:top w:val="none" w:sz="0" w:space="0" w:color="auto"/>
        <w:left w:val="none" w:sz="0" w:space="0" w:color="auto"/>
        <w:bottom w:val="none" w:sz="0" w:space="0" w:color="auto"/>
        <w:right w:val="none" w:sz="0" w:space="0" w:color="auto"/>
      </w:divBdr>
    </w:div>
    <w:div w:id="20195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B14F-613A-440C-BF1D-371693B0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1745</Words>
  <Characters>12265</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Anotācija</vt:lpstr>
    </vt:vector>
  </TitlesOfParts>
  <Company>Ārlietu ministrija</Company>
  <LinksUpToDate>false</LinksUpToDate>
  <CharactersWithSpaces>13983</CharactersWithSpaces>
  <SharedDoc>false</SharedDoc>
  <HLinks>
    <vt:vector size="6" baseType="variant">
      <vt:variant>
        <vt:i4>19005566</vt:i4>
      </vt:variant>
      <vt:variant>
        <vt:i4>3</vt:i4>
      </vt:variant>
      <vt:variant>
        <vt:i4>0</vt:i4>
      </vt:variant>
      <vt:variant>
        <vt:i4>5</vt:i4>
      </vt:variant>
      <vt:variant>
        <vt:lpwstr>mailto:dana.rudāka@mfa.gov.lv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finanšu līdzekļu piešķiršanu no valsts budžeta programmas  „Līdzekļi neparedzētiem gadījumiem”” sākotnējās ietekmes novērtējuma ziņojums (anotācija)</dc:subject>
  <dc:creator>Ārlietu ministrija</dc:creator>
  <dc:description>A. Krastiņš
67016403,andris.krastins@mfa.gov.lv</dc:description>
  <cp:lastModifiedBy>Andris Krastins</cp:lastModifiedBy>
  <cp:revision>6</cp:revision>
  <cp:lastPrinted>2010-11-15T11:10:00Z</cp:lastPrinted>
  <dcterms:created xsi:type="dcterms:W3CDTF">2012-04-02T11:11:00Z</dcterms:created>
  <dcterms:modified xsi:type="dcterms:W3CDTF">2012-04-02T11:19:00Z</dcterms:modified>
</cp:coreProperties>
</file>