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09" w:rsidRDefault="00EF7849" w:rsidP="00EF7849">
      <w:pPr>
        <w:jc w:val="center"/>
        <w:rPr>
          <w:b/>
          <w:sz w:val="26"/>
          <w:szCs w:val="26"/>
        </w:rPr>
      </w:pPr>
      <w:bookmarkStart w:id="0" w:name="OLE_LINK4"/>
      <w:bookmarkStart w:id="1" w:name="OLE_LINK3"/>
      <w:bookmarkStart w:id="2" w:name="OLE_LINK2"/>
      <w:bookmarkStart w:id="3" w:name="OLE_LINK1"/>
      <w:bookmarkStart w:id="4" w:name="OLE_LINK6"/>
      <w:bookmarkStart w:id="5" w:name="OLE_LINK5"/>
      <w:r w:rsidRPr="002E5B2F">
        <w:rPr>
          <w:b/>
          <w:sz w:val="26"/>
          <w:szCs w:val="26"/>
        </w:rPr>
        <w:t>Likumprojekta „Grozījumi likumā „Par nodokļiem un nodevām””</w:t>
      </w:r>
    </w:p>
    <w:bookmarkEnd w:id="0"/>
    <w:bookmarkEnd w:id="1"/>
    <w:p w:rsidR="00EF7849" w:rsidRPr="002E5B2F" w:rsidRDefault="00EF7849" w:rsidP="00EF7849">
      <w:pPr>
        <w:jc w:val="center"/>
        <w:rPr>
          <w:b/>
          <w:sz w:val="26"/>
          <w:szCs w:val="26"/>
        </w:rPr>
      </w:pPr>
      <w:r w:rsidRPr="002E5B2F">
        <w:rPr>
          <w:b/>
          <w:sz w:val="26"/>
          <w:szCs w:val="26"/>
        </w:rPr>
        <w:t>sākotnējās ietekmes novērtējuma ziņojums</w:t>
      </w:r>
      <w:bookmarkEnd w:id="2"/>
      <w:bookmarkEnd w:id="3"/>
    </w:p>
    <w:p w:rsidR="00EF7849" w:rsidRPr="002E5B2F" w:rsidRDefault="00EF7849" w:rsidP="00EF7849">
      <w:pPr>
        <w:pStyle w:val="naislab"/>
        <w:spacing w:before="0" w:after="0"/>
        <w:jc w:val="center"/>
        <w:outlineLvl w:val="0"/>
        <w:rPr>
          <w:b/>
          <w:sz w:val="26"/>
          <w:szCs w:val="26"/>
        </w:rPr>
      </w:pPr>
      <w:r w:rsidRPr="002E5B2F">
        <w:rPr>
          <w:b/>
          <w:sz w:val="26"/>
          <w:szCs w:val="26"/>
        </w:rPr>
        <w:t>(anotācija)</w:t>
      </w:r>
      <w:bookmarkEnd w:id="4"/>
      <w:bookmarkEnd w:id="5"/>
    </w:p>
    <w:p w:rsidR="00EF7849" w:rsidRPr="002E5B2F" w:rsidRDefault="00EF7849" w:rsidP="00EF7849">
      <w:pPr>
        <w:pStyle w:val="naislab"/>
        <w:spacing w:before="0" w:after="0"/>
        <w:jc w:val="center"/>
        <w:outlineLvl w:val="0"/>
        <w:rPr>
          <w:b/>
          <w:sz w:val="22"/>
          <w:szCs w:val="22"/>
        </w:rPr>
      </w:pPr>
    </w:p>
    <w:tbl>
      <w:tblPr>
        <w:tblpPr w:leftFromText="180" w:rightFromText="180" w:vertAnchor="text" w:horzAnchor="margin" w:tblpXSpec="center" w:tblpY="149"/>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5"/>
        <w:gridCol w:w="1670"/>
        <w:gridCol w:w="7441"/>
      </w:tblGrid>
      <w:tr w:rsidR="00EF7849" w:rsidRPr="001A42CA" w:rsidTr="00D374DB">
        <w:tc>
          <w:tcPr>
            <w:tcW w:w="9596"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F7849" w:rsidRPr="001A42CA" w:rsidRDefault="00EF7849">
            <w:pPr>
              <w:pStyle w:val="naisnod"/>
              <w:spacing w:before="0" w:after="0"/>
            </w:pPr>
            <w:r w:rsidRPr="001A42CA">
              <w:t>I. Tiesību akta projekta izstrādes nepieciešamība</w:t>
            </w:r>
          </w:p>
        </w:tc>
      </w:tr>
      <w:tr w:rsidR="00EF7849" w:rsidRPr="001A42CA" w:rsidTr="00D374DB">
        <w:trPr>
          <w:trHeight w:val="630"/>
        </w:trPr>
        <w:tc>
          <w:tcPr>
            <w:tcW w:w="4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F7849" w:rsidRPr="001A42CA" w:rsidRDefault="00EF7849">
            <w:pPr>
              <w:pStyle w:val="naiskr"/>
              <w:spacing w:before="0" w:after="0"/>
            </w:pPr>
            <w:r w:rsidRPr="001A42CA">
              <w:t>1.</w:t>
            </w:r>
          </w:p>
        </w:tc>
        <w:tc>
          <w:tcPr>
            <w:tcW w:w="1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F7849" w:rsidRPr="001A42CA" w:rsidRDefault="00EF7849">
            <w:pPr>
              <w:pStyle w:val="naiskr"/>
              <w:spacing w:before="0" w:after="0"/>
              <w:ind w:hanging="10"/>
            </w:pPr>
            <w:r w:rsidRPr="001A42CA">
              <w:t>Pamatojums</w:t>
            </w:r>
          </w:p>
        </w:tc>
        <w:tc>
          <w:tcPr>
            <w:tcW w:w="74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F7849" w:rsidRPr="001A42CA" w:rsidRDefault="00D374DB" w:rsidP="004B5438">
            <w:pPr>
              <w:pStyle w:val="naiskr"/>
              <w:spacing w:before="0" w:after="0"/>
              <w:ind w:left="70" w:hanging="5"/>
              <w:jc w:val="both"/>
            </w:pPr>
            <w:r w:rsidRPr="001A42CA">
              <w:t>Saskaņā ar Ministru kabineta 2013.gada 20.augusta sēdes protokola Nr. 45 105.§ 5. punktu tika atbalstīts Ārlietu ministrijas priekšlikums ieviest valsts nodevu par pilsonības reģistrācijas iesnieguma izskatīšanu</w:t>
            </w:r>
            <w:r w:rsidR="001A42CA">
              <w:t xml:space="preserve">. Šim nolūkam atbilstoši </w:t>
            </w:r>
            <w:r w:rsidRPr="001A42CA">
              <w:t xml:space="preserve">Ministru kabineta 2013.gada 27.augusta sēdes protokola Nr. 46 </w:t>
            </w:r>
            <w:r w:rsidR="004B5438">
              <w:t>102</w:t>
            </w:r>
            <w:r w:rsidRPr="001A42CA">
              <w:t>.§ 12. punktam tika izstrādāts likumprojekts „Grozījumi likumā „Par nodokļiem un nodevām”.</w:t>
            </w:r>
          </w:p>
        </w:tc>
      </w:tr>
      <w:tr w:rsidR="00EF7849" w:rsidRPr="001A42CA" w:rsidTr="00D374DB">
        <w:trPr>
          <w:trHeight w:val="472"/>
        </w:trPr>
        <w:tc>
          <w:tcPr>
            <w:tcW w:w="4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F7849" w:rsidRPr="001A42CA" w:rsidRDefault="00EF7849">
            <w:pPr>
              <w:pStyle w:val="naiskr"/>
              <w:spacing w:before="0" w:after="0"/>
            </w:pPr>
            <w:r w:rsidRPr="001A42CA">
              <w:t>2.</w:t>
            </w:r>
          </w:p>
        </w:tc>
        <w:tc>
          <w:tcPr>
            <w:tcW w:w="1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F7849" w:rsidRPr="001A42CA" w:rsidRDefault="00EF7849">
            <w:pPr>
              <w:pStyle w:val="naiskr"/>
              <w:tabs>
                <w:tab w:val="left" w:pos="170"/>
              </w:tabs>
              <w:spacing w:before="0" w:after="0"/>
            </w:pPr>
            <w:r w:rsidRPr="001A42CA">
              <w:t>Pašreizējā situācija un problēmas</w:t>
            </w:r>
          </w:p>
        </w:tc>
        <w:tc>
          <w:tcPr>
            <w:tcW w:w="74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F7849" w:rsidRPr="001A42CA" w:rsidRDefault="001A42CA" w:rsidP="00B55490">
            <w:pPr>
              <w:jc w:val="both"/>
            </w:pPr>
            <w:r>
              <w:t>2013.gada 1.oktobrī stājas spēkā g</w:t>
            </w:r>
            <w:r w:rsidR="00D374DB" w:rsidRPr="001A42CA">
              <w:t>rozījumi Pilsonības likumā</w:t>
            </w:r>
            <w:r>
              <w:t xml:space="preserve">, kas </w:t>
            </w:r>
            <w:r w:rsidR="00F73FB8" w:rsidRPr="002922E7">
              <w:t>nostiprina</w:t>
            </w:r>
            <w:r w:rsidRPr="002922E7">
              <w:t xml:space="preserve"> dubultpilsonības konceptu</w:t>
            </w:r>
            <w:r w:rsidR="00F73FB8" w:rsidRPr="002922E7">
              <w:t>, paredzot, ka Latvijas trimdinieki un to</w:t>
            </w:r>
            <w:r w:rsidRPr="002922E7">
              <w:t xml:space="preserve"> pēcteči</w:t>
            </w:r>
            <w:r w:rsidR="00F73FB8" w:rsidRPr="002922E7">
              <w:t>, kā arī latvieši un līvi</w:t>
            </w:r>
            <w:r w:rsidRPr="002922E7">
              <w:t xml:space="preserve"> </w:t>
            </w:r>
            <w:r w:rsidR="0049052D" w:rsidRPr="002922E7">
              <w:t xml:space="preserve">varēs iegūt Latvijas pilsonību. </w:t>
            </w:r>
            <w:r w:rsidRPr="002922E7">
              <w:t>Līdz ar to ir prognozējams Iekšlietu ministrijas un Ārlietu ministrijas darba</w:t>
            </w:r>
            <w:r>
              <w:t xml:space="preserve"> apjoma pieaugums, pieņemot un izskatot iesniegumus par reģistrāciju Latvijas pilsonībā. Spēkā esošie normatīvie akti neparedz valsts nodevas par</w:t>
            </w:r>
            <w:r w:rsidR="00B55490">
              <w:t xml:space="preserve"> personu, kurām saskaņā ar Pilsonības likumu ir paredzētas tiesības reģistrēties Latvijas pilsonībā</w:t>
            </w:r>
            <w:r>
              <w:t xml:space="preserve"> </w:t>
            </w:r>
            <w:r w:rsidR="0003209B">
              <w:t>un kurā</w:t>
            </w:r>
            <w:r w:rsidR="00B55490">
              <w:t xml:space="preserve">m nav pastāvīgā dzīvesvieta Latvijā, </w:t>
            </w:r>
            <w:r w:rsidRPr="001A42CA">
              <w:t>pilsonības reģistrācijas iesnieguma izskatīšanu</w:t>
            </w:r>
            <w:r>
              <w:t xml:space="preserve">, tāpēc ir nepieciešams veikt grozījumus likumā </w:t>
            </w:r>
            <w:r w:rsidRPr="001A42CA">
              <w:t>„Par nodokļiem un nodevām”</w:t>
            </w:r>
            <w:r>
              <w:t>.</w:t>
            </w:r>
          </w:p>
        </w:tc>
      </w:tr>
      <w:tr w:rsidR="00EF7849" w:rsidRPr="001A42CA" w:rsidTr="00D374DB">
        <w:trPr>
          <w:trHeight w:val="530"/>
        </w:trPr>
        <w:tc>
          <w:tcPr>
            <w:tcW w:w="4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F7849" w:rsidRPr="001A42CA" w:rsidRDefault="00EF7849">
            <w:pPr>
              <w:pStyle w:val="naiskr"/>
              <w:spacing w:before="0" w:after="0"/>
            </w:pPr>
            <w:r w:rsidRPr="001A42CA">
              <w:t>3.</w:t>
            </w:r>
          </w:p>
        </w:tc>
        <w:tc>
          <w:tcPr>
            <w:tcW w:w="1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F7849" w:rsidRPr="001A42CA" w:rsidRDefault="00EF7849">
            <w:pPr>
              <w:pStyle w:val="naiskr"/>
              <w:spacing w:before="0" w:after="0"/>
            </w:pPr>
            <w:r w:rsidRPr="001A42CA">
              <w:t>Saistītie politikas ietekmes novērtējumi un pētījumi</w:t>
            </w:r>
          </w:p>
        </w:tc>
        <w:tc>
          <w:tcPr>
            <w:tcW w:w="74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F7849" w:rsidRPr="001A42CA" w:rsidRDefault="00EF7849">
            <w:pPr>
              <w:pStyle w:val="FootnoteText"/>
              <w:rPr>
                <w:sz w:val="24"/>
                <w:szCs w:val="24"/>
              </w:rPr>
            </w:pPr>
            <w:r w:rsidRPr="001A42CA">
              <w:rPr>
                <w:sz w:val="24"/>
                <w:szCs w:val="24"/>
              </w:rPr>
              <w:t>Nav attiecināms.</w:t>
            </w:r>
          </w:p>
        </w:tc>
      </w:tr>
      <w:tr w:rsidR="00EF7849" w:rsidRPr="001A42CA" w:rsidTr="00D374DB">
        <w:trPr>
          <w:trHeight w:val="384"/>
        </w:trPr>
        <w:tc>
          <w:tcPr>
            <w:tcW w:w="4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F7849" w:rsidRPr="001A42CA" w:rsidRDefault="00EF7849">
            <w:pPr>
              <w:pStyle w:val="naiskr"/>
              <w:spacing w:before="0" w:after="0"/>
            </w:pPr>
            <w:r w:rsidRPr="001A42CA">
              <w:t>4.</w:t>
            </w:r>
          </w:p>
        </w:tc>
        <w:tc>
          <w:tcPr>
            <w:tcW w:w="1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F7849" w:rsidRPr="001A42CA" w:rsidRDefault="00EF7849">
            <w:pPr>
              <w:pStyle w:val="naiskr"/>
              <w:spacing w:before="0" w:after="0"/>
            </w:pPr>
            <w:r w:rsidRPr="001A42CA">
              <w:t>Tiesiskā regulējuma mērķis un būtība</w:t>
            </w:r>
          </w:p>
        </w:tc>
        <w:tc>
          <w:tcPr>
            <w:tcW w:w="74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F7849" w:rsidRPr="001A42CA" w:rsidRDefault="00EF7849" w:rsidP="002E5B2F">
            <w:pPr>
              <w:pStyle w:val="naisf"/>
              <w:spacing w:before="0" w:after="0"/>
              <w:ind w:right="119" w:firstLine="0"/>
            </w:pPr>
            <w:r w:rsidRPr="001A42CA">
              <w:t xml:space="preserve">Lai ieviestu valsts nodevu par </w:t>
            </w:r>
            <w:r w:rsidR="001A42CA" w:rsidRPr="001A42CA">
              <w:t>pilsonības reģistrācijas iesnieguma izskatīšanu</w:t>
            </w:r>
            <w:r w:rsidRPr="001A42CA">
              <w:t xml:space="preserve">, nepieciešams papildināt likuma „Par nodokļiem un nodevām” 11.panta otro daļu ar jaunu punktu, </w:t>
            </w:r>
            <w:r w:rsidR="002E5B2F">
              <w:t>kā arī vienlaicīgi papildinā</w:t>
            </w:r>
            <w:r w:rsidRPr="001A42CA">
              <w:t>t pārejas noteikumus</w:t>
            </w:r>
            <w:r w:rsidR="002E5B2F">
              <w:t>,</w:t>
            </w:r>
            <w:r w:rsidRPr="001A42CA">
              <w:t xml:space="preserve"> paredzot, ka </w:t>
            </w:r>
            <w:r w:rsidR="001A42CA">
              <w:t xml:space="preserve">šis regulējums </w:t>
            </w:r>
            <w:r w:rsidRPr="001A42CA">
              <w:t xml:space="preserve">stājas spēkā vienlaikus ar atbilstošiem grozījumiem </w:t>
            </w:r>
            <w:r w:rsidR="002E5B2F">
              <w:t>Pilsonības</w:t>
            </w:r>
            <w:r w:rsidRPr="001A42CA">
              <w:t xml:space="preserve"> likumā</w:t>
            </w:r>
            <w:r w:rsidR="002E5B2F">
              <w:t>, t.i. 2013.gada 1.oktobrī</w:t>
            </w:r>
            <w:r w:rsidRPr="001A42CA">
              <w:t xml:space="preserve">. </w:t>
            </w:r>
            <w:r w:rsidRPr="0049052D">
              <w:t xml:space="preserve">Tādā veidā tiks ieviesta jauna valsts nodeva un Ministru kabinetam tiks dots deleģējums noteikt kārtību par valsts nodevas apmēru un maksāšanas kārtību par </w:t>
            </w:r>
            <w:r w:rsidR="002E5B2F" w:rsidRPr="0049052D">
              <w:t>pilsonības reģistrācijas iesnieguma izskatīšanu</w:t>
            </w:r>
            <w:r w:rsidRPr="0049052D">
              <w:t>.</w:t>
            </w:r>
          </w:p>
        </w:tc>
      </w:tr>
      <w:tr w:rsidR="00EF7849" w:rsidRPr="001A42CA" w:rsidTr="00D374DB">
        <w:trPr>
          <w:trHeight w:val="476"/>
        </w:trPr>
        <w:tc>
          <w:tcPr>
            <w:tcW w:w="4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F7849" w:rsidRPr="001A42CA" w:rsidRDefault="00EF7849">
            <w:pPr>
              <w:pStyle w:val="naiskr"/>
              <w:spacing w:before="0" w:after="0"/>
            </w:pPr>
            <w:r w:rsidRPr="001A42CA">
              <w:t>5.</w:t>
            </w:r>
          </w:p>
        </w:tc>
        <w:tc>
          <w:tcPr>
            <w:tcW w:w="1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F7849" w:rsidRPr="001A42CA" w:rsidRDefault="00EF7849">
            <w:pPr>
              <w:pStyle w:val="naiskr"/>
              <w:spacing w:before="0" w:after="0"/>
            </w:pPr>
            <w:r w:rsidRPr="001A42CA">
              <w:t>Projekta izstrādē iesaistītās institūcijas</w:t>
            </w:r>
          </w:p>
        </w:tc>
        <w:tc>
          <w:tcPr>
            <w:tcW w:w="74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F7849" w:rsidRPr="001A42CA" w:rsidRDefault="00EF7849" w:rsidP="002922E7">
            <w:pPr>
              <w:pStyle w:val="naiskr"/>
              <w:spacing w:before="0" w:after="0"/>
              <w:jc w:val="both"/>
            </w:pPr>
            <w:r w:rsidRPr="001A42CA">
              <w:t>Nav attiecināms.</w:t>
            </w:r>
          </w:p>
        </w:tc>
      </w:tr>
      <w:tr w:rsidR="00EF7849" w:rsidRPr="001A42CA" w:rsidTr="00D374DB">
        <w:trPr>
          <w:trHeight w:val="557"/>
        </w:trPr>
        <w:tc>
          <w:tcPr>
            <w:tcW w:w="4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F7849" w:rsidRPr="001A42CA" w:rsidRDefault="00EF7849">
            <w:pPr>
              <w:pStyle w:val="naiskr"/>
              <w:spacing w:before="0" w:after="0"/>
            </w:pPr>
            <w:r w:rsidRPr="001A42CA">
              <w:t>6.</w:t>
            </w:r>
          </w:p>
        </w:tc>
        <w:tc>
          <w:tcPr>
            <w:tcW w:w="1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F7849" w:rsidRPr="001A42CA" w:rsidRDefault="00EF7849">
            <w:pPr>
              <w:pStyle w:val="naiskr"/>
              <w:spacing w:before="0" w:after="0"/>
              <w:rPr>
                <w:i/>
                <w:highlight w:val="yellow"/>
              </w:rPr>
            </w:pPr>
            <w:r w:rsidRPr="001A42CA">
              <w:t>Iemesli, kādēļ netika nodrošināta sabiedrības līdzdalība</w:t>
            </w:r>
          </w:p>
        </w:tc>
        <w:tc>
          <w:tcPr>
            <w:tcW w:w="74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F7849" w:rsidRPr="001A42CA" w:rsidRDefault="00EF7849">
            <w:pPr>
              <w:pStyle w:val="FootnoteText"/>
              <w:jc w:val="both"/>
              <w:rPr>
                <w:sz w:val="24"/>
                <w:szCs w:val="24"/>
              </w:rPr>
            </w:pPr>
            <w:r w:rsidRPr="001A42CA">
              <w:rPr>
                <w:sz w:val="24"/>
                <w:szCs w:val="24"/>
              </w:rPr>
              <w:t>Konsultācijas nav notikušas, jo noteikumu projekts nekādā veidā neierobežo un nesašaurina nevienas personu grupas vai indivīda tiesības.</w:t>
            </w:r>
          </w:p>
        </w:tc>
      </w:tr>
      <w:tr w:rsidR="00EF7849" w:rsidRPr="001A42CA" w:rsidTr="00D374DB">
        <w:tc>
          <w:tcPr>
            <w:tcW w:w="48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F7849" w:rsidRPr="001A42CA" w:rsidRDefault="00EF7849">
            <w:pPr>
              <w:pStyle w:val="naiskr"/>
              <w:spacing w:before="0" w:after="0"/>
            </w:pPr>
            <w:r w:rsidRPr="001A42CA">
              <w:t>7.</w:t>
            </w:r>
          </w:p>
        </w:tc>
        <w:tc>
          <w:tcPr>
            <w:tcW w:w="16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F7849" w:rsidRPr="001A42CA" w:rsidRDefault="00EF7849">
            <w:pPr>
              <w:pStyle w:val="naiskr"/>
              <w:spacing w:before="0" w:after="0"/>
            </w:pPr>
            <w:r w:rsidRPr="001A42CA">
              <w:t>Cita informācija</w:t>
            </w:r>
          </w:p>
        </w:tc>
        <w:tc>
          <w:tcPr>
            <w:tcW w:w="74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EF7849" w:rsidRPr="001A42CA" w:rsidRDefault="00EF7849" w:rsidP="002E5B2F">
            <w:pPr>
              <w:pStyle w:val="naiskr"/>
              <w:spacing w:before="0" w:after="0"/>
            </w:pPr>
            <w:r w:rsidRPr="001A42CA">
              <w:t>Nav.</w:t>
            </w:r>
          </w:p>
        </w:tc>
      </w:tr>
    </w:tbl>
    <w:p w:rsidR="002E5B2F" w:rsidRDefault="002E5B2F" w:rsidP="00EF7849">
      <w:pPr>
        <w:spacing w:line="270" w:lineRule="atLeast"/>
        <w:rPr>
          <w:rStyle w:val="apple-style-span"/>
          <w:color w:val="000000"/>
          <w:sz w:val="28"/>
          <w:szCs w:val="28"/>
        </w:rPr>
      </w:pPr>
    </w:p>
    <w:p w:rsidR="002E5B2F" w:rsidRDefault="002E5B2F">
      <w:pPr>
        <w:spacing w:after="200" w:line="276" w:lineRule="auto"/>
        <w:rPr>
          <w:rStyle w:val="apple-style-span"/>
          <w:color w:val="000000"/>
          <w:sz w:val="28"/>
          <w:szCs w:val="28"/>
        </w:rPr>
      </w:pPr>
      <w:r>
        <w:rPr>
          <w:rStyle w:val="apple-style-span"/>
          <w:color w:val="000000"/>
          <w:sz w:val="28"/>
          <w:szCs w:val="28"/>
        </w:rPr>
        <w:br w:type="page"/>
      </w:r>
    </w:p>
    <w:tbl>
      <w:tblPr>
        <w:tblW w:w="5123"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83"/>
        <w:gridCol w:w="3528"/>
        <w:gridCol w:w="5246"/>
      </w:tblGrid>
      <w:tr w:rsidR="00EF7849" w:rsidRPr="002E5B2F" w:rsidTr="00EF7849">
        <w:tc>
          <w:tcPr>
            <w:tcW w:w="5000" w:type="pct"/>
            <w:gridSpan w:val="3"/>
            <w:tcBorders>
              <w:top w:val="single" w:sz="6" w:space="0" w:color="000000"/>
              <w:left w:val="single" w:sz="6" w:space="0" w:color="000000"/>
              <w:bottom w:val="outset" w:sz="6" w:space="0" w:color="000000"/>
              <w:right w:val="single" w:sz="6" w:space="0" w:color="000000"/>
            </w:tcBorders>
            <w:vAlign w:val="center"/>
            <w:hideMark/>
          </w:tcPr>
          <w:p w:rsidR="00EF7849" w:rsidRPr="002E5B2F" w:rsidRDefault="00EF7849">
            <w:pPr>
              <w:pStyle w:val="NormalWeb"/>
              <w:jc w:val="center"/>
              <w:rPr>
                <w:b/>
                <w:bCs/>
              </w:rPr>
            </w:pPr>
            <w:r w:rsidRPr="002E5B2F">
              <w:rPr>
                <w:b/>
                <w:bCs/>
              </w:rPr>
              <w:lastRenderedPageBreak/>
              <w:t>II. Tiesību akta projekta ietekme uz sabiedrību</w:t>
            </w:r>
          </w:p>
        </w:tc>
      </w:tr>
      <w:tr w:rsidR="00EF7849" w:rsidRPr="002E5B2F" w:rsidTr="00EF7849">
        <w:tc>
          <w:tcPr>
            <w:tcW w:w="312"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1.</w:t>
            </w:r>
          </w:p>
        </w:tc>
        <w:tc>
          <w:tcPr>
            <w:tcW w:w="1885"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Sabiedrības mērķgrupa</w:t>
            </w:r>
          </w:p>
        </w:tc>
        <w:tc>
          <w:tcPr>
            <w:tcW w:w="2803" w:type="pct"/>
            <w:tcBorders>
              <w:top w:val="outset" w:sz="6" w:space="0" w:color="000000"/>
              <w:left w:val="outset" w:sz="6" w:space="0" w:color="000000"/>
              <w:bottom w:val="outset" w:sz="6" w:space="0" w:color="000000"/>
              <w:right w:val="outset" w:sz="6" w:space="0" w:color="000000"/>
            </w:tcBorders>
            <w:hideMark/>
          </w:tcPr>
          <w:p w:rsidR="00EF7849" w:rsidRPr="002E5B2F" w:rsidRDefault="002E5B2F" w:rsidP="00B55490">
            <w:pPr>
              <w:pStyle w:val="naiskr"/>
              <w:spacing w:before="0" w:after="0"/>
              <w:jc w:val="both"/>
            </w:pPr>
            <w:r w:rsidRPr="002E5B2F">
              <w:t>Person</w:t>
            </w:r>
            <w:r w:rsidR="00B55490">
              <w:t>as</w:t>
            </w:r>
            <w:r w:rsidRPr="002E5B2F">
              <w:t xml:space="preserve">, kurām saskaņā ar Pilsonības likumu ir paredzētas tiesības reģistrēties </w:t>
            </w:r>
            <w:r w:rsidR="00E15452">
              <w:t>Latvijas pilsonībā un kur</w:t>
            </w:r>
            <w:r w:rsidR="00A427CC">
              <w:t>ā</w:t>
            </w:r>
            <w:r w:rsidR="00B55490">
              <w:t>m nav</w:t>
            </w:r>
            <w:r w:rsidR="00E15452">
              <w:t xml:space="preserve"> pastāvīgā dzīvesvieta </w:t>
            </w:r>
            <w:r w:rsidR="001868C5">
              <w:t>Latvijā</w:t>
            </w:r>
            <w:r w:rsidR="00E15452">
              <w:t>.</w:t>
            </w:r>
          </w:p>
        </w:tc>
      </w:tr>
      <w:tr w:rsidR="00EF7849" w:rsidRPr="002E5B2F" w:rsidTr="00EF7849">
        <w:tc>
          <w:tcPr>
            <w:tcW w:w="312"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2.</w:t>
            </w:r>
          </w:p>
        </w:tc>
        <w:tc>
          <w:tcPr>
            <w:tcW w:w="1885"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Citas sabiedrības grupas (bez mērķgrupas), kuras tiesiskais regulējums arī ietekmē vai varētu ietekmēt</w:t>
            </w:r>
          </w:p>
        </w:tc>
        <w:tc>
          <w:tcPr>
            <w:tcW w:w="2803"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Nav attiecināms.</w:t>
            </w:r>
          </w:p>
        </w:tc>
      </w:tr>
      <w:tr w:rsidR="00EF7849" w:rsidRPr="002E5B2F" w:rsidTr="00EF7849">
        <w:tc>
          <w:tcPr>
            <w:tcW w:w="312"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3.</w:t>
            </w:r>
          </w:p>
        </w:tc>
        <w:tc>
          <w:tcPr>
            <w:tcW w:w="1885"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Tiesiskā regulējuma finansiālā ietekme</w:t>
            </w:r>
          </w:p>
        </w:tc>
        <w:tc>
          <w:tcPr>
            <w:tcW w:w="2803" w:type="pct"/>
            <w:tcBorders>
              <w:top w:val="outset" w:sz="6" w:space="0" w:color="000000"/>
              <w:left w:val="outset" w:sz="6" w:space="0" w:color="000000"/>
              <w:bottom w:val="outset" w:sz="6" w:space="0" w:color="000000"/>
              <w:right w:val="outset" w:sz="6" w:space="0" w:color="000000"/>
            </w:tcBorders>
            <w:hideMark/>
          </w:tcPr>
          <w:p w:rsidR="00EF7849" w:rsidRPr="002E5B2F" w:rsidRDefault="002E5B2F">
            <w:pPr>
              <w:pStyle w:val="NormalWeb"/>
              <w:spacing w:before="0" w:beforeAutospacing="0" w:after="0" w:afterAutospacing="0"/>
              <w:jc w:val="both"/>
            </w:pPr>
            <w:r w:rsidRPr="002E5B2F">
              <w:t xml:space="preserve">Ir paredzēts, ka valsts nodevas apmērs varētu būt 65 </w:t>
            </w:r>
            <w:r w:rsidRPr="002E5B2F">
              <w:rPr>
                <w:i/>
              </w:rPr>
              <w:t>euro</w:t>
            </w:r>
            <w:r w:rsidRPr="002E5B2F">
              <w:t>.</w:t>
            </w:r>
          </w:p>
        </w:tc>
      </w:tr>
      <w:tr w:rsidR="00EF7849" w:rsidRPr="002E5B2F" w:rsidTr="00EF7849">
        <w:tc>
          <w:tcPr>
            <w:tcW w:w="312"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4.</w:t>
            </w:r>
          </w:p>
        </w:tc>
        <w:tc>
          <w:tcPr>
            <w:tcW w:w="1885"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Tiesiskā regulējuma nefinansiālā ietekme</w:t>
            </w:r>
          </w:p>
        </w:tc>
        <w:tc>
          <w:tcPr>
            <w:tcW w:w="2803" w:type="pct"/>
            <w:tcBorders>
              <w:top w:val="outset" w:sz="6" w:space="0" w:color="000000"/>
              <w:left w:val="outset" w:sz="6" w:space="0" w:color="000000"/>
              <w:bottom w:val="outset" w:sz="6" w:space="0" w:color="000000"/>
              <w:right w:val="outset" w:sz="6" w:space="0" w:color="000000"/>
            </w:tcBorders>
            <w:hideMark/>
          </w:tcPr>
          <w:p w:rsidR="00EF7849" w:rsidRPr="002E5B2F" w:rsidRDefault="002E5B2F" w:rsidP="002E5B2F">
            <w:pPr>
              <w:pStyle w:val="NormalWeb"/>
              <w:jc w:val="both"/>
            </w:pPr>
            <w:r w:rsidRPr="002E5B2F">
              <w:t>Nav attiecināms.</w:t>
            </w:r>
          </w:p>
        </w:tc>
      </w:tr>
      <w:tr w:rsidR="00EF7849" w:rsidRPr="002E5B2F" w:rsidTr="00EF7849">
        <w:tc>
          <w:tcPr>
            <w:tcW w:w="312"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5.</w:t>
            </w:r>
          </w:p>
        </w:tc>
        <w:tc>
          <w:tcPr>
            <w:tcW w:w="1885"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Administratīvās procedūras raksturojums</w:t>
            </w:r>
          </w:p>
        </w:tc>
        <w:tc>
          <w:tcPr>
            <w:tcW w:w="2803"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jc w:val="both"/>
              <w:rPr>
                <w:highlight w:val="yellow"/>
              </w:rPr>
            </w:pPr>
            <w:r w:rsidRPr="002E5B2F">
              <w:t xml:space="preserve">Nav attiecināms. </w:t>
            </w:r>
          </w:p>
        </w:tc>
      </w:tr>
      <w:tr w:rsidR="00EF7849" w:rsidRPr="002E5B2F" w:rsidTr="00EF7849">
        <w:tc>
          <w:tcPr>
            <w:tcW w:w="312"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6.</w:t>
            </w:r>
          </w:p>
        </w:tc>
        <w:tc>
          <w:tcPr>
            <w:tcW w:w="1885"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Administratīvo izmaksu monetārs novērtējums</w:t>
            </w:r>
          </w:p>
        </w:tc>
        <w:tc>
          <w:tcPr>
            <w:tcW w:w="2803"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jc w:val="both"/>
              <w:rPr>
                <w:color w:val="000000"/>
                <w:highlight w:val="yellow"/>
              </w:rPr>
            </w:pPr>
            <w:r w:rsidRPr="002E5B2F">
              <w:rPr>
                <w:rStyle w:val="apple-style-span"/>
                <w:color w:val="000000"/>
              </w:rPr>
              <w:t xml:space="preserve">Nav attiecināms. </w:t>
            </w:r>
          </w:p>
        </w:tc>
      </w:tr>
      <w:tr w:rsidR="00EF7849" w:rsidRPr="002E5B2F" w:rsidTr="00EF7849">
        <w:tc>
          <w:tcPr>
            <w:tcW w:w="312"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7.</w:t>
            </w:r>
          </w:p>
        </w:tc>
        <w:tc>
          <w:tcPr>
            <w:tcW w:w="1885"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Cita informācija</w:t>
            </w:r>
          </w:p>
        </w:tc>
        <w:tc>
          <w:tcPr>
            <w:tcW w:w="2803"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Nav.</w:t>
            </w:r>
          </w:p>
        </w:tc>
      </w:tr>
    </w:tbl>
    <w:p w:rsidR="00EF7849" w:rsidRDefault="00EF7849" w:rsidP="002E5B2F">
      <w:pPr>
        <w:pStyle w:val="NormalWeb"/>
        <w:spacing w:before="0" w:beforeAutospacing="0" w:after="0" w:afterAutospacing="0"/>
        <w:rPr>
          <w:color w:val="000000"/>
          <w:sz w:val="28"/>
          <w:szCs w:val="28"/>
        </w:rPr>
      </w:pPr>
      <w:r>
        <w:rPr>
          <w:color w:val="000000"/>
          <w:sz w:val="28"/>
          <w:szCs w:val="28"/>
        </w:rPr>
        <w:t> </w:t>
      </w:r>
    </w:p>
    <w:p w:rsidR="002F3109" w:rsidRPr="002E5B2F" w:rsidRDefault="002F3109" w:rsidP="002E5B2F">
      <w:pPr>
        <w:pStyle w:val="NormalWeb"/>
        <w:spacing w:before="0" w:beforeAutospacing="0" w:after="0" w:afterAutospacing="0"/>
        <w:rPr>
          <w:sz w:val="20"/>
          <w:szCs w:val="20"/>
        </w:rPr>
      </w:pPr>
    </w:p>
    <w:tbl>
      <w:tblPr>
        <w:tblW w:w="5010"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73"/>
        <w:gridCol w:w="1182"/>
        <w:gridCol w:w="1672"/>
        <w:gridCol w:w="1097"/>
        <w:gridCol w:w="1097"/>
        <w:gridCol w:w="1423"/>
      </w:tblGrid>
      <w:tr w:rsidR="00EF7849" w:rsidRPr="002E5B2F" w:rsidTr="00FD75B7">
        <w:tc>
          <w:tcPr>
            <w:tcW w:w="5000" w:type="pct"/>
            <w:gridSpan w:val="6"/>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jc w:val="center"/>
              <w:rPr>
                <w:b/>
                <w:bCs/>
              </w:rPr>
            </w:pPr>
            <w:r w:rsidRPr="002E5B2F">
              <w:rPr>
                <w:b/>
                <w:bCs/>
              </w:rPr>
              <w:t>III. Tiesību akta projekta ietekme uz valsts budžetu un pašvaldību budžetiem</w:t>
            </w:r>
          </w:p>
        </w:tc>
      </w:tr>
      <w:tr w:rsidR="00EF7849" w:rsidRPr="002E5B2F" w:rsidTr="00FD75B7">
        <w:tc>
          <w:tcPr>
            <w:tcW w:w="1239" w:type="pct"/>
            <w:vMerge w:val="restart"/>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pStyle w:val="NormalWeb"/>
              <w:jc w:val="center"/>
              <w:rPr>
                <w:b/>
                <w:bCs/>
              </w:rPr>
            </w:pPr>
            <w:r w:rsidRPr="002E5B2F">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rsidP="002E5B2F">
            <w:pPr>
              <w:pStyle w:val="NormalWeb"/>
              <w:jc w:val="center"/>
              <w:rPr>
                <w:b/>
                <w:bCs/>
              </w:rPr>
            </w:pPr>
            <w:r w:rsidRPr="002E5B2F">
              <w:rPr>
                <w:b/>
                <w:bCs/>
              </w:rPr>
              <w:t>201</w:t>
            </w:r>
            <w:r w:rsidR="002E5B2F" w:rsidRPr="002E5B2F">
              <w:rPr>
                <w:b/>
                <w:bCs/>
              </w:rPr>
              <w:t>3</w:t>
            </w:r>
            <w:r w:rsidRPr="002E5B2F">
              <w:rPr>
                <w:b/>
                <w:bCs/>
              </w:rPr>
              <w:t>. gads</w:t>
            </w:r>
          </w:p>
        </w:tc>
        <w:tc>
          <w:tcPr>
            <w:tcW w:w="2099" w:type="pct"/>
            <w:gridSpan w:val="3"/>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rsidP="002F3109">
            <w:pPr>
              <w:pStyle w:val="NormalWeb"/>
              <w:jc w:val="center"/>
            </w:pPr>
            <w:r w:rsidRPr="002E5B2F">
              <w:t xml:space="preserve">Turpmākie trīs gadi (tūkst. </w:t>
            </w:r>
            <w:r w:rsidR="002F3109">
              <w:t>euro</w:t>
            </w:r>
            <w:r w:rsidRPr="002E5B2F">
              <w:t>)</w:t>
            </w:r>
          </w:p>
        </w:tc>
      </w:tr>
      <w:tr w:rsidR="00EF7849" w:rsidRPr="002E5B2F" w:rsidTr="00FD75B7">
        <w:tc>
          <w:tcPr>
            <w:tcW w:w="1239" w:type="pct"/>
            <w:vMerge/>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rsidP="002E5B2F">
            <w:pPr>
              <w:pStyle w:val="NormalWeb"/>
              <w:jc w:val="center"/>
              <w:rPr>
                <w:b/>
                <w:bCs/>
              </w:rPr>
            </w:pPr>
            <w:r w:rsidRPr="002E5B2F">
              <w:rPr>
                <w:b/>
                <w:bCs/>
              </w:rPr>
              <w:t>201</w:t>
            </w:r>
            <w:r w:rsidR="002E5B2F">
              <w:rPr>
                <w:b/>
                <w:bCs/>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rsidP="002E5B2F">
            <w:pPr>
              <w:pStyle w:val="NormalWeb"/>
              <w:jc w:val="center"/>
              <w:rPr>
                <w:b/>
                <w:bCs/>
              </w:rPr>
            </w:pPr>
            <w:r w:rsidRPr="002E5B2F">
              <w:rPr>
                <w:b/>
                <w:bCs/>
              </w:rPr>
              <w:t>201</w:t>
            </w:r>
            <w:r w:rsidR="002E5B2F">
              <w:rPr>
                <w:b/>
                <w:bCs/>
              </w:rPr>
              <w:t>5</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rsidP="002E5B2F">
            <w:pPr>
              <w:pStyle w:val="NormalWeb"/>
              <w:jc w:val="center"/>
              <w:rPr>
                <w:b/>
                <w:bCs/>
              </w:rPr>
            </w:pPr>
            <w:r w:rsidRPr="002E5B2F">
              <w:rPr>
                <w:b/>
                <w:bCs/>
              </w:rPr>
              <w:t>201</w:t>
            </w:r>
            <w:r w:rsidR="002E5B2F">
              <w:rPr>
                <w:b/>
                <w:bCs/>
              </w:rPr>
              <w:t>6</w:t>
            </w:r>
          </w:p>
        </w:tc>
      </w:tr>
      <w:tr w:rsidR="00EF7849" w:rsidRPr="002E5B2F" w:rsidTr="00FD75B7">
        <w:tc>
          <w:tcPr>
            <w:tcW w:w="1239" w:type="pct"/>
            <w:vMerge/>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pStyle w:val="NormalWeb"/>
              <w:jc w:val="center"/>
            </w:pPr>
            <w:r w:rsidRPr="002E5B2F">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pStyle w:val="NormalWeb"/>
              <w:jc w:val="center"/>
            </w:pPr>
            <w:r w:rsidRPr="002E5B2F">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pStyle w:val="NormalWeb"/>
              <w:jc w:val="center"/>
            </w:pPr>
            <w:r w:rsidRPr="002E5B2F">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pStyle w:val="NormalWeb"/>
              <w:jc w:val="center"/>
            </w:pPr>
            <w:r w:rsidRPr="002E5B2F">
              <w:t>Izmaiņas, salīdzinot ar kārtējo (n) gadu</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pStyle w:val="NormalWeb"/>
              <w:jc w:val="center"/>
            </w:pPr>
            <w:r w:rsidRPr="002E5B2F">
              <w:t>Izmaiņas, salīdzinot ar kārtējo (n) gadu</w:t>
            </w:r>
          </w:p>
        </w:tc>
      </w:tr>
      <w:tr w:rsidR="00EF7849" w:rsidRPr="002E5B2F" w:rsidTr="00FD75B7">
        <w:tc>
          <w:tcPr>
            <w:tcW w:w="1239" w:type="pct"/>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pStyle w:val="NormalWeb"/>
              <w:jc w:val="center"/>
            </w:pPr>
            <w:r w:rsidRPr="002E5B2F">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pStyle w:val="NormalWeb"/>
              <w:jc w:val="center"/>
            </w:pPr>
            <w:r w:rsidRPr="002E5B2F">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pStyle w:val="NormalWeb"/>
              <w:jc w:val="center"/>
            </w:pPr>
            <w:r w:rsidRPr="002E5B2F">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pStyle w:val="NormalWeb"/>
              <w:jc w:val="center"/>
            </w:pPr>
            <w:r w:rsidRPr="002E5B2F">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pStyle w:val="NormalWeb"/>
              <w:jc w:val="center"/>
            </w:pPr>
            <w:r w:rsidRPr="002E5B2F">
              <w:t>5</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pStyle w:val="NormalWeb"/>
              <w:jc w:val="center"/>
            </w:pPr>
            <w:r w:rsidRPr="002E5B2F">
              <w:t>6</w:t>
            </w:r>
          </w:p>
        </w:tc>
      </w:tr>
      <w:tr w:rsidR="00EF7849" w:rsidRPr="002E5B2F" w:rsidTr="00FD75B7">
        <w:tc>
          <w:tcPr>
            <w:tcW w:w="1239" w:type="pct"/>
            <w:tcBorders>
              <w:top w:val="outset" w:sz="6" w:space="0" w:color="000000"/>
              <w:left w:val="outset" w:sz="6" w:space="0" w:color="000000"/>
              <w:bottom w:val="outset" w:sz="6" w:space="0" w:color="000000"/>
              <w:right w:val="outset" w:sz="6" w:space="0" w:color="000000"/>
            </w:tcBorders>
            <w:hideMark/>
          </w:tcPr>
          <w:p w:rsidR="00EF7849" w:rsidRPr="00FD75B7" w:rsidRDefault="00EF7849">
            <w:pPr>
              <w:pStyle w:val="NormalWeb"/>
              <w:rPr>
                <w:sz w:val="23"/>
                <w:szCs w:val="23"/>
              </w:rPr>
            </w:pPr>
            <w:r w:rsidRPr="00FD75B7">
              <w:rPr>
                <w:sz w:val="23"/>
                <w:szCs w:val="23"/>
              </w:rPr>
              <w:t>1. Budžeta ieņēmumi:</w:t>
            </w:r>
          </w:p>
        </w:tc>
        <w:tc>
          <w:tcPr>
            <w:tcW w:w="0" w:type="auto"/>
            <w:tcBorders>
              <w:top w:val="outset" w:sz="6" w:space="0" w:color="000000"/>
              <w:left w:val="outset" w:sz="6" w:space="0" w:color="000000"/>
              <w:bottom w:val="outset" w:sz="6" w:space="0" w:color="000000"/>
              <w:right w:val="outset" w:sz="6" w:space="0" w:color="000000"/>
            </w:tcBorders>
            <w:vAlign w:val="center"/>
          </w:tcPr>
          <w:p w:rsidR="00EF7849" w:rsidRPr="002E5B2F" w:rsidRDefault="00EF7849">
            <w:pPr>
              <w:spacing w:line="270" w:lineRule="atLeast"/>
              <w:jc w:val="center"/>
            </w:pPr>
          </w:p>
        </w:tc>
        <w:tc>
          <w:tcPr>
            <w:tcW w:w="0" w:type="auto"/>
            <w:tcBorders>
              <w:top w:val="outset" w:sz="6" w:space="0" w:color="000000"/>
              <w:left w:val="outset" w:sz="6" w:space="0" w:color="000000"/>
              <w:bottom w:val="outset" w:sz="6" w:space="0" w:color="000000"/>
              <w:right w:val="outset" w:sz="6" w:space="0" w:color="000000"/>
            </w:tcBorders>
            <w:vAlign w:val="center"/>
          </w:tcPr>
          <w:p w:rsidR="00EF7849" w:rsidRPr="002E5B2F" w:rsidRDefault="00EF7849">
            <w:pPr>
              <w:spacing w:line="270" w:lineRule="atLeast"/>
              <w:jc w:val="center"/>
            </w:pPr>
          </w:p>
        </w:tc>
        <w:tc>
          <w:tcPr>
            <w:tcW w:w="0" w:type="auto"/>
            <w:tcBorders>
              <w:top w:val="outset" w:sz="6" w:space="0" w:color="000000"/>
              <w:left w:val="outset" w:sz="6" w:space="0" w:color="000000"/>
              <w:bottom w:val="outset" w:sz="6" w:space="0" w:color="000000"/>
              <w:right w:val="outset" w:sz="6" w:space="0" w:color="000000"/>
            </w:tcBorders>
            <w:vAlign w:val="center"/>
          </w:tcPr>
          <w:p w:rsidR="00EF7849" w:rsidRPr="002E5B2F" w:rsidRDefault="00EF7849">
            <w:pPr>
              <w:spacing w:line="270" w:lineRule="atLeast"/>
              <w:jc w:val="center"/>
            </w:pPr>
          </w:p>
        </w:tc>
        <w:tc>
          <w:tcPr>
            <w:tcW w:w="0" w:type="auto"/>
            <w:tcBorders>
              <w:top w:val="outset" w:sz="6" w:space="0" w:color="000000"/>
              <w:left w:val="outset" w:sz="6" w:space="0" w:color="000000"/>
              <w:bottom w:val="outset" w:sz="6" w:space="0" w:color="000000"/>
              <w:right w:val="outset" w:sz="6" w:space="0" w:color="000000"/>
            </w:tcBorders>
            <w:vAlign w:val="center"/>
          </w:tcPr>
          <w:p w:rsidR="00EF7849" w:rsidRPr="002E5B2F" w:rsidRDefault="00EF7849">
            <w:pPr>
              <w:spacing w:line="270" w:lineRule="atLeast"/>
              <w:jc w:val="center"/>
              <w:rPr>
                <w:b/>
              </w:rPr>
            </w:pPr>
          </w:p>
        </w:tc>
        <w:tc>
          <w:tcPr>
            <w:tcW w:w="828" w:type="pct"/>
            <w:tcBorders>
              <w:top w:val="outset" w:sz="6" w:space="0" w:color="000000"/>
              <w:left w:val="outset" w:sz="6" w:space="0" w:color="000000"/>
              <w:bottom w:val="outset" w:sz="6" w:space="0" w:color="000000"/>
              <w:right w:val="outset" w:sz="6" w:space="0" w:color="000000"/>
            </w:tcBorders>
            <w:vAlign w:val="center"/>
          </w:tcPr>
          <w:p w:rsidR="00EF7849" w:rsidRPr="002E5B2F" w:rsidRDefault="00EF7849">
            <w:pPr>
              <w:spacing w:line="270" w:lineRule="atLeast"/>
              <w:jc w:val="center"/>
              <w:rPr>
                <w:b/>
              </w:rPr>
            </w:pPr>
          </w:p>
        </w:tc>
      </w:tr>
      <w:tr w:rsidR="00EF7849" w:rsidRPr="002E5B2F" w:rsidTr="00FD75B7">
        <w:tc>
          <w:tcPr>
            <w:tcW w:w="1239" w:type="pct"/>
            <w:tcBorders>
              <w:top w:val="outset" w:sz="6" w:space="0" w:color="000000"/>
              <w:left w:val="outset" w:sz="6" w:space="0" w:color="000000"/>
              <w:bottom w:val="outset" w:sz="6" w:space="0" w:color="000000"/>
              <w:right w:val="outset" w:sz="6" w:space="0" w:color="000000"/>
            </w:tcBorders>
            <w:hideMark/>
          </w:tcPr>
          <w:p w:rsidR="00EF7849" w:rsidRPr="00FD75B7" w:rsidRDefault="00EF7849">
            <w:pPr>
              <w:pStyle w:val="NormalWeb"/>
              <w:rPr>
                <w:sz w:val="23"/>
                <w:szCs w:val="23"/>
              </w:rPr>
            </w:pPr>
            <w:r w:rsidRPr="00FD75B7">
              <w:rPr>
                <w:sz w:val="23"/>
                <w:szCs w:val="23"/>
              </w:rPr>
              <w:t>1.1. valsts pamatbudžets, tai skaitā ieņēmumi no maksas pakalpojumiem un citi pašu ieņēmumi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2F3109">
            <w:pPr>
              <w:spacing w:line="270" w:lineRule="atLeast"/>
              <w:jc w:val="center"/>
            </w:pPr>
            <w:r>
              <w:t>533,00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2F3109">
            <w:pPr>
              <w:spacing w:line="270" w:lineRule="atLeast"/>
              <w:jc w:val="center"/>
            </w:pPr>
            <w:r>
              <w:t>468,00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2F3109">
            <w:pPr>
              <w:spacing w:line="270" w:lineRule="atLeast"/>
              <w:jc w:val="center"/>
            </w:pPr>
            <w:r>
              <w:t>468,00</w:t>
            </w:r>
          </w:p>
        </w:tc>
      </w:tr>
      <w:tr w:rsidR="00EF7849" w:rsidRPr="002E5B2F" w:rsidTr="00FD75B7">
        <w:tc>
          <w:tcPr>
            <w:tcW w:w="1239" w:type="pct"/>
            <w:tcBorders>
              <w:top w:val="outset" w:sz="6" w:space="0" w:color="000000"/>
              <w:left w:val="outset" w:sz="6" w:space="0" w:color="000000"/>
              <w:bottom w:val="outset" w:sz="6" w:space="0" w:color="000000"/>
              <w:right w:val="outset" w:sz="6" w:space="0" w:color="000000"/>
            </w:tcBorders>
            <w:hideMark/>
          </w:tcPr>
          <w:p w:rsidR="00EF7849" w:rsidRPr="00FD75B7" w:rsidRDefault="00EF7849">
            <w:pPr>
              <w:pStyle w:val="NormalWeb"/>
              <w:rPr>
                <w:sz w:val="23"/>
                <w:szCs w:val="23"/>
              </w:rPr>
            </w:pPr>
            <w:r w:rsidRPr="00FD75B7">
              <w:rPr>
                <w:sz w:val="23"/>
                <w:szCs w:val="23"/>
              </w:rPr>
              <w:t>1.2. valsts speciālais 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spacing w:line="270" w:lineRule="atLeast"/>
              <w:jc w:val="center"/>
            </w:pPr>
            <w:r w:rsidRPr="002E5B2F">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spacing w:line="270" w:lineRule="atLeast"/>
              <w:jc w:val="center"/>
            </w:pPr>
            <w:r w:rsidRPr="002E5B2F">
              <w:t>0</w:t>
            </w:r>
          </w:p>
        </w:tc>
      </w:tr>
      <w:tr w:rsidR="00EF7849" w:rsidRPr="002E5B2F" w:rsidTr="00FD75B7">
        <w:tc>
          <w:tcPr>
            <w:tcW w:w="1239" w:type="pct"/>
            <w:tcBorders>
              <w:top w:val="outset" w:sz="6" w:space="0" w:color="000000"/>
              <w:left w:val="outset" w:sz="6" w:space="0" w:color="000000"/>
              <w:bottom w:val="outset" w:sz="6" w:space="0" w:color="000000"/>
              <w:right w:val="outset" w:sz="6" w:space="0" w:color="000000"/>
            </w:tcBorders>
            <w:hideMark/>
          </w:tcPr>
          <w:p w:rsidR="00EF7849" w:rsidRPr="00FD75B7" w:rsidRDefault="00EF7849">
            <w:pPr>
              <w:pStyle w:val="NormalWeb"/>
              <w:rPr>
                <w:sz w:val="23"/>
                <w:szCs w:val="23"/>
              </w:rPr>
            </w:pPr>
            <w:r w:rsidRPr="00FD75B7">
              <w:rPr>
                <w:sz w:val="23"/>
                <w:szCs w:val="23"/>
              </w:rPr>
              <w:t>1.3. pašvaldību 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spacing w:line="270" w:lineRule="atLeast"/>
              <w:jc w:val="center"/>
            </w:pPr>
            <w:r w:rsidRPr="002E5B2F">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EF7849" w:rsidRPr="002E5B2F" w:rsidRDefault="00EF7849">
            <w:pPr>
              <w:spacing w:line="270" w:lineRule="atLeast"/>
              <w:jc w:val="center"/>
            </w:pPr>
            <w:r w:rsidRPr="002E5B2F">
              <w:t>0</w:t>
            </w:r>
          </w:p>
        </w:tc>
      </w:tr>
      <w:tr w:rsidR="0081544A" w:rsidRPr="002E5B2F" w:rsidTr="00FD75B7">
        <w:tc>
          <w:tcPr>
            <w:tcW w:w="1239" w:type="pct"/>
            <w:tcBorders>
              <w:top w:val="outset" w:sz="6" w:space="0" w:color="000000"/>
              <w:left w:val="outset" w:sz="6" w:space="0" w:color="000000"/>
              <w:bottom w:val="outset" w:sz="6" w:space="0" w:color="000000"/>
              <w:right w:val="outset" w:sz="6" w:space="0" w:color="000000"/>
            </w:tcBorders>
            <w:hideMark/>
          </w:tcPr>
          <w:p w:rsidR="0081544A" w:rsidRPr="00FD75B7" w:rsidRDefault="0081544A">
            <w:pPr>
              <w:pStyle w:val="NormalWeb"/>
              <w:rPr>
                <w:sz w:val="23"/>
                <w:szCs w:val="23"/>
              </w:rPr>
            </w:pPr>
            <w:r w:rsidRPr="00FD75B7">
              <w:rPr>
                <w:sz w:val="23"/>
                <w:szCs w:val="23"/>
              </w:rPr>
              <w:t>2. Budžeta izdevumi: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tcPr>
          <w:p w:rsidR="0081544A" w:rsidRPr="002E5B2F" w:rsidRDefault="0081544A" w:rsidP="00FC2C93">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tcPr>
          <w:p w:rsidR="0081544A" w:rsidRPr="002E5B2F" w:rsidRDefault="0081544A" w:rsidP="00FC2C93">
            <w:pPr>
              <w:spacing w:line="270" w:lineRule="atLeast"/>
              <w:jc w:val="center"/>
            </w:pPr>
            <w:r w:rsidRPr="002E5B2F">
              <w:t>0</w:t>
            </w:r>
          </w:p>
        </w:tc>
        <w:tc>
          <w:tcPr>
            <w:tcW w:w="828" w:type="pct"/>
            <w:tcBorders>
              <w:top w:val="outset" w:sz="6" w:space="0" w:color="000000"/>
              <w:left w:val="outset" w:sz="6" w:space="0" w:color="000000"/>
              <w:bottom w:val="outset" w:sz="6" w:space="0" w:color="000000"/>
              <w:right w:val="outset" w:sz="6" w:space="0" w:color="000000"/>
            </w:tcBorders>
            <w:vAlign w:val="center"/>
          </w:tcPr>
          <w:p w:rsidR="0081544A" w:rsidRPr="002E5B2F" w:rsidRDefault="0081544A" w:rsidP="00FC2C93">
            <w:pPr>
              <w:spacing w:line="270" w:lineRule="atLeast"/>
              <w:jc w:val="center"/>
            </w:pPr>
            <w:r w:rsidRPr="002E5B2F">
              <w:t>0</w:t>
            </w:r>
          </w:p>
        </w:tc>
      </w:tr>
      <w:tr w:rsidR="0081544A" w:rsidRPr="002E5B2F" w:rsidTr="00FD75B7">
        <w:tc>
          <w:tcPr>
            <w:tcW w:w="1239" w:type="pct"/>
            <w:tcBorders>
              <w:top w:val="outset" w:sz="6" w:space="0" w:color="000000"/>
              <w:left w:val="outset" w:sz="6" w:space="0" w:color="000000"/>
              <w:bottom w:val="outset" w:sz="6" w:space="0" w:color="000000"/>
              <w:right w:val="outset" w:sz="6" w:space="0" w:color="000000"/>
            </w:tcBorders>
            <w:hideMark/>
          </w:tcPr>
          <w:p w:rsidR="0081544A" w:rsidRPr="00FD75B7" w:rsidRDefault="0081544A">
            <w:pPr>
              <w:pStyle w:val="NormalWeb"/>
              <w:rPr>
                <w:sz w:val="23"/>
                <w:szCs w:val="23"/>
              </w:rPr>
            </w:pPr>
            <w:r w:rsidRPr="00FD75B7">
              <w:rPr>
                <w:sz w:val="23"/>
                <w:szCs w:val="23"/>
              </w:rPr>
              <w:t>2.1. valsts pamatbudžets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rsidP="00FC2C93">
            <w:pPr>
              <w:jc w:val="center"/>
            </w:pPr>
            <w:r>
              <w:t>458</w:t>
            </w:r>
            <w:r w:rsidRPr="0081544A">
              <w:t>,00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rsidP="00FC2C93">
            <w:pPr>
              <w:spacing w:line="270" w:lineRule="atLeast"/>
              <w:jc w:val="center"/>
            </w:pPr>
            <w:r>
              <w:t>393,00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rsidP="00FC2C93">
            <w:pPr>
              <w:spacing w:line="270" w:lineRule="atLeast"/>
              <w:jc w:val="center"/>
            </w:pPr>
            <w:r>
              <w:t>393,00</w:t>
            </w:r>
          </w:p>
        </w:tc>
      </w:tr>
      <w:tr w:rsidR="0081544A" w:rsidRPr="002E5B2F" w:rsidTr="00FD75B7">
        <w:tc>
          <w:tcPr>
            <w:tcW w:w="1239" w:type="pct"/>
            <w:tcBorders>
              <w:top w:val="outset" w:sz="6" w:space="0" w:color="000000"/>
              <w:left w:val="outset" w:sz="6" w:space="0" w:color="000000"/>
              <w:bottom w:val="outset" w:sz="6" w:space="0" w:color="000000"/>
              <w:right w:val="outset" w:sz="6" w:space="0" w:color="000000"/>
            </w:tcBorders>
            <w:hideMark/>
          </w:tcPr>
          <w:p w:rsidR="0081544A" w:rsidRPr="00FD75B7" w:rsidRDefault="0081544A">
            <w:pPr>
              <w:pStyle w:val="NormalWeb"/>
              <w:rPr>
                <w:sz w:val="23"/>
                <w:szCs w:val="23"/>
              </w:rPr>
            </w:pPr>
            <w:r w:rsidRPr="00FD75B7">
              <w:rPr>
                <w:sz w:val="23"/>
                <w:szCs w:val="23"/>
              </w:rPr>
              <w:t>2.2. valsts speciālais 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r>
      <w:tr w:rsidR="0081544A" w:rsidRPr="002E5B2F" w:rsidTr="00FD75B7">
        <w:tc>
          <w:tcPr>
            <w:tcW w:w="1239" w:type="pct"/>
            <w:tcBorders>
              <w:top w:val="outset" w:sz="6" w:space="0" w:color="000000"/>
              <w:left w:val="outset" w:sz="6" w:space="0" w:color="000000"/>
              <w:bottom w:val="outset" w:sz="6" w:space="0" w:color="000000"/>
              <w:right w:val="outset" w:sz="6" w:space="0" w:color="000000"/>
            </w:tcBorders>
            <w:hideMark/>
          </w:tcPr>
          <w:p w:rsidR="0081544A" w:rsidRPr="00FD75B7" w:rsidRDefault="0081544A">
            <w:pPr>
              <w:pStyle w:val="NormalWeb"/>
              <w:rPr>
                <w:sz w:val="23"/>
                <w:szCs w:val="23"/>
              </w:rPr>
            </w:pPr>
            <w:r w:rsidRPr="00FD75B7">
              <w:rPr>
                <w:sz w:val="23"/>
                <w:szCs w:val="23"/>
              </w:rPr>
              <w:t>2.3. pašvaldību 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r>
      <w:tr w:rsidR="0081544A" w:rsidRPr="002E5B2F" w:rsidTr="00FD75B7">
        <w:tc>
          <w:tcPr>
            <w:tcW w:w="1239" w:type="pct"/>
            <w:tcBorders>
              <w:top w:val="outset" w:sz="6" w:space="0" w:color="000000"/>
              <w:left w:val="outset" w:sz="6" w:space="0" w:color="000000"/>
              <w:bottom w:val="outset" w:sz="6" w:space="0" w:color="000000"/>
              <w:right w:val="outset" w:sz="6" w:space="0" w:color="000000"/>
            </w:tcBorders>
            <w:hideMark/>
          </w:tcPr>
          <w:p w:rsidR="0081544A" w:rsidRPr="00FD75B7" w:rsidRDefault="0081544A">
            <w:pPr>
              <w:pStyle w:val="NormalWeb"/>
              <w:rPr>
                <w:sz w:val="23"/>
                <w:szCs w:val="23"/>
              </w:rPr>
            </w:pPr>
            <w:r w:rsidRPr="00FD75B7">
              <w:rPr>
                <w:sz w:val="23"/>
                <w:szCs w:val="23"/>
              </w:rPr>
              <w:t>3. Finansiālā ietekme: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068B9">
            <w:pPr>
              <w:spacing w:line="270" w:lineRule="atLeast"/>
              <w:jc w:val="center"/>
            </w:pPr>
            <w:r>
              <w:t>75,00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068B9">
            <w:pPr>
              <w:spacing w:line="270" w:lineRule="atLeast"/>
              <w:jc w:val="center"/>
            </w:pPr>
            <w:r>
              <w:t>75,00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068B9">
            <w:pPr>
              <w:spacing w:line="270" w:lineRule="atLeast"/>
              <w:jc w:val="center"/>
            </w:pPr>
            <w:r>
              <w:t>75,00</w:t>
            </w:r>
          </w:p>
        </w:tc>
      </w:tr>
      <w:tr w:rsidR="0081544A" w:rsidRPr="002E5B2F" w:rsidTr="00FD75B7">
        <w:tc>
          <w:tcPr>
            <w:tcW w:w="1239" w:type="pct"/>
            <w:tcBorders>
              <w:top w:val="outset" w:sz="6" w:space="0" w:color="000000"/>
              <w:left w:val="outset" w:sz="6" w:space="0" w:color="000000"/>
              <w:bottom w:val="outset" w:sz="6" w:space="0" w:color="000000"/>
              <w:right w:val="outset" w:sz="6" w:space="0" w:color="000000"/>
            </w:tcBorders>
            <w:hideMark/>
          </w:tcPr>
          <w:p w:rsidR="0081544A" w:rsidRPr="00FD75B7" w:rsidRDefault="0081544A">
            <w:pPr>
              <w:pStyle w:val="NormalWeb"/>
              <w:rPr>
                <w:sz w:val="23"/>
                <w:szCs w:val="23"/>
              </w:rPr>
            </w:pPr>
            <w:r w:rsidRPr="00FD75B7">
              <w:rPr>
                <w:sz w:val="23"/>
                <w:szCs w:val="23"/>
              </w:rPr>
              <w:t>3.1. valsts pamatbudžets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pPr>
              <w:spacing w:line="270" w:lineRule="atLeast"/>
              <w:jc w:val="center"/>
            </w:pPr>
            <w:r w:rsidRPr="002E5B2F">
              <w:t>0</w:t>
            </w:r>
          </w:p>
        </w:tc>
      </w:tr>
      <w:tr w:rsidR="0081544A" w:rsidRPr="002E5B2F" w:rsidTr="00FD75B7">
        <w:tc>
          <w:tcPr>
            <w:tcW w:w="1239" w:type="pct"/>
            <w:tcBorders>
              <w:top w:val="outset" w:sz="6" w:space="0" w:color="000000"/>
              <w:left w:val="outset" w:sz="6" w:space="0" w:color="000000"/>
              <w:bottom w:val="outset" w:sz="6" w:space="0" w:color="000000"/>
              <w:right w:val="outset" w:sz="6" w:space="0" w:color="000000"/>
            </w:tcBorders>
            <w:hideMark/>
          </w:tcPr>
          <w:p w:rsidR="0081544A" w:rsidRPr="00FD75B7" w:rsidRDefault="0081544A">
            <w:pPr>
              <w:pStyle w:val="NormalWeb"/>
              <w:rPr>
                <w:sz w:val="23"/>
                <w:szCs w:val="23"/>
              </w:rPr>
            </w:pPr>
            <w:r w:rsidRPr="00FD75B7">
              <w:rPr>
                <w:sz w:val="23"/>
                <w:szCs w:val="23"/>
              </w:rPr>
              <w:t>3.2. speciālais budžets</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828" w:type="pct"/>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r>
      <w:tr w:rsidR="0081544A" w:rsidRPr="002E5B2F" w:rsidTr="00FD75B7">
        <w:tc>
          <w:tcPr>
            <w:tcW w:w="1239" w:type="pct"/>
            <w:tcBorders>
              <w:top w:val="outset" w:sz="6" w:space="0" w:color="000000"/>
              <w:left w:val="outset" w:sz="6" w:space="0" w:color="000000"/>
              <w:bottom w:val="outset" w:sz="6" w:space="0" w:color="000000"/>
              <w:right w:val="outset" w:sz="6" w:space="0" w:color="000000"/>
            </w:tcBorders>
            <w:hideMark/>
          </w:tcPr>
          <w:p w:rsidR="0081544A" w:rsidRPr="00FD75B7" w:rsidRDefault="0081544A">
            <w:pPr>
              <w:pStyle w:val="NormalWeb"/>
              <w:rPr>
                <w:sz w:val="23"/>
                <w:szCs w:val="23"/>
              </w:rPr>
            </w:pPr>
            <w:r w:rsidRPr="00FD75B7">
              <w:rPr>
                <w:sz w:val="23"/>
                <w:szCs w:val="23"/>
              </w:rPr>
              <w:t>3.3. pašvaldību budžets</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828" w:type="pct"/>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r>
      <w:tr w:rsidR="0081544A" w:rsidRPr="002E5B2F" w:rsidTr="00FD75B7">
        <w:tc>
          <w:tcPr>
            <w:tcW w:w="1239" w:type="pct"/>
            <w:vMerge w:val="restart"/>
            <w:tcBorders>
              <w:top w:val="outset" w:sz="6" w:space="0" w:color="000000"/>
              <w:left w:val="outset" w:sz="6" w:space="0" w:color="000000"/>
              <w:bottom w:val="outset" w:sz="6" w:space="0" w:color="000000"/>
              <w:right w:val="outset" w:sz="6" w:space="0" w:color="000000"/>
            </w:tcBorders>
            <w:hideMark/>
          </w:tcPr>
          <w:p w:rsidR="0081544A" w:rsidRPr="00FD75B7" w:rsidRDefault="0081544A">
            <w:pPr>
              <w:pStyle w:val="NormalWeb"/>
              <w:rPr>
                <w:sz w:val="23"/>
                <w:szCs w:val="23"/>
              </w:rPr>
            </w:pPr>
            <w:r w:rsidRPr="00FD75B7">
              <w:rPr>
                <w:sz w:val="23"/>
                <w:szCs w:val="23"/>
              </w:rPr>
              <w:t xml:space="preserve">4. Finanšu līdzekļi papildu </w:t>
            </w:r>
            <w:r w:rsidRPr="00FD75B7">
              <w:rPr>
                <w:sz w:val="23"/>
                <w:szCs w:val="23"/>
              </w:rPr>
              <w:lastRenderedPageBreak/>
              <w:t>izdevumu finansēšanai (kompensējošu izdevumu samazinājumu norāda ar "+" zīmi)</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1544A" w:rsidRPr="002E5B2F" w:rsidRDefault="0081544A">
            <w:pPr>
              <w:pStyle w:val="NormalWeb"/>
              <w:jc w:val="center"/>
            </w:pPr>
            <w:r w:rsidRPr="002E5B2F">
              <w:lastRenderedPageBreak/>
              <w:t>X</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828" w:type="pct"/>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r>
      <w:tr w:rsidR="0081544A" w:rsidRPr="002E5B2F" w:rsidTr="00FD75B7">
        <w:tc>
          <w:tcPr>
            <w:tcW w:w="1239" w:type="pct"/>
            <w:vMerge/>
            <w:tcBorders>
              <w:top w:val="outset" w:sz="6" w:space="0" w:color="000000"/>
              <w:left w:val="outset" w:sz="6" w:space="0" w:color="000000"/>
              <w:bottom w:val="outset" w:sz="6" w:space="0" w:color="000000"/>
              <w:right w:val="outset" w:sz="6" w:space="0" w:color="000000"/>
            </w:tcBorders>
            <w:vAlign w:val="center"/>
            <w:hideMark/>
          </w:tcPr>
          <w:p w:rsidR="0081544A" w:rsidRPr="00FD75B7" w:rsidRDefault="0081544A">
            <w:pPr>
              <w:rPr>
                <w:sz w:val="23"/>
                <w:szCs w:val="23"/>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828" w:type="pct"/>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r>
      <w:tr w:rsidR="0081544A" w:rsidRPr="002E5B2F" w:rsidTr="00FD75B7">
        <w:tc>
          <w:tcPr>
            <w:tcW w:w="1239" w:type="pct"/>
            <w:vMerge/>
            <w:tcBorders>
              <w:top w:val="outset" w:sz="6" w:space="0" w:color="000000"/>
              <w:left w:val="outset" w:sz="6" w:space="0" w:color="000000"/>
              <w:bottom w:val="outset" w:sz="6" w:space="0" w:color="000000"/>
              <w:right w:val="outset" w:sz="6" w:space="0" w:color="000000"/>
            </w:tcBorders>
            <w:vAlign w:val="center"/>
            <w:hideMark/>
          </w:tcPr>
          <w:p w:rsidR="0081544A" w:rsidRPr="00FD75B7" w:rsidRDefault="0081544A">
            <w:pPr>
              <w:rPr>
                <w:sz w:val="23"/>
                <w:szCs w:val="23"/>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828" w:type="pct"/>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r>
      <w:tr w:rsidR="0081544A" w:rsidRPr="002E5B2F" w:rsidTr="00FD75B7">
        <w:tc>
          <w:tcPr>
            <w:tcW w:w="1239" w:type="pct"/>
            <w:tcBorders>
              <w:top w:val="outset" w:sz="6" w:space="0" w:color="000000"/>
              <w:left w:val="outset" w:sz="6" w:space="0" w:color="000000"/>
              <w:bottom w:val="outset" w:sz="6" w:space="0" w:color="000000"/>
              <w:right w:val="outset" w:sz="6" w:space="0" w:color="000000"/>
            </w:tcBorders>
            <w:hideMark/>
          </w:tcPr>
          <w:p w:rsidR="0081544A" w:rsidRPr="00FD75B7" w:rsidRDefault="0081544A">
            <w:pPr>
              <w:pStyle w:val="NormalWeb"/>
              <w:rPr>
                <w:sz w:val="23"/>
                <w:szCs w:val="23"/>
              </w:rPr>
            </w:pPr>
            <w:r w:rsidRPr="00FD75B7">
              <w:rPr>
                <w:sz w:val="23"/>
                <w:szCs w:val="23"/>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1544A" w:rsidRPr="002E5B2F" w:rsidRDefault="0081544A">
            <w:pPr>
              <w:pStyle w:val="NormalWeb"/>
              <w:jc w:val="center"/>
            </w:pPr>
            <w:r w:rsidRPr="002E5B2F">
              <w:t>X</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828" w:type="pct"/>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r>
      <w:tr w:rsidR="0081544A" w:rsidRPr="002E5B2F" w:rsidTr="00FD75B7">
        <w:tc>
          <w:tcPr>
            <w:tcW w:w="1239" w:type="pct"/>
            <w:tcBorders>
              <w:top w:val="outset" w:sz="6" w:space="0" w:color="000000"/>
              <w:left w:val="outset" w:sz="6" w:space="0" w:color="000000"/>
              <w:bottom w:val="outset" w:sz="6" w:space="0" w:color="000000"/>
              <w:right w:val="outset" w:sz="6" w:space="0" w:color="000000"/>
            </w:tcBorders>
            <w:hideMark/>
          </w:tcPr>
          <w:p w:rsidR="0081544A" w:rsidRPr="00FD75B7" w:rsidRDefault="0081544A">
            <w:pPr>
              <w:pStyle w:val="NormalWeb"/>
              <w:rPr>
                <w:sz w:val="23"/>
                <w:szCs w:val="23"/>
              </w:rPr>
            </w:pPr>
            <w:r w:rsidRPr="00FD75B7">
              <w:rPr>
                <w:sz w:val="23"/>
                <w:szCs w:val="23"/>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828" w:type="pct"/>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r>
      <w:tr w:rsidR="0081544A" w:rsidRPr="002E5B2F" w:rsidTr="00FD75B7">
        <w:tc>
          <w:tcPr>
            <w:tcW w:w="1239" w:type="pct"/>
            <w:tcBorders>
              <w:top w:val="outset" w:sz="6" w:space="0" w:color="000000"/>
              <w:left w:val="outset" w:sz="6" w:space="0" w:color="000000"/>
              <w:bottom w:val="outset" w:sz="6" w:space="0" w:color="000000"/>
              <w:right w:val="outset" w:sz="6" w:space="0" w:color="000000"/>
            </w:tcBorders>
            <w:hideMark/>
          </w:tcPr>
          <w:p w:rsidR="0081544A" w:rsidRPr="00FD75B7" w:rsidRDefault="0081544A">
            <w:pPr>
              <w:pStyle w:val="NormalWeb"/>
              <w:rPr>
                <w:sz w:val="23"/>
                <w:szCs w:val="23"/>
              </w:rPr>
            </w:pPr>
            <w:r w:rsidRPr="00FD75B7">
              <w:rPr>
                <w:sz w:val="23"/>
                <w:szCs w:val="23"/>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828" w:type="pct"/>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r>
      <w:tr w:rsidR="0081544A" w:rsidRPr="002E5B2F" w:rsidTr="00FD75B7">
        <w:tc>
          <w:tcPr>
            <w:tcW w:w="1239" w:type="pct"/>
            <w:tcBorders>
              <w:top w:val="outset" w:sz="6" w:space="0" w:color="000000"/>
              <w:left w:val="outset" w:sz="6" w:space="0" w:color="000000"/>
              <w:bottom w:val="outset" w:sz="6" w:space="0" w:color="000000"/>
              <w:right w:val="outset" w:sz="6" w:space="0" w:color="000000"/>
            </w:tcBorders>
            <w:hideMark/>
          </w:tcPr>
          <w:p w:rsidR="0081544A" w:rsidRPr="00FD75B7" w:rsidRDefault="0081544A">
            <w:pPr>
              <w:pStyle w:val="NormalWeb"/>
              <w:rPr>
                <w:sz w:val="23"/>
                <w:szCs w:val="23"/>
              </w:rPr>
            </w:pPr>
            <w:r w:rsidRPr="00FD75B7">
              <w:rPr>
                <w:sz w:val="23"/>
                <w:szCs w:val="23"/>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1544A" w:rsidRPr="002E5B2F" w:rsidRDefault="0081544A"/>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0" w:type="auto"/>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c>
          <w:tcPr>
            <w:tcW w:w="828" w:type="pct"/>
            <w:tcBorders>
              <w:top w:val="outset" w:sz="6" w:space="0" w:color="000000"/>
              <w:left w:val="outset" w:sz="6" w:space="0" w:color="000000"/>
              <w:bottom w:val="outset" w:sz="6" w:space="0" w:color="000000"/>
              <w:right w:val="outset" w:sz="6" w:space="0" w:color="000000"/>
            </w:tcBorders>
            <w:hideMark/>
          </w:tcPr>
          <w:p w:rsidR="0081544A" w:rsidRPr="002E5B2F" w:rsidRDefault="0081544A">
            <w:pPr>
              <w:spacing w:line="270" w:lineRule="atLeast"/>
              <w:jc w:val="center"/>
            </w:pPr>
            <w:r w:rsidRPr="002E5B2F">
              <w:t>0</w:t>
            </w:r>
          </w:p>
        </w:tc>
      </w:tr>
      <w:tr w:rsidR="0081544A" w:rsidRPr="002E5B2F" w:rsidTr="00FD75B7">
        <w:tc>
          <w:tcPr>
            <w:tcW w:w="1239" w:type="pct"/>
            <w:tcBorders>
              <w:top w:val="outset" w:sz="6" w:space="0" w:color="000000"/>
              <w:left w:val="outset" w:sz="6" w:space="0" w:color="000000"/>
              <w:bottom w:val="outset" w:sz="6" w:space="0" w:color="000000"/>
              <w:right w:val="outset" w:sz="6" w:space="0" w:color="000000"/>
            </w:tcBorders>
            <w:hideMark/>
          </w:tcPr>
          <w:p w:rsidR="0081544A" w:rsidRPr="00FD75B7" w:rsidRDefault="0081544A">
            <w:pPr>
              <w:pStyle w:val="NormalWeb"/>
              <w:rPr>
                <w:sz w:val="23"/>
                <w:szCs w:val="23"/>
              </w:rPr>
            </w:pPr>
            <w:r w:rsidRPr="00FD75B7">
              <w:rPr>
                <w:sz w:val="23"/>
                <w:szCs w:val="23"/>
              </w:rPr>
              <w:t>6. Detalizēts ieņēmumu un izdevumu aprēķins (ja nepieciešams, detalizētu ieņēmumu un izdevumu aprēķinu var pievienot anotācijas pielikumā):</w:t>
            </w:r>
          </w:p>
        </w:tc>
        <w:tc>
          <w:tcPr>
            <w:tcW w:w="3761" w:type="pct"/>
            <w:gridSpan w:val="5"/>
            <w:tcBorders>
              <w:top w:val="outset" w:sz="6" w:space="0" w:color="000000"/>
              <w:left w:val="outset" w:sz="6" w:space="0" w:color="000000"/>
              <w:bottom w:val="single" w:sz="4" w:space="0" w:color="auto"/>
              <w:right w:val="outset" w:sz="6" w:space="0" w:color="000000"/>
            </w:tcBorders>
            <w:vAlign w:val="center"/>
            <w:hideMark/>
          </w:tcPr>
          <w:p w:rsidR="0081544A" w:rsidRPr="002E5B2F" w:rsidRDefault="0081544A" w:rsidP="002E5B2F">
            <w:pPr>
              <w:spacing w:line="270" w:lineRule="atLeast"/>
            </w:pPr>
          </w:p>
        </w:tc>
      </w:tr>
      <w:tr w:rsidR="0081544A" w:rsidRPr="002E5B2F" w:rsidTr="00FD75B7">
        <w:tc>
          <w:tcPr>
            <w:tcW w:w="1239" w:type="pct"/>
            <w:tcBorders>
              <w:top w:val="outset" w:sz="6" w:space="0" w:color="000000"/>
              <w:left w:val="outset" w:sz="6" w:space="0" w:color="000000"/>
              <w:bottom w:val="outset" w:sz="6" w:space="0" w:color="000000"/>
              <w:right w:val="outset" w:sz="6" w:space="0" w:color="000000"/>
            </w:tcBorders>
            <w:hideMark/>
          </w:tcPr>
          <w:p w:rsidR="0081544A" w:rsidRPr="00FD75B7" w:rsidRDefault="0081544A">
            <w:pPr>
              <w:pStyle w:val="NormalWeb"/>
              <w:rPr>
                <w:sz w:val="23"/>
                <w:szCs w:val="23"/>
              </w:rPr>
            </w:pPr>
            <w:r w:rsidRPr="00FD75B7">
              <w:rPr>
                <w:sz w:val="23"/>
                <w:szCs w:val="23"/>
              </w:rPr>
              <w:t>6.1. detalizēts ieņēmumu aprēķins</w:t>
            </w:r>
          </w:p>
        </w:tc>
        <w:tc>
          <w:tcPr>
            <w:tcW w:w="3761" w:type="pct"/>
            <w:gridSpan w:val="5"/>
            <w:tcBorders>
              <w:top w:val="single" w:sz="4" w:space="0" w:color="auto"/>
              <w:left w:val="outset" w:sz="6" w:space="0" w:color="000000"/>
              <w:bottom w:val="single" w:sz="4" w:space="0" w:color="auto"/>
              <w:right w:val="outset" w:sz="6" w:space="0" w:color="000000"/>
            </w:tcBorders>
            <w:vAlign w:val="center"/>
            <w:hideMark/>
          </w:tcPr>
          <w:p w:rsidR="008068B9" w:rsidRDefault="008068B9" w:rsidP="002E5B2F">
            <w:pPr>
              <w:spacing w:line="270" w:lineRule="atLeast"/>
            </w:pPr>
            <w:r>
              <w:rPr>
                <w:rFonts w:eastAsia="Calibri"/>
                <w:sz w:val="26"/>
                <w:szCs w:val="26"/>
              </w:rPr>
              <w:t>Pamatojoties uz 2013.gada 27.augusta Ministru kabineta sēdē atbalstīto Ārlietu ministrijas un Iekšlietu ministrijas priekšlikumu palielināt valsts pamatbudžeta ieņēmumus no valsts nodevas par pilsonības reģistrācijas iesnieguma izskatīšanu, likumprojekta fiskālā ietekme ir iekļauta bāzes prognozēs.</w:t>
            </w:r>
          </w:p>
          <w:p w:rsidR="008068B9" w:rsidRDefault="008068B9" w:rsidP="002E5B2F">
            <w:pPr>
              <w:spacing w:line="270" w:lineRule="atLeast"/>
            </w:pPr>
          </w:p>
          <w:p w:rsidR="0081544A" w:rsidRDefault="0081544A" w:rsidP="002E5B2F">
            <w:pPr>
              <w:spacing w:line="270" w:lineRule="atLeast"/>
            </w:pPr>
            <w:r>
              <w:t>2014. gads, kopā – 8 200 pieteicēji</w:t>
            </w:r>
          </w:p>
          <w:p w:rsidR="0081544A" w:rsidRDefault="0081544A" w:rsidP="002E5B2F">
            <w:pPr>
              <w:spacing w:line="270" w:lineRule="atLeast"/>
            </w:pPr>
            <w:r>
              <w:t>ĀM – 5000 X 65 EUR = 325 000 EUR</w:t>
            </w:r>
          </w:p>
          <w:p w:rsidR="0081544A" w:rsidRDefault="0081544A" w:rsidP="002E5B2F">
            <w:pPr>
              <w:spacing w:line="270" w:lineRule="atLeast"/>
            </w:pPr>
            <w:r>
              <w:t>PMLP – 3200 X 65 EUR = 208 000 EUR</w:t>
            </w:r>
          </w:p>
          <w:p w:rsidR="0081544A" w:rsidRDefault="0081544A" w:rsidP="002E5B2F">
            <w:pPr>
              <w:spacing w:line="270" w:lineRule="atLeast"/>
            </w:pPr>
          </w:p>
          <w:p w:rsidR="0081544A" w:rsidRDefault="0081544A" w:rsidP="002E5B2F">
            <w:pPr>
              <w:spacing w:line="270" w:lineRule="atLeast"/>
            </w:pPr>
            <w:r>
              <w:t>2015. gads, kopā – 7 200 pieteicēji</w:t>
            </w:r>
          </w:p>
          <w:p w:rsidR="0081544A" w:rsidRDefault="0081544A" w:rsidP="002E5B2F">
            <w:pPr>
              <w:spacing w:line="270" w:lineRule="atLeast"/>
            </w:pPr>
            <w:r>
              <w:t>ĀM – 4000 X 65 EUR = 260 000 EUR</w:t>
            </w:r>
          </w:p>
          <w:p w:rsidR="0081544A" w:rsidRDefault="0081544A" w:rsidP="002E5B2F">
            <w:pPr>
              <w:spacing w:line="270" w:lineRule="atLeast"/>
            </w:pPr>
            <w:r>
              <w:t>PMLP – 3200 X 65 EUR = 208 000 EUR</w:t>
            </w:r>
          </w:p>
          <w:p w:rsidR="0081544A" w:rsidRDefault="0081544A" w:rsidP="002E5B2F">
            <w:pPr>
              <w:spacing w:line="270" w:lineRule="atLeast"/>
            </w:pPr>
          </w:p>
          <w:p w:rsidR="0081544A" w:rsidRDefault="0081544A" w:rsidP="002E5B2F">
            <w:pPr>
              <w:spacing w:line="270" w:lineRule="atLeast"/>
            </w:pPr>
            <w:r>
              <w:t xml:space="preserve">2016. gads, kopā – 7 200 pieteicēji </w:t>
            </w:r>
          </w:p>
          <w:p w:rsidR="0081544A" w:rsidRDefault="0081544A" w:rsidP="002E5B2F">
            <w:pPr>
              <w:spacing w:line="270" w:lineRule="atLeast"/>
            </w:pPr>
            <w:r>
              <w:t>ĀM – 4000 X 65 EUR = 260 000 EUR</w:t>
            </w:r>
          </w:p>
          <w:p w:rsidR="008068B9" w:rsidRPr="002E5B2F" w:rsidRDefault="0081544A" w:rsidP="002E5B2F">
            <w:pPr>
              <w:spacing w:line="270" w:lineRule="atLeast"/>
              <w:jc w:val="both"/>
            </w:pPr>
            <w:r>
              <w:t>PMLP – 3200 X 65 EUR = 208 000 EUR</w:t>
            </w:r>
          </w:p>
        </w:tc>
      </w:tr>
      <w:tr w:rsidR="00FD75B7" w:rsidRPr="002E5B2F" w:rsidTr="00FD75B7">
        <w:tc>
          <w:tcPr>
            <w:tcW w:w="5000" w:type="pct"/>
            <w:gridSpan w:val="6"/>
            <w:tcBorders>
              <w:top w:val="outset" w:sz="6" w:space="0" w:color="000000"/>
              <w:left w:val="outset" w:sz="6" w:space="0" w:color="000000"/>
              <w:bottom w:val="outset" w:sz="6" w:space="0" w:color="000000"/>
              <w:right w:val="outset" w:sz="6" w:space="0" w:color="000000"/>
            </w:tcBorders>
            <w:hideMark/>
          </w:tcPr>
          <w:p w:rsidR="00FD75B7" w:rsidRPr="00FD75B7" w:rsidRDefault="00FD75B7">
            <w:pPr>
              <w:pStyle w:val="NormalWeb"/>
              <w:rPr>
                <w:sz w:val="23"/>
                <w:szCs w:val="23"/>
              </w:rPr>
            </w:pPr>
            <w:r w:rsidRPr="00FD75B7">
              <w:rPr>
                <w:sz w:val="23"/>
                <w:szCs w:val="23"/>
              </w:rPr>
              <w:t>6.2. detalizēts izdevumu aprēķins</w:t>
            </w:r>
          </w:p>
          <w:p w:rsidR="00FD75B7" w:rsidRDefault="00FD75B7" w:rsidP="0081544A">
            <w:pPr>
              <w:pStyle w:val="ListParagraph"/>
              <w:ind w:left="0"/>
              <w:jc w:val="both"/>
              <w:rPr>
                <w:rFonts w:ascii="Times New Roman" w:hAnsi="Times New Roman"/>
                <w:sz w:val="24"/>
                <w:szCs w:val="24"/>
              </w:rPr>
            </w:pPr>
            <w:r w:rsidRPr="002922E7">
              <w:rPr>
                <w:rFonts w:ascii="Times New Roman" w:hAnsi="Times New Roman"/>
                <w:sz w:val="24"/>
                <w:szCs w:val="24"/>
              </w:rPr>
              <w:t>PMLP: 2014.-2016.gadā un turpmāk – 132 883 EUR atlīdzībai (atalgojums 103 286 Euro) – 10 štata vietu izveidošanai</w:t>
            </w:r>
            <w:r>
              <w:rPr>
                <w:rFonts w:ascii="Times New Roman" w:hAnsi="Times New Roman"/>
                <w:sz w:val="24"/>
                <w:szCs w:val="24"/>
              </w:rPr>
              <w:t>.</w:t>
            </w:r>
            <w:r w:rsidRPr="002922E7">
              <w:rPr>
                <w:rFonts w:ascii="Times New Roman" w:hAnsi="Times New Roman"/>
                <w:sz w:val="24"/>
                <w:szCs w:val="24"/>
              </w:rPr>
              <w:t xml:space="preserve"> </w:t>
            </w:r>
          </w:p>
          <w:tbl>
            <w:tblPr>
              <w:tblW w:w="6810" w:type="dxa"/>
              <w:tblLook w:val="04A0" w:firstRow="1" w:lastRow="0" w:firstColumn="1" w:lastColumn="0" w:noHBand="0" w:noVBand="1"/>
            </w:tblPr>
            <w:tblGrid>
              <w:gridCol w:w="1011"/>
              <w:gridCol w:w="4719"/>
              <w:gridCol w:w="1080"/>
            </w:tblGrid>
            <w:tr w:rsidR="00FD75B7" w:rsidRPr="00FD75B7" w:rsidTr="00FD75B7">
              <w:trPr>
                <w:trHeight w:val="705"/>
              </w:trPr>
              <w:tc>
                <w:tcPr>
                  <w:tcW w:w="10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75B7" w:rsidRPr="00FD75B7" w:rsidRDefault="00FD75B7" w:rsidP="00FD75B7">
                  <w:pPr>
                    <w:rPr>
                      <w:b/>
                      <w:bCs/>
                      <w:sz w:val="20"/>
                      <w:szCs w:val="20"/>
                    </w:rPr>
                  </w:pPr>
                  <w:r w:rsidRPr="00FD75B7">
                    <w:rPr>
                      <w:b/>
                      <w:bCs/>
                      <w:sz w:val="20"/>
                      <w:szCs w:val="20"/>
                    </w:rPr>
                    <w:t>1000–9000</w:t>
                  </w:r>
                </w:p>
              </w:tc>
              <w:tc>
                <w:tcPr>
                  <w:tcW w:w="4719" w:type="dxa"/>
                  <w:tcBorders>
                    <w:top w:val="single" w:sz="4" w:space="0" w:color="auto"/>
                    <w:left w:val="nil"/>
                    <w:bottom w:val="single" w:sz="4" w:space="0" w:color="auto"/>
                    <w:right w:val="single" w:sz="4" w:space="0" w:color="auto"/>
                  </w:tcBorders>
                  <w:shd w:val="clear" w:color="auto" w:fill="auto"/>
                  <w:vAlign w:val="center"/>
                  <w:hideMark/>
                </w:tcPr>
                <w:p w:rsidR="00FD75B7" w:rsidRPr="00FD75B7" w:rsidRDefault="00FD75B7" w:rsidP="00FD75B7">
                  <w:pPr>
                    <w:jc w:val="center"/>
                    <w:rPr>
                      <w:b/>
                      <w:bCs/>
                      <w:sz w:val="20"/>
                      <w:szCs w:val="20"/>
                    </w:rPr>
                  </w:pPr>
                  <w:r w:rsidRPr="00FD75B7">
                    <w:rPr>
                      <w:b/>
                      <w:bCs/>
                      <w:sz w:val="20"/>
                      <w:szCs w:val="20"/>
                    </w:rPr>
                    <w:t>IZDEVUMI – KOPĀ</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D75B7" w:rsidRPr="00FD75B7" w:rsidRDefault="00FD75B7" w:rsidP="00FD75B7">
                  <w:pPr>
                    <w:jc w:val="right"/>
                    <w:rPr>
                      <w:b/>
                      <w:bCs/>
                      <w:sz w:val="20"/>
                      <w:szCs w:val="20"/>
                    </w:rPr>
                  </w:pPr>
                  <w:r w:rsidRPr="00FD75B7">
                    <w:rPr>
                      <w:b/>
                      <w:bCs/>
                      <w:sz w:val="20"/>
                      <w:szCs w:val="20"/>
                    </w:rPr>
                    <w:t>140 155</w:t>
                  </w:r>
                </w:p>
              </w:tc>
            </w:tr>
            <w:tr w:rsidR="00FD75B7" w:rsidRPr="00FD75B7" w:rsidTr="00FD75B7">
              <w:trPr>
                <w:trHeight w:val="405"/>
              </w:trPr>
              <w:tc>
                <w:tcPr>
                  <w:tcW w:w="1011" w:type="dxa"/>
                  <w:tcBorders>
                    <w:top w:val="nil"/>
                    <w:left w:val="single" w:sz="4" w:space="0" w:color="auto"/>
                    <w:bottom w:val="single" w:sz="4" w:space="0" w:color="auto"/>
                    <w:right w:val="single" w:sz="4" w:space="0" w:color="auto"/>
                  </w:tcBorders>
                  <w:shd w:val="clear" w:color="auto" w:fill="auto"/>
                  <w:vAlign w:val="bottom"/>
                  <w:hideMark/>
                </w:tcPr>
                <w:p w:rsidR="00FD75B7" w:rsidRPr="00FD75B7" w:rsidRDefault="00FD75B7" w:rsidP="00FD75B7">
                  <w:pPr>
                    <w:rPr>
                      <w:b/>
                      <w:bCs/>
                      <w:sz w:val="20"/>
                      <w:szCs w:val="20"/>
                    </w:rPr>
                  </w:pPr>
                  <w:r w:rsidRPr="00FD75B7">
                    <w:rPr>
                      <w:b/>
                      <w:bCs/>
                      <w:sz w:val="20"/>
                      <w:szCs w:val="20"/>
                    </w:rPr>
                    <w:t>1000–2000</w:t>
                  </w:r>
                </w:p>
              </w:tc>
              <w:tc>
                <w:tcPr>
                  <w:tcW w:w="4719" w:type="dxa"/>
                  <w:tcBorders>
                    <w:top w:val="single" w:sz="4" w:space="0" w:color="auto"/>
                    <w:left w:val="nil"/>
                    <w:bottom w:val="single" w:sz="4" w:space="0" w:color="auto"/>
                    <w:right w:val="single" w:sz="4" w:space="0" w:color="auto"/>
                  </w:tcBorders>
                  <w:shd w:val="clear" w:color="auto" w:fill="auto"/>
                  <w:vAlign w:val="center"/>
                  <w:hideMark/>
                </w:tcPr>
                <w:p w:rsidR="00FD75B7" w:rsidRPr="00FD75B7" w:rsidRDefault="00FD75B7" w:rsidP="00FD75B7">
                  <w:pPr>
                    <w:jc w:val="center"/>
                    <w:rPr>
                      <w:b/>
                      <w:bCs/>
                      <w:sz w:val="20"/>
                      <w:szCs w:val="20"/>
                    </w:rPr>
                  </w:pPr>
                  <w:r w:rsidRPr="00FD75B7">
                    <w:rPr>
                      <w:b/>
                      <w:bCs/>
                      <w:sz w:val="20"/>
                      <w:szCs w:val="20"/>
                    </w:rPr>
                    <w:t xml:space="preserve">Kārtējie izdevumi </w:t>
                  </w:r>
                </w:p>
              </w:tc>
              <w:tc>
                <w:tcPr>
                  <w:tcW w:w="1080" w:type="dxa"/>
                  <w:tcBorders>
                    <w:top w:val="nil"/>
                    <w:left w:val="nil"/>
                    <w:bottom w:val="single" w:sz="4" w:space="0" w:color="auto"/>
                    <w:right w:val="single" w:sz="4" w:space="0" w:color="auto"/>
                  </w:tcBorders>
                  <w:shd w:val="clear" w:color="auto" w:fill="auto"/>
                  <w:noWrap/>
                  <w:vAlign w:val="bottom"/>
                  <w:hideMark/>
                </w:tcPr>
                <w:p w:rsidR="00FD75B7" w:rsidRPr="00FD75B7" w:rsidRDefault="00FD75B7" w:rsidP="00FD75B7">
                  <w:pPr>
                    <w:jc w:val="right"/>
                    <w:rPr>
                      <w:b/>
                      <w:bCs/>
                      <w:sz w:val="20"/>
                      <w:szCs w:val="20"/>
                    </w:rPr>
                  </w:pPr>
                  <w:r w:rsidRPr="00FD75B7">
                    <w:rPr>
                      <w:b/>
                      <w:bCs/>
                      <w:sz w:val="20"/>
                      <w:szCs w:val="20"/>
                    </w:rPr>
                    <w:t>140 155</w:t>
                  </w:r>
                </w:p>
              </w:tc>
            </w:tr>
            <w:tr w:rsidR="00FD75B7" w:rsidRPr="00FD75B7" w:rsidTr="00FD75B7">
              <w:trPr>
                <w:trHeight w:val="315"/>
              </w:trPr>
              <w:tc>
                <w:tcPr>
                  <w:tcW w:w="1011" w:type="dxa"/>
                  <w:tcBorders>
                    <w:top w:val="nil"/>
                    <w:left w:val="single" w:sz="4" w:space="0" w:color="auto"/>
                    <w:bottom w:val="single" w:sz="4" w:space="0" w:color="auto"/>
                    <w:right w:val="single" w:sz="4" w:space="0" w:color="auto"/>
                  </w:tcBorders>
                  <w:shd w:val="clear" w:color="auto" w:fill="auto"/>
                  <w:vAlign w:val="bottom"/>
                  <w:hideMark/>
                </w:tcPr>
                <w:p w:rsidR="00FD75B7" w:rsidRPr="00FD75B7" w:rsidRDefault="00FD75B7" w:rsidP="00FD75B7">
                  <w:pPr>
                    <w:rPr>
                      <w:b/>
                      <w:bCs/>
                      <w:sz w:val="20"/>
                      <w:szCs w:val="20"/>
                    </w:rPr>
                  </w:pPr>
                  <w:r w:rsidRPr="00FD75B7">
                    <w:rPr>
                      <w:b/>
                      <w:bCs/>
                      <w:sz w:val="20"/>
                      <w:szCs w:val="20"/>
                    </w:rPr>
                    <w:t> 1000</w:t>
                  </w:r>
                </w:p>
              </w:tc>
              <w:tc>
                <w:tcPr>
                  <w:tcW w:w="4719" w:type="dxa"/>
                  <w:tcBorders>
                    <w:top w:val="single" w:sz="4" w:space="0" w:color="auto"/>
                    <w:left w:val="nil"/>
                    <w:bottom w:val="single" w:sz="4" w:space="0" w:color="auto"/>
                    <w:right w:val="single" w:sz="4" w:space="0" w:color="auto"/>
                  </w:tcBorders>
                  <w:shd w:val="clear" w:color="auto" w:fill="auto"/>
                  <w:vAlign w:val="center"/>
                  <w:hideMark/>
                </w:tcPr>
                <w:p w:rsidR="00FD75B7" w:rsidRPr="00FD75B7" w:rsidRDefault="00FD75B7" w:rsidP="00FD75B7">
                  <w:pPr>
                    <w:jc w:val="center"/>
                    <w:rPr>
                      <w:b/>
                      <w:bCs/>
                      <w:sz w:val="20"/>
                      <w:szCs w:val="20"/>
                    </w:rPr>
                  </w:pPr>
                  <w:r w:rsidRPr="00FD75B7">
                    <w:rPr>
                      <w:b/>
                      <w:bCs/>
                      <w:sz w:val="20"/>
                      <w:szCs w:val="20"/>
                    </w:rPr>
                    <w:t xml:space="preserve"> Atlīdzība</w:t>
                  </w:r>
                </w:p>
              </w:tc>
              <w:tc>
                <w:tcPr>
                  <w:tcW w:w="1080" w:type="dxa"/>
                  <w:tcBorders>
                    <w:top w:val="nil"/>
                    <w:left w:val="nil"/>
                    <w:bottom w:val="single" w:sz="4" w:space="0" w:color="auto"/>
                    <w:right w:val="single" w:sz="4" w:space="0" w:color="auto"/>
                  </w:tcBorders>
                  <w:shd w:val="clear" w:color="auto" w:fill="auto"/>
                  <w:noWrap/>
                  <w:vAlign w:val="bottom"/>
                  <w:hideMark/>
                </w:tcPr>
                <w:p w:rsidR="00FD75B7" w:rsidRPr="00FD75B7" w:rsidRDefault="00FD75B7" w:rsidP="00FD75B7">
                  <w:pPr>
                    <w:jc w:val="right"/>
                    <w:rPr>
                      <w:b/>
                      <w:bCs/>
                      <w:sz w:val="20"/>
                      <w:szCs w:val="20"/>
                    </w:rPr>
                  </w:pPr>
                  <w:r w:rsidRPr="00FD75B7">
                    <w:rPr>
                      <w:b/>
                      <w:bCs/>
                      <w:sz w:val="20"/>
                      <w:szCs w:val="20"/>
                    </w:rPr>
                    <w:t>93 391</w:t>
                  </w:r>
                </w:p>
              </w:tc>
            </w:tr>
            <w:tr w:rsidR="00FD75B7" w:rsidRPr="00FD75B7" w:rsidTr="00FD75B7">
              <w:trPr>
                <w:trHeight w:val="300"/>
              </w:trPr>
              <w:tc>
                <w:tcPr>
                  <w:tcW w:w="1011" w:type="dxa"/>
                  <w:tcBorders>
                    <w:top w:val="nil"/>
                    <w:left w:val="single" w:sz="4" w:space="0" w:color="auto"/>
                    <w:bottom w:val="single" w:sz="4" w:space="0" w:color="auto"/>
                    <w:right w:val="single" w:sz="4" w:space="0" w:color="auto"/>
                  </w:tcBorders>
                  <w:shd w:val="clear" w:color="auto" w:fill="auto"/>
                  <w:vAlign w:val="bottom"/>
                  <w:hideMark/>
                </w:tcPr>
                <w:p w:rsidR="00FD75B7" w:rsidRPr="00FD75B7" w:rsidRDefault="00FD75B7" w:rsidP="00FD75B7">
                  <w:pPr>
                    <w:rPr>
                      <w:b/>
                      <w:bCs/>
                      <w:sz w:val="20"/>
                      <w:szCs w:val="20"/>
                    </w:rPr>
                  </w:pPr>
                  <w:r w:rsidRPr="00FD75B7">
                    <w:rPr>
                      <w:b/>
                      <w:bCs/>
                      <w:sz w:val="20"/>
                      <w:szCs w:val="20"/>
                    </w:rPr>
                    <w:t> 1100</w:t>
                  </w:r>
                </w:p>
              </w:tc>
              <w:tc>
                <w:tcPr>
                  <w:tcW w:w="4719" w:type="dxa"/>
                  <w:tcBorders>
                    <w:top w:val="single" w:sz="4" w:space="0" w:color="auto"/>
                    <w:left w:val="nil"/>
                    <w:bottom w:val="single" w:sz="4" w:space="0" w:color="auto"/>
                    <w:right w:val="single" w:sz="4" w:space="0" w:color="auto"/>
                  </w:tcBorders>
                  <w:shd w:val="clear" w:color="auto" w:fill="auto"/>
                  <w:vAlign w:val="center"/>
                  <w:hideMark/>
                </w:tcPr>
                <w:p w:rsidR="00FD75B7" w:rsidRPr="00FD75B7" w:rsidRDefault="00FD75B7" w:rsidP="00FD75B7">
                  <w:pPr>
                    <w:jc w:val="center"/>
                    <w:rPr>
                      <w:b/>
                      <w:bCs/>
                      <w:sz w:val="20"/>
                      <w:szCs w:val="20"/>
                    </w:rPr>
                  </w:pPr>
                  <w:r w:rsidRPr="00FD75B7">
                    <w:rPr>
                      <w:b/>
                      <w:bCs/>
                      <w:sz w:val="20"/>
                      <w:szCs w:val="20"/>
                    </w:rPr>
                    <w:t> Atalgojums</w:t>
                  </w:r>
                </w:p>
              </w:tc>
              <w:tc>
                <w:tcPr>
                  <w:tcW w:w="1080" w:type="dxa"/>
                  <w:tcBorders>
                    <w:top w:val="nil"/>
                    <w:left w:val="nil"/>
                    <w:bottom w:val="single" w:sz="4" w:space="0" w:color="auto"/>
                    <w:right w:val="single" w:sz="4" w:space="0" w:color="auto"/>
                  </w:tcBorders>
                  <w:shd w:val="clear" w:color="auto" w:fill="auto"/>
                  <w:noWrap/>
                  <w:vAlign w:val="bottom"/>
                  <w:hideMark/>
                </w:tcPr>
                <w:p w:rsidR="00FD75B7" w:rsidRPr="00FD75B7" w:rsidRDefault="00FD75B7" w:rsidP="00FD75B7">
                  <w:pPr>
                    <w:jc w:val="right"/>
                    <w:rPr>
                      <w:b/>
                      <w:bCs/>
                      <w:sz w:val="20"/>
                      <w:szCs w:val="20"/>
                    </w:rPr>
                  </w:pPr>
                  <w:r w:rsidRPr="00FD75B7">
                    <w:rPr>
                      <w:b/>
                      <w:bCs/>
                      <w:sz w:val="20"/>
                      <w:szCs w:val="20"/>
                    </w:rPr>
                    <w:t>72 590</w:t>
                  </w:r>
                </w:p>
              </w:tc>
            </w:tr>
            <w:tr w:rsidR="00FD75B7" w:rsidRPr="00FD75B7" w:rsidTr="00FD75B7">
              <w:trPr>
                <w:trHeight w:val="300"/>
              </w:trPr>
              <w:tc>
                <w:tcPr>
                  <w:tcW w:w="1011" w:type="dxa"/>
                  <w:tcBorders>
                    <w:top w:val="nil"/>
                    <w:left w:val="single" w:sz="4" w:space="0" w:color="auto"/>
                    <w:bottom w:val="single" w:sz="4" w:space="0" w:color="auto"/>
                    <w:right w:val="single" w:sz="4" w:space="0" w:color="auto"/>
                  </w:tcBorders>
                  <w:shd w:val="clear" w:color="auto" w:fill="auto"/>
                  <w:vAlign w:val="bottom"/>
                  <w:hideMark/>
                </w:tcPr>
                <w:p w:rsidR="00FD75B7" w:rsidRPr="00FD75B7" w:rsidRDefault="00FD75B7" w:rsidP="00FD75B7">
                  <w:pPr>
                    <w:jc w:val="right"/>
                    <w:rPr>
                      <w:sz w:val="20"/>
                      <w:szCs w:val="20"/>
                    </w:rPr>
                  </w:pPr>
                  <w:r w:rsidRPr="00FD75B7">
                    <w:rPr>
                      <w:sz w:val="20"/>
                      <w:szCs w:val="20"/>
                    </w:rPr>
                    <w:t>1114</w:t>
                  </w:r>
                </w:p>
              </w:tc>
              <w:tc>
                <w:tcPr>
                  <w:tcW w:w="4719" w:type="dxa"/>
                  <w:tcBorders>
                    <w:top w:val="single" w:sz="4" w:space="0" w:color="auto"/>
                    <w:left w:val="nil"/>
                    <w:bottom w:val="single" w:sz="4" w:space="0" w:color="auto"/>
                    <w:right w:val="single" w:sz="4" w:space="0" w:color="auto"/>
                  </w:tcBorders>
                  <w:shd w:val="clear" w:color="auto" w:fill="auto"/>
                  <w:vAlign w:val="center"/>
                  <w:hideMark/>
                </w:tcPr>
                <w:p w:rsidR="00FD75B7" w:rsidRPr="00FD75B7" w:rsidRDefault="00FD75B7" w:rsidP="00FD75B7">
                  <w:pPr>
                    <w:rPr>
                      <w:sz w:val="20"/>
                      <w:szCs w:val="20"/>
                    </w:rPr>
                  </w:pPr>
                  <w:r w:rsidRPr="00FD75B7">
                    <w:rPr>
                      <w:sz w:val="20"/>
                      <w:szCs w:val="20"/>
                    </w:rPr>
                    <w:t>Civildienesta ierēdņu mēneša amatalga</w:t>
                  </w:r>
                  <w:proofErr w:type="gramStart"/>
                  <w:r w:rsidRPr="00FD75B7">
                    <w:rPr>
                      <w:sz w:val="20"/>
                      <w:szCs w:val="20"/>
                    </w:rPr>
                    <w:t xml:space="preserve">  </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FD75B7" w:rsidRPr="00FD75B7" w:rsidRDefault="00FD75B7" w:rsidP="00FD75B7">
                  <w:pPr>
                    <w:jc w:val="right"/>
                    <w:rPr>
                      <w:sz w:val="20"/>
                      <w:szCs w:val="20"/>
                    </w:rPr>
                  </w:pPr>
                  <w:r w:rsidRPr="00FD75B7">
                    <w:rPr>
                      <w:sz w:val="20"/>
                      <w:szCs w:val="20"/>
                    </w:rPr>
                    <w:t>71 400</w:t>
                  </w:r>
                </w:p>
              </w:tc>
            </w:tr>
            <w:tr w:rsidR="00FD75B7" w:rsidRPr="00FD75B7" w:rsidTr="00FD75B7">
              <w:trPr>
                <w:trHeight w:val="300"/>
              </w:trPr>
              <w:tc>
                <w:tcPr>
                  <w:tcW w:w="1011" w:type="dxa"/>
                  <w:tcBorders>
                    <w:top w:val="nil"/>
                    <w:left w:val="single" w:sz="4" w:space="0" w:color="auto"/>
                    <w:bottom w:val="single" w:sz="4" w:space="0" w:color="auto"/>
                    <w:right w:val="single" w:sz="4" w:space="0" w:color="auto"/>
                  </w:tcBorders>
                  <w:shd w:val="clear" w:color="auto" w:fill="auto"/>
                  <w:vAlign w:val="bottom"/>
                  <w:hideMark/>
                </w:tcPr>
                <w:p w:rsidR="00FD75B7" w:rsidRPr="00FD75B7" w:rsidRDefault="00FD75B7" w:rsidP="00FD75B7">
                  <w:pPr>
                    <w:jc w:val="right"/>
                    <w:rPr>
                      <w:sz w:val="20"/>
                      <w:szCs w:val="20"/>
                    </w:rPr>
                  </w:pPr>
                  <w:r w:rsidRPr="00FD75B7">
                    <w:rPr>
                      <w:sz w:val="20"/>
                      <w:szCs w:val="20"/>
                    </w:rPr>
                    <w:t>1119</w:t>
                  </w:r>
                </w:p>
              </w:tc>
              <w:tc>
                <w:tcPr>
                  <w:tcW w:w="4719" w:type="dxa"/>
                  <w:tcBorders>
                    <w:top w:val="single" w:sz="4" w:space="0" w:color="auto"/>
                    <w:left w:val="nil"/>
                    <w:bottom w:val="single" w:sz="4" w:space="0" w:color="auto"/>
                    <w:right w:val="single" w:sz="4" w:space="0" w:color="auto"/>
                  </w:tcBorders>
                  <w:shd w:val="clear" w:color="auto" w:fill="auto"/>
                  <w:vAlign w:val="center"/>
                  <w:hideMark/>
                </w:tcPr>
                <w:p w:rsidR="00FD75B7" w:rsidRPr="00FD75B7" w:rsidRDefault="00FD75B7" w:rsidP="00FD75B7">
                  <w:pPr>
                    <w:rPr>
                      <w:sz w:val="20"/>
                      <w:szCs w:val="20"/>
                    </w:rPr>
                  </w:pPr>
                  <w:r w:rsidRPr="00FD75B7">
                    <w:rPr>
                      <w:sz w:val="20"/>
                      <w:szCs w:val="20"/>
                    </w:rPr>
                    <w:t>Pārējo darbinieku mēneša amatalga</w:t>
                  </w:r>
                  <w:proofErr w:type="gramStart"/>
                  <w:r w:rsidRPr="00FD75B7">
                    <w:rPr>
                      <w:sz w:val="20"/>
                      <w:szCs w:val="20"/>
                    </w:rPr>
                    <w:t xml:space="preserve">  </w:t>
                  </w:r>
                  <w:proofErr w:type="gramEnd"/>
                </w:p>
              </w:tc>
              <w:tc>
                <w:tcPr>
                  <w:tcW w:w="1080" w:type="dxa"/>
                  <w:tcBorders>
                    <w:top w:val="nil"/>
                    <w:left w:val="nil"/>
                    <w:bottom w:val="single" w:sz="4" w:space="0" w:color="auto"/>
                    <w:right w:val="single" w:sz="4" w:space="0" w:color="auto"/>
                  </w:tcBorders>
                  <w:shd w:val="clear" w:color="auto" w:fill="auto"/>
                  <w:noWrap/>
                  <w:vAlign w:val="bottom"/>
                  <w:hideMark/>
                </w:tcPr>
                <w:p w:rsidR="00FD75B7" w:rsidRPr="00FD75B7" w:rsidRDefault="00FD75B7" w:rsidP="00FD75B7">
                  <w:pPr>
                    <w:jc w:val="right"/>
                    <w:rPr>
                      <w:sz w:val="20"/>
                      <w:szCs w:val="20"/>
                    </w:rPr>
                  </w:pPr>
                  <w:r w:rsidRPr="00FD75B7">
                    <w:rPr>
                      <w:sz w:val="20"/>
                      <w:szCs w:val="20"/>
                    </w:rPr>
                    <w:t>0</w:t>
                  </w:r>
                </w:p>
              </w:tc>
            </w:tr>
            <w:tr w:rsidR="00FD75B7" w:rsidRPr="00FD75B7" w:rsidTr="00FD75B7">
              <w:trPr>
                <w:trHeight w:val="300"/>
              </w:trPr>
              <w:tc>
                <w:tcPr>
                  <w:tcW w:w="1011" w:type="dxa"/>
                  <w:tcBorders>
                    <w:top w:val="nil"/>
                    <w:left w:val="single" w:sz="4" w:space="0" w:color="auto"/>
                    <w:bottom w:val="single" w:sz="4" w:space="0" w:color="auto"/>
                    <w:right w:val="single" w:sz="4" w:space="0" w:color="auto"/>
                  </w:tcBorders>
                  <w:shd w:val="clear" w:color="auto" w:fill="auto"/>
                  <w:vAlign w:val="bottom"/>
                  <w:hideMark/>
                </w:tcPr>
                <w:p w:rsidR="00FD75B7" w:rsidRPr="00FD75B7" w:rsidRDefault="00FD75B7" w:rsidP="00FD75B7">
                  <w:pPr>
                    <w:jc w:val="right"/>
                    <w:rPr>
                      <w:sz w:val="20"/>
                      <w:szCs w:val="20"/>
                    </w:rPr>
                  </w:pPr>
                  <w:r w:rsidRPr="00FD75B7">
                    <w:rPr>
                      <w:sz w:val="20"/>
                      <w:szCs w:val="20"/>
                    </w:rPr>
                    <w:t>1147</w:t>
                  </w:r>
                </w:p>
              </w:tc>
              <w:tc>
                <w:tcPr>
                  <w:tcW w:w="4719" w:type="dxa"/>
                  <w:tcBorders>
                    <w:top w:val="single" w:sz="4" w:space="0" w:color="auto"/>
                    <w:left w:val="nil"/>
                    <w:bottom w:val="single" w:sz="4" w:space="0" w:color="auto"/>
                    <w:right w:val="single" w:sz="4" w:space="0" w:color="000000"/>
                  </w:tcBorders>
                  <w:shd w:val="clear" w:color="auto" w:fill="auto"/>
                  <w:vAlign w:val="center"/>
                  <w:hideMark/>
                </w:tcPr>
                <w:p w:rsidR="00FD75B7" w:rsidRPr="00FD75B7" w:rsidRDefault="00FD75B7" w:rsidP="00FD75B7">
                  <w:pPr>
                    <w:rPr>
                      <w:sz w:val="20"/>
                      <w:szCs w:val="20"/>
                    </w:rPr>
                  </w:pPr>
                  <w:r w:rsidRPr="00FD75B7">
                    <w:rPr>
                      <w:sz w:val="20"/>
                      <w:szCs w:val="20"/>
                    </w:rPr>
                    <w:t>Piemaksa par papildu darbu</w:t>
                  </w:r>
                </w:p>
              </w:tc>
              <w:tc>
                <w:tcPr>
                  <w:tcW w:w="1080" w:type="dxa"/>
                  <w:tcBorders>
                    <w:top w:val="nil"/>
                    <w:left w:val="nil"/>
                    <w:bottom w:val="single" w:sz="4" w:space="0" w:color="auto"/>
                    <w:right w:val="single" w:sz="4" w:space="0" w:color="auto"/>
                  </w:tcBorders>
                  <w:shd w:val="clear" w:color="auto" w:fill="auto"/>
                  <w:noWrap/>
                  <w:vAlign w:val="bottom"/>
                  <w:hideMark/>
                </w:tcPr>
                <w:p w:rsidR="00FD75B7" w:rsidRPr="00FD75B7" w:rsidRDefault="00FD75B7" w:rsidP="00FD75B7">
                  <w:pPr>
                    <w:jc w:val="right"/>
                    <w:rPr>
                      <w:sz w:val="20"/>
                      <w:szCs w:val="20"/>
                    </w:rPr>
                  </w:pPr>
                  <w:r w:rsidRPr="00FD75B7">
                    <w:rPr>
                      <w:sz w:val="20"/>
                      <w:szCs w:val="20"/>
                    </w:rPr>
                    <w:t>1 190</w:t>
                  </w:r>
                </w:p>
              </w:tc>
            </w:tr>
            <w:tr w:rsidR="00FD75B7" w:rsidRPr="00FD75B7" w:rsidTr="00FD75B7">
              <w:trPr>
                <w:trHeight w:val="855"/>
              </w:trPr>
              <w:tc>
                <w:tcPr>
                  <w:tcW w:w="1011" w:type="dxa"/>
                  <w:tcBorders>
                    <w:top w:val="nil"/>
                    <w:left w:val="single" w:sz="4" w:space="0" w:color="auto"/>
                    <w:bottom w:val="single" w:sz="4" w:space="0" w:color="auto"/>
                    <w:right w:val="single" w:sz="4" w:space="0" w:color="auto"/>
                  </w:tcBorders>
                  <w:shd w:val="clear" w:color="auto" w:fill="auto"/>
                  <w:vAlign w:val="bottom"/>
                  <w:hideMark/>
                </w:tcPr>
                <w:p w:rsidR="00FD75B7" w:rsidRPr="00FD75B7" w:rsidRDefault="00FD75B7" w:rsidP="00FD75B7">
                  <w:pPr>
                    <w:rPr>
                      <w:b/>
                      <w:bCs/>
                      <w:sz w:val="20"/>
                      <w:szCs w:val="20"/>
                    </w:rPr>
                  </w:pPr>
                  <w:r w:rsidRPr="00FD75B7">
                    <w:rPr>
                      <w:b/>
                      <w:bCs/>
                      <w:sz w:val="20"/>
                      <w:szCs w:val="20"/>
                    </w:rPr>
                    <w:lastRenderedPageBreak/>
                    <w:t> 1200</w:t>
                  </w:r>
                </w:p>
              </w:tc>
              <w:tc>
                <w:tcPr>
                  <w:tcW w:w="4719" w:type="dxa"/>
                  <w:tcBorders>
                    <w:top w:val="single" w:sz="4" w:space="0" w:color="auto"/>
                    <w:left w:val="nil"/>
                    <w:bottom w:val="single" w:sz="4" w:space="0" w:color="auto"/>
                    <w:right w:val="single" w:sz="4" w:space="0" w:color="auto"/>
                  </w:tcBorders>
                  <w:shd w:val="clear" w:color="auto" w:fill="auto"/>
                  <w:vAlign w:val="center"/>
                  <w:hideMark/>
                </w:tcPr>
                <w:p w:rsidR="00FD75B7" w:rsidRPr="00FD75B7" w:rsidRDefault="00FD75B7" w:rsidP="00FD75B7">
                  <w:pPr>
                    <w:rPr>
                      <w:b/>
                      <w:bCs/>
                      <w:sz w:val="20"/>
                      <w:szCs w:val="20"/>
                    </w:rPr>
                  </w:pPr>
                  <w:r w:rsidRPr="00FD75B7">
                    <w:rPr>
                      <w:b/>
                      <w:bCs/>
                      <w:sz w:val="20"/>
                      <w:szCs w:val="20"/>
                    </w:rPr>
                    <w:t>Darba devēja valsts sociālās apdrošināšanas obligātās iemaksas, sociāla rakstura pabalsti un kompensācijas</w:t>
                  </w:r>
                </w:p>
              </w:tc>
              <w:tc>
                <w:tcPr>
                  <w:tcW w:w="1080" w:type="dxa"/>
                  <w:tcBorders>
                    <w:top w:val="nil"/>
                    <w:left w:val="nil"/>
                    <w:bottom w:val="single" w:sz="4" w:space="0" w:color="auto"/>
                    <w:right w:val="single" w:sz="4" w:space="0" w:color="auto"/>
                  </w:tcBorders>
                  <w:shd w:val="clear" w:color="auto" w:fill="auto"/>
                  <w:noWrap/>
                  <w:vAlign w:val="bottom"/>
                  <w:hideMark/>
                </w:tcPr>
                <w:p w:rsidR="00FD75B7" w:rsidRPr="00FD75B7" w:rsidRDefault="00FD75B7" w:rsidP="00FD75B7">
                  <w:pPr>
                    <w:jc w:val="right"/>
                    <w:rPr>
                      <w:sz w:val="20"/>
                      <w:szCs w:val="20"/>
                    </w:rPr>
                  </w:pPr>
                  <w:r w:rsidRPr="00FD75B7">
                    <w:rPr>
                      <w:sz w:val="20"/>
                      <w:szCs w:val="20"/>
                    </w:rPr>
                    <w:t>20 801</w:t>
                  </w:r>
                </w:p>
              </w:tc>
            </w:tr>
            <w:tr w:rsidR="00FD75B7" w:rsidRPr="00FD75B7" w:rsidTr="00FD75B7">
              <w:trPr>
                <w:trHeight w:val="300"/>
              </w:trPr>
              <w:tc>
                <w:tcPr>
                  <w:tcW w:w="1011" w:type="dxa"/>
                  <w:tcBorders>
                    <w:top w:val="nil"/>
                    <w:left w:val="single" w:sz="4" w:space="0" w:color="auto"/>
                    <w:bottom w:val="single" w:sz="4" w:space="0" w:color="auto"/>
                    <w:right w:val="single" w:sz="4" w:space="0" w:color="auto"/>
                  </w:tcBorders>
                  <w:shd w:val="clear" w:color="auto" w:fill="auto"/>
                  <w:vAlign w:val="bottom"/>
                  <w:hideMark/>
                </w:tcPr>
                <w:p w:rsidR="00FD75B7" w:rsidRPr="00FD75B7" w:rsidRDefault="00FD75B7" w:rsidP="00FD75B7">
                  <w:pPr>
                    <w:jc w:val="center"/>
                    <w:rPr>
                      <w:sz w:val="20"/>
                      <w:szCs w:val="20"/>
                    </w:rPr>
                  </w:pPr>
                  <w:r w:rsidRPr="00FD75B7">
                    <w:rPr>
                      <w:sz w:val="20"/>
                      <w:szCs w:val="20"/>
                    </w:rPr>
                    <w:t> 1210</w:t>
                  </w:r>
                </w:p>
              </w:tc>
              <w:tc>
                <w:tcPr>
                  <w:tcW w:w="4719" w:type="dxa"/>
                  <w:tcBorders>
                    <w:top w:val="single" w:sz="4" w:space="0" w:color="auto"/>
                    <w:left w:val="nil"/>
                    <w:bottom w:val="single" w:sz="4" w:space="0" w:color="auto"/>
                    <w:right w:val="single" w:sz="4" w:space="0" w:color="auto"/>
                  </w:tcBorders>
                  <w:shd w:val="clear" w:color="auto" w:fill="auto"/>
                  <w:vAlign w:val="center"/>
                  <w:hideMark/>
                </w:tcPr>
                <w:p w:rsidR="00FD75B7" w:rsidRPr="00FD75B7" w:rsidRDefault="00FD75B7" w:rsidP="00FD75B7">
                  <w:pPr>
                    <w:rPr>
                      <w:sz w:val="20"/>
                      <w:szCs w:val="20"/>
                    </w:rPr>
                  </w:pPr>
                  <w:r w:rsidRPr="00FD75B7">
                    <w:rPr>
                      <w:sz w:val="20"/>
                      <w:szCs w:val="20"/>
                    </w:rPr>
                    <w:t>Darba devēja valsts sociālās apdrošināšanas obligātās iemaksas</w:t>
                  </w:r>
                </w:p>
              </w:tc>
              <w:tc>
                <w:tcPr>
                  <w:tcW w:w="1080" w:type="dxa"/>
                  <w:tcBorders>
                    <w:top w:val="nil"/>
                    <w:left w:val="nil"/>
                    <w:bottom w:val="single" w:sz="4" w:space="0" w:color="auto"/>
                    <w:right w:val="single" w:sz="4" w:space="0" w:color="auto"/>
                  </w:tcBorders>
                  <w:shd w:val="clear" w:color="auto" w:fill="auto"/>
                  <w:noWrap/>
                  <w:vAlign w:val="bottom"/>
                  <w:hideMark/>
                </w:tcPr>
                <w:p w:rsidR="00FD75B7" w:rsidRPr="00FD75B7" w:rsidRDefault="00FD75B7" w:rsidP="00FD75B7">
                  <w:pPr>
                    <w:jc w:val="right"/>
                    <w:rPr>
                      <w:sz w:val="20"/>
                      <w:szCs w:val="20"/>
                    </w:rPr>
                  </w:pPr>
                  <w:r w:rsidRPr="00FD75B7">
                    <w:rPr>
                      <w:sz w:val="20"/>
                      <w:szCs w:val="20"/>
                    </w:rPr>
                    <w:t>17 826</w:t>
                  </w:r>
                </w:p>
              </w:tc>
            </w:tr>
            <w:tr w:rsidR="00FD75B7" w:rsidRPr="00FD75B7" w:rsidTr="00FD75B7">
              <w:trPr>
                <w:trHeight w:val="300"/>
              </w:trPr>
              <w:tc>
                <w:tcPr>
                  <w:tcW w:w="1011" w:type="dxa"/>
                  <w:tcBorders>
                    <w:top w:val="nil"/>
                    <w:left w:val="single" w:sz="4" w:space="0" w:color="auto"/>
                    <w:bottom w:val="single" w:sz="4" w:space="0" w:color="auto"/>
                    <w:right w:val="single" w:sz="4" w:space="0" w:color="auto"/>
                  </w:tcBorders>
                  <w:shd w:val="clear" w:color="auto" w:fill="auto"/>
                  <w:vAlign w:val="bottom"/>
                  <w:hideMark/>
                </w:tcPr>
                <w:p w:rsidR="00FD75B7" w:rsidRPr="00FD75B7" w:rsidRDefault="00FD75B7" w:rsidP="00FD75B7">
                  <w:pPr>
                    <w:jc w:val="center"/>
                    <w:rPr>
                      <w:sz w:val="20"/>
                      <w:szCs w:val="20"/>
                    </w:rPr>
                  </w:pPr>
                  <w:r w:rsidRPr="00FD75B7">
                    <w:rPr>
                      <w:sz w:val="20"/>
                      <w:szCs w:val="20"/>
                    </w:rPr>
                    <w:t> 1220</w:t>
                  </w:r>
                </w:p>
              </w:tc>
              <w:tc>
                <w:tcPr>
                  <w:tcW w:w="4719" w:type="dxa"/>
                  <w:tcBorders>
                    <w:top w:val="single" w:sz="4" w:space="0" w:color="auto"/>
                    <w:left w:val="nil"/>
                    <w:bottom w:val="single" w:sz="4" w:space="0" w:color="auto"/>
                    <w:right w:val="single" w:sz="4" w:space="0" w:color="auto"/>
                  </w:tcBorders>
                  <w:shd w:val="clear" w:color="auto" w:fill="auto"/>
                  <w:vAlign w:val="center"/>
                  <w:hideMark/>
                </w:tcPr>
                <w:p w:rsidR="00FD75B7" w:rsidRPr="00FD75B7" w:rsidRDefault="00FD75B7" w:rsidP="00FD75B7">
                  <w:pPr>
                    <w:rPr>
                      <w:sz w:val="20"/>
                      <w:szCs w:val="20"/>
                    </w:rPr>
                  </w:pPr>
                  <w:r w:rsidRPr="00FD75B7">
                    <w:rPr>
                      <w:sz w:val="20"/>
                      <w:szCs w:val="20"/>
                    </w:rPr>
                    <w:t>Darba devēja sociāla rakstura pabalsti, kompensācijas un citi maksājumi</w:t>
                  </w:r>
                </w:p>
              </w:tc>
              <w:tc>
                <w:tcPr>
                  <w:tcW w:w="1080" w:type="dxa"/>
                  <w:tcBorders>
                    <w:top w:val="nil"/>
                    <w:left w:val="nil"/>
                    <w:bottom w:val="single" w:sz="4" w:space="0" w:color="auto"/>
                    <w:right w:val="single" w:sz="4" w:space="0" w:color="auto"/>
                  </w:tcBorders>
                  <w:shd w:val="clear" w:color="auto" w:fill="auto"/>
                  <w:noWrap/>
                  <w:vAlign w:val="bottom"/>
                  <w:hideMark/>
                </w:tcPr>
                <w:p w:rsidR="00FD75B7" w:rsidRPr="00FD75B7" w:rsidRDefault="00FD75B7" w:rsidP="00FD75B7">
                  <w:pPr>
                    <w:jc w:val="right"/>
                    <w:rPr>
                      <w:sz w:val="20"/>
                      <w:szCs w:val="20"/>
                    </w:rPr>
                  </w:pPr>
                  <w:r w:rsidRPr="00FD75B7">
                    <w:rPr>
                      <w:sz w:val="20"/>
                      <w:szCs w:val="20"/>
                    </w:rPr>
                    <w:t>2 975</w:t>
                  </w:r>
                </w:p>
              </w:tc>
            </w:tr>
            <w:tr w:rsidR="00FD75B7" w:rsidRPr="00FD75B7" w:rsidTr="00FD75B7">
              <w:trPr>
                <w:trHeight w:val="1155"/>
              </w:trPr>
              <w:tc>
                <w:tcPr>
                  <w:tcW w:w="1011" w:type="dxa"/>
                  <w:tcBorders>
                    <w:top w:val="nil"/>
                    <w:left w:val="single" w:sz="4" w:space="0" w:color="auto"/>
                    <w:bottom w:val="single" w:sz="4" w:space="0" w:color="auto"/>
                    <w:right w:val="single" w:sz="4" w:space="0" w:color="auto"/>
                  </w:tcBorders>
                  <w:shd w:val="clear" w:color="auto" w:fill="auto"/>
                  <w:vAlign w:val="bottom"/>
                  <w:hideMark/>
                </w:tcPr>
                <w:p w:rsidR="00FD75B7" w:rsidRPr="00FD75B7" w:rsidRDefault="00FD75B7" w:rsidP="00FD75B7">
                  <w:pPr>
                    <w:jc w:val="right"/>
                    <w:rPr>
                      <w:sz w:val="20"/>
                      <w:szCs w:val="20"/>
                    </w:rPr>
                  </w:pPr>
                  <w:r w:rsidRPr="00FD75B7">
                    <w:rPr>
                      <w:sz w:val="20"/>
                      <w:szCs w:val="20"/>
                    </w:rPr>
                    <w:t> 1221</w:t>
                  </w:r>
                </w:p>
              </w:tc>
              <w:tc>
                <w:tcPr>
                  <w:tcW w:w="4719" w:type="dxa"/>
                  <w:tcBorders>
                    <w:top w:val="single" w:sz="4" w:space="0" w:color="auto"/>
                    <w:left w:val="nil"/>
                    <w:bottom w:val="single" w:sz="4" w:space="0" w:color="auto"/>
                    <w:right w:val="single" w:sz="4" w:space="0" w:color="auto"/>
                  </w:tcBorders>
                  <w:shd w:val="clear" w:color="auto" w:fill="auto"/>
                  <w:vAlign w:val="center"/>
                  <w:hideMark/>
                </w:tcPr>
                <w:p w:rsidR="00FD75B7" w:rsidRPr="00FD75B7" w:rsidRDefault="00FD75B7" w:rsidP="00FD75B7">
                  <w:pPr>
                    <w:rPr>
                      <w:sz w:val="20"/>
                      <w:szCs w:val="20"/>
                    </w:rPr>
                  </w:pPr>
                  <w:r w:rsidRPr="00FD75B7">
                    <w:rPr>
                      <w:sz w:val="20"/>
                      <w:szCs w:val="20"/>
                    </w:rPr>
                    <w:t>Darba devēja sociāla rakstura pabalsti un kompensācijas, no kuriem aprēķina ienākuma nodokli un valsts sociālās apdrošināšanas obligātās iemaksas</w:t>
                  </w:r>
                </w:p>
              </w:tc>
              <w:tc>
                <w:tcPr>
                  <w:tcW w:w="1080" w:type="dxa"/>
                  <w:tcBorders>
                    <w:top w:val="nil"/>
                    <w:left w:val="nil"/>
                    <w:bottom w:val="single" w:sz="4" w:space="0" w:color="auto"/>
                    <w:right w:val="single" w:sz="4" w:space="0" w:color="auto"/>
                  </w:tcBorders>
                  <w:shd w:val="clear" w:color="auto" w:fill="auto"/>
                  <w:noWrap/>
                  <w:vAlign w:val="bottom"/>
                  <w:hideMark/>
                </w:tcPr>
                <w:p w:rsidR="00FD75B7" w:rsidRPr="00FD75B7" w:rsidRDefault="00FD75B7" w:rsidP="00FD75B7">
                  <w:pPr>
                    <w:jc w:val="right"/>
                    <w:rPr>
                      <w:sz w:val="20"/>
                      <w:szCs w:val="20"/>
                    </w:rPr>
                  </w:pPr>
                  <w:r w:rsidRPr="00FD75B7">
                    <w:rPr>
                      <w:sz w:val="20"/>
                      <w:szCs w:val="20"/>
                    </w:rPr>
                    <w:t>2 975</w:t>
                  </w:r>
                </w:p>
              </w:tc>
            </w:tr>
            <w:tr w:rsidR="00FD75B7" w:rsidRPr="00FD75B7" w:rsidTr="00FD75B7">
              <w:trPr>
                <w:trHeight w:val="300"/>
              </w:trPr>
              <w:tc>
                <w:tcPr>
                  <w:tcW w:w="1011" w:type="dxa"/>
                  <w:tcBorders>
                    <w:top w:val="nil"/>
                    <w:left w:val="single" w:sz="4" w:space="0" w:color="auto"/>
                    <w:bottom w:val="single" w:sz="4" w:space="0" w:color="auto"/>
                    <w:right w:val="single" w:sz="4" w:space="0" w:color="auto"/>
                  </w:tcBorders>
                  <w:shd w:val="clear" w:color="auto" w:fill="auto"/>
                  <w:vAlign w:val="bottom"/>
                  <w:hideMark/>
                </w:tcPr>
                <w:p w:rsidR="00FD75B7" w:rsidRPr="00FD75B7" w:rsidRDefault="00FD75B7" w:rsidP="00FD75B7">
                  <w:pPr>
                    <w:rPr>
                      <w:b/>
                      <w:bCs/>
                      <w:sz w:val="20"/>
                      <w:szCs w:val="20"/>
                    </w:rPr>
                  </w:pPr>
                  <w:r w:rsidRPr="00FD75B7">
                    <w:rPr>
                      <w:b/>
                      <w:bCs/>
                      <w:sz w:val="20"/>
                      <w:szCs w:val="20"/>
                    </w:rPr>
                    <w:t> 2000</w:t>
                  </w:r>
                </w:p>
              </w:tc>
              <w:tc>
                <w:tcPr>
                  <w:tcW w:w="4719" w:type="dxa"/>
                  <w:tcBorders>
                    <w:top w:val="single" w:sz="4" w:space="0" w:color="auto"/>
                    <w:left w:val="nil"/>
                    <w:bottom w:val="single" w:sz="4" w:space="0" w:color="auto"/>
                    <w:right w:val="single" w:sz="4" w:space="0" w:color="auto"/>
                  </w:tcBorders>
                  <w:shd w:val="clear" w:color="auto" w:fill="auto"/>
                  <w:vAlign w:val="center"/>
                  <w:hideMark/>
                </w:tcPr>
                <w:p w:rsidR="00FD75B7" w:rsidRPr="00FD75B7" w:rsidRDefault="00FD75B7" w:rsidP="00FD75B7">
                  <w:pPr>
                    <w:jc w:val="center"/>
                    <w:rPr>
                      <w:b/>
                      <w:bCs/>
                      <w:sz w:val="20"/>
                      <w:szCs w:val="20"/>
                    </w:rPr>
                  </w:pPr>
                  <w:r w:rsidRPr="00FD75B7">
                    <w:rPr>
                      <w:b/>
                      <w:bCs/>
                      <w:sz w:val="20"/>
                      <w:szCs w:val="20"/>
                    </w:rPr>
                    <w:t>Preces un pakalpojumi</w:t>
                  </w:r>
                </w:p>
              </w:tc>
              <w:tc>
                <w:tcPr>
                  <w:tcW w:w="1080" w:type="dxa"/>
                  <w:tcBorders>
                    <w:top w:val="nil"/>
                    <w:left w:val="nil"/>
                    <w:bottom w:val="single" w:sz="4" w:space="0" w:color="auto"/>
                    <w:right w:val="single" w:sz="4" w:space="0" w:color="auto"/>
                  </w:tcBorders>
                  <w:shd w:val="clear" w:color="auto" w:fill="auto"/>
                  <w:noWrap/>
                  <w:vAlign w:val="bottom"/>
                  <w:hideMark/>
                </w:tcPr>
                <w:p w:rsidR="00FD75B7" w:rsidRPr="00FD75B7" w:rsidRDefault="00FD75B7" w:rsidP="00FD75B7">
                  <w:pPr>
                    <w:jc w:val="right"/>
                    <w:rPr>
                      <w:b/>
                      <w:bCs/>
                      <w:sz w:val="20"/>
                      <w:szCs w:val="20"/>
                    </w:rPr>
                  </w:pPr>
                  <w:r w:rsidRPr="00FD75B7">
                    <w:rPr>
                      <w:b/>
                      <w:bCs/>
                      <w:sz w:val="20"/>
                      <w:szCs w:val="20"/>
                    </w:rPr>
                    <w:t>46 764</w:t>
                  </w:r>
                </w:p>
              </w:tc>
            </w:tr>
            <w:tr w:rsidR="00FD75B7" w:rsidRPr="00FD75B7" w:rsidTr="00FD75B7">
              <w:trPr>
                <w:trHeight w:val="300"/>
              </w:trPr>
              <w:tc>
                <w:tcPr>
                  <w:tcW w:w="1011" w:type="dxa"/>
                  <w:tcBorders>
                    <w:top w:val="nil"/>
                    <w:left w:val="single" w:sz="4" w:space="0" w:color="auto"/>
                    <w:bottom w:val="single" w:sz="4" w:space="0" w:color="auto"/>
                    <w:right w:val="single" w:sz="4" w:space="0" w:color="auto"/>
                  </w:tcBorders>
                  <w:shd w:val="clear" w:color="auto" w:fill="auto"/>
                  <w:vAlign w:val="bottom"/>
                  <w:hideMark/>
                </w:tcPr>
                <w:p w:rsidR="00FD75B7" w:rsidRPr="00FD75B7" w:rsidRDefault="00FD75B7" w:rsidP="00FD75B7">
                  <w:pPr>
                    <w:jc w:val="right"/>
                    <w:rPr>
                      <w:sz w:val="20"/>
                      <w:szCs w:val="20"/>
                    </w:rPr>
                  </w:pPr>
                  <w:r w:rsidRPr="00FD75B7">
                    <w:rPr>
                      <w:sz w:val="20"/>
                      <w:szCs w:val="20"/>
                    </w:rPr>
                    <w:t> 2219</w:t>
                  </w:r>
                </w:p>
              </w:tc>
              <w:tc>
                <w:tcPr>
                  <w:tcW w:w="4719" w:type="dxa"/>
                  <w:tcBorders>
                    <w:top w:val="single" w:sz="4" w:space="0" w:color="auto"/>
                    <w:left w:val="nil"/>
                    <w:bottom w:val="single" w:sz="4" w:space="0" w:color="auto"/>
                    <w:right w:val="single" w:sz="4" w:space="0" w:color="auto"/>
                  </w:tcBorders>
                  <w:shd w:val="clear" w:color="auto" w:fill="auto"/>
                  <w:vAlign w:val="center"/>
                  <w:hideMark/>
                </w:tcPr>
                <w:p w:rsidR="00FD75B7" w:rsidRPr="00FD75B7" w:rsidRDefault="00FD75B7" w:rsidP="00FD75B7">
                  <w:pPr>
                    <w:rPr>
                      <w:sz w:val="20"/>
                      <w:szCs w:val="20"/>
                    </w:rPr>
                  </w:pPr>
                  <w:r w:rsidRPr="00FD75B7">
                    <w:rPr>
                      <w:sz w:val="20"/>
                      <w:szCs w:val="20"/>
                    </w:rPr>
                    <w:t>Pārējie sakaru pakalpojumi</w:t>
                  </w:r>
                </w:p>
              </w:tc>
              <w:tc>
                <w:tcPr>
                  <w:tcW w:w="1080" w:type="dxa"/>
                  <w:tcBorders>
                    <w:top w:val="nil"/>
                    <w:left w:val="nil"/>
                    <w:bottom w:val="single" w:sz="4" w:space="0" w:color="auto"/>
                    <w:right w:val="single" w:sz="4" w:space="0" w:color="auto"/>
                  </w:tcBorders>
                  <w:shd w:val="clear" w:color="auto" w:fill="auto"/>
                  <w:noWrap/>
                  <w:vAlign w:val="bottom"/>
                  <w:hideMark/>
                </w:tcPr>
                <w:p w:rsidR="00FD75B7" w:rsidRPr="00FD75B7" w:rsidRDefault="00FD75B7" w:rsidP="00FD75B7">
                  <w:pPr>
                    <w:jc w:val="right"/>
                    <w:rPr>
                      <w:sz w:val="20"/>
                      <w:szCs w:val="20"/>
                    </w:rPr>
                  </w:pPr>
                  <w:r w:rsidRPr="00FD75B7">
                    <w:rPr>
                      <w:sz w:val="20"/>
                      <w:szCs w:val="20"/>
                    </w:rPr>
                    <w:t>3 540</w:t>
                  </w:r>
                </w:p>
              </w:tc>
            </w:tr>
            <w:tr w:rsidR="00FD75B7" w:rsidRPr="00FD75B7" w:rsidTr="00FD75B7">
              <w:trPr>
                <w:trHeight w:val="300"/>
              </w:trPr>
              <w:tc>
                <w:tcPr>
                  <w:tcW w:w="1011" w:type="dxa"/>
                  <w:tcBorders>
                    <w:top w:val="nil"/>
                    <w:left w:val="single" w:sz="4" w:space="0" w:color="auto"/>
                    <w:bottom w:val="single" w:sz="4" w:space="0" w:color="auto"/>
                    <w:right w:val="single" w:sz="4" w:space="0" w:color="auto"/>
                  </w:tcBorders>
                  <w:shd w:val="clear" w:color="auto" w:fill="auto"/>
                  <w:vAlign w:val="bottom"/>
                  <w:hideMark/>
                </w:tcPr>
                <w:p w:rsidR="00FD75B7" w:rsidRPr="00FD75B7" w:rsidRDefault="00FD75B7" w:rsidP="00FD75B7">
                  <w:pPr>
                    <w:jc w:val="right"/>
                    <w:rPr>
                      <w:sz w:val="20"/>
                      <w:szCs w:val="20"/>
                    </w:rPr>
                  </w:pPr>
                  <w:r w:rsidRPr="00FD75B7">
                    <w:rPr>
                      <w:sz w:val="20"/>
                      <w:szCs w:val="20"/>
                    </w:rPr>
                    <w:t> 2239</w:t>
                  </w:r>
                </w:p>
              </w:tc>
              <w:tc>
                <w:tcPr>
                  <w:tcW w:w="4719" w:type="dxa"/>
                  <w:tcBorders>
                    <w:top w:val="single" w:sz="4" w:space="0" w:color="auto"/>
                    <w:left w:val="nil"/>
                    <w:bottom w:val="single" w:sz="4" w:space="0" w:color="auto"/>
                    <w:right w:val="single" w:sz="4" w:space="0" w:color="auto"/>
                  </w:tcBorders>
                  <w:shd w:val="clear" w:color="auto" w:fill="auto"/>
                  <w:vAlign w:val="center"/>
                  <w:hideMark/>
                </w:tcPr>
                <w:p w:rsidR="00FD75B7" w:rsidRPr="00FD75B7" w:rsidRDefault="00FD75B7" w:rsidP="00FD75B7">
                  <w:pPr>
                    <w:rPr>
                      <w:sz w:val="20"/>
                      <w:szCs w:val="20"/>
                    </w:rPr>
                  </w:pPr>
                  <w:r w:rsidRPr="00FD75B7">
                    <w:rPr>
                      <w:sz w:val="20"/>
                      <w:szCs w:val="20"/>
                    </w:rPr>
                    <w:t>Pārējie iestādes administratīvie izdevumi un ar iestādes darbības nodrošināšanu saistītie pakalpojumi</w:t>
                  </w:r>
                </w:p>
              </w:tc>
              <w:tc>
                <w:tcPr>
                  <w:tcW w:w="1080" w:type="dxa"/>
                  <w:tcBorders>
                    <w:top w:val="nil"/>
                    <w:left w:val="nil"/>
                    <w:bottom w:val="single" w:sz="4" w:space="0" w:color="auto"/>
                    <w:right w:val="single" w:sz="4" w:space="0" w:color="auto"/>
                  </w:tcBorders>
                  <w:shd w:val="clear" w:color="auto" w:fill="auto"/>
                  <w:noWrap/>
                  <w:vAlign w:val="bottom"/>
                  <w:hideMark/>
                </w:tcPr>
                <w:p w:rsidR="00FD75B7" w:rsidRPr="00FD75B7" w:rsidRDefault="00FD75B7" w:rsidP="00FD75B7">
                  <w:pPr>
                    <w:jc w:val="right"/>
                    <w:rPr>
                      <w:sz w:val="20"/>
                      <w:szCs w:val="20"/>
                    </w:rPr>
                  </w:pPr>
                  <w:r w:rsidRPr="00FD75B7">
                    <w:rPr>
                      <w:sz w:val="20"/>
                      <w:szCs w:val="20"/>
                    </w:rPr>
                    <w:t>38 584</w:t>
                  </w:r>
                </w:p>
              </w:tc>
            </w:tr>
            <w:tr w:rsidR="00FD75B7" w:rsidRPr="00FD75B7" w:rsidTr="00FD75B7">
              <w:trPr>
                <w:trHeight w:val="300"/>
              </w:trPr>
              <w:tc>
                <w:tcPr>
                  <w:tcW w:w="1011" w:type="dxa"/>
                  <w:tcBorders>
                    <w:top w:val="nil"/>
                    <w:left w:val="single" w:sz="4" w:space="0" w:color="auto"/>
                    <w:bottom w:val="single" w:sz="4" w:space="0" w:color="auto"/>
                    <w:right w:val="single" w:sz="4" w:space="0" w:color="auto"/>
                  </w:tcBorders>
                  <w:shd w:val="clear" w:color="auto" w:fill="auto"/>
                  <w:vAlign w:val="bottom"/>
                  <w:hideMark/>
                </w:tcPr>
                <w:p w:rsidR="00FD75B7" w:rsidRPr="00FD75B7" w:rsidRDefault="00FD75B7" w:rsidP="00FD75B7">
                  <w:pPr>
                    <w:jc w:val="right"/>
                    <w:rPr>
                      <w:sz w:val="20"/>
                      <w:szCs w:val="20"/>
                    </w:rPr>
                  </w:pPr>
                  <w:r w:rsidRPr="00FD75B7">
                    <w:rPr>
                      <w:sz w:val="20"/>
                      <w:szCs w:val="20"/>
                    </w:rPr>
                    <w:t> 2261</w:t>
                  </w:r>
                </w:p>
              </w:tc>
              <w:tc>
                <w:tcPr>
                  <w:tcW w:w="4719" w:type="dxa"/>
                  <w:tcBorders>
                    <w:top w:val="single" w:sz="4" w:space="0" w:color="auto"/>
                    <w:left w:val="nil"/>
                    <w:bottom w:val="single" w:sz="4" w:space="0" w:color="auto"/>
                    <w:right w:val="single" w:sz="4" w:space="0" w:color="auto"/>
                  </w:tcBorders>
                  <w:shd w:val="clear" w:color="auto" w:fill="auto"/>
                  <w:vAlign w:val="center"/>
                  <w:hideMark/>
                </w:tcPr>
                <w:p w:rsidR="00FD75B7" w:rsidRPr="00FD75B7" w:rsidRDefault="00FD75B7" w:rsidP="00FD75B7">
                  <w:pPr>
                    <w:rPr>
                      <w:sz w:val="20"/>
                      <w:szCs w:val="20"/>
                    </w:rPr>
                  </w:pPr>
                  <w:r w:rsidRPr="00FD75B7">
                    <w:rPr>
                      <w:sz w:val="20"/>
                      <w:szCs w:val="20"/>
                    </w:rPr>
                    <w:t>Ēku, telpu īre un noma</w:t>
                  </w:r>
                </w:p>
              </w:tc>
              <w:tc>
                <w:tcPr>
                  <w:tcW w:w="1080" w:type="dxa"/>
                  <w:tcBorders>
                    <w:top w:val="nil"/>
                    <w:left w:val="nil"/>
                    <w:bottom w:val="single" w:sz="4" w:space="0" w:color="auto"/>
                    <w:right w:val="single" w:sz="4" w:space="0" w:color="auto"/>
                  </w:tcBorders>
                  <w:shd w:val="clear" w:color="auto" w:fill="auto"/>
                  <w:noWrap/>
                  <w:vAlign w:val="bottom"/>
                  <w:hideMark/>
                </w:tcPr>
                <w:p w:rsidR="00FD75B7" w:rsidRPr="00FD75B7" w:rsidRDefault="00FD75B7" w:rsidP="00FD75B7">
                  <w:pPr>
                    <w:jc w:val="right"/>
                    <w:rPr>
                      <w:sz w:val="20"/>
                      <w:szCs w:val="20"/>
                    </w:rPr>
                  </w:pPr>
                  <w:r w:rsidRPr="00FD75B7">
                    <w:rPr>
                      <w:sz w:val="20"/>
                      <w:szCs w:val="20"/>
                    </w:rPr>
                    <w:t>4 640</w:t>
                  </w:r>
                </w:p>
              </w:tc>
            </w:tr>
          </w:tbl>
          <w:p w:rsidR="00FD75B7" w:rsidRDefault="00FD75B7" w:rsidP="0081544A">
            <w:pPr>
              <w:pStyle w:val="ListParagraph"/>
              <w:ind w:left="0"/>
              <w:jc w:val="both"/>
              <w:rPr>
                <w:rFonts w:ascii="Times New Roman" w:hAnsi="Times New Roman"/>
                <w:sz w:val="20"/>
                <w:szCs w:val="20"/>
              </w:rPr>
            </w:pPr>
          </w:p>
          <w:tbl>
            <w:tblPr>
              <w:tblW w:w="15000" w:type="dxa"/>
              <w:tblLook w:val="04A0" w:firstRow="1" w:lastRow="0" w:firstColumn="1" w:lastColumn="0" w:noHBand="0" w:noVBand="1"/>
            </w:tblPr>
            <w:tblGrid>
              <w:gridCol w:w="1381"/>
              <w:gridCol w:w="526"/>
              <w:gridCol w:w="480"/>
              <w:gridCol w:w="503"/>
              <w:gridCol w:w="504"/>
              <w:gridCol w:w="504"/>
              <w:gridCol w:w="788"/>
              <w:gridCol w:w="663"/>
              <w:gridCol w:w="856"/>
              <w:gridCol w:w="822"/>
              <w:gridCol w:w="697"/>
              <w:gridCol w:w="719"/>
              <w:gridCol w:w="731"/>
            </w:tblGrid>
            <w:tr w:rsidR="00FD75B7" w:rsidRPr="00FD75B7" w:rsidTr="00BB7E00">
              <w:trPr>
                <w:cantSplit/>
                <w:trHeight w:val="1770"/>
              </w:trPr>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rsidR="00FD75B7" w:rsidRPr="00FD75B7" w:rsidRDefault="00FD75B7" w:rsidP="00BB7E00">
                  <w:pPr>
                    <w:jc w:val="center"/>
                    <w:rPr>
                      <w:bCs/>
                      <w:sz w:val="20"/>
                      <w:szCs w:val="20"/>
                    </w:rPr>
                  </w:pPr>
                  <w:proofErr w:type="spellStart"/>
                  <w:r w:rsidRPr="00FD75B7">
                    <w:rPr>
                      <w:bCs/>
                      <w:sz w:val="20"/>
                      <w:szCs w:val="20"/>
                    </w:rPr>
                    <w:t>Struktrūrvienība</w:t>
                  </w:r>
                  <w:proofErr w:type="spellEnd"/>
                </w:p>
              </w:tc>
              <w:tc>
                <w:tcPr>
                  <w:tcW w:w="838"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FD75B7" w:rsidRPr="00FD75B7" w:rsidRDefault="00FD75B7" w:rsidP="00BB7E00">
                  <w:pPr>
                    <w:jc w:val="center"/>
                    <w:rPr>
                      <w:bCs/>
                      <w:sz w:val="20"/>
                      <w:szCs w:val="20"/>
                    </w:rPr>
                  </w:pPr>
                  <w:r w:rsidRPr="00FD75B7">
                    <w:rPr>
                      <w:bCs/>
                      <w:sz w:val="20"/>
                      <w:szCs w:val="20"/>
                    </w:rPr>
                    <w:t>Amata vietu skaits</w:t>
                  </w:r>
                </w:p>
              </w:tc>
              <w:tc>
                <w:tcPr>
                  <w:tcW w:w="758"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FD75B7" w:rsidRPr="00FD75B7" w:rsidRDefault="00FD75B7" w:rsidP="00BB7E00">
                  <w:pPr>
                    <w:jc w:val="center"/>
                    <w:rPr>
                      <w:bCs/>
                      <w:sz w:val="20"/>
                      <w:szCs w:val="20"/>
                    </w:rPr>
                  </w:pPr>
                  <w:r w:rsidRPr="00FD75B7">
                    <w:rPr>
                      <w:bCs/>
                      <w:sz w:val="20"/>
                      <w:szCs w:val="20"/>
                    </w:rPr>
                    <w:t>Amata saime</w:t>
                  </w:r>
                </w:p>
              </w:tc>
              <w:tc>
                <w:tcPr>
                  <w:tcW w:w="798"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FD75B7" w:rsidRPr="00FD75B7" w:rsidRDefault="00FD75B7" w:rsidP="00BB7E00">
                  <w:pPr>
                    <w:jc w:val="center"/>
                    <w:rPr>
                      <w:bCs/>
                      <w:sz w:val="20"/>
                      <w:szCs w:val="20"/>
                    </w:rPr>
                  </w:pPr>
                  <w:r w:rsidRPr="00FD75B7">
                    <w:rPr>
                      <w:bCs/>
                      <w:sz w:val="20"/>
                      <w:szCs w:val="20"/>
                    </w:rPr>
                    <w:t>līmenis</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FD75B7" w:rsidRPr="00FD75B7" w:rsidRDefault="00FD75B7" w:rsidP="00BB7E00">
                  <w:pPr>
                    <w:jc w:val="center"/>
                    <w:rPr>
                      <w:bCs/>
                      <w:sz w:val="20"/>
                      <w:szCs w:val="20"/>
                    </w:rPr>
                  </w:pPr>
                  <w:r w:rsidRPr="00FD75B7">
                    <w:rPr>
                      <w:bCs/>
                      <w:sz w:val="20"/>
                      <w:szCs w:val="20"/>
                    </w:rPr>
                    <w:t>statuss (D-darbinieks, I - ierēdnis)</w:t>
                  </w:r>
                </w:p>
              </w:tc>
              <w:tc>
                <w:tcPr>
                  <w:tcW w:w="800"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FD75B7" w:rsidRPr="00FD75B7" w:rsidRDefault="00FD75B7" w:rsidP="00BB7E00">
                  <w:pPr>
                    <w:jc w:val="center"/>
                    <w:rPr>
                      <w:bCs/>
                      <w:sz w:val="20"/>
                      <w:szCs w:val="20"/>
                    </w:rPr>
                  </w:pPr>
                  <w:r w:rsidRPr="00FD75B7">
                    <w:rPr>
                      <w:bCs/>
                      <w:sz w:val="20"/>
                      <w:szCs w:val="20"/>
                    </w:rPr>
                    <w:t>Mēnešalgu grupa</w:t>
                  </w:r>
                </w:p>
              </w:tc>
              <w:tc>
                <w:tcPr>
                  <w:tcW w:w="1298"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FD75B7" w:rsidRPr="00FD75B7" w:rsidRDefault="00FD75B7" w:rsidP="00BB7E00">
                  <w:pPr>
                    <w:jc w:val="center"/>
                    <w:rPr>
                      <w:bCs/>
                      <w:sz w:val="20"/>
                      <w:szCs w:val="20"/>
                    </w:rPr>
                  </w:pPr>
                  <w:r w:rsidRPr="00FD75B7">
                    <w:rPr>
                      <w:bCs/>
                      <w:sz w:val="20"/>
                      <w:szCs w:val="20"/>
                    </w:rPr>
                    <w:t>Vidējā mēnešalga</w:t>
                  </w:r>
                  <w:r w:rsidRPr="00FD75B7">
                    <w:rPr>
                      <w:bCs/>
                      <w:sz w:val="20"/>
                      <w:szCs w:val="20"/>
                    </w:rPr>
                    <w:br/>
                    <w:t>mēnesī 1 amata vietai</w:t>
                  </w:r>
                  <w:r w:rsidRPr="00FD75B7">
                    <w:rPr>
                      <w:bCs/>
                      <w:sz w:val="20"/>
                      <w:szCs w:val="20"/>
                    </w:rPr>
                    <w:br/>
                    <w:t>(Ls)</w:t>
                  </w:r>
                </w:p>
              </w:tc>
              <w:tc>
                <w:tcPr>
                  <w:tcW w:w="1078"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FD75B7" w:rsidRPr="00FD75B7" w:rsidRDefault="00FD75B7" w:rsidP="00BB7E00">
                  <w:pPr>
                    <w:jc w:val="center"/>
                    <w:rPr>
                      <w:bCs/>
                      <w:sz w:val="20"/>
                      <w:szCs w:val="20"/>
                    </w:rPr>
                  </w:pPr>
                  <w:r w:rsidRPr="00FD75B7">
                    <w:rPr>
                      <w:bCs/>
                      <w:sz w:val="20"/>
                      <w:szCs w:val="20"/>
                    </w:rPr>
                    <w:t>Gadā</w:t>
                  </w:r>
                  <w:r w:rsidRPr="00FD75B7">
                    <w:rPr>
                      <w:bCs/>
                      <w:sz w:val="20"/>
                      <w:szCs w:val="20"/>
                    </w:rPr>
                    <w:br/>
                    <w:t>visām amata vietām</w:t>
                  </w:r>
                </w:p>
              </w:tc>
              <w:tc>
                <w:tcPr>
                  <w:tcW w:w="1418"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FD75B7" w:rsidRPr="00FD75B7" w:rsidRDefault="00FD75B7" w:rsidP="00BB7E00">
                  <w:pPr>
                    <w:jc w:val="center"/>
                    <w:rPr>
                      <w:bCs/>
                      <w:sz w:val="20"/>
                      <w:szCs w:val="20"/>
                    </w:rPr>
                  </w:pPr>
                  <w:r>
                    <w:rPr>
                      <w:bCs/>
                      <w:sz w:val="20"/>
                      <w:szCs w:val="20"/>
                    </w:rPr>
                    <w:t xml:space="preserve">Piemaksa par aizvietošanu </w:t>
                  </w:r>
                  <w:r w:rsidRPr="00FD75B7">
                    <w:rPr>
                      <w:bCs/>
                      <w:sz w:val="20"/>
                      <w:szCs w:val="20"/>
                    </w:rPr>
                    <w:t>20% vienu reizi gadā</w:t>
                  </w:r>
                  <w:r w:rsidR="00BB7E00">
                    <w:rPr>
                      <w:bCs/>
                      <w:sz w:val="20"/>
                      <w:szCs w:val="20"/>
                    </w:rPr>
                    <w:t xml:space="preserve"> </w:t>
                  </w:r>
                  <w:r w:rsidRPr="00FD75B7">
                    <w:rPr>
                      <w:bCs/>
                      <w:sz w:val="20"/>
                      <w:szCs w:val="20"/>
                    </w:rPr>
                    <w:t>(Ls)</w:t>
                  </w:r>
                </w:p>
              </w:tc>
              <w:tc>
                <w:tcPr>
                  <w:tcW w:w="1359"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FD75B7" w:rsidRPr="00FD75B7" w:rsidRDefault="00BB7E00" w:rsidP="00BB7E00">
                  <w:pPr>
                    <w:jc w:val="center"/>
                    <w:rPr>
                      <w:bCs/>
                      <w:sz w:val="20"/>
                      <w:szCs w:val="20"/>
                    </w:rPr>
                  </w:pPr>
                  <w:r>
                    <w:rPr>
                      <w:bCs/>
                      <w:sz w:val="20"/>
                      <w:szCs w:val="20"/>
                    </w:rPr>
                    <w:t>Atvaļinājuma pabalsti</w:t>
                  </w:r>
                  <w:r w:rsidR="00FD75B7" w:rsidRPr="00FD75B7">
                    <w:rPr>
                      <w:bCs/>
                      <w:sz w:val="20"/>
                      <w:szCs w:val="20"/>
                    </w:rPr>
                    <w:br/>
                    <w:t>(</w:t>
                  </w:r>
                  <w:proofErr w:type="spellStart"/>
                  <w:r w:rsidR="00FD75B7" w:rsidRPr="00FD75B7">
                    <w:rPr>
                      <w:bCs/>
                      <w:sz w:val="20"/>
                      <w:szCs w:val="20"/>
                    </w:rPr>
                    <w:t>vid</w:t>
                  </w:r>
                  <w:proofErr w:type="spellEnd"/>
                  <w:r w:rsidR="00FD75B7" w:rsidRPr="00FD75B7">
                    <w:rPr>
                      <w:bCs/>
                      <w:sz w:val="20"/>
                      <w:szCs w:val="20"/>
                    </w:rPr>
                    <w:t>. 50%)</w:t>
                  </w:r>
                  <w:r>
                    <w:rPr>
                      <w:bCs/>
                      <w:sz w:val="20"/>
                      <w:szCs w:val="20"/>
                    </w:rPr>
                    <w:t xml:space="preserve"> </w:t>
                  </w:r>
                  <w:r w:rsidR="00FD75B7" w:rsidRPr="00FD75B7">
                    <w:rPr>
                      <w:bCs/>
                      <w:sz w:val="20"/>
                      <w:szCs w:val="20"/>
                    </w:rPr>
                    <w:t>(Ls)</w:t>
                  </w:r>
                </w:p>
              </w:tc>
              <w:tc>
                <w:tcPr>
                  <w:tcW w:w="1138"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FD75B7" w:rsidRPr="00FD75B7" w:rsidRDefault="00FD75B7" w:rsidP="00BB7E00">
                  <w:pPr>
                    <w:jc w:val="center"/>
                    <w:rPr>
                      <w:bCs/>
                      <w:sz w:val="20"/>
                      <w:szCs w:val="20"/>
                    </w:rPr>
                  </w:pPr>
                  <w:r w:rsidRPr="00FD75B7">
                    <w:rPr>
                      <w:bCs/>
                      <w:sz w:val="20"/>
                      <w:szCs w:val="20"/>
                    </w:rPr>
                    <w:t>Kopā</w:t>
                  </w:r>
                  <w:r w:rsidRPr="00FD75B7">
                    <w:rPr>
                      <w:bCs/>
                      <w:sz w:val="20"/>
                      <w:szCs w:val="20"/>
                    </w:rPr>
                    <w:br/>
                    <w:t>(Ls)</w:t>
                  </w:r>
                </w:p>
              </w:tc>
              <w:tc>
                <w:tcPr>
                  <w:tcW w:w="1178"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FD75B7" w:rsidRPr="00FD75B7" w:rsidRDefault="00FD75B7" w:rsidP="00BB7E00">
                  <w:pPr>
                    <w:jc w:val="center"/>
                    <w:rPr>
                      <w:bCs/>
                      <w:sz w:val="20"/>
                      <w:szCs w:val="20"/>
                    </w:rPr>
                  </w:pPr>
                  <w:r w:rsidRPr="00FD75B7">
                    <w:rPr>
                      <w:bCs/>
                      <w:sz w:val="20"/>
                      <w:szCs w:val="20"/>
                    </w:rPr>
                    <w:t>Darba devēja sociālās iemaksas 23,59%</w:t>
                  </w:r>
                  <w:r w:rsidR="00BB7E00">
                    <w:rPr>
                      <w:bCs/>
                      <w:sz w:val="20"/>
                      <w:szCs w:val="20"/>
                    </w:rPr>
                    <w:t xml:space="preserve"> </w:t>
                  </w:r>
                  <w:r w:rsidRPr="00FD75B7">
                    <w:rPr>
                      <w:bCs/>
                      <w:sz w:val="20"/>
                      <w:szCs w:val="20"/>
                    </w:rPr>
                    <w:t>(Ls)</w:t>
                  </w:r>
                </w:p>
              </w:tc>
              <w:tc>
                <w:tcPr>
                  <w:tcW w:w="1198" w:type="dxa"/>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hideMark/>
                </w:tcPr>
                <w:p w:rsidR="00FD75B7" w:rsidRPr="00FD75B7" w:rsidRDefault="00FD75B7" w:rsidP="00BB7E00">
                  <w:pPr>
                    <w:jc w:val="center"/>
                    <w:rPr>
                      <w:bCs/>
                      <w:sz w:val="20"/>
                      <w:szCs w:val="20"/>
                    </w:rPr>
                  </w:pPr>
                  <w:r w:rsidRPr="00FD75B7">
                    <w:rPr>
                      <w:bCs/>
                      <w:sz w:val="20"/>
                      <w:szCs w:val="20"/>
                    </w:rPr>
                    <w:t>Kopā</w:t>
                  </w:r>
                  <w:r w:rsidRPr="00FD75B7">
                    <w:rPr>
                      <w:bCs/>
                      <w:sz w:val="20"/>
                      <w:szCs w:val="20"/>
                    </w:rPr>
                    <w:br/>
                    <w:t>izdevumi atlīdzībai 2014.g.</w:t>
                  </w:r>
                  <w:r w:rsidR="00BB7E00">
                    <w:rPr>
                      <w:bCs/>
                      <w:sz w:val="20"/>
                      <w:szCs w:val="20"/>
                    </w:rPr>
                    <w:t xml:space="preserve"> </w:t>
                  </w:r>
                  <w:r w:rsidRPr="00FD75B7">
                    <w:rPr>
                      <w:bCs/>
                      <w:sz w:val="20"/>
                      <w:szCs w:val="20"/>
                    </w:rPr>
                    <w:t>(Ls)</w:t>
                  </w:r>
                </w:p>
              </w:tc>
            </w:tr>
            <w:tr w:rsidR="00FD75B7" w:rsidRPr="00FD75B7" w:rsidTr="00FD75B7">
              <w:trPr>
                <w:trHeight w:val="405"/>
              </w:trPr>
              <w:tc>
                <w:tcPr>
                  <w:tcW w:w="2339" w:type="dxa"/>
                  <w:tcBorders>
                    <w:top w:val="nil"/>
                    <w:left w:val="single" w:sz="4" w:space="0" w:color="auto"/>
                    <w:bottom w:val="single" w:sz="4" w:space="0" w:color="auto"/>
                    <w:right w:val="single" w:sz="4" w:space="0" w:color="auto"/>
                  </w:tcBorders>
                  <w:shd w:val="clear" w:color="000000" w:fill="C0C0C0"/>
                  <w:noWrap/>
                  <w:tcMar>
                    <w:left w:w="28" w:type="dxa"/>
                    <w:right w:w="28" w:type="dxa"/>
                  </w:tcMar>
                  <w:vAlign w:val="center"/>
                  <w:hideMark/>
                </w:tcPr>
                <w:p w:rsidR="00FD75B7" w:rsidRPr="00FD75B7" w:rsidRDefault="00FD75B7" w:rsidP="00FD75B7">
                  <w:pPr>
                    <w:rPr>
                      <w:b/>
                      <w:bCs/>
                      <w:sz w:val="20"/>
                      <w:szCs w:val="20"/>
                    </w:rPr>
                  </w:pPr>
                  <w:r w:rsidRPr="00FD75B7">
                    <w:rPr>
                      <w:b/>
                      <w:bCs/>
                      <w:sz w:val="20"/>
                      <w:szCs w:val="20"/>
                    </w:rPr>
                    <w:t>Centrālās nodaļas</w:t>
                  </w:r>
                </w:p>
              </w:tc>
              <w:tc>
                <w:tcPr>
                  <w:tcW w:w="838" w:type="dxa"/>
                  <w:tcBorders>
                    <w:top w:val="nil"/>
                    <w:left w:val="nil"/>
                    <w:bottom w:val="single" w:sz="4" w:space="0" w:color="auto"/>
                    <w:right w:val="single" w:sz="4" w:space="0" w:color="auto"/>
                  </w:tcBorders>
                  <w:shd w:val="clear" w:color="000000" w:fill="C0C0C0"/>
                  <w:noWrap/>
                  <w:tcMar>
                    <w:left w:w="28" w:type="dxa"/>
                    <w:right w:w="28" w:type="dxa"/>
                  </w:tcMar>
                  <w:vAlign w:val="center"/>
                  <w:hideMark/>
                </w:tcPr>
                <w:p w:rsidR="00FD75B7" w:rsidRPr="00FD75B7" w:rsidRDefault="00FD75B7" w:rsidP="00FD75B7">
                  <w:pPr>
                    <w:jc w:val="center"/>
                    <w:rPr>
                      <w:b/>
                      <w:bCs/>
                      <w:sz w:val="20"/>
                      <w:szCs w:val="20"/>
                    </w:rPr>
                  </w:pPr>
                  <w:r w:rsidRPr="00FD75B7">
                    <w:rPr>
                      <w:b/>
                      <w:bCs/>
                      <w:sz w:val="20"/>
                      <w:szCs w:val="20"/>
                    </w:rPr>
                    <w:t>10</w:t>
                  </w:r>
                </w:p>
              </w:tc>
              <w:tc>
                <w:tcPr>
                  <w:tcW w:w="758" w:type="dxa"/>
                  <w:tcBorders>
                    <w:top w:val="nil"/>
                    <w:left w:val="nil"/>
                    <w:bottom w:val="single" w:sz="4" w:space="0" w:color="auto"/>
                    <w:right w:val="single" w:sz="4" w:space="0" w:color="auto"/>
                  </w:tcBorders>
                  <w:shd w:val="clear" w:color="000000" w:fill="C0C0C0"/>
                  <w:noWrap/>
                  <w:tcMar>
                    <w:left w:w="28" w:type="dxa"/>
                    <w:right w:w="28" w:type="dxa"/>
                  </w:tcMar>
                  <w:vAlign w:val="center"/>
                  <w:hideMark/>
                </w:tcPr>
                <w:p w:rsidR="00FD75B7" w:rsidRPr="00FD75B7" w:rsidRDefault="00FD75B7" w:rsidP="00FD75B7">
                  <w:pPr>
                    <w:jc w:val="center"/>
                    <w:rPr>
                      <w:b/>
                      <w:bCs/>
                      <w:sz w:val="20"/>
                      <w:szCs w:val="20"/>
                    </w:rPr>
                  </w:pPr>
                  <w:r w:rsidRPr="00FD75B7">
                    <w:rPr>
                      <w:b/>
                      <w:bCs/>
                      <w:sz w:val="20"/>
                      <w:szCs w:val="20"/>
                    </w:rPr>
                    <w:t> </w:t>
                  </w:r>
                </w:p>
              </w:tc>
              <w:tc>
                <w:tcPr>
                  <w:tcW w:w="3696" w:type="dxa"/>
                  <w:gridSpan w:val="4"/>
                  <w:tcBorders>
                    <w:top w:val="single" w:sz="4" w:space="0" w:color="auto"/>
                    <w:left w:val="nil"/>
                    <w:bottom w:val="single" w:sz="4" w:space="0" w:color="auto"/>
                    <w:right w:val="single" w:sz="4" w:space="0" w:color="000000"/>
                  </w:tcBorders>
                  <w:shd w:val="clear" w:color="000000" w:fill="C0C0C0"/>
                  <w:noWrap/>
                  <w:tcMar>
                    <w:left w:w="28" w:type="dxa"/>
                    <w:right w:w="28" w:type="dxa"/>
                  </w:tcMar>
                  <w:vAlign w:val="center"/>
                  <w:hideMark/>
                </w:tcPr>
                <w:p w:rsidR="00FD75B7" w:rsidRPr="00FD75B7" w:rsidRDefault="00FD75B7" w:rsidP="00FD75B7">
                  <w:pPr>
                    <w:jc w:val="center"/>
                    <w:rPr>
                      <w:b/>
                      <w:bCs/>
                      <w:sz w:val="20"/>
                      <w:szCs w:val="20"/>
                    </w:rPr>
                  </w:pPr>
                  <w:r w:rsidRPr="00FD75B7">
                    <w:rPr>
                      <w:b/>
                      <w:bCs/>
                      <w:sz w:val="20"/>
                      <w:szCs w:val="20"/>
                    </w:rPr>
                    <w:t>Ls</w:t>
                  </w:r>
                  <w:proofErr w:type="gramStart"/>
                  <w:r w:rsidRPr="00FD75B7">
                    <w:rPr>
                      <w:b/>
                      <w:bCs/>
                      <w:sz w:val="20"/>
                      <w:szCs w:val="20"/>
                    </w:rPr>
                    <w:t xml:space="preserve">  </w:t>
                  </w:r>
                  <w:proofErr w:type="gramEnd"/>
                  <w:r w:rsidRPr="00FD75B7">
                    <w:rPr>
                      <w:b/>
                      <w:bCs/>
                      <w:sz w:val="20"/>
                      <w:szCs w:val="20"/>
                    </w:rPr>
                    <w:t>493 -698</w:t>
                  </w:r>
                </w:p>
              </w:tc>
              <w:tc>
                <w:tcPr>
                  <w:tcW w:w="1078" w:type="dxa"/>
                  <w:tcBorders>
                    <w:top w:val="nil"/>
                    <w:left w:val="nil"/>
                    <w:bottom w:val="single" w:sz="4" w:space="0" w:color="auto"/>
                    <w:right w:val="single" w:sz="4" w:space="0" w:color="auto"/>
                  </w:tcBorders>
                  <w:shd w:val="clear" w:color="000000" w:fill="C0C0C0"/>
                  <w:noWrap/>
                  <w:tcMar>
                    <w:left w:w="28" w:type="dxa"/>
                    <w:right w:w="28" w:type="dxa"/>
                  </w:tcMar>
                  <w:vAlign w:val="center"/>
                  <w:hideMark/>
                </w:tcPr>
                <w:p w:rsidR="00FD75B7" w:rsidRPr="00FD75B7" w:rsidRDefault="00FD75B7" w:rsidP="00FD75B7">
                  <w:pPr>
                    <w:jc w:val="center"/>
                    <w:rPr>
                      <w:b/>
                      <w:bCs/>
                      <w:sz w:val="20"/>
                      <w:szCs w:val="20"/>
                    </w:rPr>
                  </w:pPr>
                  <w:r w:rsidRPr="00FD75B7">
                    <w:rPr>
                      <w:b/>
                      <w:bCs/>
                      <w:sz w:val="20"/>
                      <w:szCs w:val="20"/>
                    </w:rPr>
                    <w:t>71 400</w:t>
                  </w:r>
                </w:p>
              </w:tc>
              <w:tc>
                <w:tcPr>
                  <w:tcW w:w="1418" w:type="dxa"/>
                  <w:tcBorders>
                    <w:top w:val="nil"/>
                    <w:left w:val="nil"/>
                    <w:bottom w:val="single" w:sz="4" w:space="0" w:color="auto"/>
                    <w:right w:val="single" w:sz="4" w:space="0" w:color="auto"/>
                  </w:tcBorders>
                  <w:shd w:val="clear" w:color="000000" w:fill="C0C0C0"/>
                  <w:noWrap/>
                  <w:tcMar>
                    <w:left w:w="28" w:type="dxa"/>
                    <w:right w:w="28" w:type="dxa"/>
                  </w:tcMar>
                  <w:vAlign w:val="center"/>
                  <w:hideMark/>
                </w:tcPr>
                <w:p w:rsidR="00FD75B7" w:rsidRPr="00FD75B7" w:rsidRDefault="00FD75B7" w:rsidP="00FD75B7">
                  <w:pPr>
                    <w:jc w:val="center"/>
                    <w:rPr>
                      <w:b/>
                      <w:bCs/>
                      <w:sz w:val="20"/>
                      <w:szCs w:val="20"/>
                    </w:rPr>
                  </w:pPr>
                  <w:r w:rsidRPr="00FD75B7">
                    <w:rPr>
                      <w:b/>
                      <w:bCs/>
                      <w:sz w:val="20"/>
                      <w:szCs w:val="20"/>
                    </w:rPr>
                    <w:t>1 190</w:t>
                  </w:r>
                </w:p>
              </w:tc>
              <w:tc>
                <w:tcPr>
                  <w:tcW w:w="1359" w:type="dxa"/>
                  <w:tcBorders>
                    <w:top w:val="nil"/>
                    <w:left w:val="nil"/>
                    <w:bottom w:val="single" w:sz="4" w:space="0" w:color="auto"/>
                    <w:right w:val="single" w:sz="4" w:space="0" w:color="auto"/>
                  </w:tcBorders>
                  <w:shd w:val="clear" w:color="000000" w:fill="C0C0C0"/>
                  <w:noWrap/>
                  <w:tcMar>
                    <w:left w:w="28" w:type="dxa"/>
                    <w:right w:w="28" w:type="dxa"/>
                  </w:tcMar>
                  <w:vAlign w:val="center"/>
                  <w:hideMark/>
                </w:tcPr>
                <w:p w:rsidR="00FD75B7" w:rsidRPr="00FD75B7" w:rsidRDefault="00FD75B7" w:rsidP="00FD75B7">
                  <w:pPr>
                    <w:jc w:val="center"/>
                    <w:rPr>
                      <w:b/>
                      <w:bCs/>
                      <w:sz w:val="20"/>
                      <w:szCs w:val="20"/>
                    </w:rPr>
                  </w:pPr>
                  <w:r w:rsidRPr="00FD75B7">
                    <w:rPr>
                      <w:b/>
                      <w:bCs/>
                      <w:sz w:val="20"/>
                      <w:szCs w:val="20"/>
                    </w:rPr>
                    <w:t>2 975</w:t>
                  </w:r>
                </w:p>
              </w:tc>
              <w:tc>
                <w:tcPr>
                  <w:tcW w:w="1138" w:type="dxa"/>
                  <w:tcBorders>
                    <w:top w:val="nil"/>
                    <w:left w:val="nil"/>
                    <w:bottom w:val="single" w:sz="4" w:space="0" w:color="auto"/>
                    <w:right w:val="single" w:sz="4" w:space="0" w:color="auto"/>
                  </w:tcBorders>
                  <w:shd w:val="clear" w:color="000000" w:fill="C0C0C0"/>
                  <w:noWrap/>
                  <w:tcMar>
                    <w:left w:w="28" w:type="dxa"/>
                    <w:right w:w="28" w:type="dxa"/>
                  </w:tcMar>
                  <w:vAlign w:val="center"/>
                  <w:hideMark/>
                </w:tcPr>
                <w:p w:rsidR="00FD75B7" w:rsidRPr="00FD75B7" w:rsidRDefault="00FD75B7" w:rsidP="00FD75B7">
                  <w:pPr>
                    <w:jc w:val="center"/>
                    <w:rPr>
                      <w:b/>
                      <w:bCs/>
                      <w:sz w:val="20"/>
                      <w:szCs w:val="20"/>
                    </w:rPr>
                  </w:pPr>
                  <w:r w:rsidRPr="00FD75B7">
                    <w:rPr>
                      <w:b/>
                      <w:bCs/>
                      <w:sz w:val="20"/>
                      <w:szCs w:val="20"/>
                    </w:rPr>
                    <w:t>75 565</w:t>
                  </w:r>
                </w:p>
              </w:tc>
              <w:tc>
                <w:tcPr>
                  <w:tcW w:w="1178" w:type="dxa"/>
                  <w:tcBorders>
                    <w:top w:val="nil"/>
                    <w:left w:val="nil"/>
                    <w:bottom w:val="single" w:sz="4" w:space="0" w:color="auto"/>
                    <w:right w:val="single" w:sz="4" w:space="0" w:color="auto"/>
                  </w:tcBorders>
                  <w:shd w:val="clear" w:color="000000" w:fill="C0C0C0"/>
                  <w:noWrap/>
                  <w:tcMar>
                    <w:left w:w="28" w:type="dxa"/>
                    <w:right w:w="28" w:type="dxa"/>
                  </w:tcMar>
                  <w:vAlign w:val="center"/>
                  <w:hideMark/>
                </w:tcPr>
                <w:p w:rsidR="00FD75B7" w:rsidRPr="00FD75B7" w:rsidRDefault="00FD75B7" w:rsidP="00FD75B7">
                  <w:pPr>
                    <w:jc w:val="center"/>
                    <w:rPr>
                      <w:b/>
                      <w:bCs/>
                      <w:sz w:val="20"/>
                      <w:szCs w:val="20"/>
                    </w:rPr>
                  </w:pPr>
                  <w:r w:rsidRPr="00FD75B7">
                    <w:rPr>
                      <w:b/>
                      <w:bCs/>
                      <w:sz w:val="20"/>
                      <w:szCs w:val="20"/>
                    </w:rPr>
                    <w:t>17 826</w:t>
                  </w:r>
                </w:p>
              </w:tc>
              <w:tc>
                <w:tcPr>
                  <w:tcW w:w="1198" w:type="dxa"/>
                  <w:tcBorders>
                    <w:top w:val="nil"/>
                    <w:left w:val="nil"/>
                    <w:bottom w:val="single" w:sz="4" w:space="0" w:color="auto"/>
                    <w:right w:val="single" w:sz="4" w:space="0" w:color="auto"/>
                  </w:tcBorders>
                  <w:shd w:val="clear" w:color="000000" w:fill="C0C0C0"/>
                  <w:noWrap/>
                  <w:tcMar>
                    <w:left w:w="28" w:type="dxa"/>
                    <w:right w:w="28" w:type="dxa"/>
                  </w:tcMar>
                  <w:vAlign w:val="center"/>
                  <w:hideMark/>
                </w:tcPr>
                <w:p w:rsidR="00FD75B7" w:rsidRPr="00FD75B7" w:rsidRDefault="00FD75B7" w:rsidP="00FD75B7">
                  <w:pPr>
                    <w:jc w:val="center"/>
                    <w:rPr>
                      <w:b/>
                      <w:bCs/>
                      <w:sz w:val="20"/>
                      <w:szCs w:val="20"/>
                    </w:rPr>
                  </w:pPr>
                  <w:r w:rsidRPr="00FD75B7">
                    <w:rPr>
                      <w:b/>
                      <w:bCs/>
                      <w:sz w:val="20"/>
                      <w:szCs w:val="20"/>
                    </w:rPr>
                    <w:t>93 391</w:t>
                  </w:r>
                </w:p>
              </w:tc>
            </w:tr>
            <w:tr w:rsidR="00FD75B7" w:rsidRPr="00FD75B7" w:rsidTr="00FD75B7">
              <w:trPr>
                <w:trHeight w:val="300"/>
              </w:trPr>
              <w:tc>
                <w:tcPr>
                  <w:tcW w:w="233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rsidR="00FD75B7" w:rsidRPr="00FD75B7" w:rsidRDefault="00FD75B7" w:rsidP="00FD75B7">
                  <w:pPr>
                    <w:rPr>
                      <w:i/>
                      <w:iCs/>
                      <w:sz w:val="20"/>
                      <w:szCs w:val="20"/>
                    </w:rPr>
                  </w:pPr>
                  <w:r w:rsidRPr="00FD75B7">
                    <w:rPr>
                      <w:i/>
                      <w:iCs/>
                      <w:sz w:val="20"/>
                      <w:szCs w:val="20"/>
                    </w:rPr>
                    <w:t> </w:t>
                  </w:r>
                </w:p>
              </w:tc>
              <w:tc>
                <w:tcPr>
                  <w:tcW w:w="838"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rsidR="00FD75B7" w:rsidRPr="00FD75B7" w:rsidRDefault="00FD75B7" w:rsidP="00FD75B7">
                  <w:pPr>
                    <w:jc w:val="center"/>
                    <w:rPr>
                      <w:color w:val="000000"/>
                      <w:sz w:val="20"/>
                      <w:szCs w:val="20"/>
                    </w:rPr>
                  </w:pPr>
                  <w:r w:rsidRPr="00FD75B7">
                    <w:rPr>
                      <w:color w:val="000000"/>
                      <w:sz w:val="20"/>
                      <w:szCs w:val="20"/>
                    </w:rPr>
                    <w:t> </w:t>
                  </w:r>
                </w:p>
              </w:tc>
              <w:tc>
                <w:tcPr>
                  <w:tcW w:w="758"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rsidR="00FD75B7" w:rsidRPr="00FD75B7" w:rsidRDefault="00FD75B7" w:rsidP="00FD75B7">
                  <w:pPr>
                    <w:jc w:val="center"/>
                    <w:rPr>
                      <w:color w:val="000000"/>
                      <w:sz w:val="20"/>
                      <w:szCs w:val="20"/>
                    </w:rPr>
                  </w:pPr>
                  <w:r w:rsidRPr="00FD75B7">
                    <w:rPr>
                      <w:color w:val="000000"/>
                      <w:sz w:val="20"/>
                      <w:szCs w:val="20"/>
                    </w:rPr>
                    <w:t> </w:t>
                  </w:r>
                </w:p>
              </w:tc>
              <w:tc>
                <w:tcPr>
                  <w:tcW w:w="798"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rsidR="00FD75B7" w:rsidRPr="00FD75B7" w:rsidRDefault="00FD75B7" w:rsidP="00FD75B7">
                  <w:pPr>
                    <w:jc w:val="center"/>
                    <w:rPr>
                      <w:color w:val="000000"/>
                      <w:sz w:val="20"/>
                      <w:szCs w:val="20"/>
                    </w:rPr>
                  </w:pPr>
                  <w:r w:rsidRPr="00FD75B7">
                    <w:rPr>
                      <w:color w:val="000000"/>
                      <w:sz w:val="20"/>
                      <w:szCs w:val="20"/>
                    </w:rPr>
                    <w:t> </w:t>
                  </w:r>
                </w:p>
              </w:tc>
              <w:tc>
                <w:tcPr>
                  <w:tcW w:w="8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rsidR="00FD75B7" w:rsidRPr="00FD75B7" w:rsidRDefault="00FD75B7" w:rsidP="00FD75B7">
                  <w:pPr>
                    <w:jc w:val="center"/>
                    <w:rPr>
                      <w:color w:val="000000"/>
                      <w:sz w:val="20"/>
                      <w:szCs w:val="20"/>
                    </w:rPr>
                  </w:pPr>
                  <w:r w:rsidRPr="00FD75B7">
                    <w:rPr>
                      <w:color w:val="000000"/>
                      <w:sz w:val="20"/>
                      <w:szCs w:val="20"/>
                    </w:rPr>
                    <w:t> </w:t>
                  </w:r>
                </w:p>
              </w:tc>
              <w:tc>
                <w:tcPr>
                  <w:tcW w:w="800"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rsidR="00FD75B7" w:rsidRPr="00FD75B7" w:rsidRDefault="00FD75B7" w:rsidP="00FD75B7">
                  <w:pPr>
                    <w:jc w:val="center"/>
                    <w:rPr>
                      <w:color w:val="000000"/>
                      <w:sz w:val="20"/>
                      <w:szCs w:val="20"/>
                    </w:rPr>
                  </w:pPr>
                  <w:r w:rsidRPr="00FD75B7">
                    <w:rPr>
                      <w:color w:val="000000"/>
                      <w:sz w:val="20"/>
                      <w:szCs w:val="20"/>
                    </w:rPr>
                    <w:t> </w:t>
                  </w:r>
                </w:p>
              </w:tc>
              <w:tc>
                <w:tcPr>
                  <w:tcW w:w="1298"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rsidR="00FD75B7" w:rsidRPr="00FD75B7" w:rsidRDefault="00FD75B7" w:rsidP="00FD75B7">
                  <w:pPr>
                    <w:jc w:val="center"/>
                    <w:rPr>
                      <w:color w:val="000000"/>
                      <w:sz w:val="20"/>
                      <w:szCs w:val="20"/>
                    </w:rPr>
                  </w:pPr>
                  <w:r w:rsidRPr="00FD75B7">
                    <w:rPr>
                      <w:color w:val="000000"/>
                      <w:sz w:val="20"/>
                      <w:szCs w:val="20"/>
                    </w:rPr>
                    <w:t> </w:t>
                  </w:r>
                </w:p>
              </w:tc>
              <w:tc>
                <w:tcPr>
                  <w:tcW w:w="1078"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rsidR="00FD75B7" w:rsidRPr="00FD75B7" w:rsidRDefault="00FD75B7" w:rsidP="00FD75B7">
                  <w:pPr>
                    <w:jc w:val="center"/>
                    <w:rPr>
                      <w:sz w:val="20"/>
                      <w:szCs w:val="20"/>
                    </w:rPr>
                  </w:pPr>
                  <w:r w:rsidRPr="00FD75B7">
                    <w:rPr>
                      <w:sz w:val="20"/>
                      <w:szCs w:val="20"/>
                    </w:rPr>
                    <w:t>0</w:t>
                  </w:r>
                </w:p>
              </w:tc>
              <w:tc>
                <w:tcPr>
                  <w:tcW w:w="1418"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rsidR="00FD75B7" w:rsidRPr="00FD75B7" w:rsidRDefault="00FD75B7" w:rsidP="00FD75B7">
                  <w:pPr>
                    <w:jc w:val="center"/>
                    <w:rPr>
                      <w:sz w:val="20"/>
                      <w:szCs w:val="20"/>
                    </w:rPr>
                  </w:pPr>
                  <w:r w:rsidRPr="00FD75B7">
                    <w:rPr>
                      <w:sz w:val="20"/>
                      <w:szCs w:val="20"/>
                    </w:rPr>
                    <w:t>0</w:t>
                  </w:r>
                </w:p>
              </w:tc>
              <w:tc>
                <w:tcPr>
                  <w:tcW w:w="1359"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rsidR="00FD75B7" w:rsidRPr="00FD75B7" w:rsidRDefault="00FD75B7" w:rsidP="00FD75B7">
                  <w:pPr>
                    <w:jc w:val="center"/>
                    <w:rPr>
                      <w:sz w:val="20"/>
                      <w:szCs w:val="20"/>
                    </w:rPr>
                  </w:pPr>
                  <w:r w:rsidRPr="00FD75B7">
                    <w:rPr>
                      <w:sz w:val="20"/>
                      <w:szCs w:val="20"/>
                    </w:rPr>
                    <w:t>0</w:t>
                  </w:r>
                </w:p>
              </w:tc>
              <w:tc>
                <w:tcPr>
                  <w:tcW w:w="1138"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rsidR="00FD75B7" w:rsidRPr="00FD75B7" w:rsidRDefault="00FD75B7" w:rsidP="00FD75B7">
                  <w:pPr>
                    <w:jc w:val="center"/>
                    <w:rPr>
                      <w:sz w:val="20"/>
                      <w:szCs w:val="20"/>
                    </w:rPr>
                  </w:pPr>
                  <w:r w:rsidRPr="00FD75B7">
                    <w:rPr>
                      <w:sz w:val="20"/>
                      <w:szCs w:val="20"/>
                    </w:rPr>
                    <w:t>0</w:t>
                  </w:r>
                </w:p>
              </w:tc>
              <w:tc>
                <w:tcPr>
                  <w:tcW w:w="1178"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rsidR="00FD75B7" w:rsidRPr="00FD75B7" w:rsidRDefault="00FD75B7" w:rsidP="00FD75B7">
                  <w:pPr>
                    <w:jc w:val="center"/>
                    <w:rPr>
                      <w:sz w:val="20"/>
                      <w:szCs w:val="20"/>
                    </w:rPr>
                  </w:pPr>
                  <w:r w:rsidRPr="00FD75B7">
                    <w:rPr>
                      <w:sz w:val="20"/>
                      <w:szCs w:val="20"/>
                    </w:rPr>
                    <w:t>0</w:t>
                  </w:r>
                </w:p>
              </w:tc>
              <w:tc>
                <w:tcPr>
                  <w:tcW w:w="1198" w:type="dxa"/>
                  <w:tcBorders>
                    <w:top w:val="nil"/>
                    <w:left w:val="nil"/>
                    <w:bottom w:val="single" w:sz="4" w:space="0" w:color="auto"/>
                    <w:right w:val="single" w:sz="4" w:space="0" w:color="auto"/>
                  </w:tcBorders>
                  <w:shd w:val="clear" w:color="auto" w:fill="auto"/>
                  <w:noWrap/>
                  <w:tcMar>
                    <w:left w:w="57" w:type="dxa"/>
                    <w:right w:w="57" w:type="dxa"/>
                  </w:tcMar>
                  <w:vAlign w:val="bottom"/>
                  <w:hideMark/>
                </w:tcPr>
                <w:p w:rsidR="00FD75B7" w:rsidRPr="00FD75B7" w:rsidRDefault="00FD75B7" w:rsidP="00FD75B7">
                  <w:pPr>
                    <w:jc w:val="center"/>
                    <w:rPr>
                      <w:sz w:val="20"/>
                      <w:szCs w:val="20"/>
                    </w:rPr>
                  </w:pPr>
                  <w:r w:rsidRPr="00FD75B7">
                    <w:rPr>
                      <w:sz w:val="20"/>
                      <w:szCs w:val="20"/>
                    </w:rPr>
                    <w:t>0</w:t>
                  </w:r>
                </w:p>
              </w:tc>
            </w:tr>
            <w:tr w:rsidR="00FD75B7" w:rsidRPr="00FD75B7" w:rsidTr="00FD75B7">
              <w:trPr>
                <w:trHeight w:val="780"/>
              </w:trPr>
              <w:tc>
                <w:tcPr>
                  <w:tcW w:w="233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FD75B7" w:rsidRPr="00FD75B7" w:rsidRDefault="00FD75B7" w:rsidP="00FD75B7">
                  <w:pPr>
                    <w:rPr>
                      <w:i/>
                      <w:iCs/>
                      <w:sz w:val="20"/>
                      <w:szCs w:val="20"/>
                    </w:rPr>
                  </w:pPr>
                  <w:r w:rsidRPr="00FD75B7">
                    <w:rPr>
                      <w:i/>
                      <w:iCs/>
                      <w:sz w:val="20"/>
                      <w:szCs w:val="20"/>
                    </w:rPr>
                    <w:t>Personu statusa kontroles nodaļas referents</w:t>
                  </w:r>
                </w:p>
              </w:tc>
              <w:tc>
                <w:tcPr>
                  <w:tcW w:w="83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D75B7" w:rsidRPr="00FD75B7" w:rsidRDefault="00FD75B7" w:rsidP="00FD75B7">
                  <w:pPr>
                    <w:jc w:val="center"/>
                    <w:rPr>
                      <w:sz w:val="20"/>
                      <w:szCs w:val="20"/>
                    </w:rPr>
                  </w:pPr>
                  <w:r w:rsidRPr="00FD75B7">
                    <w:rPr>
                      <w:sz w:val="20"/>
                      <w:szCs w:val="20"/>
                    </w:rPr>
                    <w:t>10</w:t>
                  </w:r>
                </w:p>
              </w:tc>
              <w:tc>
                <w:tcPr>
                  <w:tcW w:w="75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D75B7" w:rsidRPr="00FD75B7" w:rsidRDefault="00FD75B7" w:rsidP="00FD75B7">
                  <w:pPr>
                    <w:jc w:val="center"/>
                    <w:rPr>
                      <w:b/>
                      <w:bCs/>
                      <w:sz w:val="20"/>
                      <w:szCs w:val="20"/>
                    </w:rPr>
                  </w:pPr>
                  <w:r w:rsidRPr="00FD75B7">
                    <w:rPr>
                      <w:b/>
                      <w:bCs/>
                      <w:sz w:val="20"/>
                      <w:szCs w:val="20"/>
                    </w:rPr>
                    <w:t>35</w:t>
                  </w:r>
                </w:p>
              </w:tc>
              <w:tc>
                <w:tcPr>
                  <w:tcW w:w="79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D75B7" w:rsidRPr="00FD75B7" w:rsidRDefault="00FD75B7" w:rsidP="00FD75B7">
                  <w:pPr>
                    <w:jc w:val="center"/>
                    <w:rPr>
                      <w:b/>
                      <w:bCs/>
                      <w:sz w:val="20"/>
                      <w:szCs w:val="20"/>
                    </w:rPr>
                  </w:pPr>
                  <w:r w:rsidRPr="00FD75B7">
                    <w:rPr>
                      <w:b/>
                      <w:bCs/>
                      <w:sz w:val="20"/>
                      <w:szCs w:val="20"/>
                    </w:rPr>
                    <w:t>2</w:t>
                  </w:r>
                </w:p>
              </w:tc>
              <w:tc>
                <w:tcPr>
                  <w:tcW w:w="8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D75B7" w:rsidRPr="00FD75B7" w:rsidRDefault="00FD75B7" w:rsidP="00FD75B7">
                  <w:pPr>
                    <w:jc w:val="center"/>
                    <w:rPr>
                      <w:b/>
                      <w:bCs/>
                      <w:sz w:val="20"/>
                      <w:szCs w:val="20"/>
                    </w:rPr>
                  </w:pPr>
                  <w:r w:rsidRPr="00FD75B7">
                    <w:rPr>
                      <w:b/>
                      <w:bCs/>
                      <w:sz w:val="20"/>
                      <w:szCs w:val="20"/>
                    </w:rPr>
                    <w:t>I</w:t>
                  </w:r>
                </w:p>
              </w:tc>
              <w:tc>
                <w:tcPr>
                  <w:tcW w:w="8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D75B7" w:rsidRPr="00FD75B7" w:rsidRDefault="00FD75B7" w:rsidP="00FD75B7">
                  <w:pPr>
                    <w:jc w:val="center"/>
                    <w:rPr>
                      <w:b/>
                      <w:bCs/>
                      <w:sz w:val="20"/>
                      <w:szCs w:val="20"/>
                    </w:rPr>
                  </w:pPr>
                  <w:r w:rsidRPr="00FD75B7">
                    <w:rPr>
                      <w:b/>
                      <w:bCs/>
                      <w:sz w:val="20"/>
                      <w:szCs w:val="20"/>
                    </w:rPr>
                    <w:t>9</w:t>
                  </w:r>
                </w:p>
              </w:tc>
              <w:tc>
                <w:tcPr>
                  <w:tcW w:w="129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D75B7" w:rsidRPr="00FD75B7" w:rsidRDefault="00FD75B7" w:rsidP="00FD75B7">
                  <w:pPr>
                    <w:jc w:val="center"/>
                    <w:rPr>
                      <w:b/>
                      <w:bCs/>
                      <w:sz w:val="20"/>
                      <w:szCs w:val="20"/>
                    </w:rPr>
                  </w:pPr>
                  <w:r w:rsidRPr="00FD75B7">
                    <w:rPr>
                      <w:b/>
                      <w:bCs/>
                      <w:sz w:val="20"/>
                      <w:szCs w:val="20"/>
                    </w:rPr>
                    <w:t>595</w:t>
                  </w:r>
                </w:p>
              </w:tc>
              <w:tc>
                <w:tcPr>
                  <w:tcW w:w="107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D75B7" w:rsidRPr="00FD75B7" w:rsidRDefault="00FD75B7" w:rsidP="00FD75B7">
                  <w:pPr>
                    <w:jc w:val="center"/>
                    <w:rPr>
                      <w:sz w:val="20"/>
                      <w:szCs w:val="20"/>
                    </w:rPr>
                  </w:pPr>
                  <w:r w:rsidRPr="00FD75B7">
                    <w:rPr>
                      <w:sz w:val="20"/>
                      <w:szCs w:val="20"/>
                    </w:rPr>
                    <w:t>71 400</w:t>
                  </w:r>
                </w:p>
              </w:tc>
              <w:tc>
                <w:tcPr>
                  <w:tcW w:w="141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D75B7" w:rsidRPr="00FD75B7" w:rsidRDefault="00FD75B7" w:rsidP="00FD75B7">
                  <w:pPr>
                    <w:jc w:val="center"/>
                    <w:rPr>
                      <w:sz w:val="20"/>
                      <w:szCs w:val="20"/>
                    </w:rPr>
                  </w:pPr>
                  <w:r w:rsidRPr="00FD75B7">
                    <w:rPr>
                      <w:sz w:val="20"/>
                      <w:szCs w:val="20"/>
                    </w:rPr>
                    <w:t>1 190</w:t>
                  </w:r>
                </w:p>
              </w:tc>
              <w:tc>
                <w:tcPr>
                  <w:tcW w:w="135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D75B7" w:rsidRPr="00FD75B7" w:rsidRDefault="00FD75B7" w:rsidP="00FD75B7">
                  <w:pPr>
                    <w:jc w:val="center"/>
                    <w:rPr>
                      <w:sz w:val="20"/>
                      <w:szCs w:val="20"/>
                    </w:rPr>
                  </w:pPr>
                  <w:r w:rsidRPr="00FD75B7">
                    <w:rPr>
                      <w:sz w:val="20"/>
                      <w:szCs w:val="20"/>
                    </w:rPr>
                    <w:t>2 975</w:t>
                  </w:r>
                </w:p>
              </w:tc>
              <w:tc>
                <w:tcPr>
                  <w:tcW w:w="113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D75B7" w:rsidRPr="00FD75B7" w:rsidRDefault="00FD75B7" w:rsidP="00FD75B7">
                  <w:pPr>
                    <w:jc w:val="center"/>
                    <w:rPr>
                      <w:sz w:val="20"/>
                      <w:szCs w:val="20"/>
                    </w:rPr>
                  </w:pPr>
                  <w:r w:rsidRPr="00FD75B7">
                    <w:rPr>
                      <w:sz w:val="20"/>
                      <w:szCs w:val="20"/>
                    </w:rPr>
                    <w:t>75 565</w:t>
                  </w:r>
                </w:p>
              </w:tc>
              <w:tc>
                <w:tcPr>
                  <w:tcW w:w="117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D75B7" w:rsidRPr="00FD75B7" w:rsidRDefault="00FD75B7" w:rsidP="00FD75B7">
                  <w:pPr>
                    <w:jc w:val="center"/>
                    <w:rPr>
                      <w:sz w:val="20"/>
                      <w:szCs w:val="20"/>
                    </w:rPr>
                  </w:pPr>
                  <w:r w:rsidRPr="00FD75B7">
                    <w:rPr>
                      <w:sz w:val="20"/>
                      <w:szCs w:val="20"/>
                    </w:rPr>
                    <w:t>17 826</w:t>
                  </w:r>
                </w:p>
              </w:tc>
              <w:tc>
                <w:tcPr>
                  <w:tcW w:w="119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FD75B7" w:rsidRPr="00FD75B7" w:rsidRDefault="00FD75B7" w:rsidP="00FD75B7">
                  <w:pPr>
                    <w:jc w:val="center"/>
                    <w:rPr>
                      <w:sz w:val="20"/>
                      <w:szCs w:val="20"/>
                    </w:rPr>
                  </w:pPr>
                  <w:r w:rsidRPr="00FD75B7">
                    <w:rPr>
                      <w:sz w:val="20"/>
                      <w:szCs w:val="20"/>
                    </w:rPr>
                    <w:t>93 391</w:t>
                  </w:r>
                </w:p>
              </w:tc>
            </w:tr>
            <w:tr w:rsidR="00FD75B7" w:rsidRPr="00FD75B7" w:rsidTr="00FD75B7">
              <w:trPr>
                <w:trHeight w:val="525"/>
              </w:trPr>
              <w:tc>
                <w:tcPr>
                  <w:tcW w:w="233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FD75B7" w:rsidRPr="00FD75B7" w:rsidRDefault="00FD75B7" w:rsidP="00FD75B7">
                  <w:pPr>
                    <w:jc w:val="center"/>
                    <w:rPr>
                      <w:b/>
                      <w:bCs/>
                      <w:sz w:val="20"/>
                      <w:szCs w:val="20"/>
                    </w:rPr>
                  </w:pPr>
                  <w:r w:rsidRPr="00FD75B7">
                    <w:rPr>
                      <w:b/>
                      <w:bCs/>
                      <w:sz w:val="20"/>
                      <w:szCs w:val="20"/>
                    </w:rPr>
                    <w:t>Kopā PMLP (Ls)</w:t>
                  </w:r>
                </w:p>
              </w:tc>
              <w:tc>
                <w:tcPr>
                  <w:tcW w:w="83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FD75B7" w:rsidRPr="00FD75B7" w:rsidRDefault="00FD75B7" w:rsidP="00FD75B7">
                  <w:pPr>
                    <w:jc w:val="center"/>
                    <w:rPr>
                      <w:b/>
                      <w:bCs/>
                      <w:sz w:val="20"/>
                      <w:szCs w:val="20"/>
                    </w:rPr>
                  </w:pPr>
                  <w:r w:rsidRPr="00FD75B7">
                    <w:rPr>
                      <w:b/>
                      <w:bCs/>
                      <w:sz w:val="20"/>
                      <w:szCs w:val="20"/>
                    </w:rPr>
                    <w:t>10</w:t>
                  </w:r>
                </w:p>
              </w:tc>
              <w:tc>
                <w:tcPr>
                  <w:tcW w:w="75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FD75B7" w:rsidRPr="00FD75B7" w:rsidRDefault="00FD75B7" w:rsidP="00FD75B7">
                  <w:pPr>
                    <w:jc w:val="center"/>
                    <w:rPr>
                      <w:b/>
                      <w:bCs/>
                      <w:sz w:val="20"/>
                      <w:szCs w:val="20"/>
                    </w:rPr>
                  </w:pPr>
                </w:p>
              </w:tc>
              <w:tc>
                <w:tcPr>
                  <w:tcW w:w="79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FD75B7" w:rsidRPr="00FD75B7" w:rsidRDefault="00FD75B7" w:rsidP="00FD75B7">
                  <w:pPr>
                    <w:jc w:val="center"/>
                    <w:rPr>
                      <w:b/>
                      <w:bCs/>
                      <w:sz w:val="20"/>
                      <w:szCs w:val="20"/>
                    </w:rPr>
                  </w:pPr>
                </w:p>
              </w:tc>
              <w:tc>
                <w:tcPr>
                  <w:tcW w:w="80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FD75B7" w:rsidRPr="00FD75B7" w:rsidRDefault="00FD75B7" w:rsidP="00FD75B7">
                  <w:pPr>
                    <w:jc w:val="center"/>
                    <w:rPr>
                      <w:b/>
                      <w:bCs/>
                      <w:sz w:val="20"/>
                      <w:szCs w:val="20"/>
                    </w:rPr>
                  </w:pPr>
                </w:p>
              </w:tc>
              <w:tc>
                <w:tcPr>
                  <w:tcW w:w="80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FD75B7" w:rsidRPr="00FD75B7" w:rsidRDefault="00FD75B7" w:rsidP="00FD75B7">
                  <w:pPr>
                    <w:jc w:val="center"/>
                    <w:rPr>
                      <w:b/>
                      <w:bCs/>
                      <w:sz w:val="20"/>
                      <w:szCs w:val="20"/>
                    </w:rPr>
                  </w:pPr>
                </w:p>
              </w:tc>
              <w:tc>
                <w:tcPr>
                  <w:tcW w:w="129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FD75B7" w:rsidRPr="00FD75B7" w:rsidRDefault="00FD75B7" w:rsidP="00FD75B7">
                  <w:pPr>
                    <w:jc w:val="center"/>
                    <w:rPr>
                      <w:b/>
                      <w:bCs/>
                      <w:sz w:val="20"/>
                      <w:szCs w:val="20"/>
                    </w:rPr>
                  </w:pPr>
                </w:p>
              </w:tc>
              <w:tc>
                <w:tcPr>
                  <w:tcW w:w="107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FD75B7" w:rsidRPr="00FD75B7" w:rsidRDefault="00FD75B7" w:rsidP="00FD75B7">
                  <w:pPr>
                    <w:jc w:val="center"/>
                    <w:rPr>
                      <w:b/>
                      <w:bCs/>
                      <w:sz w:val="20"/>
                      <w:szCs w:val="20"/>
                    </w:rPr>
                  </w:pPr>
                  <w:r w:rsidRPr="00FD75B7">
                    <w:rPr>
                      <w:b/>
                      <w:bCs/>
                      <w:sz w:val="20"/>
                      <w:szCs w:val="20"/>
                    </w:rPr>
                    <w:t>71 400</w:t>
                  </w:r>
                </w:p>
              </w:tc>
              <w:tc>
                <w:tcPr>
                  <w:tcW w:w="141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FD75B7" w:rsidRPr="00FD75B7" w:rsidRDefault="00FD75B7" w:rsidP="00FD75B7">
                  <w:pPr>
                    <w:jc w:val="center"/>
                    <w:rPr>
                      <w:b/>
                      <w:bCs/>
                      <w:sz w:val="20"/>
                      <w:szCs w:val="20"/>
                    </w:rPr>
                  </w:pPr>
                  <w:r w:rsidRPr="00FD75B7">
                    <w:rPr>
                      <w:b/>
                      <w:bCs/>
                      <w:sz w:val="20"/>
                      <w:szCs w:val="20"/>
                    </w:rPr>
                    <w:t>1 190</w:t>
                  </w:r>
                </w:p>
              </w:tc>
              <w:tc>
                <w:tcPr>
                  <w:tcW w:w="135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FD75B7" w:rsidRPr="00FD75B7" w:rsidRDefault="00FD75B7" w:rsidP="00FD75B7">
                  <w:pPr>
                    <w:jc w:val="center"/>
                    <w:rPr>
                      <w:b/>
                      <w:bCs/>
                      <w:sz w:val="20"/>
                      <w:szCs w:val="20"/>
                    </w:rPr>
                  </w:pPr>
                  <w:r w:rsidRPr="00FD75B7">
                    <w:rPr>
                      <w:b/>
                      <w:bCs/>
                      <w:sz w:val="20"/>
                      <w:szCs w:val="20"/>
                    </w:rPr>
                    <w:t>2 975</w:t>
                  </w:r>
                </w:p>
              </w:tc>
              <w:tc>
                <w:tcPr>
                  <w:tcW w:w="113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FD75B7" w:rsidRPr="00FD75B7" w:rsidRDefault="00FD75B7" w:rsidP="00FD75B7">
                  <w:pPr>
                    <w:jc w:val="center"/>
                    <w:rPr>
                      <w:b/>
                      <w:bCs/>
                      <w:sz w:val="20"/>
                      <w:szCs w:val="20"/>
                    </w:rPr>
                  </w:pPr>
                  <w:r w:rsidRPr="00FD75B7">
                    <w:rPr>
                      <w:b/>
                      <w:bCs/>
                      <w:sz w:val="20"/>
                      <w:szCs w:val="20"/>
                    </w:rPr>
                    <w:t>75 565</w:t>
                  </w:r>
                </w:p>
              </w:tc>
              <w:tc>
                <w:tcPr>
                  <w:tcW w:w="117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FD75B7" w:rsidRPr="00FD75B7" w:rsidRDefault="00FD75B7" w:rsidP="00FD75B7">
                  <w:pPr>
                    <w:jc w:val="center"/>
                    <w:rPr>
                      <w:b/>
                      <w:bCs/>
                      <w:sz w:val="20"/>
                      <w:szCs w:val="20"/>
                    </w:rPr>
                  </w:pPr>
                  <w:r w:rsidRPr="00FD75B7">
                    <w:rPr>
                      <w:b/>
                      <w:bCs/>
                      <w:sz w:val="20"/>
                      <w:szCs w:val="20"/>
                    </w:rPr>
                    <w:t>17 826</w:t>
                  </w:r>
                </w:p>
              </w:tc>
              <w:tc>
                <w:tcPr>
                  <w:tcW w:w="119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FD75B7" w:rsidRPr="00FD75B7" w:rsidRDefault="00FD75B7" w:rsidP="00FD75B7">
                  <w:pPr>
                    <w:jc w:val="center"/>
                    <w:rPr>
                      <w:b/>
                      <w:bCs/>
                      <w:sz w:val="20"/>
                      <w:szCs w:val="20"/>
                    </w:rPr>
                  </w:pPr>
                  <w:r w:rsidRPr="00FD75B7">
                    <w:rPr>
                      <w:b/>
                      <w:bCs/>
                      <w:sz w:val="20"/>
                      <w:szCs w:val="20"/>
                    </w:rPr>
                    <w:t>93 391</w:t>
                  </w:r>
                </w:p>
              </w:tc>
            </w:tr>
            <w:tr w:rsidR="00FD75B7" w:rsidRPr="00FD75B7" w:rsidTr="00FD75B7">
              <w:trPr>
                <w:trHeight w:val="315"/>
              </w:trPr>
              <w:tc>
                <w:tcPr>
                  <w:tcW w:w="233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FD75B7" w:rsidRPr="00FD75B7" w:rsidRDefault="00FD75B7" w:rsidP="00FD75B7">
                  <w:pPr>
                    <w:jc w:val="center"/>
                    <w:rPr>
                      <w:b/>
                      <w:bCs/>
                      <w:sz w:val="20"/>
                      <w:szCs w:val="20"/>
                    </w:rPr>
                  </w:pPr>
                  <w:r w:rsidRPr="00FD75B7">
                    <w:rPr>
                      <w:b/>
                      <w:bCs/>
                      <w:sz w:val="20"/>
                      <w:szCs w:val="20"/>
                    </w:rPr>
                    <w:t>Kopā PMLP (EURO)</w:t>
                  </w:r>
                </w:p>
              </w:tc>
              <w:tc>
                <w:tcPr>
                  <w:tcW w:w="838" w:type="dxa"/>
                  <w:tcBorders>
                    <w:top w:val="nil"/>
                    <w:left w:val="nil"/>
                    <w:bottom w:val="nil"/>
                    <w:right w:val="nil"/>
                  </w:tcBorders>
                  <w:shd w:val="clear" w:color="auto" w:fill="auto"/>
                  <w:noWrap/>
                  <w:tcMar>
                    <w:left w:w="0" w:type="dxa"/>
                    <w:right w:w="0" w:type="dxa"/>
                  </w:tcMar>
                  <w:vAlign w:val="bottom"/>
                  <w:hideMark/>
                </w:tcPr>
                <w:p w:rsidR="00FD75B7" w:rsidRPr="00FD75B7" w:rsidRDefault="00FD75B7" w:rsidP="00FD75B7">
                  <w:pPr>
                    <w:jc w:val="center"/>
                    <w:rPr>
                      <w:b/>
                      <w:bCs/>
                      <w:color w:val="000000"/>
                      <w:sz w:val="20"/>
                      <w:szCs w:val="20"/>
                    </w:rPr>
                  </w:pPr>
                </w:p>
              </w:tc>
              <w:tc>
                <w:tcPr>
                  <w:tcW w:w="758" w:type="dxa"/>
                  <w:tcBorders>
                    <w:top w:val="nil"/>
                    <w:left w:val="nil"/>
                    <w:bottom w:val="nil"/>
                    <w:right w:val="nil"/>
                  </w:tcBorders>
                  <w:shd w:val="clear" w:color="auto" w:fill="auto"/>
                  <w:noWrap/>
                  <w:tcMar>
                    <w:left w:w="0" w:type="dxa"/>
                    <w:right w:w="0" w:type="dxa"/>
                  </w:tcMar>
                  <w:vAlign w:val="bottom"/>
                  <w:hideMark/>
                </w:tcPr>
                <w:p w:rsidR="00FD75B7" w:rsidRPr="00FD75B7" w:rsidRDefault="00FD75B7" w:rsidP="00FD75B7">
                  <w:pPr>
                    <w:jc w:val="center"/>
                    <w:rPr>
                      <w:b/>
                      <w:bCs/>
                      <w:color w:val="000000"/>
                      <w:sz w:val="20"/>
                      <w:szCs w:val="20"/>
                    </w:rPr>
                  </w:pPr>
                </w:p>
              </w:tc>
              <w:tc>
                <w:tcPr>
                  <w:tcW w:w="798" w:type="dxa"/>
                  <w:tcBorders>
                    <w:top w:val="nil"/>
                    <w:left w:val="nil"/>
                    <w:bottom w:val="nil"/>
                    <w:right w:val="nil"/>
                  </w:tcBorders>
                  <w:shd w:val="clear" w:color="auto" w:fill="auto"/>
                  <w:noWrap/>
                  <w:tcMar>
                    <w:left w:w="0" w:type="dxa"/>
                    <w:right w:w="0" w:type="dxa"/>
                  </w:tcMar>
                  <w:vAlign w:val="bottom"/>
                  <w:hideMark/>
                </w:tcPr>
                <w:p w:rsidR="00FD75B7" w:rsidRPr="00FD75B7" w:rsidRDefault="00FD75B7" w:rsidP="00FD75B7">
                  <w:pPr>
                    <w:jc w:val="center"/>
                    <w:rPr>
                      <w:b/>
                      <w:bCs/>
                      <w:color w:val="000000"/>
                      <w:sz w:val="20"/>
                      <w:szCs w:val="20"/>
                    </w:rPr>
                  </w:pPr>
                </w:p>
              </w:tc>
              <w:tc>
                <w:tcPr>
                  <w:tcW w:w="800" w:type="dxa"/>
                  <w:tcBorders>
                    <w:top w:val="nil"/>
                    <w:left w:val="nil"/>
                    <w:bottom w:val="nil"/>
                    <w:right w:val="nil"/>
                  </w:tcBorders>
                  <w:shd w:val="clear" w:color="auto" w:fill="auto"/>
                  <w:noWrap/>
                  <w:tcMar>
                    <w:left w:w="0" w:type="dxa"/>
                    <w:right w:w="0" w:type="dxa"/>
                  </w:tcMar>
                  <w:vAlign w:val="bottom"/>
                  <w:hideMark/>
                </w:tcPr>
                <w:p w:rsidR="00FD75B7" w:rsidRPr="00FD75B7" w:rsidRDefault="00FD75B7" w:rsidP="00FD75B7">
                  <w:pPr>
                    <w:jc w:val="center"/>
                    <w:rPr>
                      <w:b/>
                      <w:bCs/>
                      <w:color w:val="000000"/>
                      <w:sz w:val="20"/>
                      <w:szCs w:val="20"/>
                    </w:rPr>
                  </w:pPr>
                </w:p>
              </w:tc>
              <w:tc>
                <w:tcPr>
                  <w:tcW w:w="800" w:type="dxa"/>
                  <w:tcBorders>
                    <w:top w:val="nil"/>
                    <w:left w:val="nil"/>
                    <w:bottom w:val="nil"/>
                    <w:right w:val="nil"/>
                  </w:tcBorders>
                  <w:shd w:val="clear" w:color="auto" w:fill="auto"/>
                  <w:noWrap/>
                  <w:tcMar>
                    <w:left w:w="0" w:type="dxa"/>
                    <w:right w:w="0" w:type="dxa"/>
                  </w:tcMar>
                  <w:vAlign w:val="bottom"/>
                  <w:hideMark/>
                </w:tcPr>
                <w:p w:rsidR="00FD75B7" w:rsidRPr="00FD75B7" w:rsidRDefault="00FD75B7" w:rsidP="00FD75B7">
                  <w:pPr>
                    <w:jc w:val="center"/>
                    <w:rPr>
                      <w:b/>
                      <w:bCs/>
                      <w:color w:val="000000"/>
                      <w:sz w:val="20"/>
                      <w:szCs w:val="20"/>
                    </w:rPr>
                  </w:pPr>
                </w:p>
              </w:tc>
              <w:tc>
                <w:tcPr>
                  <w:tcW w:w="1298" w:type="dxa"/>
                  <w:tcBorders>
                    <w:top w:val="nil"/>
                    <w:left w:val="nil"/>
                    <w:bottom w:val="nil"/>
                    <w:right w:val="nil"/>
                  </w:tcBorders>
                  <w:shd w:val="clear" w:color="auto" w:fill="auto"/>
                  <w:noWrap/>
                  <w:tcMar>
                    <w:left w:w="0" w:type="dxa"/>
                    <w:right w:w="0" w:type="dxa"/>
                  </w:tcMar>
                  <w:vAlign w:val="bottom"/>
                  <w:hideMark/>
                </w:tcPr>
                <w:p w:rsidR="00FD75B7" w:rsidRPr="00FD75B7" w:rsidRDefault="00FD75B7" w:rsidP="00FD75B7">
                  <w:pPr>
                    <w:jc w:val="center"/>
                    <w:rPr>
                      <w:b/>
                      <w:bCs/>
                      <w:color w:val="000000"/>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hideMark/>
                </w:tcPr>
                <w:p w:rsidR="00FD75B7" w:rsidRPr="00FD75B7" w:rsidRDefault="00FD75B7" w:rsidP="00FD75B7">
                  <w:pPr>
                    <w:jc w:val="center"/>
                    <w:rPr>
                      <w:b/>
                      <w:bCs/>
                      <w:sz w:val="20"/>
                      <w:szCs w:val="20"/>
                    </w:rPr>
                  </w:pPr>
                  <w:r w:rsidRPr="00FD75B7">
                    <w:rPr>
                      <w:b/>
                      <w:bCs/>
                      <w:sz w:val="20"/>
                      <w:szCs w:val="20"/>
                    </w:rPr>
                    <w:t>101593</w:t>
                  </w:r>
                </w:p>
              </w:tc>
              <w:tc>
                <w:tcPr>
                  <w:tcW w:w="1418"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bottom"/>
                  <w:hideMark/>
                </w:tcPr>
                <w:p w:rsidR="00FD75B7" w:rsidRPr="00FD75B7" w:rsidRDefault="00FD75B7" w:rsidP="00FD75B7">
                  <w:pPr>
                    <w:jc w:val="center"/>
                    <w:rPr>
                      <w:b/>
                      <w:bCs/>
                      <w:sz w:val="20"/>
                      <w:szCs w:val="20"/>
                    </w:rPr>
                  </w:pPr>
                  <w:r w:rsidRPr="00FD75B7">
                    <w:rPr>
                      <w:b/>
                      <w:bCs/>
                      <w:sz w:val="20"/>
                      <w:szCs w:val="20"/>
                    </w:rPr>
                    <w:t>1 693</w:t>
                  </w:r>
                </w:p>
              </w:tc>
              <w:tc>
                <w:tcPr>
                  <w:tcW w:w="135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bottom"/>
                  <w:hideMark/>
                </w:tcPr>
                <w:p w:rsidR="00FD75B7" w:rsidRPr="00FD75B7" w:rsidRDefault="00FD75B7" w:rsidP="00FD75B7">
                  <w:pPr>
                    <w:jc w:val="center"/>
                    <w:rPr>
                      <w:b/>
                      <w:bCs/>
                      <w:sz w:val="20"/>
                      <w:szCs w:val="20"/>
                    </w:rPr>
                  </w:pPr>
                  <w:r w:rsidRPr="00FD75B7">
                    <w:rPr>
                      <w:b/>
                      <w:bCs/>
                      <w:sz w:val="20"/>
                      <w:szCs w:val="20"/>
                    </w:rPr>
                    <w:t>4 233</w:t>
                  </w:r>
                </w:p>
              </w:tc>
              <w:tc>
                <w:tcPr>
                  <w:tcW w:w="1138"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bottom"/>
                  <w:hideMark/>
                </w:tcPr>
                <w:p w:rsidR="00FD75B7" w:rsidRPr="00FD75B7" w:rsidRDefault="00FD75B7" w:rsidP="00FD75B7">
                  <w:pPr>
                    <w:jc w:val="center"/>
                    <w:rPr>
                      <w:b/>
                      <w:bCs/>
                      <w:sz w:val="20"/>
                      <w:szCs w:val="20"/>
                    </w:rPr>
                  </w:pPr>
                  <w:r w:rsidRPr="00FD75B7">
                    <w:rPr>
                      <w:b/>
                      <w:bCs/>
                      <w:sz w:val="20"/>
                      <w:szCs w:val="20"/>
                    </w:rPr>
                    <w:t>107519</w:t>
                  </w:r>
                </w:p>
              </w:tc>
              <w:tc>
                <w:tcPr>
                  <w:tcW w:w="1178"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bottom"/>
                  <w:hideMark/>
                </w:tcPr>
                <w:p w:rsidR="00FD75B7" w:rsidRPr="00FD75B7" w:rsidRDefault="00FD75B7" w:rsidP="00FD75B7">
                  <w:pPr>
                    <w:jc w:val="center"/>
                    <w:rPr>
                      <w:b/>
                      <w:bCs/>
                      <w:sz w:val="20"/>
                      <w:szCs w:val="20"/>
                    </w:rPr>
                  </w:pPr>
                  <w:r w:rsidRPr="00FD75B7">
                    <w:rPr>
                      <w:b/>
                      <w:bCs/>
                      <w:sz w:val="20"/>
                      <w:szCs w:val="20"/>
                    </w:rPr>
                    <w:t>25 364</w:t>
                  </w:r>
                </w:p>
              </w:tc>
              <w:tc>
                <w:tcPr>
                  <w:tcW w:w="1198"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bottom"/>
                  <w:hideMark/>
                </w:tcPr>
                <w:p w:rsidR="00FD75B7" w:rsidRPr="00FD75B7" w:rsidRDefault="00FD75B7" w:rsidP="00FD75B7">
                  <w:pPr>
                    <w:jc w:val="center"/>
                    <w:rPr>
                      <w:b/>
                      <w:bCs/>
                      <w:sz w:val="20"/>
                      <w:szCs w:val="20"/>
                    </w:rPr>
                  </w:pPr>
                  <w:r w:rsidRPr="00FD75B7">
                    <w:rPr>
                      <w:b/>
                      <w:bCs/>
                      <w:sz w:val="20"/>
                      <w:szCs w:val="20"/>
                    </w:rPr>
                    <w:t>132 883</w:t>
                  </w:r>
                </w:p>
              </w:tc>
            </w:tr>
          </w:tbl>
          <w:p w:rsidR="00FD75B7" w:rsidRDefault="00FD75B7" w:rsidP="0081544A">
            <w:pPr>
              <w:pStyle w:val="ListParagraph"/>
              <w:ind w:left="0"/>
              <w:jc w:val="both"/>
              <w:rPr>
                <w:rFonts w:ascii="Times New Roman" w:hAnsi="Times New Roman"/>
                <w:sz w:val="20"/>
                <w:szCs w:val="20"/>
              </w:rPr>
            </w:pPr>
          </w:p>
          <w:p w:rsidR="00FD75B7" w:rsidRDefault="00FD75B7" w:rsidP="0081544A">
            <w:pPr>
              <w:pStyle w:val="ListParagraph"/>
              <w:ind w:left="0"/>
              <w:jc w:val="both"/>
              <w:rPr>
                <w:rFonts w:ascii="Times New Roman" w:hAnsi="Times New Roman"/>
                <w:sz w:val="24"/>
                <w:szCs w:val="24"/>
              </w:rPr>
            </w:pPr>
            <w:r>
              <w:rPr>
                <w:rFonts w:ascii="Times New Roman" w:hAnsi="Times New Roman"/>
                <w:sz w:val="24"/>
                <w:szCs w:val="24"/>
              </w:rPr>
              <w:t xml:space="preserve">ĀM: </w:t>
            </w:r>
            <w:r w:rsidRPr="0081544A">
              <w:rPr>
                <w:rFonts w:ascii="Times New Roman" w:hAnsi="Times New Roman"/>
                <w:sz w:val="24"/>
                <w:szCs w:val="24"/>
              </w:rPr>
              <w:t xml:space="preserve">prioritārā pasākuma „Sadarbības ar diasporu stiprināšana, diasporas ieguldījuma Latvijas attīstībā veicināšana, vēstniecību sadarbības ar diasporu paplašināšana un Pilsonības likuma grozījumu īstenošana” </w:t>
            </w:r>
            <w:r>
              <w:rPr>
                <w:rFonts w:ascii="Times New Roman" w:hAnsi="Times New Roman"/>
                <w:sz w:val="24"/>
                <w:szCs w:val="24"/>
              </w:rPr>
              <w:t xml:space="preserve">daļēju </w:t>
            </w:r>
            <w:r w:rsidRPr="0081544A">
              <w:rPr>
                <w:rFonts w:ascii="Times New Roman" w:hAnsi="Times New Roman"/>
                <w:sz w:val="24"/>
                <w:szCs w:val="24"/>
              </w:rPr>
              <w:t>izdevumu segšanai</w:t>
            </w:r>
            <w:r>
              <w:rPr>
                <w:rFonts w:ascii="Times New Roman" w:hAnsi="Times New Roman"/>
                <w:sz w:val="24"/>
                <w:szCs w:val="24"/>
              </w:rPr>
              <w:t>:</w:t>
            </w:r>
          </w:p>
          <w:p w:rsidR="00FD75B7" w:rsidRDefault="00FD75B7" w:rsidP="0081544A">
            <w:pPr>
              <w:pStyle w:val="ListParagraph"/>
              <w:ind w:left="0"/>
              <w:jc w:val="both"/>
              <w:rPr>
                <w:rFonts w:ascii="Times New Roman" w:hAnsi="Times New Roman"/>
                <w:sz w:val="24"/>
                <w:szCs w:val="24"/>
              </w:rPr>
            </w:pPr>
          </w:p>
          <w:p w:rsidR="00FD75B7" w:rsidRDefault="00FD75B7" w:rsidP="0081544A">
            <w:pPr>
              <w:pStyle w:val="ListParagraph"/>
              <w:ind w:left="0"/>
              <w:jc w:val="both"/>
              <w:rPr>
                <w:rFonts w:ascii="Times New Roman" w:hAnsi="Times New Roman"/>
                <w:sz w:val="24"/>
                <w:szCs w:val="24"/>
              </w:rPr>
            </w:pPr>
            <w:r>
              <w:rPr>
                <w:rFonts w:ascii="Times New Roman" w:hAnsi="Times New Roman"/>
                <w:sz w:val="24"/>
                <w:szCs w:val="24"/>
              </w:rPr>
              <w:t xml:space="preserve">2014.gadā - </w:t>
            </w:r>
            <w:r w:rsidRPr="0081544A">
              <w:rPr>
                <w:rFonts w:ascii="Times New Roman" w:hAnsi="Times New Roman"/>
                <w:sz w:val="24"/>
                <w:szCs w:val="24"/>
              </w:rPr>
              <w:t>325 000 EUR</w:t>
            </w:r>
            <w:r>
              <w:rPr>
                <w:rFonts w:ascii="Times New Roman" w:hAnsi="Times New Roman"/>
                <w:sz w:val="24"/>
                <w:szCs w:val="24"/>
              </w:rPr>
              <w:t>;</w:t>
            </w:r>
          </w:p>
          <w:p w:rsidR="00FD75B7" w:rsidRDefault="00FD75B7" w:rsidP="0081544A">
            <w:pPr>
              <w:pStyle w:val="ListParagraph"/>
              <w:ind w:left="0"/>
              <w:jc w:val="both"/>
              <w:rPr>
                <w:rFonts w:ascii="Times New Roman" w:hAnsi="Times New Roman"/>
                <w:sz w:val="24"/>
                <w:szCs w:val="24"/>
              </w:rPr>
            </w:pPr>
            <w:r>
              <w:rPr>
                <w:rFonts w:ascii="Times New Roman" w:hAnsi="Times New Roman"/>
                <w:sz w:val="24"/>
                <w:szCs w:val="24"/>
              </w:rPr>
              <w:t xml:space="preserve">2015.gadā - </w:t>
            </w:r>
            <w:r w:rsidRPr="0081544A">
              <w:rPr>
                <w:rFonts w:ascii="Times New Roman" w:hAnsi="Times New Roman"/>
                <w:sz w:val="24"/>
                <w:szCs w:val="24"/>
              </w:rPr>
              <w:t>260 000 EUR</w:t>
            </w:r>
            <w:r>
              <w:rPr>
                <w:rFonts w:ascii="Times New Roman" w:hAnsi="Times New Roman"/>
                <w:sz w:val="24"/>
                <w:szCs w:val="24"/>
              </w:rPr>
              <w:t>;</w:t>
            </w:r>
          </w:p>
          <w:p w:rsidR="00FD75B7" w:rsidRPr="002E5B2F" w:rsidRDefault="00FD75B7" w:rsidP="0081544A">
            <w:pPr>
              <w:pStyle w:val="ListParagraph"/>
              <w:ind w:left="0"/>
              <w:jc w:val="both"/>
              <w:rPr>
                <w:rFonts w:ascii="Times New Roman" w:hAnsi="Times New Roman"/>
                <w:sz w:val="24"/>
                <w:szCs w:val="24"/>
              </w:rPr>
            </w:pPr>
            <w:r>
              <w:rPr>
                <w:rFonts w:ascii="Times New Roman" w:hAnsi="Times New Roman"/>
                <w:sz w:val="24"/>
                <w:szCs w:val="24"/>
              </w:rPr>
              <w:t xml:space="preserve">2016.gadā - </w:t>
            </w:r>
            <w:r w:rsidRPr="0081544A">
              <w:rPr>
                <w:rFonts w:ascii="Times New Roman" w:hAnsi="Times New Roman"/>
                <w:sz w:val="24"/>
                <w:szCs w:val="24"/>
              </w:rPr>
              <w:t>260 000 EUR</w:t>
            </w:r>
            <w:r>
              <w:rPr>
                <w:rFonts w:ascii="Times New Roman" w:hAnsi="Times New Roman"/>
                <w:sz w:val="24"/>
                <w:szCs w:val="24"/>
              </w:rPr>
              <w:t>.</w:t>
            </w:r>
          </w:p>
        </w:tc>
      </w:tr>
      <w:tr w:rsidR="0081544A" w:rsidRPr="002E5B2F" w:rsidTr="00FD75B7">
        <w:tc>
          <w:tcPr>
            <w:tcW w:w="1239" w:type="pct"/>
            <w:tcBorders>
              <w:top w:val="outset" w:sz="6" w:space="0" w:color="000000"/>
              <w:left w:val="outset" w:sz="6" w:space="0" w:color="000000"/>
              <w:bottom w:val="outset" w:sz="6" w:space="0" w:color="000000"/>
              <w:right w:val="outset" w:sz="6" w:space="0" w:color="000000"/>
            </w:tcBorders>
            <w:hideMark/>
          </w:tcPr>
          <w:p w:rsidR="0081544A" w:rsidRPr="002E5B2F" w:rsidRDefault="0081544A">
            <w:pPr>
              <w:pStyle w:val="NormalWeb"/>
            </w:pPr>
            <w:r w:rsidRPr="002E5B2F">
              <w:lastRenderedPageBreak/>
              <w:t>7. Cita informācija</w:t>
            </w:r>
          </w:p>
        </w:tc>
        <w:tc>
          <w:tcPr>
            <w:tcW w:w="3761" w:type="pct"/>
            <w:gridSpan w:val="5"/>
            <w:tcBorders>
              <w:top w:val="outset" w:sz="6" w:space="0" w:color="000000"/>
              <w:left w:val="outset" w:sz="6" w:space="0" w:color="000000"/>
              <w:bottom w:val="outset" w:sz="6" w:space="0" w:color="000000"/>
              <w:right w:val="outset" w:sz="6" w:space="0" w:color="000000"/>
            </w:tcBorders>
            <w:hideMark/>
          </w:tcPr>
          <w:p w:rsidR="0081544A" w:rsidRPr="002E5B2F" w:rsidRDefault="008068B9" w:rsidP="008068B9">
            <w:pPr>
              <w:pStyle w:val="Heading1"/>
              <w:spacing w:before="0" w:after="0"/>
            </w:pPr>
            <w:r>
              <w:rPr>
                <w:rFonts w:ascii="Times New Roman" w:hAnsi="Times New Roman" w:cs="Times New Roman"/>
                <w:b w:val="0"/>
                <w:iCs/>
                <w:sz w:val="26"/>
                <w:szCs w:val="26"/>
              </w:rPr>
              <w:t>Ministru kabineta 2013.gada 27.augusta sēdē ir pieņemts lēmums par papildu nepieciešamo finansējumu Ārlietu ministrijai un Iekšlietu ministrijai, kā arī prognozētajiem ieņēmumiem no minētās valsts nodevas (</w:t>
            </w:r>
            <w:r w:rsidRPr="008068B9">
              <w:rPr>
                <w:rFonts w:ascii="Times New Roman" w:hAnsi="Times New Roman" w:cs="Times New Roman"/>
                <w:b w:val="0"/>
                <w:iCs/>
                <w:sz w:val="26"/>
                <w:szCs w:val="26"/>
              </w:rPr>
              <w:t>Ministru kabineta 2013.gada 27.augusta sēdes protokol</w:t>
            </w:r>
            <w:r>
              <w:rPr>
                <w:rFonts w:ascii="Times New Roman" w:hAnsi="Times New Roman" w:cs="Times New Roman"/>
                <w:b w:val="0"/>
                <w:iCs/>
                <w:sz w:val="26"/>
                <w:szCs w:val="26"/>
              </w:rPr>
              <w:t>s</w:t>
            </w:r>
            <w:r w:rsidRPr="008068B9">
              <w:rPr>
                <w:rFonts w:ascii="Times New Roman" w:hAnsi="Times New Roman" w:cs="Times New Roman"/>
                <w:b w:val="0"/>
                <w:iCs/>
                <w:sz w:val="26"/>
                <w:szCs w:val="26"/>
              </w:rPr>
              <w:t xml:space="preserve"> </w:t>
            </w:r>
            <w:proofErr w:type="spellStart"/>
            <w:r w:rsidRPr="008068B9">
              <w:rPr>
                <w:rFonts w:ascii="Times New Roman" w:hAnsi="Times New Roman" w:cs="Times New Roman"/>
                <w:b w:val="0"/>
                <w:iCs/>
                <w:sz w:val="26"/>
                <w:szCs w:val="26"/>
              </w:rPr>
              <w:t>Nr</w:t>
            </w:r>
            <w:proofErr w:type="spellEnd"/>
            <w:r w:rsidRPr="008068B9">
              <w:rPr>
                <w:rFonts w:ascii="Times New Roman" w:hAnsi="Times New Roman" w:cs="Times New Roman"/>
                <w:b w:val="0"/>
                <w:iCs/>
                <w:sz w:val="26"/>
                <w:szCs w:val="26"/>
              </w:rPr>
              <w:t>. 46 102.§ 1</w:t>
            </w:r>
            <w:r>
              <w:rPr>
                <w:rFonts w:ascii="Times New Roman" w:hAnsi="Times New Roman" w:cs="Times New Roman"/>
                <w:b w:val="0"/>
                <w:iCs/>
                <w:sz w:val="26"/>
                <w:szCs w:val="26"/>
              </w:rPr>
              <w:t>1</w:t>
            </w:r>
            <w:r w:rsidRPr="008068B9">
              <w:rPr>
                <w:rFonts w:ascii="Times New Roman" w:hAnsi="Times New Roman" w:cs="Times New Roman"/>
                <w:b w:val="0"/>
                <w:iCs/>
                <w:sz w:val="26"/>
                <w:szCs w:val="26"/>
              </w:rPr>
              <w:t>. punkt</w:t>
            </w:r>
            <w:r>
              <w:rPr>
                <w:rFonts w:ascii="Times New Roman" w:hAnsi="Times New Roman" w:cs="Times New Roman"/>
                <w:b w:val="0"/>
                <w:iCs/>
                <w:sz w:val="26"/>
                <w:szCs w:val="26"/>
              </w:rPr>
              <w:t>s).</w:t>
            </w:r>
          </w:p>
        </w:tc>
      </w:tr>
    </w:tbl>
    <w:p w:rsidR="00EF7849" w:rsidRDefault="00EF7849" w:rsidP="00EF7849">
      <w:pPr>
        <w:pStyle w:val="NormalWeb"/>
        <w:spacing w:before="0" w:beforeAutospacing="0" w:after="0" w:afterAutospacing="0"/>
        <w:rPr>
          <w:color w:val="000000"/>
          <w:sz w:val="28"/>
          <w:szCs w:val="28"/>
        </w:rPr>
      </w:pPr>
      <w:r>
        <w:rPr>
          <w:color w:val="000000"/>
          <w:sz w:val="28"/>
          <w:szCs w:val="28"/>
        </w:rPr>
        <w:t> </w:t>
      </w:r>
    </w:p>
    <w:p w:rsidR="00FD75B7" w:rsidRDefault="00FD75B7" w:rsidP="00EF7849">
      <w:pPr>
        <w:pStyle w:val="NormalWeb"/>
        <w:spacing w:before="0" w:beforeAutospacing="0" w:after="0" w:afterAutospacing="0"/>
        <w:rPr>
          <w:color w:val="000000"/>
          <w:sz w:val="28"/>
          <w:szCs w:val="28"/>
        </w:rPr>
      </w:pPr>
    </w:p>
    <w:p w:rsidR="00FD75B7" w:rsidRDefault="00FD75B7" w:rsidP="00EF7849">
      <w:pPr>
        <w:pStyle w:val="NormalWeb"/>
        <w:spacing w:before="0" w:beforeAutospacing="0" w:after="0" w:afterAutospacing="0"/>
        <w:rPr>
          <w:color w:val="000000"/>
          <w:sz w:val="28"/>
          <w:szCs w:val="28"/>
        </w:rPr>
      </w:pPr>
    </w:p>
    <w:p w:rsidR="00FD75B7" w:rsidRDefault="00FD75B7" w:rsidP="00EF7849">
      <w:pPr>
        <w:pStyle w:val="NormalWeb"/>
        <w:spacing w:before="0" w:beforeAutospacing="0" w:after="0" w:afterAutospacing="0"/>
        <w:rPr>
          <w:color w:val="000000"/>
          <w:sz w:val="28"/>
          <w:szCs w:val="28"/>
        </w:rPr>
      </w:pPr>
    </w:p>
    <w:p w:rsidR="00332FEE" w:rsidRDefault="00332FEE" w:rsidP="00EF7849">
      <w:pPr>
        <w:pStyle w:val="NormalWeb"/>
        <w:spacing w:before="0" w:beforeAutospacing="0" w:after="0" w:afterAutospacing="0"/>
        <w:rPr>
          <w:color w:val="000000"/>
          <w:sz w:val="28"/>
          <w:szCs w:val="28"/>
        </w:rPr>
      </w:pPr>
    </w:p>
    <w:p w:rsidR="00332FEE" w:rsidRDefault="00332FEE" w:rsidP="00EF7849">
      <w:pPr>
        <w:pStyle w:val="NormalWeb"/>
        <w:spacing w:before="0" w:beforeAutospacing="0" w:after="0" w:afterAutospacing="0"/>
        <w:rPr>
          <w:color w:val="000000"/>
          <w:sz w:val="28"/>
          <w:szCs w:val="28"/>
        </w:rPr>
      </w:pPr>
      <w:bookmarkStart w:id="6" w:name="_GoBack"/>
      <w:bookmarkEnd w:id="6"/>
    </w:p>
    <w:tbl>
      <w:tblPr>
        <w:tblW w:w="5123"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43"/>
        <w:gridCol w:w="2861"/>
        <w:gridCol w:w="5953"/>
      </w:tblGrid>
      <w:tr w:rsidR="00EF7849" w:rsidRPr="002E5B2F" w:rsidTr="00EF7849">
        <w:tc>
          <w:tcPr>
            <w:tcW w:w="5000" w:type="pct"/>
            <w:gridSpan w:val="3"/>
            <w:tcBorders>
              <w:top w:val="single" w:sz="6" w:space="0" w:color="000000"/>
              <w:left w:val="single" w:sz="6" w:space="0" w:color="000000"/>
              <w:bottom w:val="outset" w:sz="6" w:space="0" w:color="000000"/>
              <w:right w:val="single" w:sz="6" w:space="0" w:color="000000"/>
            </w:tcBorders>
            <w:hideMark/>
          </w:tcPr>
          <w:p w:rsidR="00EF7849" w:rsidRPr="002E5B2F" w:rsidRDefault="00EF7849">
            <w:pPr>
              <w:pStyle w:val="NormalWeb"/>
              <w:jc w:val="center"/>
              <w:rPr>
                <w:b/>
                <w:bCs/>
              </w:rPr>
            </w:pPr>
            <w:r w:rsidRPr="002E5B2F">
              <w:rPr>
                <w:b/>
                <w:bCs/>
              </w:rPr>
              <w:t>IV. Tiesību akta projekta ietekme uz spēkā esošo tiesību normu sistēmu</w:t>
            </w:r>
          </w:p>
        </w:tc>
      </w:tr>
      <w:tr w:rsidR="00EF7849" w:rsidRPr="002E5B2F" w:rsidTr="00EF7849">
        <w:trPr>
          <w:trHeight w:val="1190"/>
        </w:trPr>
        <w:tc>
          <w:tcPr>
            <w:tcW w:w="290"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1.</w:t>
            </w:r>
          </w:p>
        </w:tc>
        <w:tc>
          <w:tcPr>
            <w:tcW w:w="1529"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Nepieciešamie saistītie tiesību aktu projekti</w:t>
            </w:r>
          </w:p>
        </w:tc>
        <w:tc>
          <w:tcPr>
            <w:tcW w:w="3181" w:type="pct"/>
            <w:tcBorders>
              <w:top w:val="outset" w:sz="6" w:space="0" w:color="000000"/>
              <w:left w:val="outset" w:sz="6" w:space="0" w:color="000000"/>
              <w:bottom w:val="outset" w:sz="6" w:space="0" w:color="000000"/>
              <w:right w:val="outset" w:sz="6" w:space="0" w:color="000000"/>
            </w:tcBorders>
            <w:hideMark/>
          </w:tcPr>
          <w:p w:rsidR="00EF7849" w:rsidRPr="0049052D" w:rsidRDefault="0049052D" w:rsidP="002922E7">
            <w:pPr>
              <w:pStyle w:val="BodyText"/>
              <w:spacing w:after="0"/>
              <w:ind w:left="36"/>
              <w:jc w:val="both"/>
              <w:rPr>
                <w:lang w:val="lv-LV"/>
              </w:rPr>
            </w:pPr>
            <w:r w:rsidRPr="0049052D">
              <w:rPr>
                <w:lang w:val="lv-LV"/>
              </w:rPr>
              <w:t xml:space="preserve">Pamatojoties uz likuma „Par nodokļiem un nodevām” 10.panta </w:t>
            </w:r>
            <w:bookmarkStart w:id="7" w:name="bkm0"/>
            <w:r>
              <w:rPr>
                <w:lang w:val="lv-LV"/>
              </w:rPr>
              <w:t xml:space="preserve">otrajā daļā doto deleģējumu, tiks izstrādāti </w:t>
            </w:r>
            <w:r w:rsidRPr="0049052D">
              <w:rPr>
                <w:lang w:val="lv-LV"/>
              </w:rPr>
              <w:t>Ministru kabineta noteikum</w:t>
            </w:r>
            <w:r>
              <w:rPr>
                <w:lang w:val="lv-LV"/>
              </w:rPr>
              <w:t xml:space="preserve">i, kas nosaka </w:t>
            </w:r>
            <w:r w:rsidRPr="0049052D">
              <w:rPr>
                <w:lang w:val="lv-LV"/>
              </w:rPr>
              <w:t>valsts nodev</w:t>
            </w:r>
            <w:r>
              <w:rPr>
                <w:lang w:val="lv-LV"/>
              </w:rPr>
              <w:t>as apmēru, maksāšanas kārtību</w:t>
            </w:r>
            <w:bookmarkEnd w:id="7"/>
            <w:r>
              <w:rPr>
                <w:lang w:val="lv-LV"/>
              </w:rPr>
              <w:t>,</w:t>
            </w:r>
            <w:r w:rsidRPr="0049052D">
              <w:rPr>
                <w:lang w:val="lv-LV"/>
              </w:rPr>
              <w:t xml:space="preserve"> </w:t>
            </w:r>
            <w:r w:rsidR="002922E7">
              <w:rPr>
                <w:lang w:val="lv-LV"/>
              </w:rPr>
              <w:t>atvieglojumus un</w:t>
            </w:r>
            <w:r>
              <w:rPr>
                <w:lang w:val="lv-LV"/>
              </w:rPr>
              <w:t xml:space="preserve"> atbrīvojumus</w:t>
            </w:r>
            <w:r w:rsidR="002922E7">
              <w:rPr>
                <w:lang w:val="lv-LV"/>
              </w:rPr>
              <w:t>.</w:t>
            </w:r>
          </w:p>
        </w:tc>
      </w:tr>
      <w:tr w:rsidR="00EF7849" w:rsidRPr="002E5B2F" w:rsidTr="00EF7849">
        <w:tc>
          <w:tcPr>
            <w:tcW w:w="290"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2.</w:t>
            </w:r>
          </w:p>
        </w:tc>
        <w:tc>
          <w:tcPr>
            <w:tcW w:w="1529"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Cita informācija</w:t>
            </w:r>
          </w:p>
        </w:tc>
        <w:tc>
          <w:tcPr>
            <w:tcW w:w="3181" w:type="pct"/>
            <w:tcBorders>
              <w:top w:val="outset" w:sz="6" w:space="0" w:color="000000"/>
              <w:left w:val="outset" w:sz="6" w:space="0" w:color="000000"/>
              <w:bottom w:val="outset" w:sz="6" w:space="0" w:color="000000"/>
              <w:right w:val="outset" w:sz="6" w:space="0" w:color="000000"/>
            </w:tcBorders>
            <w:hideMark/>
          </w:tcPr>
          <w:p w:rsidR="00EF7849" w:rsidRPr="002E5B2F" w:rsidRDefault="00EF7849">
            <w:pPr>
              <w:pStyle w:val="NormalWeb"/>
            </w:pPr>
            <w:r w:rsidRPr="002E5B2F">
              <w:t xml:space="preserve">Nav. </w:t>
            </w:r>
          </w:p>
        </w:tc>
      </w:tr>
    </w:tbl>
    <w:p w:rsidR="00EF7849" w:rsidRDefault="00EF7849" w:rsidP="00EF7849">
      <w:pPr>
        <w:pStyle w:val="NormalWeb"/>
        <w:spacing w:before="0" w:beforeAutospacing="0" w:after="0" w:afterAutospacing="0"/>
        <w:rPr>
          <w:sz w:val="28"/>
          <w:szCs w:val="28"/>
        </w:rPr>
      </w:pPr>
      <w:r>
        <w:rPr>
          <w:sz w:val="28"/>
          <w:szCs w:val="28"/>
        </w:rPr>
        <w:t> </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427"/>
      </w:tblGrid>
      <w:tr w:rsidR="002F3109" w:rsidRPr="002F3109" w:rsidTr="00FC2C93">
        <w:trPr>
          <w:jc w:val="center"/>
        </w:trPr>
        <w:tc>
          <w:tcPr>
            <w:tcW w:w="9427" w:type="dxa"/>
            <w:tcBorders>
              <w:top w:val="single" w:sz="4" w:space="0" w:color="auto"/>
              <w:left w:val="single" w:sz="4" w:space="0" w:color="auto"/>
              <w:bottom w:val="single" w:sz="4" w:space="0" w:color="auto"/>
              <w:right w:val="single" w:sz="4" w:space="0" w:color="auto"/>
            </w:tcBorders>
            <w:hideMark/>
          </w:tcPr>
          <w:p w:rsidR="002F3109" w:rsidRPr="002F3109" w:rsidRDefault="002F3109" w:rsidP="002F3109">
            <w:pPr>
              <w:pStyle w:val="naisnod"/>
              <w:spacing w:before="0" w:after="0"/>
              <w:ind w:left="57" w:right="57"/>
            </w:pPr>
            <w:r w:rsidRPr="002F3109">
              <w:rPr>
                <w:bCs w:val="0"/>
              </w:rPr>
              <w:t xml:space="preserve">V. </w:t>
            </w:r>
            <w:r w:rsidRPr="002F3109">
              <w:t>Tiesību akta projekta atbilstība Latvijas Republikas starptautiskajām saistībām</w:t>
            </w:r>
          </w:p>
        </w:tc>
      </w:tr>
      <w:tr w:rsidR="002F3109" w:rsidRPr="002F3109" w:rsidTr="00FC2C93">
        <w:trPr>
          <w:trHeight w:val="427"/>
          <w:jc w:val="center"/>
        </w:trPr>
        <w:tc>
          <w:tcPr>
            <w:tcW w:w="9427" w:type="dxa"/>
            <w:tcBorders>
              <w:top w:val="single" w:sz="4" w:space="0" w:color="auto"/>
              <w:left w:val="single" w:sz="4" w:space="0" w:color="auto"/>
              <w:bottom w:val="single" w:sz="4" w:space="0" w:color="auto"/>
              <w:right w:val="single" w:sz="4" w:space="0" w:color="auto"/>
            </w:tcBorders>
            <w:hideMark/>
          </w:tcPr>
          <w:p w:rsidR="002F3109" w:rsidRPr="002F3109" w:rsidRDefault="002F3109" w:rsidP="00FC2C93">
            <w:pPr>
              <w:pStyle w:val="naisnod"/>
              <w:spacing w:before="0" w:after="0"/>
              <w:ind w:left="57" w:right="57"/>
              <w:rPr>
                <w:b w:val="0"/>
              </w:rPr>
            </w:pPr>
            <w:r w:rsidRPr="002F3109">
              <w:rPr>
                <w:b w:val="0"/>
                <w:i/>
              </w:rPr>
              <w:t>Nav attiecināms</w:t>
            </w:r>
          </w:p>
        </w:tc>
      </w:tr>
    </w:tbl>
    <w:p w:rsidR="002F3109" w:rsidRDefault="002F3109" w:rsidP="00EF7849">
      <w:pPr>
        <w:pStyle w:val="NormalWeb"/>
        <w:spacing w:before="0" w:beforeAutospacing="0" w:after="0" w:afterAutospacing="0"/>
        <w:rPr>
          <w:sz w:val="28"/>
          <w:szCs w:val="28"/>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427"/>
      </w:tblGrid>
      <w:tr w:rsidR="00EF7849" w:rsidRPr="002F3109" w:rsidTr="00EF7849">
        <w:trPr>
          <w:jc w:val="center"/>
        </w:trPr>
        <w:tc>
          <w:tcPr>
            <w:tcW w:w="9427" w:type="dxa"/>
            <w:tcBorders>
              <w:top w:val="single" w:sz="4" w:space="0" w:color="auto"/>
              <w:left w:val="single" w:sz="4" w:space="0" w:color="auto"/>
              <w:bottom w:val="single" w:sz="4" w:space="0" w:color="auto"/>
              <w:right w:val="single" w:sz="4" w:space="0" w:color="auto"/>
            </w:tcBorders>
            <w:hideMark/>
          </w:tcPr>
          <w:p w:rsidR="00EF7849" w:rsidRPr="002F3109" w:rsidRDefault="00EF7849">
            <w:pPr>
              <w:pStyle w:val="naisnod"/>
              <w:spacing w:before="0" w:after="0"/>
              <w:ind w:left="57" w:right="57"/>
            </w:pPr>
            <w:r w:rsidRPr="002F3109">
              <w:rPr>
                <w:bCs w:val="0"/>
              </w:rPr>
              <w:t>VI. Sabiedrības līdzdalība un šīs līdzdalības rezultāti</w:t>
            </w:r>
          </w:p>
        </w:tc>
      </w:tr>
      <w:tr w:rsidR="00EF7849" w:rsidRPr="002F3109" w:rsidTr="00EF7849">
        <w:trPr>
          <w:trHeight w:val="427"/>
          <w:jc w:val="center"/>
        </w:trPr>
        <w:tc>
          <w:tcPr>
            <w:tcW w:w="9427" w:type="dxa"/>
            <w:tcBorders>
              <w:top w:val="single" w:sz="4" w:space="0" w:color="auto"/>
              <w:left w:val="single" w:sz="4" w:space="0" w:color="auto"/>
              <w:bottom w:val="single" w:sz="4" w:space="0" w:color="auto"/>
              <w:right w:val="single" w:sz="4" w:space="0" w:color="auto"/>
            </w:tcBorders>
            <w:hideMark/>
          </w:tcPr>
          <w:p w:rsidR="00EF7849" w:rsidRPr="002F3109" w:rsidRDefault="00EF7849">
            <w:pPr>
              <w:pStyle w:val="naisnod"/>
              <w:spacing w:before="0" w:after="0"/>
              <w:ind w:left="57" w:right="57"/>
              <w:rPr>
                <w:b w:val="0"/>
              </w:rPr>
            </w:pPr>
            <w:r w:rsidRPr="002F3109">
              <w:rPr>
                <w:b w:val="0"/>
                <w:i/>
              </w:rPr>
              <w:t>Nav attiecināms</w:t>
            </w:r>
          </w:p>
        </w:tc>
      </w:tr>
    </w:tbl>
    <w:p w:rsidR="00EF7849" w:rsidRDefault="00EF7849" w:rsidP="00EF7849">
      <w:pPr>
        <w:pStyle w:val="NormalWeb"/>
        <w:spacing w:before="0" w:beforeAutospacing="0" w:after="0" w:afterAutospacing="0"/>
        <w:rPr>
          <w:sz w:val="28"/>
          <w:szCs w:val="28"/>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5"/>
        <w:gridCol w:w="3057"/>
        <w:gridCol w:w="5958"/>
      </w:tblGrid>
      <w:tr w:rsidR="00EF7849" w:rsidRPr="002F3109" w:rsidTr="00EF7849">
        <w:trPr>
          <w:jc w:val="center"/>
        </w:trPr>
        <w:tc>
          <w:tcPr>
            <w:tcW w:w="9460" w:type="dxa"/>
            <w:gridSpan w:val="3"/>
            <w:tcBorders>
              <w:top w:val="single" w:sz="4" w:space="0" w:color="auto"/>
              <w:left w:val="single" w:sz="4" w:space="0" w:color="auto"/>
              <w:bottom w:val="single" w:sz="4" w:space="0" w:color="auto"/>
              <w:right w:val="single" w:sz="4" w:space="0" w:color="auto"/>
            </w:tcBorders>
            <w:hideMark/>
          </w:tcPr>
          <w:p w:rsidR="00EF7849" w:rsidRPr="002F3109" w:rsidRDefault="00EF7849">
            <w:pPr>
              <w:pStyle w:val="naisnod"/>
              <w:spacing w:before="0" w:after="0"/>
              <w:ind w:left="57" w:right="57"/>
            </w:pPr>
            <w:r w:rsidRPr="002F3109">
              <w:t>VII. Tiesību akta projekta izpildes nodrošināšana un tās ietekme uz institūcijām</w:t>
            </w:r>
          </w:p>
        </w:tc>
      </w:tr>
      <w:tr w:rsidR="00EF7849" w:rsidRPr="002F3109" w:rsidTr="00EF7849">
        <w:trPr>
          <w:trHeight w:val="427"/>
          <w:jc w:val="center"/>
        </w:trPr>
        <w:tc>
          <w:tcPr>
            <w:tcW w:w="445" w:type="dxa"/>
            <w:tcBorders>
              <w:top w:val="single" w:sz="4" w:space="0" w:color="auto"/>
              <w:left w:val="single" w:sz="4" w:space="0" w:color="auto"/>
              <w:bottom w:val="single" w:sz="4" w:space="0" w:color="auto"/>
              <w:right w:val="single" w:sz="4" w:space="0" w:color="auto"/>
            </w:tcBorders>
            <w:hideMark/>
          </w:tcPr>
          <w:p w:rsidR="00EF7849" w:rsidRPr="002F3109" w:rsidRDefault="00EF7849">
            <w:pPr>
              <w:pStyle w:val="naisnod"/>
              <w:spacing w:before="0" w:after="0"/>
              <w:ind w:left="57" w:right="57"/>
              <w:jc w:val="left"/>
              <w:rPr>
                <w:b w:val="0"/>
              </w:rPr>
            </w:pPr>
            <w:r w:rsidRPr="002F3109">
              <w:rPr>
                <w:b w:val="0"/>
              </w:rPr>
              <w:t>1.</w:t>
            </w:r>
          </w:p>
        </w:tc>
        <w:tc>
          <w:tcPr>
            <w:tcW w:w="3057" w:type="dxa"/>
            <w:tcBorders>
              <w:top w:val="single" w:sz="4" w:space="0" w:color="auto"/>
              <w:left w:val="single" w:sz="4" w:space="0" w:color="auto"/>
              <w:bottom w:val="single" w:sz="4" w:space="0" w:color="auto"/>
              <w:right w:val="single" w:sz="4" w:space="0" w:color="auto"/>
            </w:tcBorders>
            <w:hideMark/>
          </w:tcPr>
          <w:p w:rsidR="00EF7849" w:rsidRPr="002F3109" w:rsidRDefault="00EF7849">
            <w:pPr>
              <w:pStyle w:val="naisf"/>
              <w:spacing w:before="0" w:after="0"/>
              <w:ind w:left="57" w:right="57" w:firstLine="0"/>
              <w:jc w:val="left"/>
            </w:pPr>
            <w:r w:rsidRPr="002F3109">
              <w:t xml:space="preserve">Projekta izpildē iesaistītās institūcijas </w:t>
            </w:r>
          </w:p>
        </w:tc>
        <w:tc>
          <w:tcPr>
            <w:tcW w:w="5958" w:type="dxa"/>
            <w:tcBorders>
              <w:top w:val="single" w:sz="4" w:space="0" w:color="auto"/>
              <w:left w:val="single" w:sz="4" w:space="0" w:color="auto"/>
              <w:bottom w:val="single" w:sz="4" w:space="0" w:color="auto"/>
              <w:right w:val="single" w:sz="4" w:space="0" w:color="auto"/>
            </w:tcBorders>
            <w:hideMark/>
          </w:tcPr>
          <w:p w:rsidR="00EF7849" w:rsidRPr="002F3109" w:rsidRDefault="002F3109">
            <w:pPr>
              <w:pStyle w:val="naisnod"/>
              <w:spacing w:before="0" w:after="0"/>
              <w:ind w:left="57" w:right="57"/>
              <w:jc w:val="both"/>
              <w:rPr>
                <w:b w:val="0"/>
              </w:rPr>
            </w:pPr>
            <w:r w:rsidRPr="002F3109">
              <w:rPr>
                <w:b w:val="0"/>
              </w:rPr>
              <w:t>Pilsonības un migrācijas lietu pārvalde, Latvijas Republikas diplomātiskās un konsulārās pārstāvniecības ārvalstīs.</w:t>
            </w:r>
            <w:r w:rsidR="00EF7849" w:rsidRPr="002F3109">
              <w:rPr>
                <w:b w:val="0"/>
              </w:rPr>
              <w:t xml:space="preserve"> </w:t>
            </w:r>
          </w:p>
        </w:tc>
      </w:tr>
      <w:tr w:rsidR="00EF7849" w:rsidRPr="002F3109" w:rsidTr="00EF7849">
        <w:trPr>
          <w:trHeight w:val="463"/>
          <w:jc w:val="center"/>
        </w:trPr>
        <w:tc>
          <w:tcPr>
            <w:tcW w:w="445" w:type="dxa"/>
            <w:tcBorders>
              <w:top w:val="single" w:sz="4" w:space="0" w:color="auto"/>
              <w:left w:val="single" w:sz="4" w:space="0" w:color="auto"/>
              <w:bottom w:val="single" w:sz="4" w:space="0" w:color="auto"/>
              <w:right w:val="single" w:sz="4" w:space="0" w:color="auto"/>
            </w:tcBorders>
            <w:hideMark/>
          </w:tcPr>
          <w:p w:rsidR="00EF7849" w:rsidRPr="002F3109" w:rsidRDefault="00EF7849">
            <w:pPr>
              <w:pStyle w:val="naisnod"/>
              <w:spacing w:before="0" w:after="0"/>
              <w:ind w:left="57" w:right="57"/>
              <w:jc w:val="left"/>
              <w:rPr>
                <w:b w:val="0"/>
              </w:rPr>
            </w:pPr>
            <w:r w:rsidRPr="002F3109">
              <w:rPr>
                <w:b w:val="0"/>
              </w:rPr>
              <w:t>2.</w:t>
            </w:r>
          </w:p>
        </w:tc>
        <w:tc>
          <w:tcPr>
            <w:tcW w:w="3057" w:type="dxa"/>
            <w:tcBorders>
              <w:top w:val="single" w:sz="4" w:space="0" w:color="auto"/>
              <w:left w:val="single" w:sz="4" w:space="0" w:color="auto"/>
              <w:bottom w:val="single" w:sz="4" w:space="0" w:color="auto"/>
              <w:right w:val="single" w:sz="4" w:space="0" w:color="auto"/>
            </w:tcBorders>
            <w:hideMark/>
          </w:tcPr>
          <w:p w:rsidR="00EF7849" w:rsidRPr="002F3109" w:rsidRDefault="00EF7849">
            <w:pPr>
              <w:pStyle w:val="naisf"/>
              <w:spacing w:before="0" w:after="0"/>
              <w:ind w:left="57" w:right="57" w:firstLine="0"/>
              <w:jc w:val="left"/>
            </w:pPr>
            <w:r w:rsidRPr="002F3109">
              <w:t xml:space="preserve">Projekta izpildes ietekme uz pārvaldes funkcijām </w:t>
            </w:r>
          </w:p>
        </w:tc>
        <w:tc>
          <w:tcPr>
            <w:tcW w:w="5958" w:type="dxa"/>
            <w:tcBorders>
              <w:top w:val="single" w:sz="4" w:space="0" w:color="auto"/>
              <w:left w:val="single" w:sz="4" w:space="0" w:color="auto"/>
              <w:bottom w:val="single" w:sz="4" w:space="0" w:color="auto"/>
              <w:right w:val="single" w:sz="4" w:space="0" w:color="auto"/>
            </w:tcBorders>
            <w:hideMark/>
          </w:tcPr>
          <w:p w:rsidR="00EF7849" w:rsidRPr="002F3109" w:rsidRDefault="00EF7849">
            <w:pPr>
              <w:pStyle w:val="naisnod"/>
              <w:spacing w:before="0" w:after="0"/>
              <w:ind w:left="57" w:right="57"/>
              <w:jc w:val="both"/>
              <w:rPr>
                <w:b w:val="0"/>
              </w:rPr>
            </w:pPr>
            <w:r w:rsidRPr="002F3109">
              <w:rPr>
                <w:b w:val="0"/>
              </w:rPr>
              <w:t>Nav attiecināms.</w:t>
            </w:r>
          </w:p>
        </w:tc>
      </w:tr>
      <w:tr w:rsidR="00EF7849" w:rsidRPr="002F3109" w:rsidTr="00EF7849">
        <w:trPr>
          <w:trHeight w:val="725"/>
          <w:jc w:val="center"/>
        </w:trPr>
        <w:tc>
          <w:tcPr>
            <w:tcW w:w="445" w:type="dxa"/>
            <w:tcBorders>
              <w:top w:val="single" w:sz="4" w:space="0" w:color="auto"/>
              <w:left w:val="single" w:sz="4" w:space="0" w:color="auto"/>
              <w:bottom w:val="single" w:sz="4" w:space="0" w:color="auto"/>
              <w:right w:val="single" w:sz="4" w:space="0" w:color="auto"/>
            </w:tcBorders>
            <w:hideMark/>
          </w:tcPr>
          <w:p w:rsidR="00EF7849" w:rsidRPr="002F3109" w:rsidRDefault="00EF7849">
            <w:pPr>
              <w:pStyle w:val="naisnod"/>
              <w:spacing w:before="0" w:after="0"/>
              <w:ind w:left="57" w:right="57"/>
              <w:jc w:val="left"/>
              <w:rPr>
                <w:b w:val="0"/>
              </w:rPr>
            </w:pPr>
            <w:r w:rsidRPr="002F3109">
              <w:rPr>
                <w:b w:val="0"/>
              </w:rPr>
              <w:t>3.</w:t>
            </w:r>
          </w:p>
        </w:tc>
        <w:tc>
          <w:tcPr>
            <w:tcW w:w="3057" w:type="dxa"/>
            <w:tcBorders>
              <w:top w:val="single" w:sz="4" w:space="0" w:color="auto"/>
              <w:left w:val="single" w:sz="4" w:space="0" w:color="auto"/>
              <w:bottom w:val="single" w:sz="4" w:space="0" w:color="auto"/>
              <w:right w:val="single" w:sz="4" w:space="0" w:color="auto"/>
            </w:tcBorders>
            <w:hideMark/>
          </w:tcPr>
          <w:p w:rsidR="00EF7849" w:rsidRPr="002F3109" w:rsidRDefault="00EF7849">
            <w:pPr>
              <w:pStyle w:val="naisf"/>
              <w:spacing w:before="0" w:after="0"/>
              <w:ind w:left="57" w:right="57" w:firstLine="0"/>
              <w:jc w:val="left"/>
            </w:pPr>
            <w:r w:rsidRPr="002F3109">
              <w:t>Projekta izpildes ietekme uz pārvaldes institucionālo struktūru.</w:t>
            </w:r>
          </w:p>
          <w:p w:rsidR="00EF7849" w:rsidRPr="002F3109" w:rsidRDefault="00EF7849">
            <w:pPr>
              <w:pStyle w:val="naisf"/>
              <w:spacing w:before="0" w:after="0"/>
              <w:ind w:left="57" w:right="57" w:firstLine="0"/>
              <w:jc w:val="left"/>
            </w:pPr>
            <w:r w:rsidRPr="002F3109">
              <w:t>Jaunu institūciju izveide</w:t>
            </w:r>
          </w:p>
        </w:tc>
        <w:tc>
          <w:tcPr>
            <w:tcW w:w="5958" w:type="dxa"/>
            <w:tcBorders>
              <w:top w:val="single" w:sz="4" w:space="0" w:color="auto"/>
              <w:left w:val="single" w:sz="4" w:space="0" w:color="auto"/>
              <w:bottom w:val="single" w:sz="4" w:space="0" w:color="auto"/>
              <w:right w:val="single" w:sz="4" w:space="0" w:color="auto"/>
            </w:tcBorders>
            <w:hideMark/>
          </w:tcPr>
          <w:p w:rsidR="00EF7849" w:rsidRPr="002F3109" w:rsidRDefault="00EF7849">
            <w:pPr>
              <w:pStyle w:val="naisnod"/>
              <w:spacing w:before="0" w:after="0"/>
              <w:ind w:left="57" w:right="57"/>
              <w:jc w:val="left"/>
              <w:rPr>
                <w:b w:val="0"/>
              </w:rPr>
            </w:pPr>
            <w:r w:rsidRPr="002F3109">
              <w:rPr>
                <w:b w:val="0"/>
              </w:rPr>
              <w:t xml:space="preserve">Jaunu institūciju izveide nav nepieciešama. </w:t>
            </w:r>
          </w:p>
        </w:tc>
      </w:tr>
      <w:tr w:rsidR="00EF7849" w:rsidRPr="002F3109" w:rsidTr="00EF7849">
        <w:trPr>
          <w:trHeight w:val="780"/>
          <w:jc w:val="center"/>
        </w:trPr>
        <w:tc>
          <w:tcPr>
            <w:tcW w:w="445" w:type="dxa"/>
            <w:tcBorders>
              <w:top w:val="single" w:sz="4" w:space="0" w:color="auto"/>
              <w:left w:val="single" w:sz="4" w:space="0" w:color="auto"/>
              <w:bottom w:val="single" w:sz="4" w:space="0" w:color="auto"/>
              <w:right w:val="single" w:sz="4" w:space="0" w:color="auto"/>
            </w:tcBorders>
            <w:hideMark/>
          </w:tcPr>
          <w:p w:rsidR="00EF7849" w:rsidRPr="002F3109" w:rsidRDefault="00EF7849">
            <w:pPr>
              <w:pStyle w:val="naisnod"/>
              <w:spacing w:before="0" w:after="0"/>
              <w:ind w:left="57" w:right="57"/>
              <w:jc w:val="left"/>
              <w:rPr>
                <w:b w:val="0"/>
              </w:rPr>
            </w:pPr>
            <w:r w:rsidRPr="002F3109">
              <w:rPr>
                <w:b w:val="0"/>
              </w:rPr>
              <w:t>4.</w:t>
            </w:r>
          </w:p>
        </w:tc>
        <w:tc>
          <w:tcPr>
            <w:tcW w:w="3057" w:type="dxa"/>
            <w:tcBorders>
              <w:top w:val="single" w:sz="4" w:space="0" w:color="auto"/>
              <w:left w:val="single" w:sz="4" w:space="0" w:color="auto"/>
              <w:bottom w:val="single" w:sz="4" w:space="0" w:color="auto"/>
              <w:right w:val="single" w:sz="4" w:space="0" w:color="auto"/>
            </w:tcBorders>
            <w:hideMark/>
          </w:tcPr>
          <w:p w:rsidR="00EF7849" w:rsidRPr="002F3109" w:rsidRDefault="00EF7849">
            <w:pPr>
              <w:pStyle w:val="naisf"/>
              <w:spacing w:before="0" w:after="0"/>
              <w:ind w:left="57" w:right="57" w:firstLine="0"/>
              <w:jc w:val="left"/>
            </w:pPr>
            <w:r w:rsidRPr="002F3109">
              <w:t>Projekta izpildes ietekme uz pārvaldes institucionālo struktūru.</w:t>
            </w:r>
          </w:p>
          <w:p w:rsidR="00EF7849" w:rsidRPr="002F3109" w:rsidRDefault="00EF7849">
            <w:pPr>
              <w:pStyle w:val="naisf"/>
              <w:spacing w:before="0" w:after="0"/>
              <w:ind w:left="57" w:right="57" w:firstLine="0"/>
              <w:jc w:val="left"/>
            </w:pPr>
            <w:r w:rsidRPr="002F3109">
              <w:t>Esošu institūciju likvidācija</w:t>
            </w:r>
          </w:p>
        </w:tc>
        <w:tc>
          <w:tcPr>
            <w:tcW w:w="5958" w:type="dxa"/>
            <w:tcBorders>
              <w:top w:val="single" w:sz="4" w:space="0" w:color="auto"/>
              <w:left w:val="single" w:sz="4" w:space="0" w:color="auto"/>
              <w:bottom w:val="single" w:sz="4" w:space="0" w:color="auto"/>
              <w:right w:val="single" w:sz="4" w:space="0" w:color="auto"/>
            </w:tcBorders>
            <w:hideMark/>
          </w:tcPr>
          <w:p w:rsidR="00EF7849" w:rsidRPr="002F3109" w:rsidRDefault="00EF7849">
            <w:pPr>
              <w:pStyle w:val="naisnod"/>
              <w:spacing w:before="0" w:after="0"/>
              <w:ind w:left="57" w:right="57"/>
              <w:jc w:val="left"/>
              <w:rPr>
                <w:b w:val="0"/>
              </w:rPr>
            </w:pPr>
            <w:r w:rsidRPr="002F3109">
              <w:rPr>
                <w:b w:val="0"/>
                <w:iCs/>
              </w:rPr>
              <w:t>Netiks likvidētas institūcijas.</w:t>
            </w:r>
          </w:p>
        </w:tc>
      </w:tr>
      <w:tr w:rsidR="00EF7849" w:rsidRPr="002F3109" w:rsidTr="00EF7849">
        <w:trPr>
          <w:trHeight w:val="703"/>
          <w:jc w:val="center"/>
        </w:trPr>
        <w:tc>
          <w:tcPr>
            <w:tcW w:w="445" w:type="dxa"/>
            <w:tcBorders>
              <w:top w:val="single" w:sz="4" w:space="0" w:color="auto"/>
              <w:left w:val="single" w:sz="4" w:space="0" w:color="auto"/>
              <w:bottom w:val="single" w:sz="4" w:space="0" w:color="auto"/>
              <w:right w:val="single" w:sz="4" w:space="0" w:color="auto"/>
            </w:tcBorders>
            <w:hideMark/>
          </w:tcPr>
          <w:p w:rsidR="00EF7849" w:rsidRPr="002F3109" w:rsidRDefault="00EF7849">
            <w:pPr>
              <w:pStyle w:val="naisnod"/>
              <w:spacing w:before="0" w:after="0"/>
              <w:ind w:left="57" w:right="57"/>
              <w:jc w:val="left"/>
              <w:rPr>
                <w:b w:val="0"/>
              </w:rPr>
            </w:pPr>
            <w:r w:rsidRPr="002F3109">
              <w:rPr>
                <w:b w:val="0"/>
              </w:rPr>
              <w:t>5.</w:t>
            </w:r>
          </w:p>
        </w:tc>
        <w:tc>
          <w:tcPr>
            <w:tcW w:w="3057" w:type="dxa"/>
            <w:tcBorders>
              <w:top w:val="single" w:sz="4" w:space="0" w:color="auto"/>
              <w:left w:val="single" w:sz="4" w:space="0" w:color="auto"/>
              <w:bottom w:val="single" w:sz="4" w:space="0" w:color="auto"/>
              <w:right w:val="single" w:sz="4" w:space="0" w:color="auto"/>
            </w:tcBorders>
            <w:hideMark/>
          </w:tcPr>
          <w:p w:rsidR="00EF7849" w:rsidRPr="002F3109" w:rsidRDefault="00EF7849">
            <w:pPr>
              <w:pStyle w:val="naisf"/>
              <w:spacing w:before="0" w:after="0"/>
              <w:ind w:left="57" w:right="57" w:firstLine="0"/>
              <w:jc w:val="left"/>
            </w:pPr>
            <w:r w:rsidRPr="002F3109">
              <w:t>Projekta izpildes ietekme uz pārvaldes institucionālo struktūru.</w:t>
            </w:r>
          </w:p>
          <w:p w:rsidR="00EF7849" w:rsidRPr="002F3109" w:rsidRDefault="00EF7849">
            <w:pPr>
              <w:pStyle w:val="naisf"/>
              <w:spacing w:before="0" w:after="0"/>
              <w:ind w:left="57" w:right="57" w:firstLine="0"/>
              <w:jc w:val="left"/>
            </w:pPr>
            <w:r w:rsidRPr="002F3109">
              <w:t>Esošu institūciju reorganizācija</w:t>
            </w:r>
          </w:p>
        </w:tc>
        <w:tc>
          <w:tcPr>
            <w:tcW w:w="5958" w:type="dxa"/>
            <w:tcBorders>
              <w:top w:val="single" w:sz="4" w:space="0" w:color="auto"/>
              <w:left w:val="single" w:sz="4" w:space="0" w:color="auto"/>
              <w:bottom w:val="single" w:sz="4" w:space="0" w:color="auto"/>
              <w:right w:val="single" w:sz="4" w:space="0" w:color="auto"/>
            </w:tcBorders>
            <w:hideMark/>
          </w:tcPr>
          <w:p w:rsidR="00EF7849" w:rsidRPr="002F3109" w:rsidRDefault="00EF7849">
            <w:pPr>
              <w:pStyle w:val="naisnod"/>
              <w:spacing w:before="0" w:after="0"/>
              <w:ind w:left="57" w:right="57"/>
              <w:jc w:val="both"/>
              <w:rPr>
                <w:b w:val="0"/>
              </w:rPr>
            </w:pPr>
            <w:r w:rsidRPr="002F3109">
              <w:rPr>
                <w:b w:val="0"/>
                <w:iCs/>
              </w:rPr>
              <w:t>Nenotiks esošo institūciju reorganizācija.</w:t>
            </w:r>
          </w:p>
        </w:tc>
      </w:tr>
      <w:tr w:rsidR="00EF7849" w:rsidRPr="002F3109" w:rsidTr="00EF7849">
        <w:trPr>
          <w:trHeight w:val="476"/>
          <w:jc w:val="center"/>
        </w:trPr>
        <w:tc>
          <w:tcPr>
            <w:tcW w:w="445" w:type="dxa"/>
            <w:tcBorders>
              <w:top w:val="single" w:sz="4" w:space="0" w:color="auto"/>
              <w:left w:val="single" w:sz="4" w:space="0" w:color="auto"/>
              <w:bottom w:val="single" w:sz="4" w:space="0" w:color="auto"/>
              <w:right w:val="single" w:sz="4" w:space="0" w:color="auto"/>
            </w:tcBorders>
            <w:hideMark/>
          </w:tcPr>
          <w:p w:rsidR="00EF7849" w:rsidRPr="002F3109" w:rsidRDefault="00EF7849">
            <w:pPr>
              <w:pStyle w:val="naiskr"/>
              <w:spacing w:before="0" w:after="0"/>
              <w:ind w:left="57" w:right="57"/>
            </w:pPr>
            <w:r w:rsidRPr="002F3109">
              <w:t>6.</w:t>
            </w:r>
          </w:p>
        </w:tc>
        <w:tc>
          <w:tcPr>
            <w:tcW w:w="3057" w:type="dxa"/>
            <w:tcBorders>
              <w:top w:val="single" w:sz="4" w:space="0" w:color="auto"/>
              <w:left w:val="single" w:sz="4" w:space="0" w:color="auto"/>
              <w:bottom w:val="single" w:sz="4" w:space="0" w:color="auto"/>
              <w:right w:val="single" w:sz="4" w:space="0" w:color="auto"/>
            </w:tcBorders>
            <w:hideMark/>
          </w:tcPr>
          <w:p w:rsidR="00EF7849" w:rsidRPr="002F3109" w:rsidRDefault="00EF7849">
            <w:pPr>
              <w:pStyle w:val="naiskr"/>
              <w:spacing w:before="0" w:after="0"/>
              <w:ind w:left="57" w:right="57"/>
            </w:pPr>
            <w:r w:rsidRPr="002F3109">
              <w:t>Cita informācija</w:t>
            </w:r>
          </w:p>
        </w:tc>
        <w:tc>
          <w:tcPr>
            <w:tcW w:w="5958" w:type="dxa"/>
            <w:tcBorders>
              <w:top w:val="single" w:sz="4" w:space="0" w:color="auto"/>
              <w:left w:val="single" w:sz="4" w:space="0" w:color="auto"/>
              <w:bottom w:val="single" w:sz="4" w:space="0" w:color="auto"/>
              <w:right w:val="single" w:sz="4" w:space="0" w:color="auto"/>
            </w:tcBorders>
            <w:hideMark/>
          </w:tcPr>
          <w:p w:rsidR="00EF7849" w:rsidRPr="002F3109" w:rsidRDefault="00EF7849">
            <w:pPr>
              <w:pStyle w:val="naiskr"/>
              <w:spacing w:before="0" w:after="0"/>
              <w:ind w:left="57" w:right="57"/>
            </w:pPr>
            <w:r w:rsidRPr="002F3109">
              <w:t>Nav.</w:t>
            </w:r>
          </w:p>
        </w:tc>
      </w:tr>
    </w:tbl>
    <w:p w:rsidR="00EF7849" w:rsidRDefault="00EF7849" w:rsidP="00EF7849">
      <w:pPr>
        <w:pStyle w:val="naisf"/>
        <w:tabs>
          <w:tab w:val="left" w:pos="5760"/>
        </w:tabs>
        <w:spacing w:before="0" w:after="0"/>
        <w:ind w:firstLine="720"/>
        <w:rPr>
          <w:sz w:val="28"/>
          <w:szCs w:val="28"/>
        </w:rPr>
      </w:pPr>
    </w:p>
    <w:p w:rsidR="00EF7849" w:rsidRDefault="00EF7849" w:rsidP="00EF7849">
      <w:pPr>
        <w:rPr>
          <w:sz w:val="28"/>
          <w:szCs w:val="28"/>
        </w:rPr>
      </w:pPr>
      <w:r>
        <w:rPr>
          <w:sz w:val="28"/>
          <w:szCs w:val="28"/>
        </w:rPr>
        <w:t>Ārlietu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F3109">
        <w:rPr>
          <w:sz w:val="28"/>
          <w:szCs w:val="28"/>
        </w:rPr>
        <w:t>E.Rinkēvičs</w:t>
      </w:r>
    </w:p>
    <w:p w:rsidR="00EF7849" w:rsidRDefault="00EF7849" w:rsidP="00EF7849">
      <w:pPr>
        <w:rPr>
          <w:sz w:val="28"/>
          <w:szCs w:val="28"/>
        </w:rPr>
      </w:pPr>
    </w:p>
    <w:p w:rsidR="00EF7849" w:rsidRDefault="00EF7849" w:rsidP="00EF7849">
      <w:pPr>
        <w:rPr>
          <w:sz w:val="28"/>
          <w:szCs w:val="28"/>
        </w:rPr>
      </w:pPr>
    </w:p>
    <w:p w:rsidR="00EF7849" w:rsidRDefault="00EF7849" w:rsidP="00EF7849">
      <w:pPr>
        <w:rPr>
          <w:sz w:val="28"/>
          <w:szCs w:val="28"/>
        </w:rPr>
      </w:pPr>
      <w:r>
        <w:rPr>
          <w:sz w:val="28"/>
          <w:szCs w:val="28"/>
        </w:rPr>
        <w:t>Vīza:</w:t>
      </w:r>
    </w:p>
    <w:p w:rsidR="00EF7849" w:rsidRDefault="00EF7849" w:rsidP="00EF7849">
      <w:pPr>
        <w:rPr>
          <w:sz w:val="28"/>
          <w:szCs w:val="28"/>
        </w:rPr>
      </w:pPr>
      <w:r>
        <w:rPr>
          <w:sz w:val="28"/>
          <w:szCs w:val="28"/>
        </w:rPr>
        <w:t>valsts sekretār</w:t>
      </w:r>
      <w:r w:rsidR="002F3109">
        <w:rPr>
          <w:sz w:val="28"/>
          <w:szCs w:val="28"/>
        </w:rPr>
        <w:t>a p.i.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F3109">
        <w:rPr>
          <w:sz w:val="28"/>
          <w:szCs w:val="28"/>
        </w:rPr>
        <w:t>E.Stiprais</w:t>
      </w:r>
    </w:p>
    <w:p w:rsidR="00EF7849" w:rsidRDefault="00EF7849" w:rsidP="00EF7849">
      <w:pPr>
        <w:suppressAutoHyphens/>
        <w:rPr>
          <w:sz w:val="20"/>
        </w:rPr>
      </w:pPr>
    </w:p>
    <w:p w:rsidR="00EF7849" w:rsidRDefault="00EF7849" w:rsidP="00EF7849">
      <w:pPr>
        <w:suppressAutoHyphens/>
        <w:rPr>
          <w:sz w:val="20"/>
        </w:rPr>
      </w:pPr>
    </w:p>
    <w:p w:rsidR="00EF7849" w:rsidRDefault="00EF7849" w:rsidP="00EF7849">
      <w:pPr>
        <w:suppressAutoHyphens/>
        <w:jc w:val="center"/>
        <w:rPr>
          <w:sz w:val="20"/>
        </w:rPr>
      </w:pPr>
    </w:p>
    <w:p w:rsidR="002F3109" w:rsidRDefault="00BB7E00" w:rsidP="002F3109">
      <w:pPr>
        <w:rPr>
          <w:sz w:val="20"/>
          <w:szCs w:val="20"/>
        </w:rPr>
      </w:pPr>
      <w:r>
        <w:rPr>
          <w:sz w:val="20"/>
          <w:szCs w:val="20"/>
        </w:rPr>
        <w:t>03</w:t>
      </w:r>
      <w:r w:rsidR="002F3109">
        <w:rPr>
          <w:sz w:val="20"/>
          <w:szCs w:val="20"/>
        </w:rPr>
        <w:t>.0</w:t>
      </w:r>
      <w:r>
        <w:rPr>
          <w:sz w:val="20"/>
          <w:szCs w:val="20"/>
        </w:rPr>
        <w:t>9</w:t>
      </w:r>
      <w:r w:rsidR="002F3109">
        <w:rPr>
          <w:sz w:val="20"/>
          <w:szCs w:val="20"/>
        </w:rPr>
        <w:t>.2013</w:t>
      </w:r>
    </w:p>
    <w:p w:rsidR="002F3109" w:rsidRDefault="009F480C" w:rsidP="002F3109">
      <w:pPr>
        <w:rPr>
          <w:sz w:val="20"/>
          <w:szCs w:val="20"/>
        </w:rPr>
      </w:pPr>
      <w:r>
        <w:rPr>
          <w:sz w:val="20"/>
          <w:szCs w:val="20"/>
        </w:rPr>
        <w:lastRenderedPageBreak/>
        <w:t>1236</w:t>
      </w:r>
    </w:p>
    <w:p w:rsidR="002F3109" w:rsidRDefault="002F3109" w:rsidP="002F3109">
      <w:pPr>
        <w:rPr>
          <w:sz w:val="20"/>
          <w:szCs w:val="20"/>
        </w:rPr>
      </w:pPr>
      <w:r>
        <w:rPr>
          <w:sz w:val="20"/>
          <w:szCs w:val="20"/>
        </w:rPr>
        <w:t>Jekaterina Tuļina</w:t>
      </w:r>
    </w:p>
    <w:p w:rsidR="002F3109" w:rsidRDefault="002F3109" w:rsidP="002F3109">
      <w:pPr>
        <w:rPr>
          <w:sz w:val="20"/>
          <w:szCs w:val="20"/>
        </w:rPr>
      </w:pPr>
      <w:r>
        <w:rPr>
          <w:sz w:val="20"/>
          <w:szCs w:val="20"/>
        </w:rPr>
        <w:t xml:space="preserve">67016177, </w:t>
      </w:r>
      <w:hyperlink r:id="rId9" w:history="1">
        <w:r w:rsidRPr="00434E24">
          <w:rPr>
            <w:rStyle w:val="Hyperlink"/>
            <w:sz w:val="20"/>
            <w:szCs w:val="20"/>
          </w:rPr>
          <w:t>jekaterina.tulina@mfa.gov.lv</w:t>
        </w:r>
      </w:hyperlink>
    </w:p>
    <w:p w:rsidR="00D374DB" w:rsidRDefault="00D374DB"/>
    <w:sectPr w:rsidR="00D374DB" w:rsidSect="002E5B2F">
      <w:footerReference w:type="default" r:id="rId10"/>
      <w:pgSz w:w="11907" w:h="16840" w:code="9"/>
      <w:pgMar w:top="1247"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09" w:rsidRDefault="00324709" w:rsidP="00324709">
      <w:r>
        <w:separator/>
      </w:r>
    </w:p>
  </w:endnote>
  <w:endnote w:type="continuationSeparator" w:id="0">
    <w:p w:rsidR="00324709" w:rsidRDefault="00324709" w:rsidP="0032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09" w:rsidRDefault="00307CF7">
    <w:pPr>
      <w:pStyle w:val="Footer"/>
    </w:pPr>
    <w:r w:rsidRPr="008B5AEE">
      <w:rPr>
        <w:sz w:val="20"/>
        <w:szCs w:val="20"/>
      </w:rPr>
      <w:fldChar w:fldCharType="begin"/>
    </w:r>
    <w:r w:rsidRPr="008B5AEE">
      <w:rPr>
        <w:sz w:val="20"/>
        <w:szCs w:val="20"/>
      </w:rPr>
      <w:instrText xml:space="preserve"> FILENAME   \* MERGEFORMAT </w:instrText>
    </w:r>
    <w:r w:rsidRPr="008B5AEE">
      <w:rPr>
        <w:sz w:val="20"/>
        <w:szCs w:val="20"/>
      </w:rPr>
      <w:fldChar w:fldCharType="separate"/>
    </w:r>
    <w:r>
      <w:rPr>
        <w:noProof/>
        <w:sz w:val="20"/>
        <w:szCs w:val="20"/>
      </w:rPr>
      <w:t>AM</w:t>
    </w:r>
    <w:r>
      <w:rPr>
        <w:noProof/>
        <w:sz w:val="20"/>
        <w:szCs w:val="20"/>
      </w:rPr>
      <w:t>anot</w:t>
    </w:r>
    <w:r>
      <w:rPr>
        <w:noProof/>
        <w:sz w:val="20"/>
        <w:szCs w:val="20"/>
      </w:rPr>
      <w:t>_030913_pilsoniba_VN</w:t>
    </w:r>
    <w:r w:rsidRPr="008B5AEE">
      <w:rPr>
        <w:sz w:val="20"/>
        <w:szCs w:val="20"/>
      </w:rPr>
      <w:fldChar w:fldCharType="end"/>
    </w:r>
    <w:r w:rsidRPr="008B5AEE">
      <w:rPr>
        <w:sz w:val="20"/>
        <w:szCs w:val="20"/>
      </w:rPr>
      <w:t>; Likumprojekts „Grozījumi likumā „Par nodokļiem un nodevām””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09" w:rsidRDefault="00324709" w:rsidP="00324709">
      <w:r>
        <w:separator/>
      </w:r>
    </w:p>
  </w:footnote>
  <w:footnote w:type="continuationSeparator" w:id="0">
    <w:p w:rsidR="00324709" w:rsidRDefault="00324709" w:rsidP="00324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26AA4"/>
    <w:multiLevelType w:val="hybridMultilevel"/>
    <w:tmpl w:val="98CC2EF2"/>
    <w:lvl w:ilvl="0" w:tplc="0426000F">
      <w:start w:val="1"/>
      <w:numFmt w:val="decimal"/>
      <w:lvlText w:val="%1."/>
      <w:lvlJc w:val="left"/>
      <w:pPr>
        <w:ind w:left="1571" w:hanging="360"/>
      </w:pPr>
    </w:lvl>
    <w:lvl w:ilvl="1" w:tplc="04260019">
      <w:start w:val="1"/>
      <w:numFmt w:val="lowerLetter"/>
      <w:lvlText w:val="%2."/>
      <w:lvlJc w:val="left"/>
      <w:pPr>
        <w:ind w:left="2291" w:hanging="360"/>
      </w:pPr>
    </w:lvl>
    <w:lvl w:ilvl="2" w:tplc="0426001B">
      <w:start w:val="1"/>
      <w:numFmt w:val="lowerRoman"/>
      <w:lvlText w:val="%3."/>
      <w:lvlJc w:val="right"/>
      <w:pPr>
        <w:ind w:left="3011" w:hanging="180"/>
      </w:pPr>
    </w:lvl>
    <w:lvl w:ilvl="3" w:tplc="0426000F">
      <w:start w:val="1"/>
      <w:numFmt w:val="decimal"/>
      <w:lvlText w:val="%4."/>
      <w:lvlJc w:val="left"/>
      <w:pPr>
        <w:ind w:left="3731" w:hanging="360"/>
      </w:pPr>
    </w:lvl>
    <w:lvl w:ilvl="4" w:tplc="04260019">
      <w:start w:val="1"/>
      <w:numFmt w:val="lowerLetter"/>
      <w:lvlText w:val="%5."/>
      <w:lvlJc w:val="left"/>
      <w:pPr>
        <w:ind w:left="4451" w:hanging="360"/>
      </w:pPr>
    </w:lvl>
    <w:lvl w:ilvl="5" w:tplc="0426001B">
      <w:start w:val="1"/>
      <w:numFmt w:val="lowerRoman"/>
      <w:lvlText w:val="%6."/>
      <w:lvlJc w:val="right"/>
      <w:pPr>
        <w:ind w:left="5171" w:hanging="180"/>
      </w:pPr>
    </w:lvl>
    <w:lvl w:ilvl="6" w:tplc="0426000F">
      <w:start w:val="1"/>
      <w:numFmt w:val="decimal"/>
      <w:lvlText w:val="%7."/>
      <w:lvlJc w:val="left"/>
      <w:pPr>
        <w:ind w:left="5891" w:hanging="360"/>
      </w:pPr>
    </w:lvl>
    <w:lvl w:ilvl="7" w:tplc="04260019">
      <w:start w:val="1"/>
      <w:numFmt w:val="lowerLetter"/>
      <w:lvlText w:val="%8."/>
      <w:lvlJc w:val="left"/>
      <w:pPr>
        <w:ind w:left="6611" w:hanging="360"/>
      </w:pPr>
    </w:lvl>
    <w:lvl w:ilvl="8" w:tplc="0426001B">
      <w:start w:val="1"/>
      <w:numFmt w:val="lowerRoman"/>
      <w:lvlText w:val="%9."/>
      <w:lvlJc w:val="right"/>
      <w:pPr>
        <w:ind w:left="73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49"/>
    <w:rsid w:val="000236F5"/>
    <w:rsid w:val="0003209B"/>
    <w:rsid w:val="000F6ADD"/>
    <w:rsid w:val="001868C5"/>
    <w:rsid w:val="001A42CA"/>
    <w:rsid w:val="00256CB4"/>
    <w:rsid w:val="002922E7"/>
    <w:rsid w:val="002E5B2F"/>
    <w:rsid w:val="002F3109"/>
    <w:rsid w:val="00307CF7"/>
    <w:rsid w:val="00324709"/>
    <w:rsid w:val="00332FEE"/>
    <w:rsid w:val="004843FE"/>
    <w:rsid w:val="0049052D"/>
    <w:rsid w:val="004B5438"/>
    <w:rsid w:val="005D1ED6"/>
    <w:rsid w:val="005E38BD"/>
    <w:rsid w:val="006A531F"/>
    <w:rsid w:val="008068B9"/>
    <w:rsid w:val="0081544A"/>
    <w:rsid w:val="008D33CD"/>
    <w:rsid w:val="008D4960"/>
    <w:rsid w:val="009F480C"/>
    <w:rsid w:val="00A427CC"/>
    <w:rsid w:val="00AB4B41"/>
    <w:rsid w:val="00B55490"/>
    <w:rsid w:val="00BB3D2A"/>
    <w:rsid w:val="00BB7E00"/>
    <w:rsid w:val="00D374DB"/>
    <w:rsid w:val="00DC70FB"/>
    <w:rsid w:val="00E15452"/>
    <w:rsid w:val="00EF7849"/>
    <w:rsid w:val="00F73FB8"/>
    <w:rsid w:val="00FD75B7"/>
    <w:rsid w:val="00FF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4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8068B9"/>
    <w:pPr>
      <w:keepNext/>
      <w:spacing w:before="240" w:after="60"/>
      <w:jc w:val="both"/>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F7849"/>
    <w:rPr>
      <w:color w:val="0000FF"/>
      <w:u w:val="single"/>
    </w:rPr>
  </w:style>
  <w:style w:type="paragraph" w:styleId="NormalWeb">
    <w:name w:val="Normal (Web)"/>
    <w:basedOn w:val="Normal"/>
    <w:unhideWhenUsed/>
    <w:rsid w:val="00EF7849"/>
    <w:pPr>
      <w:spacing w:before="100" w:beforeAutospacing="1" w:after="100" w:afterAutospacing="1"/>
    </w:pPr>
  </w:style>
  <w:style w:type="paragraph" w:styleId="FootnoteText">
    <w:name w:val="footnote text"/>
    <w:basedOn w:val="Normal"/>
    <w:link w:val="FootnoteTextChar"/>
    <w:unhideWhenUsed/>
    <w:rsid w:val="00EF7849"/>
    <w:rPr>
      <w:sz w:val="20"/>
      <w:szCs w:val="20"/>
    </w:rPr>
  </w:style>
  <w:style w:type="character" w:customStyle="1" w:styleId="FootnoteTextChar">
    <w:name w:val="Footnote Text Char"/>
    <w:basedOn w:val="DefaultParagraphFont"/>
    <w:link w:val="FootnoteText"/>
    <w:rsid w:val="00EF7849"/>
    <w:rPr>
      <w:rFonts w:ascii="Times New Roman" w:eastAsia="Times New Roman" w:hAnsi="Times New Roman" w:cs="Times New Roman"/>
      <w:sz w:val="20"/>
      <w:szCs w:val="20"/>
      <w:lang w:val="lv-LV" w:eastAsia="lv-LV"/>
    </w:rPr>
  </w:style>
  <w:style w:type="paragraph" w:styleId="BodyText">
    <w:name w:val="Body Text"/>
    <w:basedOn w:val="Normal"/>
    <w:link w:val="BodyTextChar"/>
    <w:unhideWhenUsed/>
    <w:rsid w:val="00EF7849"/>
    <w:pPr>
      <w:spacing w:after="120"/>
    </w:pPr>
    <w:rPr>
      <w:lang w:val="en-GB" w:eastAsia="en-US"/>
    </w:rPr>
  </w:style>
  <w:style w:type="character" w:customStyle="1" w:styleId="BodyTextChar">
    <w:name w:val="Body Text Char"/>
    <w:basedOn w:val="DefaultParagraphFont"/>
    <w:link w:val="BodyText"/>
    <w:rsid w:val="00EF7849"/>
    <w:rPr>
      <w:rFonts w:ascii="Times New Roman" w:eastAsia="Times New Roman" w:hAnsi="Times New Roman" w:cs="Times New Roman"/>
      <w:sz w:val="24"/>
      <w:szCs w:val="24"/>
      <w:lang w:val="en-GB"/>
    </w:rPr>
  </w:style>
  <w:style w:type="paragraph" w:styleId="ListParagraph">
    <w:name w:val="List Paragraph"/>
    <w:basedOn w:val="Normal"/>
    <w:qFormat/>
    <w:rsid w:val="00EF7849"/>
    <w:pPr>
      <w:ind w:left="720"/>
    </w:pPr>
    <w:rPr>
      <w:rFonts w:ascii="Calibri" w:eastAsia="Calibri" w:hAnsi="Calibri"/>
      <w:sz w:val="22"/>
      <w:szCs w:val="22"/>
    </w:rPr>
  </w:style>
  <w:style w:type="paragraph" w:customStyle="1" w:styleId="naisf">
    <w:name w:val="naisf"/>
    <w:basedOn w:val="Normal"/>
    <w:rsid w:val="00EF7849"/>
    <w:pPr>
      <w:spacing w:before="75" w:after="75"/>
      <w:ind w:firstLine="375"/>
      <w:jc w:val="both"/>
    </w:pPr>
  </w:style>
  <w:style w:type="paragraph" w:customStyle="1" w:styleId="naisnod">
    <w:name w:val="naisnod"/>
    <w:basedOn w:val="Normal"/>
    <w:rsid w:val="00EF7849"/>
    <w:pPr>
      <w:spacing w:before="150" w:after="150"/>
      <w:jc w:val="center"/>
    </w:pPr>
    <w:rPr>
      <w:b/>
      <w:bCs/>
    </w:rPr>
  </w:style>
  <w:style w:type="paragraph" w:customStyle="1" w:styleId="naislab">
    <w:name w:val="naislab"/>
    <w:basedOn w:val="Normal"/>
    <w:rsid w:val="00EF7849"/>
    <w:pPr>
      <w:spacing w:before="75" w:after="75"/>
      <w:jc w:val="right"/>
    </w:pPr>
  </w:style>
  <w:style w:type="paragraph" w:customStyle="1" w:styleId="naiskr">
    <w:name w:val="naiskr"/>
    <w:basedOn w:val="Normal"/>
    <w:rsid w:val="00EF7849"/>
    <w:pPr>
      <w:spacing w:before="75" w:after="75"/>
    </w:pPr>
  </w:style>
  <w:style w:type="character" w:customStyle="1" w:styleId="apple-style-span">
    <w:name w:val="apple-style-span"/>
    <w:basedOn w:val="DefaultParagraphFont"/>
    <w:rsid w:val="00EF7849"/>
  </w:style>
  <w:style w:type="paragraph" w:styleId="BalloonText">
    <w:name w:val="Balloon Text"/>
    <w:basedOn w:val="Normal"/>
    <w:link w:val="BalloonTextChar"/>
    <w:uiPriority w:val="99"/>
    <w:semiHidden/>
    <w:unhideWhenUsed/>
    <w:rsid w:val="00256CB4"/>
    <w:rPr>
      <w:rFonts w:ascii="Tahoma" w:hAnsi="Tahoma" w:cs="Tahoma"/>
      <w:sz w:val="16"/>
      <w:szCs w:val="16"/>
    </w:rPr>
  </w:style>
  <w:style w:type="character" w:customStyle="1" w:styleId="BalloonTextChar">
    <w:name w:val="Balloon Text Char"/>
    <w:basedOn w:val="DefaultParagraphFont"/>
    <w:link w:val="BalloonText"/>
    <w:uiPriority w:val="99"/>
    <w:semiHidden/>
    <w:rsid w:val="00256CB4"/>
    <w:rPr>
      <w:rFonts w:ascii="Tahoma" w:eastAsia="Times New Roman" w:hAnsi="Tahoma" w:cs="Tahoma"/>
      <w:sz w:val="16"/>
      <w:szCs w:val="16"/>
      <w:lang w:val="lv-LV" w:eastAsia="lv-LV"/>
    </w:rPr>
  </w:style>
  <w:style w:type="character" w:customStyle="1" w:styleId="Heading1Char">
    <w:name w:val="Heading 1 Char"/>
    <w:basedOn w:val="DefaultParagraphFont"/>
    <w:link w:val="Heading1"/>
    <w:rsid w:val="008068B9"/>
    <w:rPr>
      <w:rFonts w:ascii="Arial" w:eastAsia="Times New Roman" w:hAnsi="Arial" w:cs="Arial"/>
      <w:b/>
      <w:bCs/>
      <w:kern w:val="32"/>
      <w:sz w:val="32"/>
      <w:szCs w:val="32"/>
      <w:lang w:val="lv-LV"/>
    </w:rPr>
  </w:style>
  <w:style w:type="paragraph" w:styleId="Header">
    <w:name w:val="header"/>
    <w:basedOn w:val="Normal"/>
    <w:link w:val="HeaderChar"/>
    <w:uiPriority w:val="99"/>
    <w:unhideWhenUsed/>
    <w:rsid w:val="00324709"/>
    <w:pPr>
      <w:tabs>
        <w:tab w:val="center" w:pos="4513"/>
        <w:tab w:val="right" w:pos="9026"/>
      </w:tabs>
    </w:pPr>
  </w:style>
  <w:style w:type="character" w:customStyle="1" w:styleId="HeaderChar">
    <w:name w:val="Header Char"/>
    <w:basedOn w:val="DefaultParagraphFont"/>
    <w:link w:val="Header"/>
    <w:uiPriority w:val="99"/>
    <w:rsid w:val="0032470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324709"/>
    <w:pPr>
      <w:tabs>
        <w:tab w:val="center" w:pos="4513"/>
        <w:tab w:val="right" w:pos="9026"/>
      </w:tabs>
    </w:pPr>
  </w:style>
  <w:style w:type="character" w:customStyle="1" w:styleId="FooterChar">
    <w:name w:val="Footer Char"/>
    <w:basedOn w:val="DefaultParagraphFont"/>
    <w:link w:val="Footer"/>
    <w:uiPriority w:val="99"/>
    <w:rsid w:val="00324709"/>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4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8068B9"/>
    <w:pPr>
      <w:keepNext/>
      <w:spacing w:before="240" w:after="60"/>
      <w:jc w:val="both"/>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F7849"/>
    <w:rPr>
      <w:color w:val="0000FF"/>
      <w:u w:val="single"/>
    </w:rPr>
  </w:style>
  <w:style w:type="paragraph" w:styleId="NormalWeb">
    <w:name w:val="Normal (Web)"/>
    <w:basedOn w:val="Normal"/>
    <w:unhideWhenUsed/>
    <w:rsid w:val="00EF7849"/>
    <w:pPr>
      <w:spacing w:before="100" w:beforeAutospacing="1" w:after="100" w:afterAutospacing="1"/>
    </w:pPr>
  </w:style>
  <w:style w:type="paragraph" w:styleId="FootnoteText">
    <w:name w:val="footnote text"/>
    <w:basedOn w:val="Normal"/>
    <w:link w:val="FootnoteTextChar"/>
    <w:unhideWhenUsed/>
    <w:rsid w:val="00EF7849"/>
    <w:rPr>
      <w:sz w:val="20"/>
      <w:szCs w:val="20"/>
    </w:rPr>
  </w:style>
  <w:style w:type="character" w:customStyle="1" w:styleId="FootnoteTextChar">
    <w:name w:val="Footnote Text Char"/>
    <w:basedOn w:val="DefaultParagraphFont"/>
    <w:link w:val="FootnoteText"/>
    <w:rsid w:val="00EF7849"/>
    <w:rPr>
      <w:rFonts w:ascii="Times New Roman" w:eastAsia="Times New Roman" w:hAnsi="Times New Roman" w:cs="Times New Roman"/>
      <w:sz w:val="20"/>
      <w:szCs w:val="20"/>
      <w:lang w:val="lv-LV" w:eastAsia="lv-LV"/>
    </w:rPr>
  </w:style>
  <w:style w:type="paragraph" w:styleId="BodyText">
    <w:name w:val="Body Text"/>
    <w:basedOn w:val="Normal"/>
    <w:link w:val="BodyTextChar"/>
    <w:unhideWhenUsed/>
    <w:rsid w:val="00EF7849"/>
    <w:pPr>
      <w:spacing w:after="120"/>
    </w:pPr>
    <w:rPr>
      <w:lang w:val="en-GB" w:eastAsia="en-US"/>
    </w:rPr>
  </w:style>
  <w:style w:type="character" w:customStyle="1" w:styleId="BodyTextChar">
    <w:name w:val="Body Text Char"/>
    <w:basedOn w:val="DefaultParagraphFont"/>
    <w:link w:val="BodyText"/>
    <w:rsid w:val="00EF7849"/>
    <w:rPr>
      <w:rFonts w:ascii="Times New Roman" w:eastAsia="Times New Roman" w:hAnsi="Times New Roman" w:cs="Times New Roman"/>
      <w:sz w:val="24"/>
      <w:szCs w:val="24"/>
      <w:lang w:val="en-GB"/>
    </w:rPr>
  </w:style>
  <w:style w:type="paragraph" w:styleId="ListParagraph">
    <w:name w:val="List Paragraph"/>
    <w:basedOn w:val="Normal"/>
    <w:qFormat/>
    <w:rsid w:val="00EF7849"/>
    <w:pPr>
      <w:ind w:left="720"/>
    </w:pPr>
    <w:rPr>
      <w:rFonts w:ascii="Calibri" w:eastAsia="Calibri" w:hAnsi="Calibri"/>
      <w:sz w:val="22"/>
      <w:szCs w:val="22"/>
    </w:rPr>
  </w:style>
  <w:style w:type="paragraph" w:customStyle="1" w:styleId="naisf">
    <w:name w:val="naisf"/>
    <w:basedOn w:val="Normal"/>
    <w:rsid w:val="00EF7849"/>
    <w:pPr>
      <w:spacing w:before="75" w:after="75"/>
      <w:ind w:firstLine="375"/>
      <w:jc w:val="both"/>
    </w:pPr>
  </w:style>
  <w:style w:type="paragraph" w:customStyle="1" w:styleId="naisnod">
    <w:name w:val="naisnod"/>
    <w:basedOn w:val="Normal"/>
    <w:rsid w:val="00EF7849"/>
    <w:pPr>
      <w:spacing w:before="150" w:after="150"/>
      <w:jc w:val="center"/>
    </w:pPr>
    <w:rPr>
      <w:b/>
      <w:bCs/>
    </w:rPr>
  </w:style>
  <w:style w:type="paragraph" w:customStyle="1" w:styleId="naislab">
    <w:name w:val="naislab"/>
    <w:basedOn w:val="Normal"/>
    <w:rsid w:val="00EF7849"/>
    <w:pPr>
      <w:spacing w:before="75" w:after="75"/>
      <w:jc w:val="right"/>
    </w:pPr>
  </w:style>
  <w:style w:type="paragraph" w:customStyle="1" w:styleId="naiskr">
    <w:name w:val="naiskr"/>
    <w:basedOn w:val="Normal"/>
    <w:rsid w:val="00EF7849"/>
    <w:pPr>
      <w:spacing w:before="75" w:after="75"/>
    </w:pPr>
  </w:style>
  <w:style w:type="character" w:customStyle="1" w:styleId="apple-style-span">
    <w:name w:val="apple-style-span"/>
    <w:basedOn w:val="DefaultParagraphFont"/>
    <w:rsid w:val="00EF7849"/>
  </w:style>
  <w:style w:type="paragraph" w:styleId="BalloonText">
    <w:name w:val="Balloon Text"/>
    <w:basedOn w:val="Normal"/>
    <w:link w:val="BalloonTextChar"/>
    <w:uiPriority w:val="99"/>
    <w:semiHidden/>
    <w:unhideWhenUsed/>
    <w:rsid w:val="00256CB4"/>
    <w:rPr>
      <w:rFonts w:ascii="Tahoma" w:hAnsi="Tahoma" w:cs="Tahoma"/>
      <w:sz w:val="16"/>
      <w:szCs w:val="16"/>
    </w:rPr>
  </w:style>
  <w:style w:type="character" w:customStyle="1" w:styleId="BalloonTextChar">
    <w:name w:val="Balloon Text Char"/>
    <w:basedOn w:val="DefaultParagraphFont"/>
    <w:link w:val="BalloonText"/>
    <w:uiPriority w:val="99"/>
    <w:semiHidden/>
    <w:rsid w:val="00256CB4"/>
    <w:rPr>
      <w:rFonts w:ascii="Tahoma" w:eastAsia="Times New Roman" w:hAnsi="Tahoma" w:cs="Tahoma"/>
      <w:sz w:val="16"/>
      <w:szCs w:val="16"/>
      <w:lang w:val="lv-LV" w:eastAsia="lv-LV"/>
    </w:rPr>
  </w:style>
  <w:style w:type="character" w:customStyle="1" w:styleId="Heading1Char">
    <w:name w:val="Heading 1 Char"/>
    <w:basedOn w:val="DefaultParagraphFont"/>
    <w:link w:val="Heading1"/>
    <w:rsid w:val="008068B9"/>
    <w:rPr>
      <w:rFonts w:ascii="Arial" w:eastAsia="Times New Roman" w:hAnsi="Arial" w:cs="Arial"/>
      <w:b/>
      <w:bCs/>
      <w:kern w:val="32"/>
      <w:sz w:val="32"/>
      <w:szCs w:val="32"/>
      <w:lang w:val="lv-LV"/>
    </w:rPr>
  </w:style>
  <w:style w:type="paragraph" w:styleId="Header">
    <w:name w:val="header"/>
    <w:basedOn w:val="Normal"/>
    <w:link w:val="HeaderChar"/>
    <w:uiPriority w:val="99"/>
    <w:unhideWhenUsed/>
    <w:rsid w:val="00324709"/>
    <w:pPr>
      <w:tabs>
        <w:tab w:val="center" w:pos="4513"/>
        <w:tab w:val="right" w:pos="9026"/>
      </w:tabs>
    </w:pPr>
  </w:style>
  <w:style w:type="character" w:customStyle="1" w:styleId="HeaderChar">
    <w:name w:val="Header Char"/>
    <w:basedOn w:val="DefaultParagraphFont"/>
    <w:link w:val="Header"/>
    <w:uiPriority w:val="99"/>
    <w:rsid w:val="0032470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324709"/>
    <w:pPr>
      <w:tabs>
        <w:tab w:val="center" w:pos="4513"/>
        <w:tab w:val="right" w:pos="9026"/>
      </w:tabs>
    </w:pPr>
  </w:style>
  <w:style w:type="character" w:customStyle="1" w:styleId="FooterChar">
    <w:name w:val="Footer Char"/>
    <w:basedOn w:val="DefaultParagraphFont"/>
    <w:link w:val="Footer"/>
    <w:uiPriority w:val="99"/>
    <w:rsid w:val="00324709"/>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74724">
      <w:bodyDiv w:val="1"/>
      <w:marLeft w:val="0"/>
      <w:marRight w:val="0"/>
      <w:marTop w:val="0"/>
      <w:marBottom w:val="0"/>
      <w:divBdr>
        <w:top w:val="none" w:sz="0" w:space="0" w:color="auto"/>
        <w:left w:val="none" w:sz="0" w:space="0" w:color="auto"/>
        <w:bottom w:val="none" w:sz="0" w:space="0" w:color="auto"/>
        <w:right w:val="none" w:sz="0" w:space="0" w:color="auto"/>
      </w:divBdr>
    </w:div>
    <w:div w:id="816729550">
      <w:bodyDiv w:val="1"/>
      <w:marLeft w:val="0"/>
      <w:marRight w:val="0"/>
      <w:marTop w:val="0"/>
      <w:marBottom w:val="0"/>
      <w:divBdr>
        <w:top w:val="none" w:sz="0" w:space="0" w:color="auto"/>
        <w:left w:val="none" w:sz="0" w:space="0" w:color="auto"/>
        <w:bottom w:val="none" w:sz="0" w:space="0" w:color="auto"/>
        <w:right w:val="none" w:sz="0" w:space="0" w:color="auto"/>
      </w:divBdr>
    </w:div>
    <w:div w:id="1439252287">
      <w:bodyDiv w:val="1"/>
      <w:marLeft w:val="0"/>
      <w:marRight w:val="0"/>
      <w:marTop w:val="0"/>
      <w:marBottom w:val="0"/>
      <w:divBdr>
        <w:top w:val="none" w:sz="0" w:space="0" w:color="auto"/>
        <w:left w:val="none" w:sz="0" w:space="0" w:color="auto"/>
        <w:bottom w:val="none" w:sz="0" w:space="0" w:color="auto"/>
        <w:right w:val="none" w:sz="0" w:space="0" w:color="auto"/>
      </w:divBdr>
    </w:div>
    <w:div w:id="1592202156">
      <w:bodyDiv w:val="1"/>
      <w:marLeft w:val="0"/>
      <w:marRight w:val="0"/>
      <w:marTop w:val="0"/>
      <w:marBottom w:val="0"/>
      <w:divBdr>
        <w:top w:val="none" w:sz="0" w:space="0" w:color="auto"/>
        <w:left w:val="none" w:sz="0" w:space="0" w:color="auto"/>
        <w:bottom w:val="none" w:sz="0" w:space="0" w:color="auto"/>
        <w:right w:val="none" w:sz="0" w:space="0" w:color="auto"/>
      </w:divBdr>
    </w:div>
    <w:div w:id="1775246004">
      <w:bodyDiv w:val="1"/>
      <w:marLeft w:val="0"/>
      <w:marRight w:val="0"/>
      <w:marTop w:val="0"/>
      <w:marBottom w:val="0"/>
      <w:divBdr>
        <w:top w:val="none" w:sz="0" w:space="0" w:color="auto"/>
        <w:left w:val="none" w:sz="0" w:space="0" w:color="auto"/>
        <w:bottom w:val="none" w:sz="0" w:space="0" w:color="auto"/>
        <w:right w:val="none" w:sz="0" w:space="0" w:color="auto"/>
      </w:divBdr>
    </w:div>
    <w:div w:id="207408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ekaterina.tulina@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FB08-B7EF-4844-B8C9-EAF44C71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5645</Words>
  <Characters>3219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Jekaterina Tulina</dc:creator>
  <cp:lastModifiedBy>Elina Ergle</cp:lastModifiedBy>
  <cp:revision>13</cp:revision>
  <cp:lastPrinted>2013-08-29T13:08:00Z</cp:lastPrinted>
  <dcterms:created xsi:type="dcterms:W3CDTF">2013-09-03T13:38:00Z</dcterms:created>
  <dcterms:modified xsi:type="dcterms:W3CDTF">2013-09-04T13:36:00Z</dcterms:modified>
</cp:coreProperties>
</file>