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5DD23" w14:textId="77777777" w:rsidR="0041152A" w:rsidRPr="0017700F" w:rsidRDefault="0041152A" w:rsidP="00A83430">
      <w:pPr>
        <w:jc w:val="center"/>
        <w:outlineLvl w:val="0"/>
        <w:rPr>
          <w:b/>
          <w:bCs/>
          <w:sz w:val="28"/>
          <w:szCs w:val="28"/>
        </w:rPr>
      </w:pPr>
      <w:r w:rsidRPr="0017700F">
        <w:rPr>
          <w:b/>
          <w:bCs/>
          <w:sz w:val="28"/>
          <w:szCs w:val="28"/>
        </w:rPr>
        <w:t>Ministru kabineta rīkojuma projekta „Par A.</w:t>
      </w:r>
      <w:r w:rsidR="00F53961">
        <w:rPr>
          <w:b/>
          <w:bCs/>
          <w:sz w:val="28"/>
          <w:szCs w:val="28"/>
        </w:rPr>
        <w:t>Pildegoviču</w:t>
      </w:r>
      <w:r w:rsidRPr="0017700F">
        <w:rPr>
          <w:b/>
          <w:bCs/>
          <w:sz w:val="28"/>
          <w:szCs w:val="28"/>
        </w:rPr>
        <w:t xml:space="preserve">” </w:t>
      </w:r>
      <w:r w:rsidRPr="0017700F">
        <w:rPr>
          <w:b/>
          <w:sz w:val="28"/>
          <w:szCs w:val="28"/>
        </w:rPr>
        <w:t xml:space="preserve">sākotnējās ietekmes novērtējuma </w:t>
      </w:r>
      <w:smartTag w:uri="schemas-tilde-lv/tildestengine" w:element="veidnes">
        <w:smartTagPr>
          <w:attr w:name="id" w:val="-1"/>
          <w:attr w:name="baseform" w:val="ziņojums"/>
          <w:attr w:name="text" w:val="ziņojums"/>
        </w:smartTagPr>
        <w:r w:rsidRPr="0017700F">
          <w:rPr>
            <w:b/>
            <w:sz w:val="28"/>
            <w:szCs w:val="28"/>
          </w:rPr>
          <w:t>ziņojums</w:t>
        </w:r>
      </w:smartTag>
      <w:r w:rsidRPr="0017700F">
        <w:rPr>
          <w:b/>
          <w:sz w:val="28"/>
          <w:szCs w:val="28"/>
        </w:rPr>
        <w:t xml:space="preserve"> (</w:t>
      </w:r>
      <w:r w:rsidRPr="0017700F">
        <w:rPr>
          <w:b/>
          <w:bCs/>
          <w:sz w:val="28"/>
          <w:szCs w:val="28"/>
        </w:rPr>
        <w:t>anotācija)</w:t>
      </w:r>
    </w:p>
    <w:tbl>
      <w:tblPr>
        <w:tblW w:w="9498" w:type="dxa"/>
        <w:tblInd w:w="113"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13" w:type="dxa"/>
          <w:right w:w="113" w:type="dxa"/>
        </w:tblCellMar>
        <w:tblLook w:val="0000" w:firstRow="0" w:lastRow="0" w:firstColumn="0" w:lastColumn="0" w:noHBand="0" w:noVBand="0"/>
      </w:tblPr>
      <w:tblGrid>
        <w:gridCol w:w="490"/>
        <w:gridCol w:w="3436"/>
        <w:gridCol w:w="5572"/>
      </w:tblGrid>
      <w:tr w:rsidR="0041152A" w:rsidRPr="0017700F" w14:paraId="2815DD25" w14:textId="77777777" w:rsidTr="00A83430">
        <w:trPr>
          <w:trHeight w:val="200"/>
        </w:trPr>
        <w:tc>
          <w:tcPr>
            <w:tcW w:w="9498"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15DD24" w14:textId="77777777" w:rsidR="0041152A" w:rsidRPr="0017700F" w:rsidRDefault="0041152A" w:rsidP="00A83430">
            <w:pPr>
              <w:jc w:val="center"/>
              <w:rPr>
                <w:b/>
                <w:sz w:val="28"/>
                <w:szCs w:val="28"/>
              </w:rPr>
            </w:pPr>
            <w:r w:rsidRPr="0017700F">
              <w:rPr>
                <w:b/>
                <w:sz w:val="28"/>
                <w:szCs w:val="28"/>
              </w:rPr>
              <w:t>I. Tiesību akta projekta izstrādes nepieciešamība</w:t>
            </w:r>
          </w:p>
        </w:tc>
      </w:tr>
      <w:tr w:rsidR="0041152A" w:rsidRPr="0017700F" w14:paraId="2815DD2A" w14:textId="77777777" w:rsidTr="00A83430">
        <w:trPr>
          <w:trHeight w:val="798"/>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26" w14:textId="77777777" w:rsidR="0041152A" w:rsidRPr="0017700F" w:rsidRDefault="0041152A" w:rsidP="00A83430">
            <w:pPr>
              <w:jc w:val="both"/>
              <w:rPr>
                <w:sz w:val="28"/>
                <w:szCs w:val="28"/>
              </w:rPr>
            </w:pPr>
            <w:r w:rsidRPr="0017700F">
              <w:rPr>
                <w:sz w:val="28"/>
                <w:szCs w:val="28"/>
              </w:rPr>
              <w:t>1.</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27" w14:textId="77777777" w:rsidR="0041152A" w:rsidRPr="0017700F" w:rsidRDefault="0041152A" w:rsidP="00A83430">
            <w:pPr>
              <w:jc w:val="both"/>
              <w:rPr>
                <w:sz w:val="28"/>
                <w:szCs w:val="28"/>
              </w:rPr>
            </w:pPr>
            <w:r w:rsidRPr="0017700F">
              <w:rPr>
                <w:sz w:val="28"/>
                <w:szCs w:val="28"/>
              </w:rPr>
              <w:t>Pamatojums</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28" w14:textId="77777777" w:rsidR="008C4857" w:rsidRDefault="008C4857" w:rsidP="00A83430">
            <w:pPr>
              <w:widowControl w:val="0"/>
              <w:suppressAutoHyphens/>
              <w:jc w:val="both"/>
              <w:rPr>
                <w:sz w:val="28"/>
                <w:szCs w:val="28"/>
              </w:rPr>
            </w:pPr>
            <w:r>
              <w:rPr>
                <w:sz w:val="28"/>
                <w:szCs w:val="28"/>
              </w:rPr>
              <w:t>Valsts civildienesta likuma 11.panta trešā daļ</w:t>
            </w:r>
            <w:r w:rsidR="00845D80">
              <w:rPr>
                <w:sz w:val="28"/>
                <w:szCs w:val="28"/>
              </w:rPr>
              <w:t xml:space="preserve">a </w:t>
            </w:r>
            <w:r>
              <w:rPr>
                <w:sz w:val="28"/>
                <w:szCs w:val="28"/>
              </w:rPr>
              <w:t>nosaka, ka pretendentu valsts sekretāra amatā ministrs ieceļ pēc apstiprināšanas Ministru kabinetā.</w:t>
            </w:r>
          </w:p>
          <w:p w14:paraId="2815DD29" w14:textId="77777777" w:rsidR="00DE364C" w:rsidRPr="0017700F" w:rsidRDefault="008C4857" w:rsidP="00845D80">
            <w:pPr>
              <w:jc w:val="both"/>
              <w:rPr>
                <w:sz w:val="28"/>
                <w:szCs w:val="28"/>
              </w:rPr>
            </w:pPr>
            <w:r>
              <w:rPr>
                <w:sz w:val="28"/>
                <w:szCs w:val="28"/>
              </w:rPr>
              <w:t>Saskaņā ar Valsts civildienesta likuma</w:t>
            </w:r>
            <w:proofErr w:type="gramStart"/>
            <w:r>
              <w:rPr>
                <w:sz w:val="28"/>
                <w:szCs w:val="28"/>
              </w:rPr>
              <w:t xml:space="preserve">  </w:t>
            </w:r>
            <w:proofErr w:type="gramEnd"/>
            <w:r>
              <w:rPr>
                <w:sz w:val="28"/>
                <w:szCs w:val="28"/>
              </w:rPr>
              <w:t>37.panta pirmo</w:t>
            </w:r>
            <w:r w:rsidR="00DE364C">
              <w:rPr>
                <w:sz w:val="28"/>
                <w:szCs w:val="28"/>
              </w:rPr>
              <w:t xml:space="preserve"> </w:t>
            </w:r>
            <w:r>
              <w:rPr>
                <w:sz w:val="28"/>
                <w:szCs w:val="28"/>
              </w:rPr>
              <w:t>daļu</w:t>
            </w:r>
            <w:r w:rsidR="00DE364C">
              <w:rPr>
                <w:sz w:val="28"/>
                <w:szCs w:val="28"/>
              </w:rPr>
              <w:t xml:space="preserve">, lai </w:t>
            </w:r>
            <w:r w:rsidR="00DE364C" w:rsidRPr="00DE364C">
              <w:rPr>
                <w:sz w:val="28"/>
                <w:szCs w:val="28"/>
                <w:lang w:eastAsia="en-US"/>
              </w:rPr>
              <w:t xml:space="preserve"> nodrošinātu labu pārvaldību, it sevišķi civildienesta uzdevumu efektīvu izpildi un sabiedrības uzticību civildienestam, kā arī veicinātu ierēdņa kvalifikācijas izaugsmi, ierēdni, neizsludinot atklātu pretendentu konkursu un motivējot pārcelšanas pieļaujamību un lietderību, var pārcelt jebkurā citā ierēdņa amatā uz noteiktu vai nenoteiktu laiku tajā pašā vai citā iestādē. </w:t>
            </w:r>
          </w:p>
        </w:tc>
      </w:tr>
      <w:tr w:rsidR="0041152A" w:rsidRPr="0017700F" w14:paraId="2815DD2F" w14:textId="77777777" w:rsidTr="00A83430">
        <w:trPr>
          <w:trHeight w:val="927"/>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2B" w14:textId="77777777" w:rsidR="0041152A" w:rsidRPr="0017700F" w:rsidRDefault="0041152A" w:rsidP="00A83430">
            <w:pPr>
              <w:jc w:val="both"/>
              <w:rPr>
                <w:sz w:val="28"/>
                <w:szCs w:val="28"/>
              </w:rPr>
            </w:pPr>
            <w:r w:rsidRPr="0017700F">
              <w:rPr>
                <w:sz w:val="28"/>
                <w:szCs w:val="28"/>
              </w:rPr>
              <w:t>2.</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2C" w14:textId="77777777" w:rsidR="0041152A" w:rsidRPr="0017700F" w:rsidRDefault="0041152A" w:rsidP="00A83430">
            <w:pPr>
              <w:jc w:val="both"/>
              <w:rPr>
                <w:sz w:val="28"/>
                <w:szCs w:val="28"/>
              </w:rPr>
            </w:pPr>
            <w:r w:rsidRPr="0017700F">
              <w:rPr>
                <w:sz w:val="28"/>
                <w:szCs w:val="28"/>
              </w:rPr>
              <w:t>Pašreizējā situācija un problēmas</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2D" w14:textId="77777777" w:rsidR="00845D80" w:rsidRDefault="008C4857" w:rsidP="00845D80">
            <w:pPr>
              <w:widowControl w:val="0"/>
              <w:suppressAutoHyphens/>
              <w:jc w:val="both"/>
              <w:rPr>
                <w:sz w:val="28"/>
                <w:szCs w:val="28"/>
                <w:lang w:eastAsia="en-US"/>
              </w:rPr>
            </w:pPr>
            <w:r>
              <w:rPr>
                <w:sz w:val="28"/>
                <w:szCs w:val="28"/>
              </w:rPr>
              <w:t xml:space="preserve">Ņemot vērā, ka </w:t>
            </w:r>
            <w:r w:rsidR="0017700F" w:rsidRPr="00535C50">
              <w:rPr>
                <w:sz w:val="28"/>
                <w:szCs w:val="28"/>
              </w:rPr>
              <w:t>diplomātiskā un konsulārā dienesta diplomātu rotācij</w:t>
            </w:r>
            <w:r>
              <w:rPr>
                <w:sz w:val="28"/>
                <w:szCs w:val="28"/>
              </w:rPr>
              <w:t xml:space="preserve">ā </w:t>
            </w:r>
            <w:r w:rsidR="0017700F" w:rsidRPr="00535C50">
              <w:rPr>
                <w:sz w:val="28"/>
                <w:szCs w:val="28"/>
              </w:rPr>
              <w:t xml:space="preserve">ir atbalstīta Ārlietu ministrijas valsts sekretāra Andra </w:t>
            </w:r>
            <w:proofErr w:type="spellStart"/>
            <w:r w:rsidR="0017700F" w:rsidRPr="00535C50">
              <w:rPr>
                <w:sz w:val="28"/>
                <w:szCs w:val="28"/>
              </w:rPr>
              <w:t>Teikmaņa</w:t>
            </w:r>
            <w:proofErr w:type="spellEnd"/>
            <w:r w:rsidR="0017700F" w:rsidRPr="00535C50">
              <w:rPr>
                <w:sz w:val="28"/>
                <w:szCs w:val="28"/>
              </w:rPr>
              <w:t xml:space="preserve"> kandidatūra Latvijas Republikas ārkārtējā un pilnvarotā vēstnieka </w:t>
            </w:r>
            <w:r w:rsidR="0017700F" w:rsidRPr="00535C50">
              <w:rPr>
                <w:rFonts w:eastAsia="Calibri"/>
                <w:sz w:val="28"/>
                <w:szCs w:val="28"/>
                <w:lang w:eastAsia="en-US"/>
              </w:rPr>
              <w:t>Lielbritānijā un Ziemeļīrijas Apvienotajā Karalistē</w:t>
            </w:r>
            <w:r>
              <w:rPr>
                <w:rFonts w:eastAsia="Calibri"/>
                <w:sz w:val="28"/>
                <w:szCs w:val="28"/>
                <w:lang w:eastAsia="en-US"/>
              </w:rPr>
              <w:t xml:space="preserve"> amatam, </w:t>
            </w:r>
            <w:r w:rsidR="00A83430">
              <w:rPr>
                <w:rFonts w:eastAsia="Calibri"/>
                <w:sz w:val="28"/>
                <w:szCs w:val="28"/>
                <w:lang w:eastAsia="en-US"/>
              </w:rPr>
              <w:t xml:space="preserve">un </w:t>
            </w:r>
            <w:r>
              <w:rPr>
                <w:rFonts w:eastAsia="Calibri"/>
                <w:sz w:val="28"/>
                <w:szCs w:val="28"/>
                <w:lang w:eastAsia="en-US"/>
              </w:rPr>
              <w:t xml:space="preserve">pamatojoties uz </w:t>
            </w:r>
            <w:r w:rsidR="00A83430">
              <w:rPr>
                <w:rFonts w:eastAsia="Calibri"/>
                <w:sz w:val="28"/>
                <w:szCs w:val="28"/>
                <w:lang w:eastAsia="en-US"/>
              </w:rPr>
              <w:t xml:space="preserve">Valsts civildienesta likuma </w:t>
            </w:r>
            <w:r w:rsidR="00845D80">
              <w:rPr>
                <w:rFonts w:eastAsia="Calibri"/>
                <w:sz w:val="28"/>
                <w:szCs w:val="28"/>
                <w:lang w:eastAsia="en-US"/>
              </w:rPr>
              <w:t xml:space="preserve">37.panta pirmo, trešo daļu </w:t>
            </w:r>
            <w:r w:rsidR="00A83430">
              <w:rPr>
                <w:rFonts w:eastAsia="Calibri"/>
                <w:sz w:val="28"/>
                <w:szCs w:val="28"/>
                <w:lang w:eastAsia="en-US"/>
              </w:rPr>
              <w:t>un</w:t>
            </w:r>
            <w:r w:rsidR="00845D80">
              <w:rPr>
                <w:rFonts w:eastAsia="Calibri"/>
                <w:sz w:val="28"/>
                <w:szCs w:val="28"/>
                <w:lang w:eastAsia="en-US"/>
              </w:rPr>
              <w:t xml:space="preserve"> </w:t>
            </w:r>
            <w:r>
              <w:rPr>
                <w:rFonts w:eastAsia="Calibri"/>
                <w:sz w:val="28"/>
                <w:szCs w:val="28"/>
                <w:lang w:eastAsia="en-US"/>
              </w:rPr>
              <w:t>Diplomātiskā un konsulārā dienesta</w:t>
            </w:r>
            <w:r w:rsidR="00845D80">
              <w:rPr>
                <w:rFonts w:eastAsia="Calibri"/>
                <w:sz w:val="28"/>
                <w:szCs w:val="28"/>
                <w:lang w:eastAsia="en-US"/>
              </w:rPr>
              <w:t xml:space="preserve"> </w:t>
            </w:r>
            <w:r w:rsidR="00A96B28">
              <w:rPr>
                <w:rFonts w:eastAsia="Calibri"/>
                <w:sz w:val="28"/>
                <w:szCs w:val="28"/>
                <w:lang w:eastAsia="en-US"/>
              </w:rPr>
              <w:t xml:space="preserve">likuma </w:t>
            </w:r>
            <w:r>
              <w:rPr>
                <w:rFonts w:eastAsia="Calibri"/>
                <w:sz w:val="28"/>
                <w:szCs w:val="28"/>
                <w:lang w:eastAsia="en-US"/>
              </w:rPr>
              <w:t>14.panta trešo daļu</w:t>
            </w:r>
            <w:r w:rsidR="00A83430">
              <w:rPr>
                <w:rFonts w:eastAsia="Calibri"/>
                <w:sz w:val="28"/>
                <w:szCs w:val="28"/>
                <w:lang w:eastAsia="en-US"/>
              </w:rPr>
              <w:t xml:space="preserve">, </w:t>
            </w:r>
            <w:r w:rsidR="00A96B28">
              <w:rPr>
                <w:rFonts w:eastAsia="Calibri"/>
                <w:sz w:val="28"/>
                <w:szCs w:val="28"/>
                <w:lang w:eastAsia="en-US"/>
              </w:rPr>
              <w:t xml:space="preserve">ārlietu ministrs </w:t>
            </w:r>
            <w:r w:rsidR="00845D80">
              <w:rPr>
                <w:rFonts w:eastAsia="Calibri"/>
                <w:sz w:val="28"/>
                <w:szCs w:val="28"/>
                <w:lang w:eastAsia="en-US"/>
              </w:rPr>
              <w:t xml:space="preserve">ir </w:t>
            </w:r>
            <w:r w:rsidR="00A96B28">
              <w:rPr>
                <w:rFonts w:eastAsia="Calibri"/>
                <w:sz w:val="28"/>
                <w:szCs w:val="28"/>
                <w:lang w:eastAsia="en-US"/>
              </w:rPr>
              <w:t xml:space="preserve">izvirzījis </w:t>
            </w:r>
            <w:r w:rsidR="00845D80" w:rsidRPr="00845D80">
              <w:rPr>
                <w:sz w:val="28"/>
                <w:szCs w:val="28"/>
                <w:lang w:eastAsia="en-US"/>
              </w:rPr>
              <w:t>A.Pildegovič</w:t>
            </w:r>
            <w:r w:rsidR="004C3E01">
              <w:rPr>
                <w:sz w:val="28"/>
                <w:szCs w:val="28"/>
                <w:lang w:eastAsia="en-US"/>
              </w:rPr>
              <w:t>a</w:t>
            </w:r>
            <w:r w:rsidR="00A96B28">
              <w:rPr>
                <w:sz w:val="28"/>
                <w:szCs w:val="28"/>
                <w:lang w:eastAsia="en-US"/>
              </w:rPr>
              <w:t xml:space="preserve"> kandidatūru Ārlietu ministrijas valsts sekretāra amatam. </w:t>
            </w:r>
            <w:r w:rsidR="00845D80" w:rsidRPr="00845D80">
              <w:rPr>
                <w:sz w:val="28"/>
                <w:szCs w:val="28"/>
                <w:lang w:eastAsia="en-US"/>
              </w:rPr>
              <w:t>A.Pildegovičs ir piekritis pārcelšanai Ārlietu ministrijas valsts sekretāra amatā.</w:t>
            </w:r>
            <w:r w:rsidR="00845D80">
              <w:rPr>
                <w:sz w:val="28"/>
                <w:szCs w:val="28"/>
                <w:lang w:eastAsia="en-US"/>
              </w:rPr>
              <w:t xml:space="preserve"> </w:t>
            </w:r>
          </w:p>
          <w:p w14:paraId="33BFC84B" w14:textId="77485738" w:rsidR="005F1779" w:rsidRPr="005F1779" w:rsidRDefault="005F1779" w:rsidP="005F1779">
            <w:pPr>
              <w:widowControl w:val="0"/>
              <w:suppressAutoHyphens/>
              <w:jc w:val="both"/>
              <w:rPr>
                <w:sz w:val="28"/>
                <w:szCs w:val="28"/>
                <w:lang w:eastAsia="en-US"/>
              </w:rPr>
            </w:pPr>
            <w:r w:rsidRPr="005F1779">
              <w:rPr>
                <w:sz w:val="28"/>
                <w:szCs w:val="28"/>
                <w:lang w:eastAsia="en-US"/>
              </w:rPr>
              <w:t>Ārlietu ministrijas valsts sekretāra amats ir augstākais amats diplomātiskajā un konsulārajā dienestā. Saskaņā ar Diplomātiskā un konsulārā dienesta likuma 9.pantu valsts sekretāra amatu var ieņemt diplomāts, kuram ir piešķirts diplomātiskais rangs „vēstnieks” un kura izdienas stāžs ir ne mazāks kā 14-17 gadi.</w:t>
            </w:r>
          </w:p>
          <w:p w14:paraId="3481EC53" w14:textId="7DBF9542" w:rsidR="005F1779" w:rsidRDefault="005F1779" w:rsidP="005F1779">
            <w:pPr>
              <w:widowControl w:val="0"/>
              <w:suppressAutoHyphens/>
              <w:jc w:val="both"/>
              <w:rPr>
                <w:rFonts w:eastAsia="Calibri"/>
                <w:sz w:val="28"/>
                <w:szCs w:val="28"/>
                <w:lang w:eastAsia="en-US"/>
              </w:rPr>
            </w:pPr>
            <w:r w:rsidRPr="005F1779">
              <w:rPr>
                <w:sz w:val="28"/>
                <w:szCs w:val="28"/>
                <w:lang w:eastAsia="en-US"/>
              </w:rPr>
              <w:t xml:space="preserve">A.Pildegovičs ir atbilstošs kandidāts šim amatam. Viņš ieņem Ārlietu ministrijas valsts sekretāra vietnieka-politiskā direktora amatu, kas ir otrais augstākais amats diplomātiskajā un konsulārajā dienestā. A.Pildegovičam ir </w:t>
            </w:r>
            <w:r w:rsidRPr="005F1779">
              <w:rPr>
                <w:sz w:val="28"/>
                <w:szCs w:val="28"/>
                <w:lang w:eastAsia="en-US"/>
              </w:rPr>
              <w:lastRenderedPageBreak/>
              <w:t>vēstnieka diplomātiskais rangs. Viņa izdienas stāžs ir 18 gadi. A.Pildegovičs ir strādājis par Valsts prezidenta padomnieku ārlietu jautājumos. No 2006.gada līdz 2007.gadam vadījis Valsts prezidenta kanceleju. A.Pildegovičs ir bijis Latvijas Republikas ārkārtējais un pilnvarotais vēstnieks Amerikas Savienotajās Valstīs.</w:t>
            </w:r>
            <w:r>
              <w:rPr>
                <w:sz w:val="28"/>
                <w:szCs w:val="28"/>
                <w:lang w:eastAsia="en-US"/>
              </w:rPr>
              <w:t xml:space="preserve"> </w:t>
            </w:r>
            <w:r w:rsidR="00845D80">
              <w:rPr>
                <w:rFonts w:eastAsia="Calibri"/>
                <w:sz w:val="28"/>
                <w:szCs w:val="28"/>
                <w:lang w:eastAsia="en-US"/>
              </w:rPr>
              <w:t xml:space="preserve">Šobrīd </w:t>
            </w:r>
            <w:r w:rsidR="00A83430">
              <w:rPr>
                <w:rFonts w:eastAsia="Calibri"/>
                <w:sz w:val="28"/>
                <w:szCs w:val="28"/>
                <w:lang w:eastAsia="en-US"/>
              </w:rPr>
              <w:t>A.Pildegovičs veic</w:t>
            </w:r>
            <w:r w:rsidR="00845D80">
              <w:rPr>
                <w:rFonts w:eastAsia="Calibri"/>
                <w:sz w:val="28"/>
                <w:szCs w:val="28"/>
                <w:lang w:eastAsia="en-US"/>
              </w:rPr>
              <w:t xml:space="preserve"> </w:t>
            </w:r>
            <w:r w:rsidR="00DD6E9A">
              <w:rPr>
                <w:rFonts w:eastAsia="Calibri"/>
                <w:sz w:val="28"/>
                <w:szCs w:val="28"/>
                <w:lang w:eastAsia="en-US"/>
              </w:rPr>
              <w:t>Ārlietu ministrijas valsts sekretāra vietniek</w:t>
            </w:r>
            <w:r w:rsidR="00A83430">
              <w:rPr>
                <w:rFonts w:eastAsia="Calibri"/>
                <w:sz w:val="28"/>
                <w:szCs w:val="28"/>
                <w:lang w:eastAsia="en-US"/>
              </w:rPr>
              <w:t>a</w:t>
            </w:r>
            <w:r w:rsidR="00D05A18">
              <w:rPr>
                <w:rFonts w:eastAsia="Calibri"/>
                <w:sz w:val="28"/>
                <w:szCs w:val="28"/>
                <w:lang w:eastAsia="en-US"/>
              </w:rPr>
              <w:t xml:space="preserve"> (p</w:t>
            </w:r>
            <w:r w:rsidR="00DD6E9A">
              <w:rPr>
                <w:rFonts w:eastAsia="Calibri"/>
                <w:sz w:val="28"/>
                <w:szCs w:val="28"/>
                <w:lang w:eastAsia="en-US"/>
              </w:rPr>
              <w:t>olitisk</w:t>
            </w:r>
            <w:r w:rsidR="00A83430">
              <w:rPr>
                <w:rFonts w:eastAsia="Calibri"/>
                <w:sz w:val="28"/>
                <w:szCs w:val="28"/>
                <w:lang w:eastAsia="en-US"/>
              </w:rPr>
              <w:t xml:space="preserve">ā </w:t>
            </w:r>
            <w:r w:rsidR="00DD6E9A">
              <w:rPr>
                <w:rFonts w:eastAsia="Calibri"/>
                <w:sz w:val="28"/>
                <w:szCs w:val="28"/>
                <w:lang w:eastAsia="en-US"/>
              </w:rPr>
              <w:t>direktora</w:t>
            </w:r>
            <w:r w:rsidR="00D05A18">
              <w:rPr>
                <w:rFonts w:eastAsia="Calibri"/>
                <w:sz w:val="28"/>
                <w:szCs w:val="28"/>
                <w:lang w:eastAsia="en-US"/>
              </w:rPr>
              <w:t>)</w:t>
            </w:r>
            <w:r w:rsidR="00DD6E9A">
              <w:rPr>
                <w:rFonts w:eastAsia="Calibri"/>
                <w:sz w:val="28"/>
                <w:szCs w:val="28"/>
                <w:lang w:eastAsia="en-US"/>
              </w:rPr>
              <w:t xml:space="preserve"> pienākumus. </w:t>
            </w:r>
          </w:p>
          <w:p w14:paraId="2815DD2E" w14:textId="6E2AB5D9" w:rsidR="005F1779" w:rsidRPr="005F1779" w:rsidRDefault="005F1779" w:rsidP="005F1779">
            <w:pPr>
              <w:widowControl w:val="0"/>
              <w:suppressAutoHyphens/>
              <w:jc w:val="both"/>
              <w:rPr>
                <w:rFonts w:eastAsia="Calibri"/>
                <w:sz w:val="28"/>
                <w:szCs w:val="28"/>
                <w:lang w:eastAsia="en-US"/>
              </w:rPr>
            </w:pPr>
            <w:r>
              <w:rPr>
                <w:rFonts w:eastAsia="Calibri"/>
                <w:sz w:val="28"/>
                <w:szCs w:val="28"/>
                <w:lang w:eastAsia="en-US"/>
              </w:rPr>
              <w:t xml:space="preserve">Ņemot vērā profesionālo pieredzi, atbilstību normatīvo aktu un amata aprakstā izvirzītajām prasībām, A.Pildegoviča kandidatūra ir uzskatāma par atbilstošu valsts sekretāra amatam. </w:t>
            </w:r>
          </w:p>
        </w:tc>
      </w:tr>
      <w:tr w:rsidR="0041152A" w:rsidRPr="0017700F" w14:paraId="2815DD33" w14:textId="77777777" w:rsidTr="00A83430">
        <w:trPr>
          <w:trHeight w:val="784"/>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30" w14:textId="77777777" w:rsidR="0041152A" w:rsidRPr="0017700F" w:rsidRDefault="0041152A" w:rsidP="00A83430">
            <w:pPr>
              <w:jc w:val="both"/>
              <w:rPr>
                <w:sz w:val="28"/>
                <w:szCs w:val="28"/>
              </w:rPr>
            </w:pPr>
            <w:r w:rsidRPr="0017700F">
              <w:rPr>
                <w:sz w:val="28"/>
                <w:szCs w:val="28"/>
              </w:rPr>
              <w:lastRenderedPageBreak/>
              <w:t>3.</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31" w14:textId="77777777" w:rsidR="0041152A" w:rsidRPr="0017700F" w:rsidRDefault="0041152A" w:rsidP="00A83430">
            <w:pPr>
              <w:jc w:val="both"/>
              <w:rPr>
                <w:sz w:val="28"/>
                <w:szCs w:val="28"/>
              </w:rPr>
            </w:pPr>
            <w:r w:rsidRPr="0017700F">
              <w:rPr>
                <w:sz w:val="28"/>
                <w:szCs w:val="28"/>
              </w:rPr>
              <w:t>Saistītie politikas ietekmes novērtējumi un pētījumi</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32" w14:textId="77777777" w:rsidR="0041152A" w:rsidRPr="0017700F" w:rsidRDefault="0041152A" w:rsidP="00A83430">
            <w:pPr>
              <w:autoSpaceDE w:val="0"/>
              <w:autoSpaceDN w:val="0"/>
              <w:adjustRightInd w:val="0"/>
              <w:jc w:val="both"/>
              <w:rPr>
                <w:sz w:val="28"/>
                <w:szCs w:val="28"/>
              </w:rPr>
            </w:pPr>
            <w:r w:rsidRPr="0017700F">
              <w:rPr>
                <w:sz w:val="28"/>
                <w:szCs w:val="28"/>
              </w:rPr>
              <w:t>Projekts šo jomu neskar.</w:t>
            </w:r>
          </w:p>
        </w:tc>
      </w:tr>
      <w:tr w:rsidR="0041152A" w:rsidRPr="0017700F" w14:paraId="2815DD37" w14:textId="77777777" w:rsidTr="00A83430">
        <w:trPr>
          <w:trHeight w:val="790"/>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34" w14:textId="77777777" w:rsidR="0041152A" w:rsidRPr="0017700F" w:rsidRDefault="0041152A" w:rsidP="00A83430">
            <w:pPr>
              <w:jc w:val="both"/>
              <w:rPr>
                <w:sz w:val="28"/>
                <w:szCs w:val="28"/>
              </w:rPr>
            </w:pPr>
            <w:r w:rsidRPr="0017700F">
              <w:rPr>
                <w:sz w:val="28"/>
                <w:szCs w:val="28"/>
              </w:rPr>
              <w:t>4.</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35" w14:textId="77777777" w:rsidR="0041152A" w:rsidRPr="0017700F" w:rsidRDefault="0041152A" w:rsidP="00A83430">
            <w:pPr>
              <w:jc w:val="both"/>
              <w:rPr>
                <w:sz w:val="28"/>
                <w:szCs w:val="28"/>
              </w:rPr>
            </w:pPr>
            <w:r w:rsidRPr="0017700F">
              <w:rPr>
                <w:sz w:val="28"/>
                <w:szCs w:val="28"/>
              </w:rPr>
              <w:t>Tiesiskā regulējuma mērķis un būtība</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36" w14:textId="2FFBCCAE" w:rsidR="0041152A" w:rsidRPr="0017700F" w:rsidRDefault="0041152A" w:rsidP="005F1779">
            <w:pPr>
              <w:autoSpaceDE w:val="0"/>
              <w:autoSpaceDN w:val="0"/>
              <w:adjustRightInd w:val="0"/>
              <w:jc w:val="both"/>
              <w:rPr>
                <w:sz w:val="28"/>
                <w:szCs w:val="28"/>
              </w:rPr>
            </w:pPr>
            <w:r w:rsidRPr="0017700F">
              <w:rPr>
                <w:sz w:val="28"/>
                <w:szCs w:val="28"/>
              </w:rPr>
              <w:t xml:space="preserve">Rīkojuma projekts paredz </w:t>
            </w:r>
            <w:r w:rsidR="0053426F">
              <w:rPr>
                <w:sz w:val="28"/>
                <w:szCs w:val="28"/>
              </w:rPr>
              <w:t>apstiprināt Andreja Pildegovič</w:t>
            </w:r>
            <w:r w:rsidR="005F1779">
              <w:rPr>
                <w:sz w:val="28"/>
                <w:szCs w:val="28"/>
              </w:rPr>
              <w:t>a kandidatūru iecelšanai</w:t>
            </w:r>
            <w:bookmarkStart w:id="0" w:name="_GoBack"/>
            <w:bookmarkEnd w:id="0"/>
            <w:r w:rsidR="00A83430">
              <w:rPr>
                <w:sz w:val="28"/>
                <w:szCs w:val="28"/>
              </w:rPr>
              <w:t xml:space="preserve"> Ārlietu min</w:t>
            </w:r>
            <w:r w:rsidR="00845D80">
              <w:rPr>
                <w:sz w:val="28"/>
                <w:szCs w:val="28"/>
              </w:rPr>
              <w:t xml:space="preserve">istrijas valsts sekretāra amatā ar 2013.gada </w:t>
            </w:r>
            <w:r w:rsidR="00DC0916">
              <w:rPr>
                <w:sz w:val="28"/>
                <w:szCs w:val="28"/>
              </w:rPr>
              <w:t>13</w:t>
            </w:r>
            <w:r w:rsidR="00845D80">
              <w:rPr>
                <w:sz w:val="28"/>
                <w:szCs w:val="28"/>
              </w:rPr>
              <w:t>.maiju.</w:t>
            </w:r>
          </w:p>
        </w:tc>
      </w:tr>
      <w:tr w:rsidR="0041152A" w:rsidRPr="0017700F" w14:paraId="2815DD3B" w14:textId="77777777" w:rsidTr="00A83430">
        <w:trPr>
          <w:trHeight w:val="816"/>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38" w14:textId="77777777" w:rsidR="0041152A" w:rsidRPr="0017700F" w:rsidRDefault="0041152A" w:rsidP="00A83430">
            <w:pPr>
              <w:jc w:val="both"/>
              <w:rPr>
                <w:sz w:val="28"/>
                <w:szCs w:val="28"/>
              </w:rPr>
            </w:pPr>
            <w:r w:rsidRPr="0017700F">
              <w:rPr>
                <w:sz w:val="28"/>
                <w:szCs w:val="28"/>
              </w:rPr>
              <w:t>5.</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39" w14:textId="77777777" w:rsidR="0041152A" w:rsidRPr="0017700F" w:rsidRDefault="0041152A" w:rsidP="00A83430">
            <w:pPr>
              <w:jc w:val="both"/>
              <w:rPr>
                <w:sz w:val="28"/>
                <w:szCs w:val="28"/>
              </w:rPr>
            </w:pPr>
            <w:r w:rsidRPr="0017700F">
              <w:rPr>
                <w:sz w:val="28"/>
                <w:szCs w:val="28"/>
              </w:rPr>
              <w:t>Projekta izstrādē iesaistītās institūcijas</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3A" w14:textId="77777777" w:rsidR="0041152A" w:rsidRPr="0017700F" w:rsidRDefault="0041152A" w:rsidP="00A83430">
            <w:pPr>
              <w:autoSpaceDE w:val="0"/>
              <w:autoSpaceDN w:val="0"/>
              <w:adjustRightInd w:val="0"/>
              <w:jc w:val="both"/>
              <w:rPr>
                <w:sz w:val="28"/>
                <w:szCs w:val="28"/>
              </w:rPr>
            </w:pPr>
            <w:r w:rsidRPr="0017700F">
              <w:rPr>
                <w:sz w:val="28"/>
                <w:szCs w:val="28"/>
              </w:rPr>
              <w:t>Ārlietu ministrija.</w:t>
            </w:r>
          </w:p>
        </w:tc>
      </w:tr>
      <w:tr w:rsidR="0041152A" w:rsidRPr="0017700F" w14:paraId="2815DD3F" w14:textId="77777777" w:rsidTr="00A83430">
        <w:trPr>
          <w:trHeight w:val="1042"/>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3C" w14:textId="77777777" w:rsidR="0041152A" w:rsidRPr="0017700F" w:rsidRDefault="0041152A" w:rsidP="00A83430">
            <w:pPr>
              <w:jc w:val="both"/>
              <w:rPr>
                <w:sz w:val="28"/>
                <w:szCs w:val="28"/>
              </w:rPr>
            </w:pPr>
            <w:r w:rsidRPr="0017700F">
              <w:rPr>
                <w:sz w:val="28"/>
                <w:szCs w:val="28"/>
              </w:rPr>
              <w:t>6.</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3D" w14:textId="77777777" w:rsidR="0041152A" w:rsidRPr="0017700F" w:rsidRDefault="0041152A" w:rsidP="00A83430">
            <w:pPr>
              <w:jc w:val="both"/>
              <w:rPr>
                <w:sz w:val="28"/>
                <w:szCs w:val="28"/>
              </w:rPr>
            </w:pPr>
            <w:r w:rsidRPr="0017700F">
              <w:rPr>
                <w:sz w:val="28"/>
                <w:szCs w:val="28"/>
              </w:rPr>
              <w:t>Iemesli, kādēļ netika nodrošināta sabiedrības līdzdalība</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3E" w14:textId="77777777" w:rsidR="0041152A" w:rsidRPr="0017700F" w:rsidRDefault="0041152A" w:rsidP="00A83430">
            <w:pPr>
              <w:autoSpaceDE w:val="0"/>
              <w:autoSpaceDN w:val="0"/>
              <w:adjustRightInd w:val="0"/>
              <w:jc w:val="both"/>
              <w:rPr>
                <w:sz w:val="28"/>
                <w:szCs w:val="28"/>
              </w:rPr>
            </w:pPr>
            <w:r w:rsidRPr="0017700F">
              <w:rPr>
                <w:sz w:val="28"/>
                <w:szCs w:val="28"/>
              </w:rPr>
              <w:t xml:space="preserve">Projekts attiecas </w:t>
            </w:r>
            <w:r w:rsidR="00DE364C">
              <w:rPr>
                <w:sz w:val="28"/>
                <w:szCs w:val="28"/>
              </w:rPr>
              <w:t xml:space="preserve">tikai </w:t>
            </w:r>
            <w:r w:rsidRPr="0017700F">
              <w:rPr>
                <w:sz w:val="28"/>
                <w:szCs w:val="28"/>
              </w:rPr>
              <w:t>uz valsts pārvaldes personāla jautājumiem.</w:t>
            </w:r>
          </w:p>
        </w:tc>
      </w:tr>
      <w:tr w:rsidR="0041152A" w:rsidRPr="0017700F" w14:paraId="2815DD43" w14:textId="77777777" w:rsidTr="00A83430">
        <w:trPr>
          <w:trHeight w:val="465"/>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40" w14:textId="77777777" w:rsidR="0041152A" w:rsidRPr="0017700F" w:rsidRDefault="0041152A" w:rsidP="00A83430">
            <w:pPr>
              <w:jc w:val="both"/>
              <w:rPr>
                <w:sz w:val="28"/>
                <w:szCs w:val="28"/>
              </w:rPr>
            </w:pPr>
            <w:r w:rsidRPr="0017700F">
              <w:rPr>
                <w:sz w:val="28"/>
                <w:szCs w:val="28"/>
              </w:rPr>
              <w:t>7.</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41" w14:textId="77777777" w:rsidR="0041152A" w:rsidRPr="0017700F" w:rsidRDefault="0041152A" w:rsidP="00A83430">
            <w:pPr>
              <w:jc w:val="both"/>
              <w:rPr>
                <w:sz w:val="28"/>
                <w:szCs w:val="28"/>
              </w:rPr>
            </w:pPr>
            <w:r w:rsidRPr="0017700F">
              <w:rPr>
                <w:sz w:val="28"/>
                <w:szCs w:val="28"/>
              </w:rPr>
              <w:t>Cita informācija</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42" w14:textId="77777777" w:rsidR="0041152A" w:rsidRPr="0017700F" w:rsidRDefault="0041152A" w:rsidP="00A83430">
            <w:pPr>
              <w:autoSpaceDE w:val="0"/>
              <w:autoSpaceDN w:val="0"/>
              <w:adjustRightInd w:val="0"/>
              <w:jc w:val="both"/>
              <w:rPr>
                <w:sz w:val="28"/>
                <w:szCs w:val="28"/>
              </w:rPr>
            </w:pPr>
            <w:r w:rsidRPr="0017700F">
              <w:rPr>
                <w:sz w:val="28"/>
                <w:szCs w:val="28"/>
              </w:rPr>
              <w:t>Nav.</w:t>
            </w:r>
          </w:p>
        </w:tc>
      </w:tr>
    </w:tbl>
    <w:p w14:paraId="2815DD44" w14:textId="77777777" w:rsidR="0041152A" w:rsidRPr="0017700F" w:rsidRDefault="0041152A" w:rsidP="00A83430">
      <w:pPr>
        <w:tabs>
          <w:tab w:val="left" w:pos="7655"/>
        </w:tabs>
        <w:rPr>
          <w:i/>
          <w:sz w:val="28"/>
          <w:szCs w:val="28"/>
        </w:rPr>
      </w:pPr>
      <w:r w:rsidRPr="0017700F">
        <w:rPr>
          <w:i/>
          <w:sz w:val="28"/>
          <w:szCs w:val="28"/>
        </w:rPr>
        <w:t xml:space="preserve">Anotācijas II, III, IV,V un VI sadaļa – </w:t>
      </w:r>
      <w:r w:rsidRPr="0017700F">
        <w:rPr>
          <w:i/>
          <w:iCs/>
          <w:sz w:val="28"/>
          <w:szCs w:val="28"/>
        </w:rPr>
        <w:t>projekts šīs jomas neskar</w:t>
      </w:r>
      <w:r w:rsidRPr="0017700F">
        <w:rPr>
          <w:i/>
          <w:sz w:val="28"/>
          <w:szCs w:val="28"/>
        </w:rPr>
        <w:t>.</w:t>
      </w:r>
    </w:p>
    <w:tbl>
      <w:tblPr>
        <w:tblW w:w="9498" w:type="dxa"/>
        <w:tblInd w:w="113"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113" w:type="dxa"/>
          <w:right w:w="113" w:type="dxa"/>
        </w:tblCellMar>
        <w:tblLook w:val="0000" w:firstRow="0" w:lastRow="0" w:firstColumn="0" w:lastColumn="0" w:noHBand="0" w:noVBand="0"/>
      </w:tblPr>
      <w:tblGrid>
        <w:gridCol w:w="490"/>
        <w:gridCol w:w="3436"/>
        <w:gridCol w:w="5572"/>
      </w:tblGrid>
      <w:tr w:rsidR="0041152A" w:rsidRPr="0017700F" w14:paraId="2815DD46" w14:textId="77777777" w:rsidTr="00A83430">
        <w:trPr>
          <w:trHeight w:val="200"/>
        </w:trPr>
        <w:tc>
          <w:tcPr>
            <w:tcW w:w="9498"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2815DD45" w14:textId="77777777" w:rsidR="0041152A" w:rsidRPr="0017700F" w:rsidRDefault="0041152A" w:rsidP="00A83430">
            <w:pPr>
              <w:jc w:val="center"/>
              <w:rPr>
                <w:b/>
                <w:sz w:val="28"/>
                <w:szCs w:val="28"/>
              </w:rPr>
            </w:pPr>
            <w:r w:rsidRPr="0017700F">
              <w:rPr>
                <w:b/>
                <w:sz w:val="28"/>
                <w:szCs w:val="28"/>
              </w:rPr>
              <w:t>VII. Tiesību akta projekta izpildes nodrošināšana un tās ietekme uz institūcijām</w:t>
            </w:r>
          </w:p>
        </w:tc>
      </w:tr>
      <w:tr w:rsidR="0041152A" w:rsidRPr="0017700F" w14:paraId="2815DD4A" w14:textId="77777777" w:rsidTr="00A83430">
        <w:trPr>
          <w:trHeight w:val="842"/>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47" w14:textId="77777777" w:rsidR="0041152A" w:rsidRPr="0017700F" w:rsidRDefault="0041152A" w:rsidP="00A83430">
            <w:pPr>
              <w:jc w:val="both"/>
              <w:rPr>
                <w:sz w:val="28"/>
                <w:szCs w:val="28"/>
              </w:rPr>
            </w:pPr>
            <w:r w:rsidRPr="0017700F">
              <w:rPr>
                <w:sz w:val="28"/>
                <w:szCs w:val="28"/>
              </w:rPr>
              <w:t>1.</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48" w14:textId="77777777" w:rsidR="0041152A" w:rsidRPr="0017700F" w:rsidRDefault="0041152A" w:rsidP="00A83430">
            <w:pPr>
              <w:jc w:val="both"/>
              <w:rPr>
                <w:sz w:val="28"/>
                <w:szCs w:val="28"/>
              </w:rPr>
            </w:pPr>
            <w:r w:rsidRPr="0017700F">
              <w:rPr>
                <w:sz w:val="28"/>
                <w:szCs w:val="28"/>
              </w:rPr>
              <w:t>Projekta izpildē iesaistītās institūcijas</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49" w14:textId="77777777" w:rsidR="0041152A" w:rsidRPr="0017700F" w:rsidRDefault="0041152A" w:rsidP="00A83430">
            <w:pPr>
              <w:pStyle w:val="Heading1"/>
              <w:jc w:val="both"/>
              <w:rPr>
                <w:b w:val="0"/>
                <w:szCs w:val="28"/>
              </w:rPr>
            </w:pPr>
            <w:r w:rsidRPr="0017700F">
              <w:rPr>
                <w:b w:val="0"/>
                <w:szCs w:val="28"/>
              </w:rPr>
              <w:t>Ārlietu ministrija.</w:t>
            </w:r>
          </w:p>
        </w:tc>
      </w:tr>
      <w:tr w:rsidR="0041152A" w:rsidRPr="0017700F" w14:paraId="2815DD4E" w14:textId="77777777" w:rsidTr="00A83430">
        <w:trPr>
          <w:trHeight w:val="591"/>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4B" w14:textId="77777777" w:rsidR="0041152A" w:rsidRPr="0017700F" w:rsidRDefault="0041152A" w:rsidP="00A83430">
            <w:pPr>
              <w:jc w:val="both"/>
              <w:rPr>
                <w:sz w:val="28"/>
                <w:szCs w:val="28"/>
              </w:rPr>
            </w:pPr>
            <w:r w:rsidRPr="0017700F">
              <w:rPr>
                <w:sz w:val="28"/>
                <w:szCs w:val="28"/>
              </w:rPr>
              <w:t>2.</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4C" w14:textId="77777777" w:rsidR="0041152A" w:rsidRPr="0017700F" w:rsidRDefault="0041152A" w:rsidP="00A83430">
            <w:pPr>
              <w:jc w:val="both"/>
              <w:rPr>
                <w:sz w:val="28"/>
                <w:szCs w:val="28"/>
              </w:rPr>
            </w:pPr>
            <w:r w:rsidRPr="0017700F">
              <w:rPr>
                <w:sz w:val="28"/>
                <w:szCs w:val="28"/>
              </w:rPr>
              <w:t>Projekta izpildes ietekme uz pārvaldes funkcijām</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4D" w14:textId="77777777" w:rsidR="0041152A" w:rsidRPr="0017700F" w:rsidRDefault="0041152A" w:rsidP="00A83430">
            <w:pPr>
              <w:pStyle w:val="Heading1"/>
              <w:jc w:val="both"/>
              <w:rPr>
                <w:b w:val="0"/>
                <w:szCs w:val="28"/>
              </w:rPr>
            </w:pPr>
            <w:r w:rsidRPr="0017700F">
              <w:rPr>
                <w:b w:val="0"/>
                <w:szCs w:val="28"/>
              </w:rPr>
              <w:t>Projekts šo jomu neskar.</w:t>
            </w:r>
          </w:p>
        </w:tc>
      </w:tr>
      <w:tr w:rsidR="0041152A" w:rsidRPr="0017700F" w14:paraId="2815DD53" w14:textId="77777777" w:rsidTr="00A83430">
        <w:trPr>
          <w:trHeight w:val="1084"/>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4F" w14:textId="77777777" w:rsidR="0041152A" w:rsidRPr="0017700F" w:rsidRDefault="0041152A" w:rsidP="00A83430">
            <w:pPr>
              <w:jc w:val="both"/>
              <w:rPr>
                <w:sz w:val="28"/>
                <w:szCs w:val="28"/>
              </w:rPr>
            </w:pPr>
            <w:r w:rsidRPr="0017700F">
              <w:rPr>
                <w:sz w:val="28"/>
                <w:szCs w:val="28"/>
              </w:rPr>
              <w:t>3.</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50" w14:textId="77777777" w:rsidR="0041152A" w:rsidRPr="0017700F" w:rsidRDefault="0041152A" w:rsidP="00A83430">
            <w:pPr>
              <w:jc w:val="both"/>
              <w:rPr>
                <w:sz w:val="28"/>
                <w:szCs w:val="28"/>
              </w:rPr>
            </w:pPr>
            <w:r w:rsidRPr="0017700F">
              <w:rPr>
                <w:sz w:val="28"/>
                <w:szCs w:val="28"/>
              </w:rPr>
              <w:t>Projekta izpildes ietekme uz pārvaldes institucionālo struktūru.</w:t>
            </w:r>
          </w:p>
          <w:p w14:paraId="2815DD51" w14:textId="77777777" w:rsidR="0041152A" w:rsidRPr="0017700F" w:rsidRDefault="0041152A" w:rsidP="00A83430">
            <w:pPr>
              <w:jc w:val="both"/>
              <w:rPr>
                <w:sz w:val="28"/>
                <w:szCs w:val="28"/>
              </w:rPr>
            </w:pPr>
            <w:r w:rsidRPr="0017700F">
              <w:rPr>
                <w:sz w:val="28"/>
                <w:szCs w:val="28"/>
              </w:rPr>
              <w:t>Jaunu institūciju izveide</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52" w14:textId="77777777" w:rsidR="0041152A" w:rsidRPr="0017700F" w:rsidRDefault="0041152A" w:rsidP="00A83430">
            <w:pPr>
              <w:pStyle w:val="Heading1"/>
              <w:jc w:val="both"/>
              <w:rPr>
                <w:b w:val="0"/>
                <w:szCs w:val="28"/>
              </w:rPr>
            </w:pPr>
            <w:r w:rsidRPr="0017700F">
              <w:rPr>
                <w:b w:val="0"/>
                <w:szCs w:val="28"/>
              </w:rPr>
              <w:t>Projekts šo jomu neskar.</w:t>
            </w:r>
          </w:p>
        </w:tc>
      </w:tr>
      <w:tr w:rsidR="0041152A" w:rsidRPr="0017700F" w14:paraId="2815DD58" w14:textId="77777777" w:rsidTr="00A83430">
        <w:trPr>
          <w:trHeight w:val="1084"/>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54" w14:textId="77777777" w:rsidR="0041152A" w:rsidRPr="0017700F" w:rsidRDefault="0041152A" w:rsidP="00A83430">
            <w:pPr>
              <w:jc w:val="both"/>
              <w:rPr>
                <w:sz w:val="28"/>
                <w:szCs w:val="28"/>
              </w:rPr>
            </w:pPr>
            <w:r w:rsidRPr="0017700F">
              <w:rPr>
                <w:sz w:val="28"/>
                <w:szCs w:val="28"/>
              </w:rPr>
              <w:lastRenderedPageBreak/>
              <w:t>4.</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55" w14:textId="77777777" w:rsidR="0041152A" w:rsidRPr="0017700F" w:rsidRDefault="0041152A" w:rsidP="00A83430">
            <w:pPr>
              <w:jc w:val="both"/>
              <w:rPr>
                <w:sz w:val="28"/>
                <w:szCs w:val="28"/>
              </w:rPr>
            </w:pPr>
            <w:r w:rsidRPr="0017700F">
              <w:rPr>
                <w:sz w:val="28"/>
                <w:szCs w:val="28"/>
              </w:rPr>
              <w:t>Projekta izpildes ietekme uz pārvaldes institucionālo struktūru.</w:t>
            </w:r>
          </w:p>
          <w:p w14:paraId="2815DD56" w14:textId="77777777" w:rsidR="0041152A" w:rsidRPr="0017700F" w:rsidRDefault="0041152A" w:rsidP="00A83430">
            <w:pPr>
              <w:jc w:val="both"/>
              <w:rPr>
                <w:sz w:val="28"/>
                <w:szCs w:val="28"/>
              </w:rPr>
            </w:pPr>
            <w:r w:rsidRPr="0017700F">
              <w:rPr>
                <w:sz w:val="28"/>
                <w:szCs w:val="28"/>
              </w:rPr>
              <w:t>Esošo institūciju likvidācija</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57" w14:textId="77777777" w:rsidR="0041152A" w:rsidRPr="0017700F" w:rsidRDefault="0041152A" w:rsidP="00A83430">
            <w:pPr>
              <w:pStyle w:val="Heading1"/>
              <w:jc w:val="both"/>
              <w:rPr>
                <w:b w:val="0"/>
                <w:szCs w:val="28"/>
              </w:rPr>
            </w:pPr>
            <w:r w:rsidRPr="0017700F">
              <w:rPr>
                <w:b w:val="0"/>
                <w:szCs w:val="28"/>
              </w:rPr>
              <w:t>Projekts šo jomu neskar.</w:t>
            </w:r>
          </w:p>
        </w:tc>
      </w:tr>
      <w:tr w:rsidR="0041152A" w:rsidRPr="0017700F" w14:paraId="2815DD5D" w14:textId="77777777" w:rsidTr="00A83430">
        <w:trPr>
          <w:trHeight w:val="1084"/>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59" w14:textId="77777777" w:rsidR="0041152A" w:rsidRPr="0017700F" w:rsidRDefault="0041152A" w:rsidP="00A83430">
            <w:pPr>
              <w:jc w:val="both"/>
              <w:rPr>
                <w:sz w:val="28"/>
                <w:szCs w:val="28"/>
              </w:rPr>
            </w:pPr>
            <w:r w:rsidRPr="0017700F">
              <w:rPr>
                <w:sz w:val="28"/>
                <w:szCs w:val="28"/>
              </w:rPr>
              <w:t>5.</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5A" w14:textId="77777777" w:rsidR="0041152A" w:rsidRPr="0017700F" w:rsidRDefault="0041152A" w:rsidP="00A83430">
            <w:pPr>
              <w:jc w:val="both"/>
              <w:rPr>
                <w:sz w:val="28"/>
                <w:szCs w:val="28"/>
              </w:rPr>
            </w:pPr>
            <w:r w:rsidRPr="0017700F">
              <w:rPr>
                <w:sz w:val="28"/>
                <w:szCs w:val="28"/>
              </w:rPr>
              <w:t>Projekta izpildes ietekme uz pārvaldes institucionālo struktūru.</w:t>
            </w:r>
          </w:p>
          <w:p w14:paraId="2815DD5B" w14:textId="77777777" w:rsidR="0041152A" w:rsidRPr="0017700F" w:rsidRDefault="0041152A" w:rsidP="00A83430">
            <w:pPr>
              <w:jc w:val="both"/>
              <w:rPr>
                <w:sz w:val="28"/>
                <w:szCs w:val="28"/>
              </w:rPr>
            </w:pPr>
            <w:r w:rsidRPr="0017700F">
              <w:rPr>
                <w:sz w:val="28"/>
                <w:szCs w:val="28"/>
              </w:rPr>
              <w:t>Esošo institūciju reorganizācija</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5C" w14:textId="77777777" w:rsidR="0041152A" w:rsidRPr="0017700F" w:rsidRDefault="0041152A" w:rsidP="00A83430">
            <w:pPr>
              <w:pStyle w:val="Heading1"/>
              <w:jc w:val="both"/>
              <w:rPr>
                <w:b w:val="0"/>
                <w:szCs w:val="28"/>
              </w:rPr>
            </w:pPr>
            <w:r w:rsidRPr="0017700F">
              <w:rPr>
                <w:b w:val="0"/>
                <w:szCs w:val="28"/>
              </w:rPr>
              <w:t>Projekts šo jomu neskar.</w:t>
            </w:r>
          </w:p>
        </w:tc>
      </w:tr>
      <w:tr w:rsidR="0041152A" w:rsidRPr="0017700F" w14:paraId="2815DD61" w14:textId="77777777" w:rsidTr="00A83430">
        <w:trPr>
          <w:trHeight w:val="1084"/>
        </w:trPr>
        <w:tc>
          <w:tcPr>
            <w:tcW w:w="490" w:type="dxa"/>
            <w:tcBorders>
              <w:top w:val="thickThinLargeGap" w:sz="6" w:space="0" w:color="C0C0C0"/>
              <w:left w:val="thickThinLargeGap" w:sz="6" w:space="0" w:color="C0C0C0"/>
              <w:bottom w:val="thickThinLargeGap" w:sz="6" w:space="0" w:color="C0C0C0"/>
              <w:right w:val="thickThinLargeGap" w:sz="6" w:space="0" w:color="C0C0C0"/>
            </w:tcBorders>
          </w:tcPr>
          <w:p w14:paraId="2815DD5E" w14:textId="77777777" w:rsidR="0041152A" w:rsidRPr="0017700F" w:rsidRDefault="0041152A" w:rsidP="00A83430">
            <w:pPr>
              <w:jc w:val="both"/>
              <w:rPr>
                <w:sz w:val="28"/>
                <w:szCs w:val="28"/>
              </w:rPr>
            </w:pPr>
            <w:r w:rsidRPr="0017700F">
              <w:rPr>
                <w:sz w:val="28"/>
                <w:szCs w:val="28"/>
              </w:rPr>
              <w:t>6.</w:t>
            </w:r>
          </w:p>
        </w:tc>
        <w:tc>
          <w:tcPr>
            <w:tcW w:w="3436" w:type="dxa"/>
            <w:tcBorders>
              <w:top w:val="thickThinLargeGap" w:sz="6" w:space="0" w:color="C0C0C0"/>
              <w:left w:val="thickThinLargeGap" w:sz="6" w:space="0" w:color="C0C0C0"/>
              <w:bottom w:val="thickThinLargeGap" w:sz="6" w:space="0" w:color="C0C0C0"/>
              <w:right w:val="thickThinLargeGap" w:sz="6" w:space="0" w:color="C0C0C0"/>
            </w:tcBorders>
          </w:tcPr>
          <w:p w14:paraId="2815DD5F" w14:textId="77777777" w:rsidR="0041152A" w:rsidRPr="0017700F" w:rsidRDefault="0041152A" w:rsidP="00A83430">
            <w:pPr>
              <w:jc w:val="both"/>
              <w:rPr>
                <w:sz w:val="28"/>
                <w:szCs w:val="28"/>
              </w:rPr>
            </w:pPr>
            <w:r w:rsidRPr="0017700F">
              <w:rPr>
                <w:sz w:val="28"/>
                <w:szCs w:val="28"/>
              </w:rPr>
              <w:t>Cita informācija</w:t>
            </w:r>
          </w:p>
        </w:tc>
        <w:tc>
          <w:tcPr>
            <w:tcW w:w="5572" w:type="dxa"/>
            <w:tcBorders>
              <w:top w:val="thickThinLargeGap" w:sz="6" w:space="0" w:color="C0C0C0"/>
              <w:left w:val="thickThinLargeGap" w:sz="6" w:space="0" w:color="C0C0C0"/>
              <w:bottom w:val="thickThinLargeGap" w:sz="6" w:space="0" w:color="C0C0C0"/>
              <w:right w:val="thickThinLargeGap" w:sz="6" w:space="0" w:color="C0C0C0"/>
            </w:tcBorders>
          </w:tcPr>
          <w:p w14:paraId="2815DD60" w14:textId="77777777" w:rsidR="0041152A" w:rsidRPr="0017700F" w:rsidRDefault="0041152A" w:rsidP="00A83430">
            <w:pPr>
              <w:pStyle w:val="Heading1"/>
              <w:jc w:val="both"/>
              <w:rPr>
                <w:b w:val="0"/>
                <w:szCs w:val="28"/>
              </w:rPr>
            </w:pPr>
            <w:r w:rsidRPr="0017700F">
              <w:rPr>
                <w:b w:val="0"/>
                <w:szCs w:val="28"/>
              </w:rPr>
              <w:t>Rīkojuma projekts pēc tā pieņemšanas tiks publicēts laikrakstā „Latvijas Vēstnesis” un iekļauts tiesību aktu portālā</w:t>
            </w:r>
            <w:proofErr w:type="gramStart"/>
            <w:r w:rsidRPr="0017700F">
              <w:rPr>
                <w:b w:val="0"/>
                <w:szCs w:val="28"/>
              </w:rPr>
              <w:t xml:space="preserve">  </w:t>
            </w:r>
            <w:proofErr w:type="spellStart"/>
            <w:proofErr w:type="gramEnd"/>
            <w:r w:rsidRPr="0017700F">
              <w:rPr>
                <w:b w:val="0"/>
                <w:szCs w:val="28"/>
              </w:rPr>
              <w:t>www.likumi.lv</w:t>
            </w:r>
            <w:proofErr w:type="spellEnd"/>
            <w:r w:rsidRPr="0017700F">
              <w:rPr>
                <w:b w:val="0"/>
                <w:szCs w:val="28"/>
              </w:rPr>
              <w:t>.</w:t>
            </w:r>
          </w:p>
        </w:tc>
      </w:tr>
    </w:tbl>
    <w:p w14:paraId="2815DD62" w14:textId="77777777" w:rsidR="0041152A" w:rsidRPr="0017700F" w:rsidRDefault="0041152A" w:rsidP="00A83430">
      <w:pPr>
        <w:rPr>
          <w:sz w:val="28"/>
          <w:szCs w:val="28"/>
        </w:rPr>
      </w:pPr>
    </w:p>
    <w:p w14:paraId="2815DD63" w14:textId="77777777" w:rsidR="0041152A" w:rsidRPr="0017700F" w:rsidRDefault="0041152A" w:rsidP="00A83430">
      <w:pPr>
        <w:rPr>
          <w:sz w:val="28"/>
          <w:szCs w:val="28"/>
        </w:rPr>
      </w:pPr>
      <w:r w:rsidRPr="0017700F">
        <w:rPr>
          <w:sz w:val="28"/>
          <w:szCs w:val="28"/>
        </w:rPr>
        <w:t xml:space="preserve">Ārlietu ministrs </w:t>
      </w:r>
      <w:r w:rsidRPr="0017700F">
        <w:rPr>
          <w:sz w:val="28"/>
          <w:szCs w:val="28"/>
        </w:rPr>
        <w:tab/>
      </w:r>
      <w:r w:rsidRPr="0017700F">
        <w:rPr>
          <w:sz w:val="28"/>
          <w:szCs w:val="28"/>
        </w:rPr>
        <w:tab/>
      </w:r>
      <w:r w:rsidRPr="0017700F">
        <w:rPr>
          <w:sz w:val="28"/>
          <w:szCs w:val="28"/>
        </w:rPr>
        <w:tab/>
      </w:r>
      <w:r w:rsidRPr="0017700F">
        <w:rPr>
          <w:sz w:val="28"/>
          <w:szCs w:val="28"/>
        </w:rPr>
        <w:tab/>
      </w:r>
      <w:r w:rsidRPr="0017700F">
        <w:rPr>
          <w:sz w:val="28"/>
          <w:szCs w:val="28"/>
        </w:rPr>
        <w:tab/>
      </w:r>
      <w:r w:rsidRPr="0017700F">
        <w:rPr>
          <w:sz w:val="28"/>
          <w:szCs w:val="28"/>
        </w:rPr>
        <w:tab/>
      </w:r>
      <w:r w:rsidRPr="0017700F">
        <w:rPr>
          <w:sz w:val="28"/>
          <w:szCs w:val="28"/>
        </w:rPr>
        <w:tab/>
      </w:r>
      <w:r w:rsidRPr="0017700F">
        <w:rPr>
          <w:sz w:val="28"/>
          <w:szCs w:val="28"/>
        </w:rPr>
        <w:tab/>
      </w:r>
      <w:proofErr w:type="spellStart"/>
      <w:r w:rsidRPr="0017700F">
        <w:rPr>
          <w:sz w:val="28"/>
          <w:szCs w:val="28"/>
        </w:rPr>
        <w:t>E.Rinkēvičs</w:t>
      </w:r>
      <w:proofErr w:type="spellEnd"/>
    </w:p>
    <w:p w14:paraId="2815DD64" w14:textId="77777777" w:rsidR="0041152A" w:rsidRPr="0017700F" w:rsidRDefault="0041152A" w:rsidP="00A83430">
      <w:pPr>
        <w:rPr>
          <w:sz w:val="28"/>
          <w:szCs w:val="28"/>
        </w:rPr>
      </w:pPr>
    </w:p>
    <w:p w14:paraId="2815DD65" w14:textId="77777777" w:rsidR="00845D80" w:rsidRDefault="00845D80" w:rsidP="00A83430">
      <w:pPr>
        <w:rPr>
          <w:sz w:val="28"/>
          <w:szCs w:val="28"/>
        </w:rPr>
      </w:pPr>
    </w:p>
    <w:p w14:paraId="2815DD66" w14:textId="77777777" w:rsidR="0041152A" w:rsidRPr="0017700F" w:rsidRDefault="00A83430" w:rsidP="00A83430">
      <w:pPr>
        <w:rPr>
          <w:sz w:val="28"/>
          <w:szCs w:val="28"/>
        </w:rPr>
      </w:pPr>
      <w:r>
        <w:rPr>
          <w:sz w:val="28"/>
          <w:szCs w:val="28"/>
        </w:rPr>
        <w:t xml:space="preserve">Vīzē: Valsts sekretāra </w:t>
      </w:r>
      <w:proofErr w:type="spellStart"/>
      <w:r>
        <w:rPr>
          <w:sz w:val="28"/>
          <w:szCs w:val="28"/>
        </w:rPr>
        <w:t>p.i</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t>A.Kurme</w:t>
      </w:r>
    </w:p>
    <w:p w14:paraId="2815DD67" w14:textId="77777777" w:rsidR="00D006CD" w:rsidRPr="0017700F" w:rsidRDefault="00D006CD" w:rsidP="00A83430">
      <w:pPr>
        <w:jc w:val="both"/>
        <w:rPr>
          <w:rFonts w:eastAsiaTheme="minorHAnsi"/>
          <w:sz w:val="28"/>
          <w:szCs w:val="28"/>
          <w:lang w:eastAsia="en-US"/>
        </w:rPr>
      </w:pPr>
    </w:p>
    <w:p w14:paraId="2815DD68" w14:textId="77777777" w:rsidR="00845D80" w:rsidRDefault="00845D80" w:rsidP="00A83430">
      <w:pPr>
        <w:jc w:val="both"/>
        <w:rPr>
          <w:rFonts w:eastAsiaTheme="minorHAnsi"/>
          <w:sz w:val="20"/>
          <w:szCs w:val="20"/>
          <w:lang w:eastAsia="en-US"/>
        </w:rPr>
      </w:pPr>
    </w:p>
    <w:p w14:paraId="2815DD69" w14:textId="77777777" w:rsidR="00D006CD" w:rsidRDefault="00A83430" w:rsidP="00A83430">
      <w:pPr>
        <w:jc w:val="both"/>
        <w:rPr>
          <w:rFonts w:eastAsiaTheme="minorHAnsi"/>
          <w:sz w:val="20"/>
          <w:szCs w:val="20"/>
          <w:lang w:eastAsia="en-US"/>
        </w:rPr>
      </w:pPr>
      <w:r>
        <w:rPr>
          <w:rFonts w:eastAsiaTheme="minorHAnsi"/>
          <w:sz w:val="20"/>
          <w:szCs w:val="20"/>
          <w:lang w:eastAsia="en-US"/>
        </w:rPr>
        <w:t>19</w:t>
      </w:r>
      <w:r w:rsidR="00D006CD" w:rsidRPr="00D006CD">
        <w:rPr>
          <w:rFonts w:eastAsiaTheme="minorHAnsi"/>
          <w:sz w:val="20"/>
          <w:szCs w:val="20"/>
          <w:lang w:eastAsia="en-US"/>
        </w:rPr>
        <w:t xml:space="preserve">.04.2013 </w:t>
      </w:r>
      <w:r>
        <w:rPr>
          <w:rFonts w:eastAsiaTheme="minorHAnsi"/>
          <w:sz w:val="20"/>
          <w:szCs w:val="20"/>
          <w:lang w:eastAsia="en-US"/>
        </w:rPr>
        <w:t>18:</w:t>
      </w:r>
      <w:r w:rsidR="00845D80">
        <w:rPr>
          <w:rFonts w:eastAsiaTheme="minorHAnsi"/>
          <w:sz w:val="20"/>
          <w:szCs w:val="20"/>
          <w:lang w:eastAsia="en-US"/>
        </w:rPr>
        <w:t>3</w:t>
      </w:r>
      <w:r>
        <w:rPr>
          <w:rFonts w:eastAsiaTheme="minorHAnsi"/>
          <w:sz w:val="20"/>
          <w:szCs w:val="20"/>
          <w:lang w:eastAsia="en-US"/>
        </w:rPr>
        <w:t>4</w:t>
      </w:r>
    </w:p>
    <w:p w14:paraId="2815DD6A" w14:textId="77777777" w:rsidR="00CA4BEC" w:rsidRPr="00D006CD" w:rsidRDefault="00A96B28" w:rsidP="00A83430">
      <w:pPr>
        <w:jc w:val="both"/>
        <w:rPr>
          <w:rFonts w:eastAsiaTheme="minorHAnsi"/>
          <w:sz w:val="20"/>
          <w:szCs w:val="20"/>
          <w:lang w:eastAsia="en-US"/>
        </w:rPr>
      </w:pPr>
      <w:r>
        <w:rPr>
          <w:rFonts w:eastAsiaTheme="minorHAnsi"/>
          <w:sz w:val="20"/>
          <w:szCs w:val="20"/>
          <w:lang w:eastAsia="en-US"/>
        </w:rPr>
        <w:t>359</w:t>
      </w:r>
    </w:p>
    <w:p w14:paraId="2815DD6B" w14:textId="77777777" w:rsidR="00D006CD" w:rsidRPr="00D006CD" w:rsidRDefault="00D006CD" w:rsidP="00A83430">
      <w:pPr>
        <w:jc w:val="both"/>
        <w:rPr>
          <w:rFonts w:eastAsiaTheme="minorHAnsi"/>
          <w:sz w:val="20"/>
          <w:szCs w:val="20"/>
          <w:lang w:eastAsia="en-US"/>
        </w:rPr>
      </w:pPr>
      <w:r w:rsidRPr="00D006CD">
        <w:rPr>
          <w:rFonts w:eastAsiaTheme="minorHAnsi"/>
          <w:sz w:val="20"/>
          <w:szCs w:val="20"/>
          <w:lang w:eastAsia="en-US"/>
        </w:rPr>
        <w:t>AM Personāla departamenta</w:t>
      </w:r>
    </w:p>
    <w:p w14:paraId="2815DD6C" w14:textId="77777777" w:rsidR="00D006CD" w:rsidRPr="00D006CD" w:rsidRDefault="00D006CD" w:rsidP="00A83430">
      <w:pPr>
        <w:jc w:val="both"/>
        <w:rPr>
          <w:rFonts w:eastAsiaTheme="minorHAnsi"/>
          <w:sz w:val="20"/>
          <w:szCs w:val="20"/>
          <w:lang w:eastAsia="en-US"/>
        </w:rPr>
      </w:pPr>
      <w:r w:rsidRPr="00D006CD">
        <w:rPr>
          <w:rFonts w:eastAsiaTheme="minorHAnsi"/>
          <w:sz w:val="20"/>
          <w:szCs w:val="20"/>
          <w:lang w:eastAsia="en-US"/>
        </w:rPr>
        <w:t>Personāla uzskaites nodaļas padomniece</w:t>
      </w:r>
    </w:p>
    <w:p w14:paraId="2815DD6D" w14:textId="77777777" w:rsidR="00D006CD" w:rsidRPr="00D006CD" w:rsidRDefault="00D006CD" w:rsidP="00A83430">
      <w:pPr>
        <w:jc w:val="both"/>
        <w:rPr>
          <w:rFonts w:eastAsiaTheme="minorHAnsi"/>
          <w:sz w:val="20"/>
          <w:szCs w:val="20"/>
          <w:lang w:eastAsia="en-US"/>
        </w:rPr>
      </w:pPr>
      <w:r w:rsidRPr="00D006CD">
        <w:rPr>
          <w:rFonts w:eastAsiaTheme="minorHAnsi"/>
          <w:sz w:val="20"/>
          <w:szCs w:val="20"/>
          <w:lang w:eastAsia="en-US"/>
        </w:rPr>
        <w:t>I.Vojevodska</w:t>
      </w:r>
    </w:p>
    <w:p w14:paraId="2815DD6E" w14:textId="77777777" w:rsidR="00C575C9" w:rsidRPr="0017700F" w:rsidRDefault="00D006CD" w:rsidP="00A83430">
      <w:pPr>
        <w:jc w:val="both"/>
        <w:rPr>
          <w:sz w:val="20"/>
          <w:szCs w:val="20"/>
        </w:rPr>
      </w:pPr>
      <w:r w:rsidRPr="00D006CD">
        <w:rPr>
          <w:rFonts w:eastAsiaTheme="minorHAnsi"/>
          <w:sz w:val="20"/>
          <w:szCs w:val="20"/>
          <w:lang w:eastAsia="en-US"/>
        </w:rPr>
        <w:t xml:space="preserve">67016184, </w:t>
      </w:r>
      <w:hyperlink r:id="rId8" w:history="1">
        <w:r w:rsidRPr="0017700F">
          <w:rPr>
            <w:rFonts w:eastAsiaTheme="minorHAnsi"/>
            <w:color w:val="0000FF" w:themeColor="hyperlink"/>
            <w:sz w:val="20"/>
            <w:szCs w:val="20"/>
            <w:u w:val="single"/>
            <w:lang w:eastAsia="en-US"/>
          </w:rPr>
          <w:t>inara.vojevodska@mfa.gov.lv</w:t>
        </w:r>
      </w:hyperlink>
    </w:p>
    <w:sectPr w:rsidR="00C575C9" w:rsidRPr="0017700F" w:rsidSect="00A83430">
      <w:footerReference w:type="default" r:id="rId9"/>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5DD71" w14:textId="77777777" w:rsidR="0041152A" w:rsidRDefault="0041152A" w:rsidP="0041152A">
      <w:r>
        <w:separator/>
      </w:r>
    </w:p>
  </w:endnote>
  <w:endnote w:type="continuationSeparator" w:id="0">
    <w:p w14:paraId="2815DD72" w14:textId="77777777" w:rsidR="0041152A" w:rsidRDefault="0041152A" w:rsidP="0041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5DD73" w14:textId="77777777" w:rsidR="0041152A" w:rsidRPr="0041152A" w:rsidRDefault="0041152A" w:rsidP="0041152A">
    <w:pPr>
      <w:spacing w:after="360"/>
      <w:outlineLvl w:val="0"/>
      <w:rPr>
        <w:bCs/>
        <w:sz w:val="20"/>
        <w:szCs w:val="20"/>
      </w:rPr>
    </w:pPr>
    <w:r w:rsidRPr="0041152A">
      <w:rPr>
        <w:sz w:val="20"/>
        <w:szCs w:val="20"/>
      </w:rPr>
      <w:t>AManot_</w:t>
    </w:r>
    <w:r w:rsidR="00A83430">
      <w:rPr>
        <w:sz w:val="20"/>
        <w:szCs w:val="20"/>
      </w:rPr>
      <w:t>19</w:t>
    </w:r>
    <w:r w:rsidRPr="0041152A">
      <w:rPr>
        <w:sz w:val="20"/>
        <w:szCs w:val="20"/>
      </w:rPr>
      <w:t xml:space="preserve">0413; </w:t>
    </w:r>
    <w:r w:rsidRPr="0041152A">
      <w:rPr>
        <w:bCs/>
        <w:sz w:val="20"/>
        <w:szCs w:val="20"/>
      </w:rPr>
      <w:t>Ministru k</w:t>
    </w:r>
    <w:r w:rsidR="00F53961">
      <w:rPr>
        <w:bCs/>
        <w:sz w:val="20"/>
        <w:szCs w:val="20"/>
      </w:rPr>
      <w:t>abineta rīkojuma projekta „Par</w:t>
    </w:r>
    <w:proofErr w:type="gramStart"/>
    <w:r w:rsidR="00F53961">
      <w:rPr>
        <w:bCs/>
        <w:sz w:val="20"/>
        <w:szCs w:val="20"/>
      </w:rPr>
      <w:t xml:space="preserve">  </w:t>
    </w:r>
    <w:proofErr w:type="gramEnd"/>
    <w:r w:rsidR="00F53961">
      <w:rPr>
        <w:bCs/>
        <w:sz w:val="20"/>
        <w:szCs w:val="20"/>
      </w:rPr>
      <w:t>A.Pildegoviču</w:t>
    </w:r>
    <w:r w:rsidRPr="0041152A">
      <w:rPr>
        <w:bCs/>
        <w:sz w:val="20"/>
        <w:szCs w:val="20"/>
      </w:rPr>
      <w:t xml:space="preserve">” </w:t>
    </w:r>
    <w:r w:rsidRPr="0041152A">
      <w:rPr>
        <w:sz w:val="20"/>
        <w:szCs w:val="20"/>
      </w:rPr>
      <w:t xml:space="preserve">sākotnējās ietekmes </w:t>
    </w:r>
    <w:r>
      <w:rPr>
        <w:sz w:val="20"/>
        <w:szCs w:val="20"/>
      </w:rPr>
      <w:t>n</w:t>
    </w:r>
    <w:r w:rsidRPr="0041152A">
      <w:rPr>
        <w:sz w:val="20"/>
        <w:szCs w:val="20"/>
      </w:rPr>
      <w:t xml:space="preserve">ovērtējuma </w:t>
    </w:r>
    <w:smartTag w:uri="schemas-tilde-lv/tildestengine" w:element="veidnes">
      <w:smartTagPr>
        <w:attr w:name="id" w:val="-1"/>
        <w:attr w:name="baseform" w:val="ziņojums"/>
        <w:attr w:name="text" w:val="ziņojums"/>
      </w:smartTagPr>
      <w:r w:rsidRPr="0041152A">
        <w:rPr>
          <w:sz w:val="20"/>
          <w:szCs w:val="20"/>
        </w:rPr>
        <w:t>ziņojums</w:t>
      </w:r>
    </w:smartTag>
    <w:r w:rsidRPr="0041152A">
      <w:rPr>
        <w:sz w:val="20"/>
        <w:szCs w:val="20"/>
      </w:rPr>
      <w:t xml:space="preserve"> (</w:t>
    </w:r>
    <w:r w:rsidRPr="0041152A">
      <w:rPr>
        <w:bCs/>
        <w:sz w:val="20"/>
        <w:szCs w:val="20"/>
      </w:rPr>
      <w:t>anotācija)</w:t>
    </w:r>
  </w:p>
  <w:p w14:paraId="2815DD74" w14:textId="77777777" w:rsidR="0041152A" w:rsidRDefault="0041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5DD6F" w14:textId="77777777" w:rsidR="0041152A" w:rsidRDefault="0041152A" w:rsidP="0041152A">
      <w:r>
        <w:separator/>
      </w:r>
    </w:p>
  </w:footnote>
  <w:footnote w:type="continuationSeparator" w:id="0">
    <w:p w14:paraId="2815DD70" w14:textId="77777777" w:rsidR="0041152A" w:rsidRDefault="0041152A" w:rsidP="00411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F8"/>
    <w:rsid w:val="00051B1D"/>
    <w:rsid w:val="0017700F"/>
    <w:rsid w:val="001D6119"/>
    <w:rsid w:val="00250AF8"/>
    <w:rsid w:val="0041152A"/>
    <w:rsid w:val="004161FF"/>
    <w:rsid w:val="004C3E01"/>
    <w:rsid w:val="0053426F"/>
    <w:rsid w:val="00535C50"/>
    <w:rsid w:val="00573101"/>
    <w:rsid w:val="005F1779"/>
    <w:rsid w:val="00695F31"/>
    <w:rsid w:val="007B2C06"/>
    <w:rsid w:val="00845D80"/>
    <w:rsid w:val="008C4857"/>
    <w:rsid w:val="00A5425B"/>
    <w:rsid w:val="00A83430"/>
    <w:rsid w:val="00A96B28"/>
    <w:rsid w:val="00BD048E"/>
    <w:rsid w:val="00C575C9"/>
    <w:rsid w:val="00CA4BEC"/>
    <w:rsid w:val="00D006CD"/>
    <w:rsid w:val="00D05A18"/>
    <w:rsid w:val="00DC0916"/>
    <w:rsid w:val="00DD6E9A"/>
    <w:rsid w:val="00DE364C"/>
    <w:rsid w:val="00F539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14:docId w14:val="2815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2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1152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52A"/>
    <w:rPr>
      <w:rFonts w:ascii="Times New Roman" w:eastAsia="Times New Roman" w:hAnsi="Times New Roman" w:cs="Times New Roman"/>
      <w:b/>
      <w:bCs/>
      <w:sz w:val="28"/>
      <w:szCs w:val="24"/>
      <w:lang w:eastAsia="lv-LV"/>
    </w:rPr>
  </w:style>
  <w:style w:type="paragraph" w:customStyle="1" w:styleId="naiskr">
    <w:name w:val="naiskr"/>
    <w:basedOn w:val="Normal"/>
    <w:rsid w:val="0041152A"/>
    <w:pPr>
      <w:spacing w:before="75" w:after="75"/>
    </w:pPr>
  </w:style>
  <w:style w:type="paragraph" w:styleId="Header">
    <w:name w:val="header"/>
    <w:basedOn w:val="Normal"/>
    <w:link w:val="HeaderChar"/>
    <w:uiPriority w:val="99"/>
    <w:unhideWhenUsed/>
    <w:rsid w:val="0041152A"/>
    <w:pPr>
      <w:tabs>
        <w:tab w:val="center" w:pos="4153"/>
        <w:tab w:val="right" w:pos="8306"/>
      </w:tabs>
    </w:pPr>
  </w:style>
  <w:style w:type="character" w:customStyle="1" w:styleId="HeaderChar">
    <w:name w:val="Header Char"/>
    <w:basedOn w:val="DefaultParagraphFont"/>
    <w:link w:val="Header"/>
    <w:uiPriority w:val="99"/>
    <w:rsid w:val="0041152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1152A"/>
    <w:pPr>
      <w:tabs>
        <w:tab w:val="center" w:pos="4153"/>
        <w:tab w:val="right" w:pos="8306"/>
      </w:tabs>
    </w:pPr>
  </w:style>
  <w:style w:type="character" w:customStyle="1" w:styleId="FooterChar">
    <w:name w:val="Footer Char"/>
    <w:basedOn w:val="DefaultParagraphFont"/>
    <w:link w:val="Footer"/>
    <w:uiPriority w:val="99"/>
    <w:rsid w:val="0041152A"/>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52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1152A"/>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52A"/>
    <w:rPr>
      <w:rFonts w:ascii="Times New Roman" w:eastAsia="Times New Roman" w:hAnsi="Times New Roman" w:cs="Times New Roman"/>
      <w:b/>
      <w:bCs/>
      <w:sz w:val="28"/>
      <w:szCs w:val="24"/>
      <w:lang w:eastAsia="lv-LV"/>
    </w:rPr>
  </w:style>
  <w:style w:type="paragraph" w:customStyle="1" w:styleId="naiskr">
    <w:name w:val="naiskr"/>
    <w:basedOn w:val="Normal"/>
    <w:rsid w:val="0041152A"/>
    <w:pPr>
      <w:spacing w:before="75" w:after="75"/>
    </w:pPr>
  </w:style>
  <w:style w:type="paragraph" w:styleId="Header">
    <w:name w:val="header"/>
    <w:basedOn w:val="Normal"/>
    <w:link w:val="HeaderChar"/>
    <w:uiPriority w:val="99"/>
    <w:unhideWhenUsed/>
    <w:rsid w:val="0041152A"/>
    <w:pPr>
      <w:tabs>
        <w:tab w:val="center" w:pos="4153"/>
        <w:tab w:val="right" w:pos="8306"/>
      </w:tabs>
    </w:pPr>
  </w:style>
  <w:style w:type="character" w:customStyle="1" w:styleId="HeaderChar">
    <w:name w:val="Header Char"/>
    <w:basedOn w:val="DefaultParagraphFont"/>
    <w:link w:val="Header"/>
    <w:uiPriority w:val="99"/>
    <w:rsid w:val="0041152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1152A"/>
    <w:pPr>
      <w:tabs>
        <w:tab w:val="center" w:pos="4153"/>
        <w:tab w:val="right" w:pos="8306"/>
      </w:tabs>
    </w:pPr>
  </w:style>
  <w:style w:type="character" w:customStyle="1" w:styleId="FooterChar">
    <w:name w:val="Footer Char"/>
    <w:basedOn w:val="DefaultParagraphFont"/>
    <w:link w:val="Footer"/>
    <w:uiPriority w:val="99"/>
    <w:rsid w:val="0041152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4756">
      <w:bodyDiv w:val="1"/>
      <w:marLeft w:val="0"/>
      <w:marRight w:val="0"/>
      <w:marTop w:val="0"/>
      <w:marBottom w:val="0"/>
      <w:divBdr>
        <w:top w:val="none" w:sz="0" w:space="0" w:color="auto"/>
        <w:left w:val="none" w:sz="0" w:space="0" w:color="auto"/>
        <w:bottom w:val="none" w:sz="0" w:space="0" w:color="auto"/>
        <w:right w:val="none" w:sz="0" w:space="0" w:color="auto"/>
      </w:divBdr>
    </w:div>
    <w:div w:id="10463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vojevodska@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C051-02DC-4D29-80CF-0F5925EF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2621</Words>
  <Characters>1494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anotācija</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dc:title>
  <dc:subject>Par A.Pildegoviču</dc:subject>
  <dc:creator>Ārlietu ministrija</dc:creator>
  <dc:description>67016184, ianara.vojevodska@mfa.gov.lv</dc:description>
  <cp:lastModifiedBy>Katrina Nikolajeva</cp:lastModifiedBy>
  <cp:revision>15</cp:revision>
  <cp:lastPrinted>2013-04-22T06:13:00Z</cp:lastPrinted>
  <dcterms:created xsi:type="dcterms:W3CDTF">2013-04-19T12:16:00Z</dcterms:created>
  <dcterms:modified xsi:type="dcterms:W3CDTF">2013-05-03T12:06:00Z</dcterms:modified>
</cp:coreProperties>
</file>