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43" w:rsidRPr="00F50676" w:rsidRDefault="00B62743" w:rsidP="00B62743">
      <w:pPr>
        <w:jc w:val="center"/>
        <w:rPr>
          <w:b/>
          <w:sz w:val="26"/>
          <w:szCs w:val="26"/>
        </w:rPr>
      </w:pPr>
      <w:bookmarkStart w:id="0" w:name="OLE_LINK9"/>
      <w:bookmarkStart w:id="1" w:name="OLE_LINK10"/>
      <w:r w:rsidRPr="00F50676">
        <w:rPr>
          <w:b/>
          <w:sz w:val="26"/>
          <w:szCs w:val="26"/>
        </w:rPr>
        <w:t xml:space="preserve">Likumprojekta </w:t>
      </w:r>
    </w:p>
    <w:p w:rsidR="00B62743" w:rsidRPr="00F50676" w:rsidRDefault="00434A4F" w:rsidP="00B62743">
      <w:pPr>
        <w:jc w:val="center"/>
        <w:rPr>
          <w:b/>
          <w:sz w:val="26"/>
          <w:szCs w:val="26"/>
        </w:rPr>
      </w:pPr>
      <w:r w:rsidRPr="00F50676">
        <w:rPr>
          <w:b/>
          <w:sz w:val="26"/>
          <w:szCs w:val="26"/>
        </w:rPr>
        <w:t xml:space="preserve"> </w:t>
      </w:r>
      <w:r w:rsidR="004C695A" w:rsidRPr="00F50676">
        <w:rPr>
          <w:b/>
          <w:sz w:val="26"/>
          <w:szCs w:val="26"/>
        </w:rPr>
        <w:t>„</w:t>
      </w:r>
      <w:r w:rsidR="00FC17EF" w:rsidRPr="00F50676">
        <w:rPr>
          <w:b/>
          <w:sz w:val="26"/>
          <w:szCs w:val="26"/>
        </w:rPr>
        <w:t xml:space="preserve">Par </w:t>
      </w:r>
      <w:r w:rsidRPr="00F50676">
        <w:rPr>
          <w:b/>
          <w:sz w:val="26"/>
          <w:szCs w:val="26"/>
        </w:rPr>
        <w:t>Protokol</w:t>
      </w:r>
      <w:r w:rsidR="00FC17EF" w:rsidRPr="00F50676">
        <w:rPr>
          <w:b/>
          <w:sz w:val="26"/>
          <w:szCs w:val="26"/>
        </w:rPr>
        <w:t>u</w:t>
      </w:r>
      <w:r w:rsidRPr="00F50676">
        <w:rPr>
          <w:b/>
          <w:sz w:val="26"/>
          <w:szCs w:val="26"/>
        </w:rPr>
        <w:t xml:space="preserve"> par Īrijas tautas bažām saistībā ar Lisabonas līgumu” </w:t>
      </w:r>
      <w:r w:rsidR="00B62743" w:rsidRPr="00F50676">
        <w:rPr>
          <w:b/>
          <w:sz w:val="26"/>
          <w:szCs w:val="26"/>
        </w:rPr>
        <w:t xml:space="preserve">sākotnējās ietekmes novērtējuma </w:t>
      </w:r>
      <w:smartTag w:uri="schemas-tilde-lv/tildestengine" w:element="veidnes">
        <w:smartTagPr>
          <w:attr w:name="text" w:val="ziņojums"/>
          <w:attr w:name="baseform" w:val="ziņojums"/>
          <w:attr w:name="id" w:val="-1"/>
        </w:smartTagPr>
        <w:r w:rsidR="00B62743" w:rsidRPr="00F50676">
          <w:rPr>
            <w:b/>
            <w:sz w:val="26"/>
            <w:szCs w:val="26"/>
          </w:rPr>
          <w:t>ziņojums</w:t>
        </w:r>
      </w:smartTag>
      <w:r w:rsidR="00B62743" w:rsidRPr="00F50676">
        <w:rPr>
          <w:b/>
          <w:sz w:val="26"/>
          <w:szCs w:val="26"/>
        </w:rPr>
        <w:t xml:space="preserve"> (anotācija)</w:t>
      </w:r>
    </w:p>
    <w:bookmarkEnd w:id="0"/>
    <w:bookmarkEnd w:id="1"/>
    <w:p w:rsidR="00B62743" w:rsidRPr="00F50676" w:rsidRDefault="00B62743" w:rsidP="00B62743">
      <w:pPr>
        <w:jc w:val="cente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1560"/>
        <w:gridCol w:w="7257"/>
      </w:tblGrid>
      <w:tr w:rsidR="00B62743" w:rsidRPr="00F50676" w:rsidTr="00434A4F">
        <w:tc>
          <w:tcPr>
            <w:tcW w:w="5000" w:type="pct"/>
            <w:gridSpan w:val="3"/>
            <w:tcBorders>
              <w:top w:val="single" w:sz="6" w:space="0" w:color="auto"/>
              <w:left w:val="single" w:sz="6" w:space="0" w:color="auto"/>
              <w:bottom w:val="outset" w:sz="6" w:space="0" w:color="000000"/>
              <w:right w:val="single" w:sz="6" w:space="0" w:color="auto"/>
            </w:tcBorders>
            <w:vAlign w:val="center"/>
          </w:tcPr>
          <w:p w:rsidR="00B62743" w:rsidRPr="00F50676" w:rsidRDefault="00B62743" w:rsidP="00434A4F">
            <w:pPr>
              <w:spacing w:before="100" w:beforeAutospacing="1" w:after="100" w:afterAutospacing="1"/>
              <w:jc w:val="center"/>
              <w:rPr>
                <w:b/>
                <w:bCs/>
                <w:sz w:val="26"/>
                <w:szCs w:val="26"/>
              </w:rPr>
            </w:pPr>
            <w:r w:rsidRPr="00F50676">
              <w:rPr>
                <w:b/>
                <w:bCs/>
                <w:sz w:val="26"/>
                <w:szCs w:val="26"/>
              </w:rPr>
              <w:t>I. Tiesību akta projekta izstrādes nepieciešamība</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1.</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Pamatojums</w:t>
            </w:r>
          </w:p>
        </w:tc>
        <w:tc>
          <w:tcPr>
            <w:tcW w:w="3974" w:type="pct"/>
            <w:tcBorders>
              <w:top w:val="outset" w:sz="6" w:space="0" w:color="000000"/>
              <w:left w:val="outset" w:sz="6" w:space="0" w:color="000000"/>
              <w:bottom w:val="outset" w:sz="6" w:space="0" w:color="000000"/>
              <w:right w:val="outset" w:sz="6" w:space="0" w:color="000000"/>
            </w:tcBorders>
          </w:tcPr>
          <w:p w:rsidR="00FC3F27" w:rsidRPr="00F50676" w:rsidRDefault="00FC17EF" w:rsidP="00FC3F27">
            <w:pPr>
              <w:pStyle w:val="ListParagraph"/>
              <w:numPr>
                <w:ilvl w:val="0"/>
                <w:numId w:val="4"/>
              </w:numPr>
              <w:spacing w:before="75" w:after="75"/>
              <w:ind w:right="57"/>
              <w:jc w:val="both"/>
              <w:rPr>
                <w:sz w:val="26"/>
                <w:szCs w:val="26"/>
              </w:rPr>
            </w:pPr>
            <w:r w:rsidRPr="00F50676">
              <w:rPr>
                <w:sz w:val="26"/>
                <w:szCs w:val="26"/>
              </w:rPr>
              <w:t xml:space="preserve">Deklarācija par Valda Dombrovska vadītā Ministru kabineta iecerēto darbību: </w:t>
            </w:r>
            <w:r w:rsidR="00FC3F27" w:rsidRPr="00F50676">
              <w:rPr>
                <w:sz w:val="26"/>
                <w:szCs w:val="26"/>
              </w:rPr>
              <w:t xml:space="preserve">VI. Latvija pasaulē, Ārlietas: „Piedalīsimies ES rīcībpolitiku izstrādes procesā, vienlaicīgi aizstāvot savas nacionālās intereses, ES vienotu ārpolitiku un </w:t>
            </w:r>
            <w:r w:rsidR="006201EF" w:rsidRPr="00F50676">
              <w:rPr>
                <w:sz w:val="26"/>
                <w:szCs w:val="26"/>
              </w:rPr>
              <w:t>ES</w:t>
            </w:r>
            <w:r w:rsidR="00FC3F27" w:rsidRPr="00F50676">
              <w:rPr>
                <w:sz w:val="26"/>
                <w:szCs w:val="26"/>
              </w:rPr>
              <w:t xml:space="preserve"> padziļinātu integrācijas procesu</w:t>
            </w:r>
            <w:r w:rsidR="00345F7A">
              <w:rPr>
                <w:sz w:val="26"/>
                <w:szCs w:val="26"/>
              </w:rPr>
              <w:t>”</w:t>
            </w:r>
            <w:r w:rsidR="00FC3F27" w:rsidRPr="00F50676">
              <w:rPr>
                <w:sz w:val="26"/>
                <w:szCs w:val="26"/>
              </w:rPr>
              <w:t>.</w:t>
            </w:r>
          </w:p>
          <w:p w:rsidR="00B62743" w:rsidRPr="006957E7" w:rsidRDefault="00FC3F27" w:rsidP="006957E7">
            <w:pPr>
              <w:pStyle w:val="ListParagraph"/>
              <w:numPr>
                <w:ilvl w:val="0"/>
                <w:numId w:val="4"/>
              </w:numPr>
              <w:spacing w:before="75" w:after="75"/>
              <w:ind w:right="57"/>
              <w:jc w:val="both"/>
              <w:rPr>
                <w:sz w:val="26"/>
                <w:szCs w:val="26"/>
              </w:rPr>
            </w:pPr>
            <w:r w:rsidRPr="00F50676">
              <w:rPr>
                <w:sz w:val="26"/>
                <w:szCs w:val="26"/>
              </w:rPr>
              <w:t>2009.gada 18.-19.jūnija Eiropadomes secinājumi.</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2.</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Pašreizējā situācija un problēmas</w:t>
            </w:r>
          </w:p>
        </w:tc>
        <w:tc>
          <w:tcPr>
            <w:tcW w:w="3974" w:type="pct"/>
            <w:tcBorders>
              <w:top w:val="outset" w:sz="6" w:space="0" w:color="000000"/>
              <w:left w:val="outset" w:sz="6" w:space="0" w:color="000000"/>
              <w:bottom w:val="outset" w:sz="6" w:space="0" w:color="000000"/>
              <w:right w:val="outset" w:sz="6" w:space="0" w:color="000000"/>
            </w:tcBorders>
          </w:tcPr>
          <w:p w:rsidR="00B62743" w:rsidRPr="00F50676" w:rsidRDefault="00EC3779" w:rsidP="002E51AD">
            <w:pPr>
              <w:spacing w:before="75" w:after="75"/>
              <w:ind w:left="138" w:right="57"/>
              <w:jc w:val="both"/>
              <w:rPr>
                <w:sz w:val="26"/>
                <w:szCs w:val="26"/>
              </w:rPr>
            </w:pPr>
            <w:r w:rsidRPr="00F50676">
              <w:rPr>
                <w:sz w:val="26"/>
                <w:szCs w:val="26"/>
              </w:rPr>
              <w:t>2008. gadā Lisabonas līguma, ar ko groza Līgumu par Eiropas Savienību un Eiropas Kopienas dibināšanas līgumu (turpmāk – L</w:t>
            </w:r>
            <w:r w:rsidR="00931412">
              <w:rPr>
                <w:sz w:val="26"/>
                <w:szCs w:val="26"/>
              </w:rPr>
              <w:t>isabonas l</w:t>
            </w:r>
            <w:r w:rsidRPr="00F50676">
              <w:rPr>
                <w:sz w:val="26"/>
                <w:szCs w:val="26"/>
              </w:rPr>
              <w:t>īgums), ratifikācijas procesa laikā Īrijā saasinājās</w:t>
            </w:r>
            <w:r w:rsidR="00931412">
              <w:rPr>
                <w:sz w:val="26"/>
                <w:szCs w:val="26"/>
              </w:rPr>
              <w:t xml:space="preserve"> iekšpolitiskās diskusijas par šī l</w:t>
            </w:r>
            <w:r w:rsidRPr="00F50676">
              <w:rPr>
                <w:sz w:val="26"/>
                <w:szCs w:val="26"/>
              </w:rPr>
              <w:t>īg</w:t>
            </w:r>
            <w:r w:rsidR="00931412">
              <w:rPr>
                <w:sz w:val="26"/>
                <w:szCs w:val="26"/>
              </w:rPr>
              <w:t>uma atbilstību Īrijas konstitūcijai</w:t>
            </w:r>
            <w:r w:rsidRPr="00F50676">
              <w:rPr>
                <w:sz w:val="26"/>
                <w:szCs w:val="26"/>
              </w:rPr>
              <w:t xml:space="preserve">, kas varēja aizkavēt tā ratifikāciju un spēkā stāšanos. Lai rastu risinājumu Īrijas sabiedrības izteiktajām bažām par tradicionālo politiku apdraudējumu, 2009.gada 18.-19.jūnija Eiropadomē </w:t>
            </w:r>
            <w:r w:rsidR="00931412">
              <w:rPr>
                <w:sz w:val="26"/>
                <w:szCs w:val="26"/>
              </w:rPr>
              <w:t xml:space="preserve">ES </w:t>
            </w:r>
            <w:r w:rsidR="002E51AD" w:rsidRPr="00F50676">
              <w:rPr>
                <w:sz w:val="26"/>
                <w:szCs w:val="26"/>
              </w:rPr>
              <w:t xml:space="preserve">valstu </w:t>
            </w:r>
            <w:r w:rsidR="005B610F">
              <w:rPr>
                <w:sz w:val="26"/>
                <w:szCs w:val="26"/>
              </w:rPr>
              <w:t>vai</w:t>
            </w:r>
            <w:r w:rsidRPr="00F50676">
              <w:rPr>
                <w:sz w:val="26"/>
                <w:szCs w:val="26"/>
              </w:rPr>
              <w:t xml:space="preserve"> valdību vadītāji pieņēma lēmumu par Īrijas tautas bažām saistībā ar Lisabonas līgumu, paziņojot, ka, noslēdzot nākamo pievienošanās līgumu, tiks sagatavots protokols, kurā būs izklāstīta to būtība. Tika nolemts, ka tas saskaņā ar dalībvalstu attiecīgajām konstitucionālajām prasībām jāpievieno L</w:t>
            </w:r>
            <w:r w:rsidR="00931412">
              <w:rPr>
                <w:sz w:val="26"/>
                <w:szCs w:val="26"/>
              </w:rPr>
              <w:t>isabonas l</w:t>
            </w:r>
            <w:r w:rsidRPr="00F50676">
              <w:rPr>
                <w:sz w:val="26"/>
                <w:szCs w:val="26"/>
              </w:rPr>
              <w:t>īgumam.</w:t>
            </w:r>
          </w:p>
          <w:p w:rsidR="00345DBD" w:rsidRPr="00F50676" w:rsidRDefault="00440E58" w:rsidP="00345DBD">
            <w:pPr>
              <w:spacing w:before="75" w:after="75"/>
              <w:ind w:left="138" w:right="57"/>
              <w:jc w:val="both"/>
              <w:rPr>
                <w:sz w:val="26"/>
                <w:szCs w:val="26"/>
              </w:rPr>
            </w:pPr>
            <w:r w:rsidRPr="00F50676">
              <w:rPr>
                <w:sz w:val="26"/>
                <w:szCs w:val="26"/>
              </w:rPr>
              <w:t xml:space="preserve">Pamatojoties uz </w:t>
            </w:r>
            <w:r w:rsidR="0057318A" w:rsidRPr="00F50676">
              <w:rPr>
                <w:sz w:val="26"/>
                <w:szCs w:val="26"/>
              </w:rPr>
              <w:t>Ministru kabinetā apstiprināto Latvijas nacionālo pozīciju Eiropadomes 2009.gada 18.-19.jūnija sanāksmei, Latvijas Republikas pastāvīgā pārstāve Eiropas Savienībā I.Juhansone tika pilnvaro</w:t>
            </w:r>
            <w:r w:rsidR="00C52FFA" w:rsidRPr="00F50676">
              <w:rPr>
                <w:sz w:val="26"/>
                <w:szCs w:val="26"/>
              </w:rPr>
              <w:t>ta</w:t>
            </w:r>
            <w:r w:rsidR="0057318A" w:rsidRPr="00F50676">
              <w:rPr>
                <w:sz w:val="26"/>
                <w:szCs w:val="26"/>
              </w:rPr>
              <w:t xml:space="preserve"> valdības vārdā piedalīties dalībvalstu valdību pārstāvju konferencē, lai izskatītu un parakstītu Īrijas valdīb</w:t>
            </w:r>
            <w:r w:rsidR="00931412">
              <w:rPr>
                <w:sz w:val="26"/>
                <w:szCs w:val="26"/>
              </w:rPr>
              <w:t>as ierosināto l</w:t>
            </w:r>
            <w:r w:rsidR="00AC1D11">
              <w:rPr>
                <w:sz w:val="26"/>
                <w:szCs w:val="26"/>
              </w:rPr>
              <w:t>īgumu grozījumu p</w:t>
            </w:r>
            <w:r w:rsidR="0057318A" w:rsidRPr="00F50676">
              <w:rPr>
                <w:sz w:val="26"/>
                <w:szCs w:val="26"/>
              </w:rPr>
              <w:t xml:space="preserve">rotokola </w:t>
            </w:r>
            <w:r w:rsidR="00C23A45" w:rsidRPr="00F50676">
              <w:rPr>
                <w:sz w:val="26"/>
                <w:szCs w:val="26"/>
              </w:rPr>
              <w:t>veidā</w:t>
            </w:r>
            <w:r w:rsidR="00A77B95">
              <w:rPr>
                <w:sz w:val="26"/>
                <w:szCs w:val="26"/>
              </w:rPr>
              <w:t xml:space="preserve"> </w:t>
            </w:r>
            <w:r w:rsidR="0057318A" w:rsidRPr="00F50676">
              <w:rPr>
                <w:sz w:val="26"/>
                <w:szCs w:val="26"/>
              </w:rPr>
              <w:t>(</w:t>
            </w:r>
            <w:r w:rsidRPr="00F50676">
              <w:rPr>
                <w:sz w:val="26"/>
                <w:szCs w:val="26"/>
              </w:rPr>
              <w:t>2012.gada 15.maija MK protokola Nr.2</w:t>
            </w:r>
            <w:r w:rsidR="0057318A" w:rsidRPr="00F50676">
              <w:rPr>
                <w:sz w:val="26"/>
                <w:szCs w:val="26"/>
              </w:rPr>
              <w:t xml:space="preserve">7 27.§). </w:t>
            </w:r>
          </w:p>
          <w:p w:rsidR="00440E58" w:rsidRPr="00F50676" w:rsidRDefault="00C23A45" w:rsidP="00DE08AB">
            <w:pPr>
              <w:spacing w:before="75" w:after="75"/>
              <w:ind w:left="138" w:right="57"/>
              <w:jc w:val="both"/>
              <w:rPr>
                <w:sz w:val="26"/>
                <w:szCs w:val="26"/>
              </w:rPr>
            </w:pPr>
            <w:r w:rsidRPr="00F50676">
              <w:rPr>
                <w:sz w:val="26"/>
                <w:szCs w:val="26"/>
              </w:rPr>
              <w:t xml:space="preserve">2012.gada 13.jūnijā Briselē </w:t>
            </w:r>
            <w:r w:rsidR="00345F7A">
              <w:rPr>
                <w:sz w:val="26"/>
                <w:szCs w:val="26"/>
              </w:rPr>
              <w:t>p</w:t>
            </w:r>
            <w:r w:rsidR="00345DBD" w:rsidRPr="00F50676">
              <w:rPr>
                <w:sz w:val="26"/>
                <w:szCs w:val="26"/>
              </w:rPr>
              <w:t>rotokolu parakstīja visu ES dalībvalstu pārstāvji</w:t>
            </w:r>
            <w:r w:rsidR="00CE436C" w:rsidRPr="00F50676">
              <w:rPr>
                <w:sz w:val="26"/>
                <w:szCs w:val="26"/>
              </w:rPr>
              <w:t>, un</w:t>
            </w:r>
            <w:r w:rsidR="00862F97" w:rsidRPr="00F50676">
              <w:rPr>
                <w:sz w:val="26"/>
                <w:szCs w:val="26"/>
              </w:rPr>
              <w:t>,</w:t>
            </w:r>
            <w:r w:rsidR="00CE436C" w:rsidRPr="00F50676">
              <w:rPr>
                <w:sz w:val="26"/>
                <w:szCs w:val="26"/>
              </w:rPr>
              <w:t xml:space="preserve"> lai tas stātos spēkā</w:t>
            </w:r>
            <w:r w:rsidR="00862F97" w:rsidRPr="00F50676">
              <w:rPr>
                <w:sz w:val="26"/>
                <w:szCs w:val="26"/>
              </w:rPr>
              <w:t>,</w:t>
            </w:r>
            <w:r w:rsidR="00345F7A">
              <w:rPr>
                <w:sz w:val="26"/>
                <w:szCs w:val="26"/>
              </w:rPr>
              <w:t xml:space="preserve"> ir nepieciešama p</w:t>
            </w:r>
            <w:r w:rsidR="00CE436C" w:rsidRPr="00F50676">
              <w:rPr>
                <w:sz w:val="26"/>
                <w:szCs w:val="26"/>
              </w:rPr>
              <w:t xml:space="preserve">rotokola ratifikācija </w:t>
            </w:r>
            <w:r w:rsidR="00DE08AB" w:rsidRPr="00F50676">
              <w:rPr>
                <w:sz w:val="26"/>
                <w:szCs w:val="26"/>
              </w:rPr>
              <w:t>dalībvalstīs saskaņā ar to</w:t>
            </w:r>
            <w:r w:rsidR="00CE436C" w:rsidRPr="00F50676">
              <w:rPr>
                <w:sz w:val="26"/>
                <w:szCs w:val="26"/>
              </w:rPr>
              <w:t xml:space="preserve"> konstitucionālajām prasībām</w:t>
            </w:r>
            <w:r w:rsidR="00345DBD" w:rsidRPr="00F50676">
              <w:rPr>
                <w:sz w:val="26"/>
                <w:szCs w:val="26"/>
              </w:rPr>
              <w:t>.</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3.</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Saistītie politikas ietekmes novērtējumi un pētījumi</w:t>
            </w:r>
          </w:p>
        </w:tc>
        <w:tc>
          <w:tcPr>
            <w:tcW w:w="3974" w:type="pct"/>
            <w:tcBorders>
              <w:top w:val="outset" w:sz="6" w:space="0" w:color="000000"/>
              <w:left w:val="outset" w:sz="6" w:space="0" w:color="000000"/>
              <w:bottom w:val="outset" w:sz="6" w:space="0" w:color="000000"/>
              <w:right w:val="outset" w:sz="6" w:space="0" w:color="000000"/>
            </w:tcBorders>
          </w:tcPr>
          <w:p w:rsidR="00B62743" w:rsidRPr="00F50676" w:rsidRDefault="0046784B" w:rsidP="00434A4F">
            <w:pPr>
              <w:spacing w:before="75" w:after="75"/>
              <w:ind w:left="138" w:right="57"/>
              <w:jc w:val="both"/>
              <w:rPr>
                <w:sz w:val="26"/>
                <w:szCs w:val="26"/>
              </w:rPr>
            </w:pPr>
            <w:r w:rsidRPr="00F50676">
              <w:rPr>
                <w:sz w:val="26"/>
                <w:szCs w:val="26"/>
              </w:rPr>
              <w:t>Nav veikti.</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4.</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Tiesiskā regulējuma mērķis un būtība</w:t>
            </w:r>
          </w:p>
        </w:tc>
        <w:tc>
          <w:tcPr>
            <w:tcW w:w="3974" w:type="pct"/>
            <w:tcBorders>
              <w:top w:val="outset" w:sz="6" w:space="0" w:color="000000"/>
              <w:left w:val="outset" w:sz="6" w:space="0" w:color="000000"/>
              <w:bottom w:val="outset" w:sz="6" w:space="0" w:color="000000"/>
              <w:right w:val="outset" w:sz="6" w:space="0" w:color="000000"/>
            </w:tcBorders>
          </w:tcPr>
          <w:p w:rsidR="001E0161" w:rsidRPr="00F50676" w:rsidRDefault="001E0161" w:rsidP="00345DBD">
            <w:pPr>
              <w:spacing w:before="75" w:after="75"/>
              <w:ind w:left="138" w:right="57"/>
              <w:jc w:val="both"/>
              <w:rPr>
                <w:sz w:val="26"/>
                <w:szCs w:val="26"/>
              </w:rPr>
            </w:pPr>
            <w:r w:rsidRPr="00F50676">
              <w:rPr>
                <w:sz w:val="26"/>
                <w:szCs w:val="26"/>
              </w:rPr>
              <w:t>Likumprojekts izstrādāts, lai Protokolu par Īrijas tautas bažām saistībā ar Lisabonas līgumu (turpmāk – Protokols) apstiprinātu Saeimā saskaņā ar 1994.gada 13.janvāra likumu „Par Latvijas Republikas starptautiskajiem līgumiem”.</w:t>
            </w:r>
          </w:p>
          <w:p w:rsidR="00740019" w:rsidRPr="00F50676" w:rsidRDefault="00345DBD" w:rsidP="00740019">
            <w:pPr>
              <w:spacing w:before="75" w:after="75"/>
              <w:ind w:left="138" w:right="57"/>
              <w:jc w:val="both"/>
              <w:rPr>
                <w:rFonts w:ascii="inherit" w:hAnsi="inherit" w:cs="Arial"/>
                <w:sz w:val="26"/>
                <w:szCs w:val="26"/>
              </w:rPr>
            </w:pPr>
            <w:r w:rsidRPr="00F50676">
              <w:rPr>
                <w:sz w:val="26"/>
                <w:szCs w:val="26"/>
              </w:rPr>
              <w:lastRenderedPageBreak/>
              <w:t>Protokolu paredzēts pievienot L</w:t>
            </w:r>
            <w:r w:rsidR="00931412">
              <w:rPr>
                <w:sz w:val="26"/>
                <w:szCs w:val="26"/>
              </w:rPr>
              <w:t>isabonas l</w:t>
            </w:r>
            <w:r w:rsidRPr="00F50676">
              <w:rPr>
                <w:sz w:val="26"/>
                <w:szCs w:val="26"/>
              </w:rPr>
              <w:t>īgumam kā noteikumu skaidrojumu</w:t>
            </w:r>
            <w:r w:rsidR="00D25674" w:rsidRPr="00F50676">
              <w:rPr>
                <w:sz w:val="26"/>
                <w:szCs w:val="26"/>
              </w:rPr>
              <w:t>.</w:t>
            </w:r>
            <w:r w:rsidR="00740019" w:rsidRPr="00F50676">
              <w:rPr>
                <w:rFonts w:ascii="inherit" w:hAnsi="inherit" w:cs="Arial"/>
                <w:sz w:val="26"/>
                <w:szCs w:val="26"/>
              </w:rPr>
              <w:t xml:space="preserve"> </w:t>
            </w:r>
          </w:p>
          <w:p w:rsidR="009A7946" w:rsidRPr="00F50676" w:rsidRDefault="009A7946" w:rsidP="009A7946">
            <w:pPr>
              <w:spacing w:before="75" w:after="75"/>
              <w:ind w:left="138" w:right="57"/>
              <w:jc w:val="both"/>
              <w:rPr>
                <w:sz w:val="26"/>
                <w:szCs w:val="26"/>
              </w:rPr>
            </w:pPr>
            <w:r w:rsidRPr="00F50676">
              <w:rPr>
                <w:sz w:val="26"/>
                <w:szCs w:val="26"/>
              </w:rPr>
              <w:t xml:space="preserve">Protokolā ir </w:t>
            </w:r>
            <w:r w:rsidR="00EA47CC">
              <w:rPr>
                <w:sz w:val="26"/>
                <w:szCs w:val="26"/>
              </w:rPr>
              <w:t>precizētas šādas jomas</w:t>
            </w:r>
            <w:r w:rsidRPr="00F50676">
              <w:rPr>
                <w:sz w:val="26"/>
                <w:szCs w:val="26"/>
              </w:rPr>
              <w:t xml:space="preserve">: tiesības uz dzīvību, ģimeni un izglītību atbilstoši Īrijas konstitūcijas attiecīgajiem pantiem; </w:t>
            </w:r>
            <w:r w:rsidR="00931412" w:rsidRPr="00F50676">
              <w:rPr>
                <w:sz w:val="26"/>
                <w:szCs w:val="26"/>
              </w:rPr>
              <w:t xml:space="preserve">nacionālās kompetences saglabāšana </w:t>
            </w:r>
            <w:r w:rsidR="00931412">
              <w:rPr>
                <w:sz w:val="26"/>
                <w:szCs w:val="26"/>
              </w:rPr>
              <w:t>nodokļu jomā</w:t>
            </w:r>
            <w:r w:rsidRPr="00F50676">
              <w:rPr>
                <w:sz w:val="26"/>
                <w:szCs w:val="26"/>
              </w:rPr>
              <w:t xml:space="preserve">; drošības un aizsardzības politikas īstenošana atbilstoši tradicionālajai neitralitātes politikai. </w:t>
            </w:r>
          </w:p>
          <w:p w:rsidR="00B62743" w:rsidRPr="00F50676" w:rsidRDefault="0084675E" w:rsidP="009A7946">
            <w:pPr>
              <w:spacing w:before="75" w:after="75"/>
              <w:ind w:left="138" w:right="57"/>
              <w:jc w:val="both"/>
              <w:rPr>
                <w:sz w:val="26"/>
                <w:szCs w:val="26"/>
              </w:rPr>
            </w:pPr>
            <w:r w:rsidRPr="0084675E">
              <w:rPr>
                <w:rFonts w:ascii="inherit" w:hAnsi="inherit" w:cs="Arial"/>
                <w:sz w:val="26"/>
                <w:szCs w:val="26"/>
              </w:rPr>
              <w:t>Lai arī Protokols ir sagatavots, lai novērstu Īrijas tautas bažas par atsevišķu Lisabonas līguma normu interpretāciju, Protokola 2. un 3.pantā ietverto Lisabonas līguma normu skaidrojums būs saistošs arī citām ES dalībvalstīm. Protokola 2.pants nepārprotami paredz, ka Lisabonas līguma noteikumi neko un nevienai dalībvalstij nemaina Eiropas Savienības kompetences apjomā vai īstenošanā nodokļu jomā, savukārt Protokola 3.pantā ir sniegts skaidrojums par kompetences sadali Savienības kopējā drošības un aizsardzības politikā.</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lastRenderedPageBreak/>
              <w:t>5.</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izstrādē iesaistītās institūcijas</w:t>
            </w:r>
          </w:p>
        </w:tc>
        <w:tc>
          <w:tcPr>
            <w:tcW w:w="3974" w:type="pct"/>
            <w:tcBorders>
              <w:top w:val="outset" w:sz="6" w:space="0" w:color="000000"/>
              <w:left w:val="outset" w:sz="6" w:space="0" w:color="000000"/>
              <w:bottom w:val="outset" w:sz="6" w:space="0" w:color="000000"/>
              <w:right w:val="outset" w:sz="6" w:space="0" w:color="000000"/>
            </w:tcBorders>
          </w:tcPr>
          <w:p w:rsidR="00B62743" w:rsidRPr="00F50676" w:rsidRDefault="00DA0892" w:rsidP="00434A4F">
            <w:pPr>
              <w:spacing w:before="75" w:after="75"/>
              <w:ind w:left="138" w:right="57"/>
              <w:jc w:val="both"/>
              <w:rPr>
                <w:sz w:val="26"/>
                <w:szCs w:val="26"/>
              </w:rPr>
            </w:pPr>
            <w:r w:rsidRPr="00F50676">
              <w:rPr>
                <w:sz w:val="26"/>
                <w:szCs w:val="26"/>
              </w:rPr>
              <w:t>Nav.</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6.</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Iemesli, kādēļ netika nodrošināta sabiedrības līdzdalība</w:t>
            </w:r>
          </w:p>
        </w:tc>
        <w:tc>
          <w:tcPr>
            <w:tcW w:w="397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38" w:right="57"/>
              <w:jc w:val="both"/>
              <w:rPr>
                <w:sz w:val="26"/>
                <w:szCs w:val="26"/>
              </w:rPr>
            </w:pPr>
            <w:r w:rsidRPr="00F50676">
              <w:rPr>
                <w:sz w:val="26"/>
                <w:szCs w:val="26"/>
              </w:rPr>
              <w:t>Nav attiecināms.</w:t>
            </w:r>
          </w:p>
        </w:tc>
      </w:tr>
      <w:tr w:rsidR="00B62743" w:rsidRPr="00F50676" w:rsidTr="00434A4F">
        <w:tc>
          <w:tcPr>
            <w:tcW w:w="172"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7.</w:t>
            </w:r>
          </w:p>
        </w:tc>
        <w:tc>
          <w:tcPr>
            <w:tcW w:w="85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 informācija</w:t>
            </w:r>
          </w:p>
        </w:tc>
        <w:tc>
          <w:tcPr>
            <w:tcW w:w="397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38" w:right="57"/>
              <w:jc w:val="both"/>
              <w:rPr>
                <w:sz w:val="26"/>
                <w:szCs w:val="26"/>
              </w:rPr>
            </w:pPr>
            <w:r w:rsidRPr="00F50676">
              <w:rPr>
                <w:sz w:val="26"/>
                <w:szCs w:val="26"/>
              </w:rPr>
              <w:t>Nav.</w:t>
            </w:r>
          </w:p>
        </w:tc>
      </w:tr>
    </w:tbl>
    <w:p w:rsidR="00B62743" w:rsidRDefault="00B62743" w:rsidP="005C74DE">
      <w:pPr>
        <w:rPr>
          <w:sz w:val="26"/>
          <w:szCs w:val="26"/>
        </w:rPr>
      </w:pPr>
      <w:r w:rsidRPr="00F50676">
        <w:rPr>
          <w:sz w:val="26"/>
          <w:szCs w:val="26"/>
        </w:rPr>
        <w:t> </w:t>
      </w:r>
    </w:p>
    <w:p w:rsidR="005C74DE" w:rsidRPr="00F50676" w:rsidRDefault="005C74DE" w:rsidP="005C74DE">
      <w:pPr>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4498"/>
        <w:gridCol w:w="4079"/>
      </w:tblGrid>
      <w:tr w:rsidR="00B62743" w:rsidRPr="00F50676" w:rsidTr="00434A4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B62743" w:rsidRPr="00F50676" w:rsidRDefault="00B62743" w:rsidP="00434A4F">
            <w:pPr>
              <w:spacing w:before="100" w:beforeAutospacing="1" w:after="100" w:afterAutospacing="1"/>
              <w:jc w:val="center"/>
              <w:rPr>
                <w:b/>
                <w:bCs/>
                <w:sz w:val="26"/>
                <w:szCs w:val="26"/>
              </w:rPr>
            </w:pPr>
            <w:r w:rsidRPr="00F50676">
              <w:rPr>
                <w:b/>
                <w:bCs/>
                <w:sz w:val="26"/>
                <w:szCs w:val="26"/>
              </w:rPr>
              <w:t>II. Tiesību akta projekta ietekme uz sabiedrību</w:t>
            </w:r>
          </w:p>
        </w:tc>
      </w:tr>
      <w:tr w:rsidR="00B62743" w:rsidRPr="00F50676" w:rsidTr="00434A4F">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1.</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Sabiedrības mērķgrupa</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Nav attiecināms.</w:t>
            </w:r>
          </w:p>
        </w:tc>
      </w:tr>
      <w:tr w:rsidR="00B62743" w:rsidRPr="00F50676" w:rsidTr="00434A4F">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2.</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Citas sabiedrības grupas (bez mērķgrupas), kuras tiesiskais regulējums arī ietekmē vai varētu ietekmēt</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Projekts šo jomu neskar.</w:t>
            </w:r>
          </w:p>
        </w:tc>
      </w:tr>
      <w:tr w:rsidR="00B62743" w:rsidRPr="00F50676" w:rsidTr="00434A4F">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3.</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Tiesiskā regulējuma finansiālā ietekme</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Nav attiecināms.</w:t>
            </w:r>
          </w:p>
        </w:tc>
      </w:tr>
      <w:tr w:rsidR="00B62743" w:rsidRPr="00F50676" w:rsidTr="00434A4F">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4.</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Tiesiskā regulējuma nefinansiālā ietekme</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Nav attiecināms.</w:t>
            </w:r>
          </w:p>
        </w:tc>
      </w:tr>
      <w:tr w:rsidR="00B62743" w:rsidRPr="00F50676" w:rsidTr="00434A4F">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5.</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Administratīvās procedūras raksturojums</w:t>
            </w:r>
          </w:p>
        </w:tc>
        <w:tc>
          <w:tcPr>
            <w:tcW w:w="4079"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spacing w:before="100" w:beforeAutospacing="1" w:after="100" w:afterAutospacing="1"/>
              <w:rPr>
                <w:sz w:val="26"/>
                <w:szCs w:val="26"/>
              </w:rPr>
            </w:pPr>
            <w:r w:rsidRPr="00F50676">
              <w:rPr>
                <w:sz w:val="26"/>
                <w:szCs w:val="26"/>
              </w:rPr>
              <w:t> Nav attiecināms.</w:t>
            </w:r>
          </w:p>
          <w:p w:rsidR="00B62743" w:rsidRPr="00F50676" w:rsidRDefault="00B62743" w:rsidP="00434A4F">
            <w:pPr>
              <w:spacing w:before="100" w:beforeAutospacing="1" w:after="100" w:afterAutospacing="1"/>
              <w:rPr>
                <w:sz w:val="26"/>
                <w:szCs w:val="26"/>
              </w:rPr>
            </w:pPr>
          </w:p>
        </w:tc>
      </w:tr>
      <w:tr w:rsidR="00B62743" w:rsidRPr="00F50676" w:rsidTr="00434A4F">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6.</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Administratīvo izmaksu monetārs novērtējums</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Nav attiecināms.</w:t>
            </w:r>
          </w:p>
        </w:tc>
      </w:tr>
      <w:tr w:rsidR="00B62743" w:rsidRPr="00F50676" w:rsidTr="00434A4F">
        <w:trPr>
          <w:trHeight w:val="475"/>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b/>
                <w:sz w:val="26"/>
                <w:szCs w:val="26"/>
              </w:rPr>
            </w:pPr>
            <w:r w:rsidRPr="00F50676">
              <w:rPr>
                <w:b/>
                <w:sz w:val="26"/>
                <w:szCs w:val="26"/>
              </w:rPr>
              <w:lastRenderedPageBreak/>
              <w:t> 7.</w:t>
            </w:r>
          </w:p>
        </w:tc>
        <w:tc>
          <w:tcPr>
            <w:tcW w:w="4498"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rPr>
                <w:sz w:val="26"/>
                <w:szCs w:val="26"/>
              </w:rPr>
            </w:pPr>
            <w:r w:rsidRPr="00F50676">
              <w:rPr>
                <w:sz w:val="26"/>
                <w:szCs w:val="26"/>
              </w:rPr>
              <w:t> Cita informācija</w:t>
            </w:r>
          </w:p>
        </w:tc>
        <w:tc>
          <w:tcPr>
            <w:tcW w:w="4079" w:type="dxa"/>
            <w:tcBorders>
              <w:top w:val="outset" w:sz="6" w:space="0" w:color="auto"/>
              <w:left w:val="outset" w:sz="6" w:space="0" w:color="auto"/>
              <w:bottom w:val="outset" w:sz="6" w:space="0" w:color="auto"/>
              <w:right w:val="outset" w:sz="6" w:space="0" w:color="auto"/>
            </w:tcBorders>
            <w:hideMark/>
          </w:tcPr>
          <w:p w:rsidR="00B62743" w:rsidRPr="00F50676" w:rsidRDefault="00EA47CC" w:rsidP="00434A4F">
            <w:pPr>
              <w:spacing w:before="100" w:beforeAutospacing="1" w:after="100" w:afterAutospacing="1"/>
              <w:jc w:val="both"/>
              <w:rPr>
                <w:sz w:val="26"/>
                <w:szCs w:val="26"/>
              </w:rPr>
            </w:pPr>
            <w:r>
              <w:rPr>
                <w:sz w:val="26"/>
                <w:szCs w:val="26"/>
              </w:rPr>
              <w:t>Nav.</w:t>
            </w:r>
          </w:p>
        </w:tc>
      </w:tr>
    </w:tbl>
    <w:p w:rsidR="00B62743" w:rsidRPr="00F50676" w:rsidRDefault="00B62743" w:rsidP="00B62743"/>
    <w:p w:rsidR="00B62743" w:rsidRPr="00F50676" w:rsidRDefault="00B62743" w:rsidP="00B62743"/>
    <w:tbl>
      <w:tblPr>
        <w:tblW w:w="924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44"/>
      </w:tblGrid>
      <w:tr w:rsidR="00B62743" w:rsidRPr="00F50676" w:rsidTr="00434A4F">
        <w:tc>
          <w:tcPr>
            <w:tcW w:w="9244" w:type="dxa"/>
            <w:tcBorders>
              <w:top w:val="outset" w:sz="6" w:space="0" w:color="auto"/>
              <w:left w:val="outset" w:sz="6" w:space="0" w:color="auto"/>
              <w:bottom w:val="outset" w:sz="6" w:space="0" w:color="auto"/>
              <w:right w:val="outset" w:sz="6" w:space="0" w:color="auto"/>
            </w:tcBorders>
            <w:hideMark/>
          </w:tcPr>
          <w:p w:rsidR="00B62743" w:rsidRPr="00F50676" w:rsidRDefault="00B62743" w:rsidP="00434A4F">
            <w:pPr>
              <w:spacing w:before="100" w:beforeAutospacing="1" w:after="100" w:afterAutospacing="1"/>
              <w:jc w:val="center"/>
            </w:pPr>
            <w:r w:rsidRPr="00F50676">
              <w:rPr>
                <w:b/>
                <w:bCs/>
              </w:rPr>
              <w:t>III. Tiesību akta projekta ietekme uz valsts budžetu un pašvaldību budžetiem</w:t>
            </w:r>
          </w:p>
        </w:tc>
      </w:tr>
      <w:tr w:rsidR="002D0EBD" w:rsidRPr="00F50676" w:rsidTr="00C46432">
        <w:tc>
          <w:tcPr>
            <w:tcW w:w="9244" w:type="dxa"/>
            <w:tcBorders>
              <w:top w:val="outset" w:sz="6" w:space="0" w:color="auto"/>
              <w:left w:val="outset" w:sz="6" w:space="0" w:color="auto"/>
              <w:bottom w:val="outset" w:sz="6" w:space="0" w:color="auto"/>
              <w:right w:val="outset" w:sz="6" w:space="0" w:color="auto"/>
            </w:tcBorders>
            <w:vAlign w:val="center"/>
          </w:tcPr>
          <w:p w:rsidR="002D0EBD" w:rsidRPr="00F50676" w:rsidRDefault="002D0EBD" w:rsidP="00434A4F">
            <w:pPr>
              <w:spacing w:before="100" w:beforeAutospacing="1" w:after="100" w:afterAutospacing="1"/>
              <w:jc w:val="center"/>
            </w:pPr>
            <w:r>
              <w:t>Projekts šo jomu neskar.</w:t>
            </w:r>
          </w:p>
        </w:tc>
      </w:tr>
    </w:tbl>
    <w:p w:rsidR="00B62743" w:rsidRDefault="00B62743" w:rsidP="005C74DE">
      <w:pPr>
        <w:rPr>
          <w:sz w:val="26"/>
          <w:szCs w:val="26"/>
        </w:rPr>
      </w:pPr>
    </w:p>
    <w:p w:rsidR="005C74DE" w:rsidRDefault="005C74DE" w:rsidP="005C74DE">
      <w:pPr>
        <w:rPr>
          <w:sz w:val="26"/>
          <w:szCs w:val="26"/>
        </w:rPr>
      </w:pPr>
    </w:p>
    <w:tbl>
      <w:tblPr>
        <w:tblW w:w="924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4"/>
        <w:gridCol w:w="4002"/>
        <w:gridCol w:w="4168"/>
      </w:tblGrid>
      <w:tr w:rsidR="005C74DE" w:rsidRPr="005C74DE" w:rsidTr="005C74DE">
        <w:trPr>
          <w:tblCellSpacing w:w="0" w:type="dxa"/>
        </w:trPr>
        <w:tc>
          <w:tcPr>
            <w:tcW w:w="9087" w:type="dxa"/>
            <w:gridSpan w:val="3"/>
            <w:hideMark/>
          </w:tcPr>
          <w:p w:rsidR="005C74DE" w:rsidRPr="005C74DE" w:rsidRDefault="005C74DE" w:rsidP="005C74DE">
            <w:pPr>
              <w:spacing w:before="100" w:beforeAutospacing="1" w:after="100" w:afterAutospacing="1"/>
              <w:rPr>
                <w:b/>
                <w:sz w:val="26"/>
                <w:szCs w:val="26"/>
              </w:rPr>
            </w:pPr>
            <w:r w:rsidRPr="005C74DE">
              <w:rPr>
                <w:i/>
                <w:iCs/>
                <w:sz w:val="26"/>
                <w:szCs w:val="26"/>
              </w:rPr>
              <w:t> </w:t>
            </w:r>
            <w:r w:rsidRPr="005C74DE">
              <w:rPr>
                <w:b/>
                <w:sz w:val="26"/>
                <w:szCs w:val="26"/>
              </w:rPr>
              <w:t>IV. Tiesību akta projekta ietekme uz spēkā esošo tiesību normu sistēmu</w:t>
            </w:r>
          </w:p>
        </w:tc>
      </w:tr>
      <w:tr w:rsidR="005C74DE" w:rsidRPr="005C74DE" w:rsidTr="005C74DE">
        <w:trPr>
          <w:tblCellSpacing w:w="0" w:type="dxa"/>
        </w:trPr>
        <w:tc>
          <w:tcPr>
            <w:tcW w:w="1056" w:type="dxa"/>
            <w:tcBorders>
              <w:top w:val="single" w:sz="2" w:space="0" w:color="auto"/>
              <w:left w:val="nil"/>
              <w:bottom w:val="single" w:sz="2" w:space="0" w:color="auto"/>
              <w:right w:val="single" w:sz="2" w:space="0" w:color="auto"/>
            </w:tcBorders>
            <w:hideMark/>
          </w:tcPr>
          <w:p w:rsidR="005C74DE" w:rsidRPr="005C74DE" w:rsidRDefault="005C74DE" w:rsidP="005C74DE">
            <w:pPr>
              <w:spacing w:before="100" w:beforeAutospacing="1" w:after="100" w:afterAutospacing="1"/>
              <w:rPr>
                <w:sz w:val="26"/>
                <w:szCs w:val="26"/>
              </w:rPr>
            </w:pPr>
            <w:r w:rsidRPr="005C74DE">
              <w:rPr>
                <w:sz w:val="26"/>
                <w:szCs w:val="26"/>
              </w:rPr>
              <w:t> 1.</w:t>
            </w:r>
          </w:p>
        </w:tc>
        <w:tc>
          <w:tcPr>
            <w:tcW w:w="3934" w:type="dxa"/>
            <w:tcBorders>
              <w:top w:val="single" w:sz="2" w:space="0" w:color="auto"/>
              <w:left w:val="single" w:sz="2" w:space="0" w:color="auto"/>
              <w:bottom w:val="single" w:sz="2" w:space="0" w:color="auto"/>
              <w:right w:val="single" w:sz="2" w:space="0" w:color="auto"/>
            </w:tcBorders>
            <w:hideMark/>
          </w:tcPr>
          <w:p w:rsidR="005C74DE" w:rsidRPr="005C74DE" w:rsidRDefault="005C74DE" w:rsidP="005C74DE">
            <w:pPr>
              <w:spacing w:before="100" w:beforeAutospacing="1" w:after="100" w:afterAutospacing="1"/>
              <w:ind w:left="60" w:hanging="60"/>
              <w:rPr>
                <w:sz w:val="26"/>
                <w:szCs w:val="26"/>
              </w:rPr>
            </w:pPr>
            <w:r w:rsidRPr="005C74DE">
              <w:rPr>
                <w:sz w:val="26"/>
                <w:szCs w:val="26"/>
              </w:rPr>
              <w:t> Nepieciešamie saistītie tiesību aktu</w:t>
            </w:r>
            <w:proofErr w:type="gramStart"/>
            <w:r w:rsidRPr="005C74DE">
              <w:rPr>
                <w:sz w:val="26"/>
                <w:szCs w:val="26"/>
              </w:rPr>
              <w:t xml:space="preserve"> </w:t>
            </w:r>
            <w:r>
              <w:rPr>
                <w:sz w:val="26"/>
                <w:szCs w:val="26"/>
              </w:rPr>
              <w:t xml:space="preserve"> </w:t>
            </w:r>
            <w:proofErr w:type="gramEnd"/>
            <w:r w:rsidRPr="005C74DE">
              <w:rPr>
                <w:sz w:val="26"/>
                <w:szCs w:val="26"/>
              </w:rPr>
              <w:t>projekti</w:t>
            </w:r>
          </w:p>
        </w:tc>
        <w:tc>
          <w:tcPr>
            <w:tcW w:w="4097" w:type="dxa"/>
            <w:tcBorders>
              <w:top w:val="single" w:sz="2" w:space="0" w:color="auto"/>
              <w:left w:val="single" w:sz="2" w:space="0" w:color="auto"/>
              <w:bottom w:val="single" w:sz="2" w:space="0" w:color="auto"/>
              <w:right w:val="nil"/>
            </w:tcBorders>
            <w:hideMark/>
          </w:tcPr>
          <w:p w:rsidR="005C74DE" w:rsidRPr="005C74DE" w:rsidRDefault="005C74DE" w:rsidP="005C74DE">
            <w:pPr>
              <w:spacing w:before="100" w:beforeAutospacing="1" w:after="100" w:afterAutospacing="1"/>
              <w:rPr>
                <w:sz w:val="26"/>
                <w:szCs w:val="26"/>
              </w:rPr>
            </w:pPr>
            <w:r w:rsidRPr="005C74DE">
              <w:rPr>
                <w:sz w:val="26"/>
                <w:szCs w:val="26"/>
              </w:rPr>
              <w:t>Nav.</w:t>
            </w:r>
          </w:p>
        </w:tc>
      </w:tr>
      <w:tr w:rsidR="005C74DE" w:rsidRPr="005C74DE" w:rsidTr="005C74DE">
        <w:trPr>
          <w:tblCellSpacing w:w="0" w:type="dxa"/>
        </w:trPr>
        <w:tc>
          <w:tcPr>
            <w:tcW w:w="1056" w:type="dxa"/>
            <w:hideMark/>
          </w:tcPr>
          <w:p w:rsidR="005C74DE" w:rsidRPr="005C74DE" w:rsidRDefault="005C74DE" w:rsidP="005C74DE">
            <w:pPr>
              <w:spacing w:before="100" w:beforeAutospacing="1" w:after="100" w:afterAutospacing="1"/>
              <w:rPr>
                <w:sz w:val="26"/>
                <w:szCs w:val="26"/>
              </w:rPr>
            </w:pPr>
            <w:r w:rsidRPr="005C74DE">
              <w:rPr>
                <w:sz w:val="26"/>
                <w:szCs w:val="26"/>
              </w:rPr>
              <w:t> 2.</w:t>
            </w:r>
          </w:p>
        </w:tc>
        <w:tc>
          <w:tcPr>
            <w:tcW w:w="3934" w:type="dxa"/>
            <w:hideMark/>
          </w:tcPr>
          <w:p w:rsidR="005C74DE" w:rsidRPr="005C74DE" w:rsidRDefault="005C74DE" w:rsidP="005C74DE">
            <w:pPr>
              <w:spacing w:before="100" w:beforeAutospacing="1" w:after="100" w:afterAutospacing="1"/>
              <w:rPr>
                <w:sz w:val="26"/>
                <w:szCs w:val="26"/>
              </w:rPr>
            </w:pPr>
            <w:r w:rsidRPr="005C74DE">
              <w:rPr>
                <w:sz w:val="26"/>
                <w:szCs w:val="26"/>
              </w:rPr>
              <w:t> Cita informācija</w:t>
            </w:r>
          </w:p>
        </w:tc>
        <w:tc>
          <w:tcPr>
            <w:tcW w:w="4097" w:type="dxa"/>
            <w:hideMark/>
          </w:tcPr>
          <w:p w:rsidR="005C74DE" w:rsidRPr="005C74DE" w:rsidRDefault="005C74DE" w:rsidP="005C74DE">
            <w:pPr>
              <w:spacing w:before="100" w:beforeAutospacing="1" w:after="100" w:afterAutospacing="1"/>
              <w:rPr>
                <w:sz w:val="26"/>
                <w:szCs w:val="26"/>
              </w:rPr>
            </w:pPr>
            <w:r w:rsidRPr="005C74DE">
              <w:rPr>
                <w:sz w:val="26"/>
                <w:szCs w:val="26"/>
              </w:rPr>
              <w:t>Nav.</w:t>
            </w:r>
          </w:p>
        </w:tc>
      </w:tr>
    </w:tbl>
    <w:p w:rsidR="005C74DE" w:rsidRDefault="005C74DE" w:rsidP="005C74DE">
      <w:pPr>
        <w:rPr>
          <w:sz w:val="26"/>
          <w:szCs w:val="26"/>
        </w:rPr>
      </w:pPr>
    </w:p>
    <w:p w:rsidR="005C74DE" w:rsidRDefault="005C74DE" w:rsidP="005C74DE">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5"/>
        <w:gridCol w:w="1932"/>
        <w:gridCol w:w="6944"/>
      </w:tblGrid>
      <w:tr w:rsidR="00B62743" w:rsidRPr="00F50676" w:rsidTr="00434A4F">
        <w:tc>
          <w:tcPr>
            <w:tcW w:w="0" w:type="auto"/>
            <w:gridSpan w:val="3"/>
            <w:tcBorders>
              <w:top w:val="single" w:sz="6" w:space="0" w:color="auto"/>
              <w:left w:val="single" w:sz="6" w:space="0" w:color="auto"/>
              <w:bottom w:val="outset" w:sz="6" w:space="0" w:color="000000"/>
              <w:right w:val="single" w:sz="6" w:space="0" w:color="auto"/>
            </w:tcBorders>
          </w:tcPr>
          <w:p w:rsidR="00B62743" w:rsidRPr="00F50676" w:rsidRDefault="00B62743" w:rsidP="00434A4F">
            <w:pPr>
              <w:spacing w:before="100" w:beforeAutospacing="1" w:after="100" w:afterAutospacing="1"/>
              <w:jc w:val="center"/>
              <w:rPr>
                <w:b/>
                <w:bCs/>
                <w:sz w:val="26"/>
                <w:szCs w:val="26"/>
              </w:rPr>
            </w:pPr>
            <w:r w:rsidRPr="00F50676">
              <w:rPr>
                <w:b/>
                <w:bCs/>
                <w:sz w:val="26"/>
                <w:szCs w:val="26"/>
              </w:rPr>
              <w:t>V. Tiesību akta projekta atbilstība Latvijas Republikas starptautiskajām saistībām</w:t>
            </w:r>
          </w:p>
        </w:tc>
      </w:tr>
      <w:tr w:rsidR="00740019"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1.</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740019">
            <w:pPr>
              <w:spacing w:before="75" w:after="75"/>
              <w:ind w:left="85" w:right="74"/>
              <w:jc w:val="both"/>
              <w:rPr>
                <w:sz w:val="26"/>
                <w:szCs w:val="26"/>
              </w:rPr>
            </w:pPr>
            <w:r w:rsidRPr="00F50676">
              <w:rPr>
                <w:sz w:val="26"/>
                <w:szCs w:val="26"/>
              </w:rPr>
              <w:t xml:space="preserve">Ar </w:t>
            </w:r>
            <w:r w:rsidR="00DA0892" w:rsidRPr="00F50676">
              <w:rPr>
                <w:sz w:val="26"/>
                <w:szCs w:val="26"/>
              </w:rPr>
              <w:t>Protokolu</w:t>
            </w:r>
            <w:r w:rsidRPr="00F50676">
              <w:rPr>
                <w:sz w:val="26"/>
                <w:szCs w:val="26"/>
              </w:rPr>
              <w:t xml:space="preserve"> netiek pārņemtas vai ieviestas kāda ES tiesību akta prasības.</w:t>
            </w:r>
          </w:p>
        </w:tc>
      </w:tr>
      <w:tr w:rsidR="00740019"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2.</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DA0892">
            <w:pPr>
              <w:spacing w:before="75" w:after="75"/>
              <w:ind w:left="85" w:right="74"/>
              <w:rPr>
                <w:sz w:val="26"/>
                <w:szCs w:val="26"/>
              </w:rPr>
            </w:pPr>
            <w:r w:rsidRPr="00F50676">
              <w:rPr>
                <w:sz w:val="26"/>
                <w:szCs w:val="26"/>
              </w:rPr>
              <w:t xml:space="preserve">No </w:t>
            </w:r>
            <w:r w:rsidR="00DA0892" w:rsidRPr="00F50676">
              <w:rPr>
                <w:sz w:val="26"/>
                <w:szCs w:val="26"/>
              </w:rPr>
              <w:t>Protokola</w:t>
            </w:r>
            <w:r w:rsidRPr="00F50676">
              <w:rPr>
                <w:sz w:val="26"/>
                <w:szCs w:val="26"/>
              </w:rPr>
              <w:t xml:space="preserve"> izrietošās saistības nenonāk pretrunā ar citos Latvijai saistošos starptautisko tiesību aktos vai starptautisku organizāciju dokumentos noteiktajām saistībām.</w:t>
            </w:r>
          </w:p>
        </w:tc>
      </w:tr>
      <w:tr w:rsidR="00740019"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3.</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920A83" w:rsidP="00920A83">
            <w:pPr>
              <w:spacing w:before="75" w:after="75"/>
              <w:ind w:left="85" w:right="74"/>
              <w:rPr>
                <w:sz w:val="26"/>
                <w:szCs w:val="26"/>
              </w:rPr>
            </w:pPr>
            <w:r w:rsidRPr="00F50676">
              <w:rPr>
                <w:sz w:val="26"/>
                <w:szCs w:val="26"/>
              </w:rPr>
              <w:t>Ar Protokolu tiek īstenota 2</w:t>
            </w:r>
            <w:r w:rsidRPr="00F50676">
              <w:rPr>
                <w:rFonts w:ascii="inherit" w:hAnsi="inherit" w:cs="Arial"/>
                <w:sz w:val="26"/>
                <w:szCs w:val="26"/>
              </w:rPr>
              <w:t xml:space="preserve">009. gada 18.-19. jūnija Eiropadomē </w:t>
            </w:r>
            <w:r w:rsidR="00454DA9">
              <w:rPr>
                <w:rFonts w:ascii="inherit" w:hAnsi="inherit" w:cs="Arial"/>
                <w:sz w:val="26"/>
                <w:szCs w:val="26"/>
              </w:rPr>
              <w:t xml:space="preserve">ES </w:t>
            </w:r>
            <w:r w:rsidR="005B610F">
              <w:rPr>
                <w:rFonts w:ascii="inherit" w:hAnsi="inherit" w:cs="Arial"/>
                <w:sz w:val="26"/>
                <w:szCs w:val="26"/>
              </w:rPr>
              <w:t>valstu vai</w:t>
            </w:r>
            <w:r w:rsidRPr="00F50676">
              <w:rPr>
                <w:rFonts w:ascii="inherit" w:hAnsi="inherit" w:cs="Arial"/>
                <w:sz w:val="26"/>
                <w:szCs w:val="26"/>
              </w:rPr>
              <w:t xml:space="preserve"> valdību vadītāju panāktā vienošanās par pasākumiem, </w:t>
            </w:r>
            <w:r w:rsidRPr="00F50676">
              <w:rPr>
                <w:rFonts w:ascii="TTA20D33A8t00" w:eastAsiaTheme="minorHAnsi" w:hAnsi="TTA20D33A8t00" w:cs="TTA20D33A8t00"/>
                <w:sz w:val="26"/>
                <w:szCs w:val="26"/>
                <w:lang w:eastAsia="en-US"/>
              </w:rPr>
              <w:t>kuru mērķis ir stiprināt Īrijas tautas pārliecību un reaģēt uz tās bažām saistībā ar Lisabonas līgumu.</w:t>
            </w:r>
          </w:p>
        </w:tc>
      </w:tr>
    </w:tbl>
    <w:p w:rsidR="00B62743" w:rsidRDefault="00B62743" w:rsidP="005C74DE">
      <w:pPr>
        <w:rPr>
          <w:sz w:val="26"/>
          <w:szCs w:val="26"/>
        </w:rPr>
      </w:pPr>
    </w:p>
    <w:p w:rsidR="005C74DE" w:rsidRPr="00F50676" w:rsidRDefault="005C74DE" w:rsidP="005C74DE">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97"/>
        <w:gridCol w:w="1384"/>
        <w:gridCol w:w="1167"/>
        <w:gridCol w:w="2692"/>
        <w:gridCol w:w="1591"/>
      </w:tblGrid>
      <w:tr w:rsidR="00B62743" w:rsidRPr="00F50676" w:rsidTr="00434A4F">
        <w:tc>
          <w:tcPr>
            <w:tcW w:w="5000" w:type="pct"/>
            <w:gridSpan w:val="5"/>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b/>
                <w:bCs/>
                <w:sz w:val="26"/>
                <w:szCs w:val="26"/>
              </w:rPr>
            </w:pPr>
            <w:r w:rsidRPr="00F50676">
              <w:rPr>
                <w:b/>
                <w:bCs/>
                <w:sz w:val="26"/>
                <w:szCs w:val="26"/>
              </w:rPr>
              <w:t>1.tabula</w:t>
            </w:r>
            <w:r w:rsidRPr="00F50676">
              <w:rPr>
                <w:b/>
                <w:bCs/>
                <w:sz w:val="26"/>
                <w:szCs w:val="26"/>
              </w:rPr>
              <w:br/>
              <w:t>Tiesību akta projekta atbilstība ES tiesību aktiem</w:t>
            </w:r>
          </w:p>
        </w:tc>
      </w:tr>
      <w:tr w:rsidR="00B62743" w:rsidRPr="00F50676" w:rsidTr="00434A4F">
        <w:tc>
          <w:tcPr>
            <w:tcW w:w="2016" w:type="pct"/>
            <w:gridSpan w:val="2"/>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sz w:val="26"/>
                <w:szCs w:val="26"/>
              </w:rPr>
            </w:pPr>
            <w:r w:rsidRPr="00F50676">
              <w:rPr>
                <w:sz w:val="26"/>
                <w:szCs w:val="26"/>
              </w:rPr>
              <w:t>Attiecīgā ES tiesību akta datums, numurs un nosaukums</w:t>
            </w:r>
          </w:p>
        </w:tc>
        <w:tc>
          <w:tcPr>
            <w:tcW w:w="2984" w:type="pct"/>
            <w:gridSpan w:val="3"/>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75" w:after="75"/>
              <w:ind w:left="125" w:right="74"/>
              <w:jc w:val="both"/>
              <w:rPr>
                <w:sz w:val="26"/>
                <w:szCs w:val="26"/>
              </w:rPr>
            </w:pPr>
          </w:p>
        </w:tc>
      </w:tr>
      <w:tr w:rsidR="00B62743" w:rsidRPr="00F50676" w:rsidTr="00434A4F">
        <w:tc>
          <w:tcPr>
            <w:tcW w:w="1258" w:type="pct"/>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sz w:val="26"/>
                <w:szCs w:val="26"/>
              </w:rPr>
            </w:pPr>
            <w:r w:rsidRPr="00F50676">
              <w:rPr>
                <w:sz w:val="26"/>
                <w:szCs w:val="26"/>
              </w:rPr>
              <w:t>A</w:t>
            </w:r>
          </w:p>
        </w:tc>
        <w:tc>
          <w:tcPr>
            <w:tcW w:w="1397" w:type="pct"/>
            <w:gridSpan w:val="2"/>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sz w:val="26"/>
                <w:szCs w:val="26"/>
              </w:rPr>
            </w:pPr>
            <w:r w:rsidRPr="00F50676">
              <w:rPr>
                <w:sz w:val="26"/>
                <w:szCs w:val="26"/>
              </w:rPr>
              <w:t>B</w:t>
            </w:r>
          </w:p>
        </w:tc>
        <w:tc>
          <w:tcPr>
            <w:tcW w:w="1474" w:type="pct"/>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sz w:val="26"/>
                <w:szCs w:val="26"/>
              </w:rPr>
            </w:pPr>
            <w:r w:rsidRPr="00F50676">
              <w:rPr>
                <w:sz w:val="26"/>
                <w:szCs w:val="26"/>
              </w:rPr>
              <w:t>C</w:t>
            </w:r>
          </w:p>
        </w:tc>
        <w:tc>
          <w:tcPr>
            <w:tcW w:w="871" w:type="pct"/>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jc w:val="center"/>
              <w:rPr>
                <w:sz w:val="26"/>
                <w:szCs w:val="26"/>
              </w:rPr>
            </w:pPr>
            <w:r w:rsidRPr="00F50676">
              <w:rPr>
                <w:sz w:val="26"/>
                <w:szCs w:val="26"/>
              </w:rPr>
              <w:t>D</w:t>
            </w:r>
          </w:p>
        </w:tc>
      </w:tr>
      <w:tr w:rsidR="00B62743" w:rsidRPr="00F50676" w:rsidTr="00434A4F">
        <w:tc>
          <w:tcPr>
            <w:tcW w:w="1258"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20" w:right="145"/>
              <w:rPr>
                <w:sz w:val="26"/>
                <w:szCs w:val="26"/>
              </w:rPr>
            </w:pPr>
          </w:p>
        </w:tc>
        <w:tc>
          <w:tcPr>
            <w:tcW w:w="1397" w:type="pct"/>
            <w:gridSpan w:val="2"/>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35" w:right="90"/>
              <w:jc w:val="both"/>
              <w:rPr>
                <w:sz w:val="26"/>
                <w:szCs w:val="26"/>
              </w:rPr>
            </w:pPr>
          </w:p>
        </w:tc>
        <w:tc>
          <w:tcPr>
            <w:tcW w:w="1474"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91" w:right="134"/>
              <w:rPr>
                <w:sz w:val="26"/>
                <w:szCs w:val="26"/>
              </w:rPr>
            </w:pPr>
          </w:p>
        </w:tc>
        <w:tc>
          <w:tcPr>
            <w:tcW w:w="871"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p>
        </w:tc>
      </w:tr>
      <w:tr w:rsidR="00B62743" w:rsidRPr="00F50676" w:rsidTr="00434A4F">
        <w:tc>
          <w:tcPr>
            <w:tcW w:w="1258" w:type="pct"/>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rPr>
                <w:sz w:val="26"/>
                <w:szCs w:val="26"/>
              </w:rPr>
            </w:pPr>
            <w:r w:rsidRPr="00F50676">
              <w:rPr>
                <w:sz w:val="26"/>
                <w:szCs w:val="26"/>
              </w:rPr>
              <w:t>Kā ir izmantota ES tiesību aktā paredzētā rīcības brīvība dalībvalstij pārņemt vai ieviest noteiktas ES tiesību akta normas. Kādēļ?</w:t>
            </w:r>
          </w:p>
        </w:tc>
        <w:tc>
          <w:tcPr>
            <w:tcW w:w="3742" w:type="pct"/>
            <w:gridSpan w:val="4"/>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25" w:right="74"/>
              <w:jc w:val="both"/>
              <w:rPr>
                <w:sz w:val="26"/>
                <w:szCs w:val="26"/>
              </w:rPr>
            </w:pPr>
            <w:r w:rsidRPr="00F50676">
              <w:rPr>
                <w:sz w:val="26"/>
                <w:szCs w:val="26"/>
              </w:rPr>
              <w:t xml:space="preserve"> </w:t>
            </w:r>
          </w:p>
        </w:tc>
      </w:tr>
      <w:tr w:rsidR="00B62743" w:rsidRPr="00F50676" w:rsidTr="00434A4F">
        <w:tc>
          <w:tcPr>
            <w:tcW w:w="1258" w:type="pct"/>
            <w:tcBorders>
              <w:top w:val="outset" w:sz="6" w:space="0" w:color="000000"/>
              <w:left w:val="outset" w:sz="6" w:space="0" w:color="000000"/>
              <w:bottom w:val="outset" w:sz="6" w:space="0" w:color="000000"/>
              <w:right w:val="outset" w:sz="6" w:space="0" w:color="000000"/>
            </w:tcBorders>
            <w:vAlign w:val="center"/>
          </w:tcPr>
          <w:p w:rsidR="00B62743" w:rsidRPr="00F50676" w:rsidRDefault="00B62743" w:rsidP="00434A4F">
            <w:pPr>
              <w:spacing w:before="100" w:beforeAutospacing="1" w:after="100" w:afterAutospacing="1"/>
              <w:rPr>
                <w:sz w:val="26"/>
                <w:szCs w:val="26"/>
              </w:rPr>
            </w:pPr>
            <w:r w:rsidRPr="00F50676">
              <w:rPr>
                <w:sz w:val="26"/>
                <w:szCs w:val="26"/>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2" w:type="pct"/>
            <w:gridSpan w:val="4"/>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12" w:right="74"/>
              <w:jc w:val="both"/>
              <w:rPr>
                <w:sz w:val="26"/>
                <w:szCs w:val="26"/>
              </w:rPr>
            </w:pPr>
          </w:p>
        </w:tc>
      </w:tr>
      <w:tr w:rsidR="00B62743" w:rsidRPr="00F50676" w:rsidTr="00434A4F">
        <w:tc>
          <w:tcPr>
            <w:tcW w:w="1258"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 informācija</w:t>
            </w:r>
          </w:p>
        </w:tc>
        <w:tc>
          <w:tcPr>
            <w:tcW w:w="3742" w:type="pct"/>
            <w:gridSpan w:val="4"/>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25" w:right="74"/>
              <w:rPr>
                <w:sz w:val="26"/>
                <w:szCs w:val="26"/>
              </w:rPr>
            </w:pPr>
            <w:r w:rsidRPr="00F50676">
              <w:rPr>
                <w:sz w:val="26"/>
                <w:szCs w:val="26"/>
              </w:rPr>
              <w:t>Nav.</w:t>
            </w:r>
          </w:p>
        </w:tc>
      </w:tr>
    </w:tbl>
    <w:p w:rsidR="00B62743" w:rsidRDefault="00B62743" w:rsidP="005C74DE">
      <w:pPr>
        <w:rPr>
          <w:sz w:val="26"/>
          <w:szCs w:val="26"/>
        </w:rPr>
      </w:pPr>
      <w:r w:rsidRPr="00F50676">
        <w:rPr>
          <w:sz w:val="26"/>
          <w:szCs w:val="26"/>
        </w:rPr>
        <w:t> </w:t>
      </w:r>
    </w:p>
    <w:p w:rsidR="005C74DE" w:rsidRPr="00F50676" w:rsidRDefault="005C74DE" w:rsidP="005C74DE">
      <w:pPr>
        <w:rPr>
          <w:sz w:val="26"/>
          <w:szCs w:val="26"/>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45"/>
        <w:gridCol w:w="3102"/>
        <w:gridCol w:w="3925"/>
      </w:tblGrid>
      <w:tr w:rsidR="00B62743" w:rsidRPr="00F50676" w:rsidTr="00434A4F">
        <w:trPr>
          <w:trHeight w:val="20"/>
        </w:trPr>
        <w:tc>
          <w:tcPr>
            <w:tcW w:w="9072" w:type="dxa"/>
            <w:gridSpan w:val="3"/>
            <w:tcBorders>
              <w:top w:val="outset" w:sz="6" w:space="0" w:color="auto"/>
              <w:left w:val="outset" w:sz="6" w:space="0" w:color="auto"/>
              <w:bottom w:val="outset" w:sz="6" w:space="0" w:color="auto"/>
              <w:right w:val="outset" w:sz="6" w:space="0" w:color="auto"/>
            </w:tcBorders>
            <w:vAlign w:val="center"/>
          </w:tcPr>
          <w:p w:rsidR="00B62743" w:rsidRPr="00F50676" w:rsidRDefault="00B62743" w:rsidP="00434A4F">
            <w:pPr>
              <w:ind w:left="57"/>
              <w:jc w:val="center"/>
              <w:rPr>
                <w:b/>
              </w:rPr>
            </w:pPr>
            <w:r w:rsidRPr="00F50676">
              <w:rPr>
                <w:b/>
              </w:rPr>
              <w:t>2.tabula</w:t>
            </w:r>
          </w:p>
          <w:p w:rsidR="00B62743" w:rsidRPr="00F50676" w:rsidRDefault="00B62743" w:rsidP="00434A4F">
            <w:pPr>
              <w:ind w:left="57"/>
              <w:jc w:val="center"/>
              <w:rPr>
                <w:b/>
              </w:rPr>
            </w:pPr>
            <w:r w:rsidRPr="00F50676">
              <w:rPr>
                <w:b/>
              </w:rPr>
              <w:t>Ar tiesību akta projektu izpildītās vai uzņemtās saistības, kas izriet no starptautiskajiem tiesību aktiem vai starptautiskas institūcijas vai organizācijas dokumentiem.</w:t>
            </w:r>
          </w:p>
          <w:p w:rsidR="00B62743" w:rsidRPr="00F50676" w:rsidRDefault="00B62743" w:rsidP="00434A4F">
            <w:pPr>
              <w:ind w:left="57"/>
              <w:jc w:val="center"/>
              <w:rPr>
                <w:b/>
              </w:rPr>
            </w:pPr>
            <w:r w:rsidRPr="00F50676">
              <w:rPr>
                <w:b/>
              </w:rPr>
              <w:t>Pasākumi šo saistību izpildei</w:t>
            </w:r>
          </w:p>
        </w:tc>
      </w:tr>
      <w:tr w:rsidR="00B62743" w:rsidRPr="00F50676" w:rsidTr="00434A4F">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B62743" w:rsidRPr="00F50676" w:rsidRDefault="00B62743" w:rsidP="00434A4F">
            <w:pPr>
              <w:ind w:left="57"/>
            </w:pPr>
            <w:r w:rsidRPr="00F50676">
              <w:t>Attiecīgā starptautiskā tiesību akta vai starptautiskas institūcijas vai organizācijas dokumenta (turpmāk – starptautiskais dokuments) datums, numurs un nosaukums</w:t>
            </w:r>
          </w:p>
        </w:tc>
        <w:tc>
          <w:tcPr>
            <w:tcW w:w="7027" w:type="dxa"/>
            <w:gridSpan w:val="2"/>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p>
        </w:tc>
      </w:tr>
      <w:tr w:rsidR="00B62743" w:rsidRPr="00F50676" w:rsidTr="00434A4F">
        <w:trPr>
          <w:trHeight w:val="20"/>
        </w:trPr>
        <w:tc>
          <w:tcPr>
            <w:tcW w:w="2045" w:type="dxa"/>
            <w:tcBorders>
              <w:top w:val="outset" w:sz="6" w:space="0" w:color="auto"/>
              <w:left w:val="outset" w:sz="6" w:space="0" w:color="auto"/>
              <w:bottom w:val="outset" w:sz="6" w:space="0" w:color="auto"/>
              <w:right w:val="outset" w:sz="6" w:space="0" w:color="auto"/>
            </w:tcBorders>
            <w:vAlign w:val="center"/>
          </w:tcPr>
          <w:p w:rsidR="00B62743" w:rsidRPr="00F50676" w:rsidRDefault="00B62743" w:rsidP="00434A4F">
            <w:pPr>
              <w:ind w:left="57"/>
              <w:jc w:val="center"/>
            </w:pPr>
            <w:r w:rsidRPr="00F50676">
              <w:t>A</w:t>
            </w:r>
          </w:p>
        </w:tc>
        <w:tc>
          <w:tcPr>
            <w:tcW w:w="3102" w:type="dxa"/>
            <w:tcBorders>
              <w:top w:val="outset" w:sz="6" w:space="0" w:color="auto"/>
              <w:left w:val="outset" w:sz="6" w:space="0" w:color="auto"/>
              <w:bottom w:val="outset" w:sz="6" w:space="0" w:color="auto"/>
              <w:right w:val="outset" w:sz="6" w:space="0" w:color="auto"/>
            </w:tcBorders>
            <w:vAlign w:val="center"/>
          </w:tcPr>
          <w:p w:rsidR="00B62743" w:rsidRPr="00F50676" w:rsidRDefault="00B62743" w:rsidP="00434A4F">
            <w:pPr>
              <w:ind w:left="57"/>
              <w:jc w:val="center"/>
            </w:pPr>
            <w:r w:rsidRPr="00F50676">
              <w:t>B</w:t>
            </w:r>
          </w:p>
        </w:tc>
        <w:tc>
          <w:tcPr>
            <w:tcW w:w="3925" w:type="dxa"/>
            <w:tcBorders>
              <w:top w:val="outset" w:sz="6" w:space="0" w:color="auto"/>
              <w:left w:val="outset" w:sz="6" w:space="0" w:color="auto"/>
              <w:bottom w:val="outset" w:sz="6" w:space="0" w:color="auto"/>
              <w:right w:val="outset" w:sz="6" w:space="0" w:color="auto"/>
            </w:tcBorders>
            <w:vAlign w:val="center"/>
          </w:tcPr>
          <w:p w:rsidR="00B62743" w:rsidRPr="00F50676" w:rsidRDefault="00B62743" w:rsidP="00434A4F">
            <w:pPr>
              <w:ind w:left="57"/>
              <w:jc w:val="center"/>
            </w:pPr>
            <w:r w:rsidRPr="00F50676">
              <w:t>C</w:t>
            </w:r>
          </w:p>
        </w:tc>
      </w:tr>
      <w:tr w:rsidR="00B62743" w:rsidRPr="00F50676" w:rsidTr="00434A4F">
        <w:trPr>
          <w:trHeight w:val="20"/>
        </w:trPr>
        <w:tc>
          <w:tcPr>
            <w:tcW w:w="2045"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p>
        </w:tc>
        <w:tc>
          <w:tcPr>
            <w:tcW w:w="3102"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p>
        </w:tc>
        <w:tc>
          <w:tcPr>
            <w:tcW w:w="3925"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p>
        </w:tc>
      </w:tr>
      <w:tr w:rsidR="00B62743" w:rsidRPr="00F50676" w:rsidTr="00434A4F">
        <w:trPr>
          <w:trHeight w:val="20"/>
        </w:trPr>
        <w:tc>
          <w:tcPr>
            <w:tcW w:w="2045"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r w:rsidRPr="00F50676">
              <w:t>Vai starptautiskajā dokumentā paredzētās saistības nav pretrunā ar jau esošajām Latvijas Republikas starptautiskajām saistībām</w:t>
            </w:r>
          </w:p>
        </w:tc>
        <w:tc>
          <w:tcPr>
            <w:tcW w:w="7027" w:type="dxa"/>
            <w:gridSpan w:val="2"/>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p>
        </w:tc>
      </w:tr>
      <w:tr w:rsidR="00B62743" w:rsidRPr="00F50676" w:rsidTr="00434A4F">
        <w:trPr>
          <w:trHeight w:val="20"/>
        </w:trPr>
        <w:tc>
          <w:tcPr>
            <w:tcW w:w="2045" w:type="dxa"/>
            <w:tcBorders>
              <w:top w:val="outset" w:sz="6" w:space="0" w:color="auto"/>
              <w:left w:val="outset" w:sz="6" w:space="0" w:color="auto"/>
              <w:bottom w:val="outset" w:sz="6" w:space="0" w:color="auto"/>
              <w:right w:val="outset" w:sz="6" w:space="0" w:color="auto"/>
            </w:tcBorders>
          </w:tcPr>
          <w:p w:rsidR="00B62743" w:rsidRPr="00F50676" w:rsidRDefault="00B62743" w:rsidP="00434A4F">
            <w:pPr>
              <w:ind w:left="57"/>
            </w:pPr>
            <w:r w:rsidRPr="00F50676">
              <w:lastRenderedPageBreak/>
              <w:t>Cita informācija</w:t>
            </w:r>
          </w:p>
        </w:tc>
        <w:tc>
          <w:tcPr>
            <w:tcW w:w="7027" w:type="dxa"/>
            <w:gridSpan w:val="2"/>
            <w:tcBorders>
              <w:top w:val="outset" w:sz="6" w:space="0" w:color="auto"/>
              <w:left w:val="outset" w:sz="6" w:space="0" w:color="auto"/>
              <w:bottom w:val="outset" w:sz="6" w:space="0" w:color="auto"/>
              <w:right w:val="outset" w:sz="6" w:space="0" w:color="auto"/>
            </w:tcBorders>
          </w:tcPr>
          <w:p w:rsidR="00B62743" w:rsidRPr="00F50676" w:rsidRDefault="00EA47CC" w:rsidP="00434A4F">
            <w:pPr>
              <w:ind w:left="57"/>
            </w:pPr>
            <w:r>
              <w:t>Nav.</w:t>
            </w:r>
          </w:p>
        </w:tc>
      </w:tr>
    </w:tbl>
    <w:p w:rsidR="00B62743" w:rsidRPr="00F50676" w:rsidRDefault="00B62743" w:rsidP="00B62743">
      <w:pPr>
        <w:spacing w:before="100" w:beforeAutospacing="1" w:after="100" w:afterAutospacing="1"/>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4"/>
        <w:gridCol w:w="4629"/>
        <w:gridCol w:w="4138"/>
      </w:tblGrid>
      <w:tr w:rsidR="00B62743" w:rsidRPr="00F50676" w:rsidTr="00434A4F">
        <w:tc>
          <w:tcPr>
            <w:tcW w:w="0" w:type="auto"/>
            <w:gridSpan w:val="3"/>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jc w:val="center"/>
              <w:rPr>
                <w:b/>
                <w:bCs/>
                <w:sz w:val="26"/>
                <w:szCs w:val="26"/>
              </w:rPr>
            </w:pPr>
            <w:r w:rsidRPr="00F50676">
              <w:rPr>
                <w:b/>
                <w:bCs/>
                <w:sz w:val="26"/>
                <w:szCs w:val="26"/>
              </w:rPr>
              <w:t>VI. Sabiedrības līdzdalība un šīs līdzdalības rezultāti</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1.</w:t>
            </w:r>
          </w:p>
        </w:tc>
        <w:tc>
          <w:tcPr>
            <w:tcW w:w="2535"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Sabiedrības informēšana par projekta izstrādes uzsākšanu</w:t>
            </w:r>
          </w:p>
        </w:tc>
        <w:tc>
          <w:tcPr>
            <w:tcW w:w="2266"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07" w:right="71"/>
              <w:jc w:val="both"/>
              <w:rPr>
                <w:sz w:val="26"/>
                <w:szCs w:val="26"/>
              </w:rPr>
            </w:pPr>
            <w:r w:rsidRPr="00F50676">
              <w:rPr>
                <w:sz w:val="26"/>
                <w:szCs w:val="26"/>
              </w:rPr>
              <w:t>Nav attiecināms</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2.</w:t>
            </w:r>
          </w:p>
        </w:tc>
        <w:tc>
          <w:tcPr>
            <w:tcW w:w="2535"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Sabiedrības līdzdalība projekta izstrādē</w:t>
            </w:r>
          </w:p>
        </w:tc>
        <w:tc>
          <w:tcPr>
            <w:tcW w:w="2266" w:type="pct"/>
            <w:tcBorders>
              <w:top w:val="outset" w:sz="6" w:space="0" w:color="000000"/>
              <w:left w:val="outset" w:sz="6" w:space="0" w:color="000000"/>
              <w:bottom w:val="outset" w:sz="6" w:space="0" w:color="000000"/>
              <w:right w:val="outset" w:sz="6" w:space="0" w:color="000000"/>
            </w:tcBorders>
          </w:tcPr>
          <w:p w:rsidR="00126431" w:rsidRPr="00F50676" w:rsidRDefault="00126431" w:rsidP="00126431">
            <w:pPr>
              <w:spacing w:before="75" w:after="75"/>
              <w:ind w:left="107" w:right="71"/>
              <w:rPr>
                <w:sz w:val="26"/>
                <w:szCs w:val="26"/>
              </w:rPr>
            </w:pPr>
            <w:r w:rsidRPr="00F50676">
              <w:rPr>
                <w:sz w:val="26"/>
                <w:szCs w:val="26"/>
              </w:rPr>
              <w:t xml:space="preserve">2009.gada 11.jūnijā notika konsultācijas ar NVO par Latvijas nacionālo pozīciju uz </w:t>
            </w:r>
            <w:r w:rsidRPr="00F50676">
              <w:rPr>
                <w:sz w:val="26"/>
                <w:szCs w:val="26"/>
                <w:lang w:val="pt-PT"/>
              </w:rPr>
              <w:t xml:space="preserve">2009. gada 18.-19. jūnija </w:t>
            </w:r>
            <w:r w:rsidRPr="00F50676">
              <w:rPr>
                <w:sz w:val="26"/>
                <w:szCs w:val="26"/>
              </w:rPr>
              <w:t xml:space="preserve">Eiropadomi. Konsultācijas notika ar Latvijas Darba devēju konfederāciju, Eiropas kustību Latvijā, </w:t>
            </w:r>
            <w:proofErr w:type="spellStart"/>
            <w:r w:rsidRPr="00F50676">
              <w:rPr>
                <w:i/>
                <w:sz w:val="26"/>
                <w:szCs w:val="26"/>
              </w:rPr>
              <w:t>Providus</w:t>
            </w:r>
            <w:proofErr w:type="spellEnd"/>
            <w:r w:rsidRPr="00F50676">
              <w:rPr>
                <w:sz w:val="26"/>
                <w:szCs w:val="26"/>
              </w:rPr>
              <w:t xml:space="preserve">, Latvijas Bērnu forumu, Latvijas Dzimumu līdztiesības apvienību, Klubu </w:t>
            </w:r>
            <w:r w:rsidRPr="00F50676">
              <w:rPr>
                <w:i/>
                <w:sz w:val="26"/>
                <w:szCs w:val="26"/>
              </w:rPr>
              <w:t>Māja – jaunatne</w:t>
            </w:r>
            <w:r w:rsidRPr="00F50676">
              <w:rPr>
                <w:sz w:val="26"/>
                <w:szCs w:val="26"/>
              </w:rPr>
              <w:t xml:space="preserve"> </w:t>
            </w:r>
            <w:r w:rsidRPr="00F50676">
              <w:rPr>
                <w:i/>
                <w:sz w:val="26"/>
                <w:szCs w:val="26"/>
              </w:rPr>
              <w:t>vienotai Eiropai.</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3.</w:t>
            </w:r>
          </w:p>
        </w:tc>
        <w:tc>
          <w:tcPr>
            <w:tcW w:w="2535"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Sabiedrības līdzdalības rezultāti</w:t>
            </w:r>
          </w:p>
        </w:tc>
        <w:tc>
          <w:tcPr>
            <w:tcW w:w="2266" w:type="pct"/>
            <w:tcBorders>
              <w:top w:val="outset" w:sz="6" w:space="0" w:color="000000"/>
              <w:left w:val="outset" w:sz="6" w:space="0" w:color="000000"/>
              <w:bottom w:val="outset" w:sz="6" w:space="0" w:color="000000"/>
              <w:right w:val="outset" w:sz="6" w:space="0" w:color="000000"/>
            </w:tcBorders>
          </w:tcPr>
          <w:p w:rsidR="00F77CFA" w:rsidRPr="00F50676" w:rsidRDefault="00F77CFA" w:rsidP="00F77CFA">
            <w:pPr>
              <w:spacing w:before="75" w:after="75"/>
              <w:ind w:left="107" w:right="71"/>
              <w:rPr>
                <w:sz w:val="26"/>
                <w:szCs w:val="26"/>
              </w:rPr>
            </w:pPr>
            <w:r w:rsidRPr="00F50676">
              <w:rPr>
                <w:sz w:val="26"/>
                <w:szCs w:val="26"/>
              </w:rPr>
              <w:t>Minētie sabiedrības pārstāvji kopumā neiebilda pret pozīciju.</w:t>
            </w:r>
          </w:p>
          <w:p w:rsidR="00B62743" w:rsidRPr="00F50676" w:rsidRDefault="00B62743" w:rsidP="00434A4F">
            <w:pPr>
              <w:spacing w:before="75" w:after="75"/>
              <w:ind w:left="107" w:right="71"/>
              <w:rPr>
                <w:sz w:val="26"/>
                <w:szCs w:val="26"/>
              </w:rPr>
            </w:pP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4.</w:t>
            </w:r>
          </w:p>
        </w:tc>
        <w:tc>
          <w:tcPr>
            <w:tcW w:w="2535"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Saeimas un ekspertu līdzdalība</w:t>
            </w:r>
          </w:p>
        </w:tc>
        <w:tc>
          <w:tcPr>
            <w:tcW w:w="2266" w:type="pct"/>
            <w:tcBorders>
              <w:top w:val="outset" w:sz="6" w:space="0" w:color="000000"/>
              <w:left w:val="outset" w:sz="6" w:space="0" w:color="000000"/>
              <w:bottom w:val="outset" w:sz="6" w:space="0" w:color="000000"/>
              <w:right w:val="outset" w:sz="6" w:space="0" w:color="000000"/>
            </w:tcBorders>
          </w:tcPr>
          <w:p w:rsidR="00B62743" w:rsidRPr="00F50676" w:rsidRDefault="00126431" w:rsidP="00F77CFA">
            <w:pPr>
              <w:spacing w:before="75" w:after="75"/>
              <w:ind w:left="107" w:right="71"/>
              <w:rPr>
                <w:sz w:val="26"/>
                <w:szCs w:val="26"/>
              </w:rPr>
            </w:pPr>
            <w:r w:rsidRPr="00F50676">
              <w:rPr>
                <w:sz w:val="26"/>
                <w:szCs w:val="26"/>
              </w:rPr>
              <w:t>2009.gada 12.jūnijā</w:t>
            </w:r>
            <w:r w:rsidR="00F77CFA" w:rsidRPr="00F50676">
              <w:rPr>
                <w:sz w:val="26"/>
                <w:szCs w:val="26"/>
              </w:rPr>
              <w:t xml:space="preserve"> - </w:t>
            </w:r>
            <w:r w:rsidRPr="00F50676">
              <w:rPr>
                <w:sz w:val="26"/>
                <w:szCs w:val="26"/>
              </w:rPr>
              <w:t xml:space="preserve">Saeimas Eiropas lietu komisijas informēšana par Latvijas nacionālo pozīciju uz </w:t>
            </w:r>
            <w:r w:rsidRPr="00F50676">
              <w:rPr>
                <w:sz w:val="26"/>
                <w:szCs w:val="26"/>
                <w:lang w:val="pt-PT"/>
              </w:rPr>
              <w:t xml:space="preserve">2009. gada 18.-19. jūnija Eiropadomes </w:t>
            </w:r>
            <w:r w:rsidRPr="00F50676">
              <w:rPr>
                <w:sz w:val="26"/>
                <w:szCs w:val="26"/>
              </w:rPr>
              <w:t>sanāksmi.</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5.</w:t>
            </w:r>
          </w:p>
        </w:tc>
        <w:tc>
          <w:tcPr>
            <w:tcW w:w="2535"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 informācija</w:t>
            </w:r>
          </w:p>
        </w:tc>
        <w:tc>
          <w:tcPr>
            <w:tcW w:w="2266"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75" w:after="75"/>
              <w:ind w:left="107" w:right="71"/>
              <w:rPr>
                <w:sz w:val="26"/>
                <w:szCs w:val="26"/>
                <w:highlight w:val="yellow"/>
              </w:rPr>
            </w:pPr>
            <w:r w:rsidRPr="00F50676">
              <w:rPr>
                <w:sz w:val="26"/>
                <w:szCs w:val="26"/>
              </w:rPr>
              <w:t>Nav.</w:t>
            </w:r>
          </w:p>
        </w:tc>
      </w:tr>
    </w:tbl>
    <w:p w:rsidR="00B62743" w:rsidRDefault="00B62743" w:rsidP="005C74DE">
      <w:pPr>
        <w:rPr>
          <w:sz w:val="26"/>
          <w:szCs w:val="26"/>
        </w:rPr>
      </w:pPr>
      <w:r w:rsidRPr="00F50676">
        <w:rPr>
          <w:sz w:val="26"/>
          <w:szCs w:val="26"/>
        </w:rPr>
        <w:t> </w:t>
      </w:r>
    </w:p>
    <w:p w:rsidR="005C74DE" w:rsidRPr="00F50676" w:rsidRDefault="005C74DE" w:rsidP="005C74DE">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6"/>
        <w:gridCol w:w="5364"/>
        <w:gridCol w:w="3431"/>
      </w:tblGrid>
      <w:tr w:rsidR="00B62743" w:rsidRPr="00F50676" w:rsidTr="00434A4F">
        <w:tc>
          <w:tcPr>
            <w:tcW w:w="0" w:type="auto"/>
            <w:gridSpan w:val="3"/>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jc w:val="center"/>
              <w:rPr>
                <w:b/>
                <w:bCs/>
                <w:sz w:val="26"/>
                <w:szCs w:val="26"/>
              </w:rPr>
            </w:pPr>
            <w:r w:rsidRPr="00F50676">
              <w:rPr>
                <w:b/>
                <w:bCs/>
                <w:sz w:val="26"/>
                <w:szCs w:val="26"/>
              </w:rPr>
              <w:t>VII. Tiesību akta projekta izpildes nodrošināšana un tās ietekme uz institūcijām</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1.</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izpildē iesaistītās institūcijas</w:t>
            </w:r>
          </w:p>
        </w:tc>
        <w:tc>
          <w:tcPr>
            <w:tcW w:w="1879" w:type="pct"/>
            <w:tcBorders>
              <w:top w:val="outset" w:sz="6" w:space="0" w:color="000000"/>
              <w:left w:val="outset" w:sz="6" w:space="0" w:color="000000"/>
              <w:bottom w:val="outset" w:sz="6" w:space="0" w:color="000000"/>
              <w:right w:val="outset" w:sz="6" w:space="0" w:color="000000"/>
            </w:tcBorders>
          </w:tcPr>
          <w:p w:rsidR="00B62743" w:rsidRPr="00F50676" w:rsidRDefault="006201EF" w:rsidP="00434A4F">
            <w:pPr>
              <w:spacing w:before="75" w:after="75"/>
              <w:ind w:left="102" w:right="71"/>
              <w:rPr>
                <w:sz w:val="26"/>
                <w:szCs w:val="26"/>
              </w:rPr>
            </w:pPr>
            <w:r w:rsidRPr="00F50676">
              <w:rPr>
                <w:sz w:val="26"/>
                <w:szCs w:val="26"/>
              </w:rPr>
              <w:t>Par likumprojekta tālāko virzību atbildīga Ārlietu ministrija.</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2.</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izpildes ietekme uz pārvaldes funkcijām</w:t>
            </w:r>
          </w:p>
        </w:tc>
        <w:tc>
          <w:tcPr>
            <w:tcW w:w="1879" w:type="pct"/>
            <w:tcBorders>
              <w:top w:val="outset" w:sz="6" w:space="0" w:color="000000"/>
              <w:left w:val="outset" w:sz="6" w:space="0" w:color="000000"/>
              <w:bottom w:val="outset" w:sz="6" w:space="0" w:color="000000"/>
              <w:right w:val="outset" w:sz="6" w:space="0" w:color="000000"/>
            </w:tcBorders>
          </w:tcPr>
          <w:p w:rsidR="00B62743" w:rsidRPr="00F50676" w:rsidRDefault="006201EF" w:rsidP="006E6CBB">
            <w:pPr>
              <w:spacing w:before="100" w:after="100"/>
              <w:ind w:left="102" w:right="71"/>
              <w:rPr>
                <w:sz w:val="26"/>
                <w:szCs w:val="26"/>
              </w:rPr>
            </w:pPr>
            <w:r w:rsidRPr="00F50676">
              <w:rPr>
                <w:sz w:val="26"/>
                <w:szCs w:val="26"/>
              </w:rPr>
              <w:t>Iesaistīto institūciju funkcijas un uzdevumi netiek paplašināti vai sašaurināti.</w:t>
            </w: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3.</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izpildes ietekme uz pārvaldes institucionālo struktūru.</w:t>
            </w:r>
          </w:p>
          <w:p w:rsidR="00B62743" w:rsidRPr="00F50676" w:rsidRDefault="00B62743" w:rsidP="00434A4F">
            <w:pPr>
              <w:spacing w:before="100" w:beforeAutospacing="1" w:after="100" w:afterAutospacing="1"/>
              <w:rPr>
                <w:sz w:val="26"/>
                <w:szCs w:val="26"/>
              </w:rPr>
            </w:pPr>
            <w:r w:rsidRPr="00F50676">
              <w:rPr>
                <w:sz w:val="26"/>
                <w:szCs w:val="26"/>
              </w:rPr>
              <w:t>Jaunu institūciju izveide</w:t>
            </w:r>
          </w:p>
        </w:tc>
        <w:tc>
          <w:tcPr>
            <w:tcW w:w="1879" w:type="pct"/>
            <w:tcBorders>
              <w:top w:val="outset" w:sz="6" w:space="0" w:color="000000"/>
              <w:left w:val="outset" w:sz="6" w:space="0" w:color="000000"/>
              <w:bottom w:val="outset" w:sz="6" w:space="0" w:color="000000"/>
              <w:right w:val="outset" w:sz="6" w:space="0" w:color="000000"/>
            </w:tcBorders>
          </w:tcPr>
          <w:p w:rsidR="006201EF" w:rsidRPr="00F50676" w:rsidRDefault="006201EF" w:rsidP="006201EF">
            <w:pPr>
              <w:spacing w:before="100" w:after="100"/>
              <w:ind w:left="102" w:right="71"/>
              <w:rPr>
                <w:sz w:val="26"/>
                <w:szCs w:val="26"/>
              </w:rPr>
            </w:pPr>
            <w:r w:rsidRPr="00F50676">
              <w:rPr>
                <w:sz w:val="26"/>
                <w:szCs w:val="26"/>
              </w:rPr>
              <w:t>Jaunas institūcijas netiek izveidotas.</w:t>
            </w:r>
          </w:p>
          <w:p w:rsidR="00B62743" w:rsidRPr="00F50676" w:rsidRDefault="00B62743" w:rsidP="00434A4F">
            <w:pPr>
              <w:pStyle w:val="naiskr"/>
              <w:ind w:left="102" w:right="71"/>
              <w:rPr>
                <w:sz w:val="26"/>
                <w:szCs w:val="26"/>
              </w:rPr>
            </w:pP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lastRenderedPageBreak/>
              <w:t>4.</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izpildes ietekme uz pārvaldes institucionālo struktūru.</w:t>
            </w:r>
          </w:p>
          <w:p w:rsidR="00B62743" w:rsidRPr="00F50676" w:rsidRDefault="00B62743" w:rsidP="00434A4F">
            <w:pPr>
              <w:spacing w:before="100" w:beforeAutospacing="1" w:after="100" w:afterAutospacing="1"/>
              <w:rPr>
                <w:sz w:val="26"/>
                <w:szCs w:val="26"/>
              </w:rPr>
            </w:pPr>
            <w:r w:rsidRPr="00F50676">
              <w:rPr>
                <w:sz w:val="26"/>
                <w:szCs w:val="26"/>
              </w:rPr>
              <w:t>Esošu institūciju likvidācija</w:t>
            </w:r>
          </w:p>
        </w:tc>
        <w:tc>
          <w:tcPr>
            <w:tcW w:w="1879" w:type="pct"/>
            <w:tcBorders>
              <w:top w:val="outset" w:sz="6" w:space="0" w:color="000000"/>
              <w:left w:val="outset" w:sz="6" w:space="0" w:color="000000"/>
              <w:bottom w:val="outset" w:sz="6" w:space="0" w:color="000000"/>
              <w:right w:val="outset" w:sz="6" w:space="0" w:color="000000"/>
            </w:tcBorders>
          </w:tcPr>
          <w:p w:rsidR="006201EF" w:rsidRPr="00F50676" w:rsidRDefault="006201EF" w:rsidP="006201EF">
            <w:pPr>
              <w:spacing w:before="100" w:after="100"/>
              <w:ind w:left="102" w:right="71"/>
              <w:rPr>
                <w:sz w:val="26"/>
                <w:szCs w:val="26"/>
              </w:rPr>
            </w:pPr>
            <w:r w:rsidRPr="00F50676">
              <w:rPr>
                <w:sz w:val="26"/>
                <w:szCs w:val="26"/>
              </w:rPr>
              <w:t>Esošās institūcijas netiek likvidētas</w:t>
            </w:r>
          </w:p>
          <w:p w:rsidR="00B62743" w:rsidRPr="00F50676" w:rsidRDefault="00B62743" w:rsidP="00434A4F">
            <w:pPr>
              <w:pStyle w:val="naiskr"/>
              <w:ind w:left="102" w:right="71"/>
              <w:rPr>
                <w:sz w:val="26"/>
                <w:szCs w:val="26"/>
              </w:rPr>
            </w:pP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5.</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Projekta izpildes ietekme uz pārvaldes institucionālo struktūru.</w:t>
            </w:r>
          </w:p>
          <w:p w:rsidR="00B62743" w:rsidRPr="00F50676" w:rsidRDefault="00B62743" w:rsidP="00434A4F">
            <w:pPr>
              <w:spacing w:before="100" w:beforeAutospacing="1" w:after="100" w:afterAutospacing="1"/>
              <w:rPr>
                <w:sz w:val="26"/>
                <w:szCs w:val="26"/>
              </w:rPr>
            </w:pPr>
            <w:r w:rsidRPr="00F50676">
              <w:rPr>
                <w:sz w:val="26"/>
                <w:szCs w:val="26"/>
              </w:rPr>
              <w:t>Esošu institūciju reorganizācija</w:t>
            </w:r>
          </w:p>
        </w:tc>
        <w:tc>
          <w:tcPr>
            <w:tcW w:w="1879" w:type="pct"/>
            <w:tcBorders>
              <w:top w:val="outset" w:sz="6" w:space="0" w:color="000000"/>
              <w:left w:val="outset" w:sz="6" w:space="0" w:color="000000"/>
              <w:bottom w:val="outset" w:sz="6" w:space="0" w:color="000000"/>
              <w:right w:val="outset" w:sz="6" w:space="0" w:color="000000"/>
            </w:tcBorders>
          </w:tcPr>
          <w:p w:rsidR="006201EF" w:rsidRPr="00F50676" w:rsidRDefault="006201EF" w:rsidP="006201EF">
            <w:pPr>
              <w:spacing w:before="100" w:after="100"/>
              <w:ind w:left="91" w:right="71"/>
              <w:rPr>
                <w:sz w:val="26"/>
                <w:szCs w:val="26"/>
              </w:rPr>
            </w:pPr>
            <w:r w:rsidRPr="00F50676">
              <w:rPr>
                <w:sz w:val="26"/>
                <w:szCs w:val="26"/>
              </w:rPr>
              <w:t>Esošās institūcijas netiek reorganizētas.</w:t>
            </w:r>
          </w:p>
          <w:p w:rsidR="00B62743" w:rsidRPr="00F50676" w:rsidRDefault="00B62743" w:rsidP="00434A4F">
            <w:pPr>
              <w:pStyle w:val="naiskr"/>
              <w:ind w:left="91" w:right="71"/>
              <w:rPr>
                <w:sz w:val="26"/>
                <w:szCs w:val="26"/>
              </w:rPr>
            </w:pPr>
          </w:p>
        </w:tc>
      </w:tr>
      <w:tr w:rsidR="00B62743" w:rsidRPr="00F50676" w:rsidTr="00434A4F">
        <w:tc>
          <w:tcPr>
            <w:tcW w:w="0" w:type="auto"/>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6.</w:t>
            </w:r>
          </w:p>
        </w:tc>
        <w:tc>
          <w:tcPr>
            <w:tcW w:w="2937"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spacing w:before="100" w:beforeAutospacing="1" w:after="100" w:afterAutospacing="1"/>
              <w:rPr>
                <w:sz w:val="26"/>
                <w:szCs w:val="26"/>
              </w:rPr>
            </w:pPr>
            <w:r w:rsidRPr="00F50676">
              <w:rPr>
                <w:sz w:val="26"/>
                <w:szCs w:val="26"/>
              </w:rPr>
              <w:t>Cita informācija</w:t>
            </w:r>
          </w:p>
        </w:tc>
        <w:tc>
          <w:tcPr>
            <w:tcW w:w="1879" w:type="pct"/>
            <w:tcBorders>
              <w:top w:val="outset" w:sz="6" w:space="0" w:color="000000"/>
              <w:left w:val="outset" w:sz="6" w:space="0" w:color="000000"/>
              <w:bottom w:val="outset" w:sz="6" w:space="0" w:color="000000"/>
              <w:right w:val="outset" w:sz="6" w:space="0" w:color="000000"/>
            </w:tcBorders>
          </w:tcPr>
          <w:p w:rsidR="00B62743" w:rsidRPr="00F50676" w:rsidRDefault="00B62743" w:rsidP="00434A4F">
            <w:pPr>
              <w:pStyle w:val="naiskr"/>
              <w:ind w:left="102" w:right="71"/>
              <w:rPr>
                <w:sz w:val="26"/>
                <w:szCs w:val="26"/>
              </w:rPr>
            </w:pPr>
            <w:r w:rsidRPr="00F50676">
              <w:rPr>
                <w:sz w:val="26"/>
                <w:szCs w:val="26"/>
              </w:rPr>
              <w:t>Nav.</w:t>
            </w:r>
          </w:p>
        </w:tc>
      </w:tr>
    </w:tbl>
    <w:p w:rsidR="00B62743" w:rsidRPr="00F50676" w:rsidRDefault="00B62743" w:rsidP="00B62743">
      <w:pPr>
        <w:rPr>
          <w:sz w:val="26"/>
          <w:szCs w:val="26"/>
        </w:rPr>
      </w:pPr>
    </w:p>
    <w:p w:rsidR="00B62743" w:rsidRPr="00F50676" w:rsidRDefault="00B62743" w:rsidP="00B62743">
      <w:pPr>
        <w:jc w:val="both"/>
        <w:rPr>
          <w:sz w:val="26"/>
          <w:szCs w:val="26"/>
        </w:rPr>
      </w:pPr>
    </w:p>
    <w:tbl>
      <w:tblPr>
        <w:tblW w:w="0" w:type="auto"/>
        <w:tblLook w:val="04A0" w:firstRow="1" w:lastRow="0" w:firstColumn="1" w:lastColumn="0" w:noHBand="0" w:noVBand="1"/>
      </w:tblPr>
      <w:tblGrid>
        <w:gridCol w:w="4268"/>
        <w:gridCol w:w="4912"/>
      </w:tblGrid>
      <w:tr w:rsidR="00B62743" w:rsidRPr="00F50676" w:rsidTr="00434A4F">
        <w:tc>
          <w:tcPr>
            <w:tcW w:w="4268" w:type="dxa"/>
          </w:tcPr>
          <w:p w:rsidR="00B62743" w:rsidRPr="00F50676" w:rsidRDefault="00B62743" w:rsidP="00434A4F">
            <w:pPr>
              <w:jc w:val="both"/>
              <w:rPr>
                <w:sz w:val="26"/>
                <w:szCs w:val="26"/>
              </w:rPr>
            </w:pPr>
            <w:r w:rsidRPr="00F50676">
              <w:rPr>
                <w:sz w:val="26"/>
                <w:szCs w:val="26"/>
              </w:rPr>
              <w:t>Ārlietu ministrs</w:t>
            </w:r>
          </w:p>
        </w:tc>
        <w:tc>
          <w:tcPr>
            <w:tcW w:w="4912" w:type="dxa"/>
          </w:tcPr>
          <w:p w:rsidR="00B62743" w:rsidRPr="00F50676" w:rsidRDefault="00B62743" w:rsidP="00434A4F">
            <w:pPr>
              <w:jc w:val="right"/>
              <w:rPr>
                <w:sz w:val="26"/>
                <w:szCs w:val="26"/>
              </w:rPr>
            </w:pPr>
            <w:r w:rsidRPr="00F50676">
              <w:rPr>
                <w:sz w:val="26"/>
                <w:szCs w:val="26"/>
              </w:rPr>
              <w:t xml:space="preserve">E. </w:t>
            </w:r>
            <w:proofErr w:type="spellStart"/>
            <w:r w:rsidRPr="00F50676">
              <w:rPr>
                <w:sz w:val="26"/>
                <w:szCs w:val="26"/>
              </w:rPr>
              <w:t>Rinkēvičs</w:t>
            </w:r>
            <w:proofErr w:type="spellEnd"/>
          </w:p>
        </w:tc>
      </w:tr>
      <w:tr w:rsidR="00B62743" w:rsidRPr="00F50676" w:rsidTr="00434A4F">
        <w:tc>
          <w:tcPr>
            <w:tcW w:w="4268" w:type="dxa"/>
          </w:tcPr>
          <w:p w:rsidR="00B62743" w:rsidRPr="00F50676" w:rsidRDefault="00B62743" w:rsidP="00434A4F">
            <w:pPr>
              <w:jc w:val="both"/>
              <w:rPr>
                <w:sz w:val="26"/>
                <w:szCs w:val="26"/>
              </w:rPr>
            </w:pPr>
          </w:p>
          <w:p w:rsidR="00B62743" w:rsidRPr="00F50676" w:rsidRDefault="00B62743" w:rsidP="00434A4F">
            <w:pPr>
              <w:jc w:val="both"/>
              <w:rPr>
                <w:sz w:val="26"/>
                <w:szCs w:val="26"/>
              </w:rPr>
            </w:pPr>
          </w:p>
          <w:p w:rsidR="00B62743" w:rsidRPr="00F50676" w:rsidRDefault="00B62743" w:rsidP="00434A4F">
            <w:pPr>
              <w:jc w:val="both"/>
              <w:rPr>
                <w:sz w:val="26"/>
                <w:szCs w:val="26"/>
              </w:rPr>
            </w:pPr>
            <w:r w:rsidRPr="00F50676">
              <w:rPr>
                <w:sz w:val="26"/>
                <w:szCs w:val="26"/>
              </w:rPr>
              <w:t>Vīza: valsts sekretārs</w:t>
            </w:r>
          </w:p>
        </w:tc>
        <w:tc>
          <w:tcPr>
            <w:tcW w:w="4912" w:type="dxa"/>
          </w:tcPr>
          <w:p w:rsidR="00B62743" w:rsidRPr="00F50676" w:rsidRDefault="00B62743" w:rsidP="00434A4F">
            <w:pPr>
              <w:jc w:val="both"/>
              <w:rPr>
                <w:sz w:val="26"/>
                <w:szCs w:val="26"/>
              </w:rPr>
            </w:pPr>
          </w:p>
          <w:p w:rsidR="00B62743" w:rsidRPr="00F50676" w:rsidRDefault="00B62743" w:rsidP="00434A4F">
            <w:pPr>
              <w:jc w:val="right"/>
              <w:rPr>
                <w:sz w:val="26"/>
                <w:szCs w:val="26"/>
              </w:rPr>
            </w:pPr>
          </w:p>
          <w:p w:rsidR="00B62743" w:rsidRPr="00F50676" w:rsidRDefault="00B62743" w:rsidP="00B62743">
            <w:pPr>
              <w:numPr>
                <w:ilvl w:val="0"/>
                <w:numId w:val="1"/>
              </w:numPr>
              <w:jc w:val="right"/>
              <w:rPr>
                <w:sz w:val="26"/>
                <w:szCs w:val="26"/>
              </w:rPr>
            </w:pPr>
            <w:proofErr w:type="spellStart"/>
            <w:r w:rsidRPr="00F50676">
              <w:rPr>
                <w:sz w:val="26"/>
                <w:szCs w:val="26"/>
              </w:rPr>
              <w:t>Teikmanis</w:t>
            </w:r>
            <w:proofErr w:type="spellEnd"/>
          </w:p>
        </w:tc>
      </w:tr>
    </w:tbl>
    <w:p w:rsidR="00B62743" w:rsidRPr="00F50676" w:rsidRDefault="00B62743" w:rsidP="00B62743"/>
    <w:p w:rsidR="00B62743" w:rsidRDefault="00B62743"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EA47CC" w:rsidP="00B62743"/>
    <w:p w:rsidR="00EA47CC" w:rsidRDefault="008E640A" w:rsidP="008E640A">
      <w:pPr>
        <w:tabs>
          <w:tab w:val="left" w:pos="1455"/>
        </w:tabs>
      </w:pPr>
      <w:r>
        <w:tab/>
      </w:r>
      <w:bookmarkStart w:id="2" w:name="_GoBack"/>
      <w:bookmarkEnd w:id="2"/>
    </w:p>
    <w:p w:rsidR="00EA47CC" w:rsidRPr="00F50676" w:rsidRDefault="00EA47CC" w:rsidP="00B62743"/>
    <w:p w:rsidR="00B62743" w:rsidRPr="00F50676" w:rsidRDefault="00B62743" w:rsidP="00B62743"/>
    <w:p w:rsidR="00B62743" w:rsidRPr="00736371" w:rsidRDefault="008E640A" w:rsidP="00B62743">
      <w:pPr>
        <w:rPr>
          <w:sz w:val="20"/>
          <w:szCs w:val="20"/>
        </w:rPr>
      </w:pPr>
      <w:r>
        <w:rPr>
          <w:sz w:val="20"/>
          <w:szCs w:val="20"/>
        </w:rPr>
        <w:t>20.11</w:t>
      </w:r>
      <w:r w:rsidR="00B62743" w:rsidRPr="00736371">
        <w:rPr>
          <w:sz w:val="20"/>
          <w:szCs w:val="20"/>
        </w:rPr>
        <w:t xml:space="preserve">.2012. </w:t>
      </w:r>
      <w:r>
        <w:rPr>
          <w:sz w:val="20"/>
          <w:szCs w:val="20"/>
        </w:rPr>
        <w:t>10:44</w:t>
      </w:r>
    </w:p>
    <w:p w:rsidR="00B62743" w:rsidRPr="00736371" w:rsidRDefault="008E640A" w:rsidP="00B62743">
      <w:pPr>
        <w:rPr>
          <w:sz w:val="20"/>
          <w:szCs w:val="20"/>
        </w:rPr>
      </w:pPr>
      <w:r>
        <w:rPr>
          <w:sz w:val="20"/>
          <w:szCs w:val="20"/>
        </w:rPr>
        <w:t>934</w:t>
      </w:r>
    </w:p>
    <w:p w:rsidR="00B62743" w:rsidRPr="00736371" w:rsidRDefault="004C695A" w:rsidP="00B62743">
      <w:pPr>
        <w:rPr>
          <w:sz w:val="20"/>
          <w:szCs w:val="20"/>
        </w:rPr>
      </w:pPr>
      <w:r w:rsidRPr="00736371">
        <w:rPr>
          <w:sz w:val="20"/>
          <w:szCs w:val="20"/>
        </w:rPr>
        <w:t>Katrīna Līdaka</w:t>
      </w:r>
    </w:p>
    <w:p w:rsidR="00B62743" w:rsidRPr="00736371" w:rsidRDefault="00B62743" w:rsidP="00B62743">
      <w:pPr>
        <w:rPr>
          <w:sz w:val="20"/>
          <w:szCs w:val="20"/>
        </w:rPr>
      </w:pPr>
      <w:r w:rsidRPr="00736371">
        <w:rPr>
          <w:sz w:val="20"/>
          <w:szCs w:val="20"/>
        </w:rPr>
        <w:t xml:space="preserve">Vispārējo lietu nodaļas </w:t>
      </w:r>
      <w:r w:rsidR="004C695A" w:rsidRPr="00736371">
        <w:rPr>
          <w:sz w:val="20"/>
          <w:szCs w:val="20"/>
        </w:rPr>
        <w:t>vecākā referente</w:t>
      </w:r>
    </w:p>
    <w:p w:rsidR="00B62743" w:rsidRPr="00736371" w:rsidRDefault="004C695A" w:rsidP="00B62743">
      <w:pPr>
        <w:rPr>
          <w:sz w:val="20"/>
          <w:szCs w:val="20"/>
        </w:rPr>
      </w:pPr>
      <w:r w:rsidRPr="00736371">
        <w:rPr>
          <w:sz w:val="20"/>
          <w:szCs w:val="20"/>
        </w:rPr>
        <w:t>Tālr.: 67016236</w:t>
      </w:r>
      <w:r w:rsidR="00B62743" w:rsidRPr="00736371">
        <w:rPr>
          <w:sz w:val="20"/>
          <w:szCs w:val="20"/>
        </w:rPr>
        <w:t>, fakss: 67828122</w:t>
      </w:r>
    </w:p>
    <w:p w:rsidR="00B62743" w:rsidRPr="00736371" w:rsidRDefault="0084675E" w:rsidP="00B62743">
      <w:pPr>
        <w:rPr>
          <w:sz w:val="20"/>
          <w:szCs w:val="20"/>
        </w:rPr>
      </w:pPr>
      <w:hyperlink r:id="rId9" w:history="1">
        <w:r w:rsidR="004C695A" w:rsidRPr="00736371">
          <w:rPr>
            <w:rStyle w:val="Hyperlink"/>
            <w:color w:val="auto"/>
            <w:sz w:val="20"/>
            <w:szCs w:val="20"/>
          </w:rPr>
          <w:t>katrina.lidaka@mfa.gov.lv</w:t>
        </w:r>
      </w:hyperlink>
    </w:p>
    <w:p w:rsidR="00B62743" w:rsidRPr="00736371" w:rsidRDefault="00B62743" w:rsidP="00B62743">
      <w:pPr>
        <w:rPr>
          <w:sz w:val="20"/>
          <w:szCs w:val="20"/>
        </w:rPr>
      </w:pPr>
    </w:p>
    <w:p w:rsidR="00B62743" w:rsidRPr="00736371" w:rsidRDefault="004C695A" w:rsidP="00B62743">
      <w:pPr>
        <w:rPr>
          <w:sz w:val="20"/>
          <w:szCs w:val="20"/>
        </w:rPr>
      </w:pPr>
      <w:r w:rsidRPr="00736371">
        <w:rPr>
          <w:sz w:val="20"/>
          <w:szCs w:val="20"/>
        </w:rPr>
        <w:lastRenderedPageBreak/>
        <w:t xml:space="preserve">Viktorija </w:t>
      </w:r>
      <w:proofErr w:type="spellStart"/>
      <w:r w:rsidRPr="00736371">
        <w:rPr>
          <w:sz w:val="20"/>
          <w:szCs w:val="20"/>
        </w:rPr>
        <w:t>Borodiņeca</w:t>
      </w:r>
      <w:proofErr w:type="spellEnd"/>
    </w:p>
    <w:p w:rsidR="00B62743" w:rsidRPr="00736371" w:rsidRDefault="004C695A" w:rsidP="00B62743">
      <w:pPr>
        <w:rPr>
          <w:sz w:val="20"/>
          <w:szCs w:val="20"/>
        </w:rPr>
      </w:pPr>
      <w:r w:rsidRPr="00736371">
        <w:rPr>
          <w:sz w:val="20"/>
          <w:szCs w:val="20"/>
        </w:rPr>
        <w:t>Starptautisko tiesību nodaļas trešā sekretāre</w:t>
      </w:r>
    </w:p>
    <w:p w:rsidR="00B62743" w:rsidRPr="00736371" w:rsidRDefault="004C695A" w:rsidP="00B62743">
      <w:pPr>
        <w:rPr>
          <w:sz w:val="20"/>
          <w:szCs w:val="20"/>
        </w:rPr>
      </w:pPr>
      <w:r w:rsidRPr="00736371">
        <w:rPr>
          <w:sz w:val="20"/>
          <w:szCs w:val="20"/>
        </w:rPr>
        <w:t>Tālr.:67016388</w:t>
      </w:r>
      <w:r w:rsidR="00B62743" w:rsidRPr="00736371">
        <w:rPr>
          <w:sz w:val="20"/>
          <w:szCs w:val="20"/>
        </w:rPr>
        <w:t>, fakss: 67828122</w:t>
      </w:r>
    </w:p>
    <w:p w:rsidR="00B62743" w:rsidRPr="00736371" w:rsidRDefault="0084675E" w:rsidP="00B62743">
      <w:pPr>
        <w:rPr>
          <w:sz w:val="20"/>
          <w:szCs w:val="20"/>
        </w:rPr>
      </w:pPr>
      <w:hyperlink r:id="rId10" w:history="1">
        <w:r w:rsidR="004C695A" w:rsidRPr="00736371">
          <w:rPr>
            <w:rStyle w:val="Hyperlink"/>
            <w:color w:val="auto"/>
            <w:sz w:val="20"/>
            <w:szCs w:val="20"/>
          </w:rPr>
          <w:t>viktorija.borodineca@mfa.gov.lv</w:t>
        </w:r>
      </w:hyperlink>
    </w:p>
    <w:p w:rsidR="003C7779" w:rsidRPr="00F50676" w:rsidRDefault="003C7779"/>
    <w:sectPr w:rsidR="003C7779" w:rsidRPr="00F50676" w:rsidSect="00434A4F">
      <w:footerReference w:type="even" r:id="rId11"/>
      <w:footerReference w:type="default" r:id="rId12"/>
      <w:footerReference w:type="first" r:id="rId13"/>
      <w:pgSz w:w="11906" w:h="16838"/>
      <w:pgMar w:top="89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5E" w:rsidRDefault="0084675E" w:rsidP="00AC56F2">
      <w:r>
        <w:separator/>
      </w:r>
    </w:p>
  </w:endnote>
  <w:endnote w:type="continuationSeparator" w:id="0">
    <w:p w:rsidR="0084675E" w:rsidRDefault="0084675E" w:rsidP="00AC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TA20D33A8t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5E" w:rsidRDefault="0084675E" w:rsidP="0043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675E" w:rsidRDefault="0084675E" w:rsidP="00434A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5E" w:rsidRPr="00DE08AB" w:rsidRDefault="005C74DE" w:rsidP="00434A4F">
    <w:pPr>
      <w:pStyle w:val="naisc"/>
      <w:jc w:val="both"/>
      <w:rPr>
        <w:sz w:val="20"/>
        <w:szCs w:val="20"/>
      </w:rPr>
    </w:pPr>
    <w:r>
      <w:rPr>
        <w:sz w:val="20"/>
        <w:szCs w:val="20"/>
      </w:rPr>
      <w:t>AManot_2011</w:t>
    </w:r>
    <w:r w:rsidR="0084675E">
      <w:rPr>
        <w:sz w:val="20"/>
        <w:szCs w:val="20"/>
      </w:rPr>
      <w:t>12</w:t>
    </w:r>
    <w:r w:rsidR="0084675E" w:rsidRPr="00DE08AB">
      <w:rPr>
        <w:sz w:val="20"/>
        <w:szCs w:val="20"/>
      </w:rPr>
      <w:t>; Likumprojekts „</w:t>
    </w:r>
    <w:r w:rsidR="0084675E" w:rsidRPr="006E6CBB">
      <w:rPr>
        <w:sz w:val="20"/>
        <w:szCs w:val="20"/>
      </w:rPr>
      <w:t>Par Protokolu par Īrijas tautas bažām saistībā ar Lisabonas līgumu</w:t>
    </w:r>
    <w:r w:rsidR="0084675E" w:rsidRPr="00DE08AB">
      <w:rPr>
        <w:sz w:val="20"/>
        <w:szCs w:val="20"/>
      </w:rPr>
      <w:t>”</w:t>
    </w:r>
  </w:p>
  <w:p w:rsidR="0084675E" w:rsidRPr="0058408F" w:rsidRDefault="0084675E" w:rsidP="00434A4F">
    <w:pPr>
      <w:jc w:val="both"/>
      <w:rPr>
        <w:sz w:val="20"/>
        <w:szCs w:val="20"/>
      </w:rPr>
    </w:pPr>
  </w:p>
  <w:p w:rsidR="0084675E" w:rsidRDefault="0084675E" w:rsidP="00434A4F">
    <w:pPr>
      <w:pStyle w:val="Footer"/>
      <w:jc w:val="right"/>
    </w:pPr>
    <w:r>
      <w:fldChar w:fldCharType="begin"/>
    </w:r>
    <w:r>
      <w:instrText xml:space="preserve"> PAGE   \* MERGEFORMAT </w:instrText>
    </w:r>
    <w:r>
      <w:fldChar w:fldCharType="separate"/>
    </w:r>
    <w:r w:rsidR="008E640A">
      <w:rPr>
        <w:noProof/>
      </w:rPr>
      <w:t>6</w:t>
    </w:r>
    <w:r>
      <w:fldChar w:fldCharType="end"/>
    </w:r>
  </w:p>
  <w:p w:rsidR="0084675E" w:rsidRPr="0058408F" w:rsidRDefault="0084675E" w:rsidP="00434A4F">
    <w:pP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5E" w:rsidRPr="0058408F" w:rsidRDefault="0084675E" w:rsidP="00434A4F">
    <w:pPr>
      <w:jc w:val="both"/>
      <w:rPr>
        <w:sz w:val="20"/>
        <w:szCs w:val="20"/>
      </w:rPr>
    </w:pPr>
    <w:r>
      <w:rPr>
        <w:sz w:val="20"/>
        <w:szCs w:val="20"/>
      </w:rPr>
      <w:t xml:space="preserve">EMAnot_170610_grozCPL; </w:t>
    </w:r>
    <w:r w:rsidRPr="0058408F">
      <w:rPr>
        <w:sz w:val="20"/>
        <w:szCs w:val="20"/>
      </w:rPr>
      <w:t xml:space="preserve">Likumprojekta „Grozījumi </w:t>
    </w:r>
    <w:r>
      <w:rPr>
        <w:sz w:val="20"/>
        <w:szCs w:val="20"/>
      </w:rPr>
      <w:t xml:space="preserve">Civilprocesa likumā” </w:t>
    </w:r>
    <w:r w:rsidRPr="0058408F">
      <w:rPr>
        <w:sz w:val="20"/>
        <w:szCs w:val="20"/>
      </w:rPr>
      <w:t xml:space="preserve">sākotnējās ietekmes novērtējuma </w:t>
    </w:r>
    <w:smartTag w:uri="schemas-tilde-lv/tildestengine" w:element="veidnes">
      <w:smartTagPr>
        <w:attr w:name="id" w:val="-1"/>
        <w:attr w:name="baseform" w:val="ziņojums"/>
        <w:attr w:name="text" w:val="ziņojums"/>
      </w:smartTagPr>
      <w:r w:rsidRPr="0058408F">
        <w:rPr>
          <w:sz w:val="20"/>
          <w:szCs w:val="20"/>
        </w:rPr>
        <w:t>ziņojums</w:t>
      </w:r>
    </w:smartTag>
    <w:r w:rsidRPr="0058408F">
      <w:rPr>
        <w:sz w:val="20"/>
        <w:szCs w:val="20"/>
      </w:rPr>
      <w:t xml:space="preserve"> (anotācija)</w:t>
    </w:r>
  </w:p>
  <w:p w:rsidR="0084675E" w:rsidRDefault="0084675E" w:rsidP="00434A4F">
    <w:pPr>
      <w:pStyle w:val="Footer"/>
      <w:jc w:val="right"/>
    </w:pPr>
    <w:r>
      <w:tab/>
    </w:r>
    <w:r>
      <w:fldChar w:fldCharType="begin"/>
    </w:r>
    <w:r>
      <w:instrText xml:space="preserve"> PAGE   \* MERGEFORMAT </w:instrText>
    </w:r>
    <w:r>
      <w:fldChar w:fldCharType="separate"/>
    </w:r>
    <w:r>
      <w:rPr>
        <w:noProof/>
      </w:rPr>
      <w:t>1</w:t>
    </w:r>
    <w:r>
      <w:fldChar w:fldCharType="end"/>
    </w:r>
  </w:p>
  <w:p w:rsidR="0084675E" w:rsidRDefault="0084675E" w:rsidP="00434A4F">
    <w:pPr>
      <w:pStyle w:val="Footer"/>
      <w:tabs>
        <w:tab w:val="left" w:pos="402"/>
        <w:tab w:val="right" w:pos="9071"/>
      </w:tabs>
    </w:pPr>
    <w:r>
      <w:tab/>
    </w:r>
    <w:r>
      <w:tab/>
    </w:r>
    <w:r>
      <w:tab/>
    </w:r>
  </w:p>
  <w:p w:rsidR="0084675E" w:rsidRPr="005E7A51" w:rsidRDefault="0084675E" w:rsidP="00434A4F">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5E" w:rsidRDefault="0084675E" w:rsidP="00AC56F2">
      <w:r>
        <w:separator/>
      </w:r>
    </w:p>
  </w:footnote>
  <w:footnote w:type="continuationSeparator" w:id="0">
    <w:p w:rsidR="0084675E" w:rsidRDefault="0084675E" w:rsidP="00AC5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A7C"/>
    <w:multiLevelType w:val="hybridMultilevel"/>
    <w:tmpl w:val="75A22A5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660BB5"/>
    <w:multiLevelType w:val="hybridMultilevel"/>
    <w:tmpl w:val="542A3AFC"/>
    <w:lvl w:ilvl="0" w:tplc="1BDE9EC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5E030A"/>
    <w:multiLevelType w:val="hybridMultilevel"/>
    <w:tmpl w:val="DEBEDC32"/>
    <w:lvl w:ilvl="0" w:tplc="F8C0765A">
      <w:start w:val="1"/>
      <w:numFmt w:val="decimal"/>
      <w:lvlText w:val="%1)"/>
      <w:lvlJc w:val="left"/>
      <w:pPr>
        <w:ind w:left="498" w:hanging="360"/>
      </w:pPr>
      <w:rPr>
        <w:rFonts w:hint="default"/>
        <w:color w:val="000000"/>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
    <w:nsid w:val="733207DE"/>
    <w:multiLevelType w:val="hybridMultilevel"/>
    <w:tmpl w:val="E5FE0070"/>
    <w:lvl w:ilvl="0" w:tplc="1BDE9ECA">
      <w:start w:val="1"/>
      <w:numFmt w:val="decimal"/>
      <w:lvlText w:val="%1."/>
      <w:lvlJc w:val="left"/>
      <w:pPr>
        <w:ind w:left="858" w:hanging="360"/>
      </w:pPr>
      <w:rPr>
        <w:rFonts w:hint="default"/>
        <w:color w:val="00000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3"/>
    <w:rsid w:val="00040E1E"/>
    <w:rsid w:val="00096103"/>
    <w:rsid w:val="0011713F"/>
    <w:rsid w:val="00126431"/>
    <w:rsid w:val="00135DD8"/>
    <w:rsid w:val="001E0161"/>
    <w:rsid w:val="00263F4F"/>
    <w:rsid w:val="002D0EBD"/>
    <w:rsid w:val="002E51AD"/>
    <w:rsid w:val="002F0AC3"/>
    <w:rsid w:val="00345DBD"/>
    <w:rsid w:val="00345F7A"/>
    <w:rsid w:val="003C7779"/>
    <w:rsid w:val="00434A4F"/>
    <w:rsid w:val="00437910"/>
    <w:rsid w:val="00440E58"/>
    <w:rsid w:val="00454DA9"/>
    <w:rsid w:val="0046784B"/>
    <w:rsid w:val="004C695A"/>
    <w:rsid w:val="00524862"/>
    <w:rsid w:val="0057318A"/>
    <w:rsid w:val="005B1E95"/>
    <w:rsid w:val="005B610F"/>
    <w:rsid w:val="005C74DE"/>
    <w:rsid w:val="005E4566"/>
    <w:rsid w:val="006201EF"/>
    <w:rsid w:val="006957E7"/>
    <w:rsid w:val="006B65C5"/>
    <w:rsid w:val="006E6CBB"/>
    <w:rsid w:val="00726B0D"/>
    <w:rsid w:val="00736371"/>
    <w:rsid w:val="00740019"/>
    <w:rsid w:val="007B08B4"/>
    <w:rsid w:val="007C7C8B"/>
    <w:rsid w:val="007E2B5C"/>
    <w:rsid w:val="0084675E"/>
    <w:rsid w:val="00862F97"/>
    <w:rsid w:val="008E640A"/>
    <w:rsid w:val="00920A83"/>
    <w:rsid w:val="00922054"/>
    <w:rsid w:val="00931412"/>
    <w:rsid w:val="009A7946"/>
    <w:rsid w:val="00A77B95"/>
    <w:rsid w:val="00A960FA"/>
    <w:rsid w:val="00A96BA6"/>
    <w:rsid w:val="00A97901"/>
    <w:rsid w:val="00AC1D11"/>
    <w:rsid w:val="00AC56F2"/>
    <w:rsid w:val="00AD7D3D"/>
    <w:rsid w:val="00AE2EF3"/>
    <w:rsid w:val="00B338CF"/>
    <w:rsid w:val="00B62743"/>
    <w:rsid w:val="00BE6D88"/>
    <w:rsid w:val="00C125A3"/>
    <w:rsid w:val="00C23A45"/>
    <w:rsid w:val="00C46432"/>
    <w:rsid w:val="00C52FFA"/>
    <w:rsid w:val="00C75BA6"/>
    <w:rsid w:val="00CE436C"/>
    <w:rsid w:val="00D126CA"/>
    <w:rsid w:val="00D25674"/>
    <w:rsid w:val="00DA0892"/>
    <w:rsid w:val="00DE08AB"/>
    <w:rsid w:val="00E907C9"/>
    <w:rsid w:val="00EA47CC"/>
    <w:rsid w:val="00EC0156"/>
    <w:rsid w:val="00EC3779"/>
    <w:rsid w:val="00F04310"/>
    <w:rsid w:val="00F13D73"/>
    <w:rsid w:val="00F50676"/>
    <w:rsid w:val="00F77CFA"/>
    <w:rsid w:val="00FC17EF"/>
    <w:rsid w:val="00FC3F27"/>
    <w:rsid w:val="00FE54BD"/>
    <w:rsid w:val="00FE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4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62743"/>
    <w:pPr>
      <w:spacing w:before="75" w:after="75"/>
    </w:pPr>
  </w:style>
  <w:style w:type="paragraph" w:customStyle="1" w:styleId="naisc">
    <w:name w:val="naisc"/>
    <w:basedOn w:val="Normal"/>
    <w:rsid w:val="00B62743"/>
    <w:pPr>
      <w:spacing w:before="75" w:after="75"/>
      <w:jc w:val="center"/>
    </w:pPr>
  </w:style>
  <w:style w:type="paragraph" w:styleId="Footer">
    <w:name w:val="footer"/>
    <w:basedOn w:val="Normal"/>
    <w:link w:val="FooterChar"/>
    <w:uiPriority w:val="99"/>
    <w:rsid w:val="00B62743"/>
    <w:pPr>
      <w:tabs>
        <w:tab w:val="center" w:pos="4153"/>
        <w:tab w:val="right" w:pos="8306"/>
      </w:tabs>
    </w:pPr>
    <w:rPr>
      <w:lang w:val="x-none" w:eastAsia="x-none"/>
    </w:rPr>
  </w:style>
  <w:style w:type="character" w:customStyle="1" w:styleId="FooterChar">
    <w:name w:val="Footer Char"/>
    <w:basedOn w:val="DefaultParagraphFont"/>
    <w:link w:val="Footer"/>
    <w:uiPriority w:val="99"/>
    <w:rsid w:val="00B627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B62743"/>
  </w:style>
  <w:style w:type="character" w:styleId="Hyperlink">
    <w:name w:val="Hyperlink"/>
    <w:rsid w:val="00B62743"/>
    <w:rPr>
      <w:color w:val="0000FF"/>
      <w:u w:val="single"/>
    </w:rPr>
  </w:style>
  <w:style w:type="paragraph" w:styleId="Header">
    <w:name w:val="header"/>
    <w:basedOn w:val="Normal"/>
    <w:link w:val="HeaderChar"/>
    <w:uiPriority w:val="99"/>
    <w:unhideWhenUsed/>
    <w:rsid w:val="00AC56F2"/>
    <w:pPr>
      <w:tabs>
        <w:tab w:val="center" w:pos="4153"/>
        <w:tab w:val="right" w:pos="8306"/>
      </w:tabs>
    </w:pPr>
  </w:style>
  <w:style w:type="character" w:customStyle="1" w:styleId="HeaderChar">
    <w:name w:val="Header Char"/>
    <w:basedOn w:val="DefaultParagraphFont"/>
    <w:link w:val="Header"/>
    <w:uiPriority w:val="99"/>
    <w:rsid w:val="00AC56F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A0892"/>
    <w:rPr>
      <w:rFonts w:ascii="Tahoma" w:hAnsi="Tahoma" w:cs="Tahoma"/>
      <w:sz w:val="16"/>
      <w:szCs w:val="16"/>
    </w:rPr>
  </w:style>
  <w:style w:type="character" w:customStyle="1" w:styleId="BalloonTextChar">
    <w:name w:val="Balloon Text Char"/>
    <w:basedOn w:val="DefaultParagraphFont"/>
    <w:link w:val="BalloonText"/>
    <w:uiPriority w:val="99"/>
    <w:semiHidden/>
    <w:rsid w:val="00DA089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C17EF"/>
    <w:rPr>
      <w:sz w:val="16"/>
      <w:szCs w:val="16"/>
    </w:rPr>
  </w:style>
  <w:style w:type="paragraph" w:styleId="CommentText">
    <w:name w:val="annotation text"/>
    <w:basedOn w:val="Normal"/>
    <w:link w:val="CommentTextChar"/>
    <w:uiPriority w:val="99"/>
    <w:semiHidden/>
    <w:unhideWhenUsed/>
    <w:rsid w:val="00FC17EF"/>
    <w:rPr>
      <w:sz w:val="20"/>
      <w:szCs w:val="20"/>
    </w:rPr>
  </w:style>
  <w:style w:type="character" w:customStyle="1" w:styleId="CommentTextChar">
    <w:name w:val="Comment Text Char"/>
    <w:basedOn w:val="DefaultParagraphFont"/>
    <w:link w:val="CommentText"/>
    <w:uiPriority w:val="99"/>
    <w:semiHidden/>
    <w:rsid w:val="00FC1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17EF"/>
    <w:rPr>
      <w:b/>
      <w:bCs/>
    </w:rPr>
  </w:style>
  <w:style w:type="character" w:customStyle="1" w:styleId="CommentSubjectChar">
    <w:name w:val="Comment Subject Char"/>
    <w:basedOn w:val="CommentTextChar"/>
    <w:link w:val="CommentSubject"/>
    <w:uiPriority w:val="99"/>
    <w:semiHidden/>
    <w:rsid w:val="00FC17EF"/>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FC3F27"/>
    <w:pPr>
      <w:ind w:left="720"/>
      <w:contextualSpacing/>
    </w:pPr>
  </w:style>
  <w:style w:type="paragraph" w:styleId="NormalWeb">
    <w:name w:val="Normal (Web)"/>
    <w:basedOn w:val="Normal"/>
    <w:uiPriority w:val="99"/>
    <w:semiHidden/>
    <w:unhideWhenUsed/>
    <w:rsid w:val="00345D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4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62743"/>
    <w:pPr>
      <w:spacing w:before="75" w:after="75"/>
    </w:pPr>
  </w:style>
  <w:style w:type="paragraph" w:customStyle="1" w:styleId="naisc">
    <w:name w:val="naisc"/>
    <w:basedOn w:val="Normal"/>
    <w:rsid w:val="00B62743"/>
    <w:pPr>
      <w:spacing w:before="75" w:after="75"/>
      <w:jc w:val="center"/>
    </w:pPr>
  </w:style>
  <w:style w:type="paragraph" w:styleId="Footer">
    <w:name w:val="footer"/>
    <w:basedOn w:val="Normal"/>
    <w:link w:val="FooterChar"/>
    <w:uiPriority w:val="99"/>
    <w:rsid w:val="00B62743"/>
    <w:pPr>
      <w:tabs>
        <w:tab w:val="center" w:pos="4153"/>
        <w:tab w:val="right" w:pos="8306"/>
      </w:tabs>
    </w:pPr>
    <w:rPr>
      <w:lang w:val="x-none" w:eastAsia="x-none"/>
    </w:rPr>
  </w:style>
  <w:style w:type="character" w:customStyle="1" w:styleId="FooterChar">
    <w:name w:val="Footer Char"/>
    <w:basedOn w:val="DefaultParagraphFont"/>
    <w:link w:val="Footer"/>
    <w:uiPriority w:val="99"/>
    <w:rsid w:val="00B627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B62743"/>
  </w:style>
  <w:style w:type="character" w:styleId="Hyperlink">
    <w:name w:val="Hyperlink"/>
    <w:rsid w:val="00B62743"/>
    <w:rPr>
      <w:color w:val="0000FF"/>
      <w:u w:val="single"/>
    </w:rPr>
  </w:style>
  <w:style w:type="paragraph" w:styleId="Header">
    <w:name w:val="header"/>
    <w:basedOn w:val="Normal"/>
    <w:link w:val="HeaderChar"/>
    <w:uiPriority w:val="99"/>
    <w:unhideWhenUsed/>
    <w:rsid w:val="00AC56F2"/>
    <w:pPr>
      <w:tabs>
        <w:tab w:val="center" w:pos="4153"/>
        <w:tab w:val="right" w:pos="8306"/>
      </w:tabs>
    </w:pPr>
  </w:style>
  <w:style w:type="character" w:customStyle="1" w:styleId="HeaderChar">
    <w:name w:val="Header Char"/>
    <w:basedOn w:val="DefaultParagraphFont"/>
    <w:link w:val="Header"/>
    <w:uiPriority w:val="99"/>
    <w:rsid w:val="00AC56F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A0892"/>
    <w:rPr>
      <w:rFonts w:ascii="Tahoma" w:hAnsi="Tahoma" w:cs="Tahoma"/>
      <w:sz w:val="16"/>
      <w:szCs w:val="16"/>
    </w:rPr>
  </w:style>
  <w:style w:type="character" w:customStyle="1" w:styleId="BalloonTextChar">
    <w:name w:val="Balloon Text Char"/>
    <w:basedOn w:val="DefaultParagraphFont"/>
    <w:link w:val="BalloonText"/>
    <w:uiPriority w:val="99"/>
    <w:semiHidden/>
    <w:rsid w:val="00DA089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C17EF"/>
    <w:rPr>
      <w:sz w:val="16"/>
      <w:szCs w:val="16"/>
    </w:rPr>
  </w:style>
  <w:style w:type="paragraph" w:styleId="CommentText">
    <w:name w:val="annotation text"/>
    <w:basedOn w:val="Normal"/>
    <w:link w:val="CommentTextChar"/>
    <w:uiPriority w:val="99"/>
    <w:semiHidden/>
    <w:unhideWhenUsed/>
    <w:rsid w:val="00FC17EF"/>
    <w:rPr>
      <w:sz w:val="20"/>
      <w:szCs w:val="20"/>
    </w:rPr>
  </w:style>
  <w:style w:type="character" w:customStyle="1" w:styleId="CommentTextChar">
    <w:name w:val="Comment Text Char"/>
    <w:basedOn w:val="DefaultParagraphFont"/>
    <w:link w:val="CommentText"/>
    <w:uiPriority w:val="99"/>
    <w:semiHidden/>
    <w:rsid w:val="00FC1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17EF"/>
    <w:rPr>
      <w:b/>
      <w:bCs/>
    </w:rPr>
  </w:style>
  <w:style w:type="character" w:customStyle="1" w:styleId="CommentSubjectChar">
    <w:name w:val="Comment Subject Char"/>
    <w:basedOn w:val="CommentTextChar"/>
    <w:link w:val="CommentSubject"/>
    <w:uiPriority w:val="99"/>
    <w:semiHidden/>
    <w:rsid w:val="00FC17EF"/>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FC3F27"/>
    <w:pPr>
      <w:ind w:left="720"/>
      <w:contextualSpacing/>
    </w:pPr>
  </w:style>
  <w:style w:type="paragraph" w:styleId="NormalWeb">
    <w:name w:val="Normal (Web)"/>
    <w:basedOn w:val="Normal"/>
    <w:uiPriority w:val="99"/>
    <w:semiHidden/>
    <w:unhideWhenUsed/>
    <w:rsid w:val="00345D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ktorija.borodineca@mfa.gov.lv" TargetMode="External"/><Relationship Id="rId4" Type="http://schemas.microsoft.com/office/2007/relationships/stylesWithEffects" Target="stylesWithEffects.xml"/><Relationship Id="rId9" Type="http://schemas.openxmlformats.org/officeDocument/2006/relationships/hyperlink" Target="mailto:katrina.lidaka@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36F5-4B86-45C8-BED3-AF877E5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5035</Words>
  <Characters>2871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Lidaka</dc:creator>
  <cp:lastModifiedBy>Katrina Lidaka</cp:lastModifiedBy>
  <cp:revision>20</cp:revision>
  <cp:lastPrinted>2012-11-20T08:36:00Z</cp:lastPrinted>
  <dcterms:created xsi:type="dcterms:W3CDTF">2012-10-01T10:20:00Z</dcterms:created>
  <dcterms:modified xsi:type="dcterms:W3CDTF">2012-11-20T08:44:00Z</dcterms:modified>
</cp:coreProperties>
</file>