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F" w:rsidRDefault="000D53FF" w:rsidP="000D53FF">
      <w:pPr>
        <w:pStyle w:val="Heading1"/>
        <w:rPr>
          <w:sz w:val="24"/>
        </w:rPr>
      </w:pPr>
      <w:bookmarkStart w:id="0" w:name="OLE_LINK3"/>
      <w:bookmarkStart w:id="1" w:name="OLE_LINK4"/>
      <w:r>
        <w:rPr>
          <w:sz w:val="24"/>
        </w:rPr>
        <w:t>Ministru kabineta rīkojuma</w:t>
      </w:r>
    </w:p>
    <w:p w:rsidR="000D53FF" w:rsidRDefault="000D53FF" w:rsidP="000D53FF">
      <w:pPr>
        <w:pStyle w:val="Heading1"/>
        <w:rPr>
          <w:color w:val="000000"/>
          <w:sz w:val="24"/>
        </w:rPr>
      </w:pPr>
      <w:r>
        <w:rPr>
          <w:sz w:val="24"/>
        </w:rPr>
        <w:t>„</w:t>
      </w:r>
      <w:r w:rsidR="005308B5" w:rsidRPr="005308B5">
        <w:rPr>
          <w:sz w:val="24"/>
        </w:rPr>
        <w:t>Par</w:t>
      </w:r>
      <w:r w:rsidR="005308B5" w:rsidRPr="005308B5">
        <w:rPr>
          <w:color w:val="000000"/>
          <w:sz w:val="24"/>
        </w:rPr>
        <w:t xml:space="preserve"> finanšu līdzekļu piešķiršanu no valsts budžeta programmas</w:t>
      </w:r>
      <w:r>
        <w:rPr>
          <w:color w:val="000000"/>
          <w:sz w:val="24"/>
        </w:rPr>
        <w:t xml:space="preserve"> </w:t>
      </w:r>
      <w:r w:rsidR="005308B5" w:rsidRPr="005308B5">
        <w:rPr>
          <w:color w:val="000000"/>
          <w:sz w:val="24"/>
        </w:rPr>
        <w:t>„Līdzekļi neparedzētiem gadījumiem” Latvijas Republikas vēstniecības ēkas Igaunijas Republikā jumta remontam</w:t>
      </w:r>
      <w:r>
        <w:rPr>
          <w:color w:val="000000"/>
          <w:sz w:val="24"/>
        </w:rPr>
        <w:t>”””</w:t>
      </w:r>
      <w:bookmarkEnd w:id="0"/>
      <w:bookmarkEnd w:id="1"/>
    </w:p>
    <w:p w:rsidR="005B5C9C" w:rsidRPr="000D53FF" w:rsidRDefault="008E31E5" w:rsidP="000D53FF">
      <w:pPr>
        <w:pStyle w:val="Heading1"/>
        <w:rPr>
          <w:bCs w:val="0"/>
          <w:sz w:val="24"/>
        </w:rPr>
      </w:pPr>
      <w:r w:rsidRPr="005308B5">
        <w:rPr>
          <w:bCs w:val="0"/>
          <w:sz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308B5">
          <w:rPr>
            <w:bCs w:val="0"/>
            <w:sz w:val="24"/>
          </w:rPr>
          <w:t>ziņojums</w:t>
        </w:r>
      </w:smartTag>
      <w:r w:rsidRPr="005308B5">
        <w:rPr>
          <w:bCs w:val="0"/>
          <w:sz w:val="24"/>
        </w:rPr>
        <w:t xml:space="preserve"> (anotācija)</w:t>
      </w:r>
    </w:p>
    <w:p w:rsidR="008E31E5" w:rsidRPr="00D701E4" w:rsidRDefault="008E31E5" w:rsidP="000D53FF">
      <w:pPr>
        <w:jc w:val="center"/>
      </w:pPr>
    </w:p>
    <w:tbl>
      <w:tblPr>
        <w:tblW w:w="95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76"/>
        <w:gridCol w:w="1864"/>
        <w:gridCol w:w="540"/>
        <w:gridCol w:w="803"/>
        <w:gridCol w:w="844"/>
        <w:gridCol w:w="544"/>
        <w:gridCol w:w="1358"/>
        <w:gridCol w:w="1358"/>
        <w:gridCol w:w="1285"/>
        <w:gridCol w:w="142"/>
        <w:gridCol w:w="358"/>
      </w:tblGrid>
      <w:tr w:rsidR="008E31E5" w:rsidRPr="00D701E4" w:rsidTr="001F5FE9">
        <w:trPr>
          <w:gridAfter w:val="2"/>
          <w:wAfter w:w="500" w:type="dxa"/>
          <w:tblCellSpacing w:w="0" w:type="dxa"/>
        </w:trPr>
        <w:tc>
          <w:tcPr>
            <w:tcW w:w="90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1E5" w:rsidRPr="00D701E4" w:rsidRDefault="008E31E5" w:rsidP="003C3B89">
            <w:pPr>
              <w:spacing w:before="75" w:after="75"/>
              <w:jc w:val="center"/>
            </w:pPr>
            <w:r w:rsidRPr="00D701E4">
              <w:rPr>
                <w:b/>
                <w:bCs/>
              </w:rPr>
              <w:t>I. Tiesību akta projekta izstrādes nepieciešamība</w:t>
            </w:r>
          </w:p>
        </w:tc>
      </w:tr>
      <w:tr w:rsidR="008E31E5" w:rsidRPr="00D701E4" w:rsidTr="001F5FE9">
        <w:trPr>
          <w:gridAfter w:val="2"/>
          <w:wAfter w:w="500" w:type="dxa"/>
          <w:trHeight w:val="1255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1.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Pamatojums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CC9" w:rsidRDefault="00CF666B" w:rsidP="00D701E4">
            <w:pPr>
              <w:jc w:val="both"/>
            </w:pPr>
            <w:r w:rsidRPr="00D701E4">
              <w:t>Projekts izstrādāts atbilstoši Ārlietu ministrijas kompetencei tās funkciju nodrošināšanai saskaņā ar Ministru kabineta 2003.gada 29.aprīļa noteikumu Nr.237 „Ārlietu ministrijas nolikums” 4.4.</w:t>
            </w:r>
            <w:r w:rsidR="00222D55" w:rsidRPr="00D701E4">
              <w:t xml:space="preserve"> un 6.6.</w:t>
            </w:r>
            <w:r w:rsidRPr="00D701E4">
              <w:t>punktu.</w:t>
            </w:r>
          </w:p>
          <w:p w:rsidR="00791590" w:rsidRPr="00D701E4" w:rsidRDefault="00791590" w:rsidP="00D701E4">
            <w:pPr>
              <w:jc w:val="both"/>
            </w:pPr>
          </w:p>
        </w:tc>
      </w:tr>
      <w:tr w:rsidR="008E31E5" w:rsidRPr="00D701E4" w:rsidTr="001F5FE9">
        <w:trPr>
          <w:gridAfter w:val="2"/>
          <w:wAfter w:w="500" w:type="dxa"/>
          <w:trHeight w:val="472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2.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Pašreizējā situācija un problēmas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D55" w:rsidRPr="00D701E4" w:rsidRDefault="00415727" w:rsidP="00222D55">
            <w:pPr>
              <w:jc w:val="both"/>
            </w:pPr>
            <w:r>
              <w:t>Latvijas Republikas vēstniecībā Igaunijā</w:t>
            </w:r>
            <w:r w:rsidR="00222D55" w:rsidRPr="00D701E4">
              <w:t xml:space="preserve"> ir steidzami nepieciešami </w:t>
            </w:r>
            <w:r>
              <w:t xml:space="preserve">jumta </w:t>
            </w:r>
            <w:r w:rsidR="00222D55" w:rsidRPr="00D701E4">
              <w:t>remontdarbi, lai novērstu ēk</w:t>
            </w:r>
            <w:r>
              <w:t>as</w:t>
            </w:r>
            <w:r w:rsidR="00222D55" w:rsidRPr="00D701E4">
              <w:t xml:space="preserve"> konstrukcij</w:t>
            </w:r>
            <w:r>
              <w:t>as</w:t>
            </w:r>
            <w:r w:rsidR="00222D55" w:rsidRPr="00D701E4">
              <w:t xml:space="preserve"> tālāk</w:t>
            </w:r>
            <w:r>
              <w:t>a</w:t>
            </w:r>
            <w:r w:rsidR="00222D55" w:rsidRPr="00D701E4">
              <w:t xml:space="preserve"> bojāšan</w:t>
            </w:r>
            <w:r>
              <w:t>ās</w:t>
            </w:r>
            <w:r w:rsidR="00222D55" w:rsidRPr="00D701E4">
              <w:t>. Līdzekļi šim mērķim tika pieprasīti jau 2008.gadā, tomēr, uzsākoties finanšu krīzei, piešķirti netika. Trīs gadu laikā ēk</w:t>
            </w:r>
            <w:r>
              <w:t>as</w:t>
            </w:r>
            <w:r w:rsidR="00222D55" w:rsidRPr="00D701E4">
              <w:t xml:space="preserve"> tehniskais stāvoklis ir ievērojami pasliktinājies. </w:t>
            </w:r>
            <w:r>
              <w:t>Vēstniecības</w:t>
            </w:r>
            <w:r w:rsidR="00222D55" w:rsidRPr="00D701E4">
              <w:t xml:space="preserve"> tehniskais stāvoklis ir arī valsts prestiža jautājums, jo nereti tieši tas rada pirmo iespaidu par valsti kopumā.</w:t>
            </w:r>
          </w:p>
          <w:p w:rsidR="00791590" w:rsidRDefault="00222D55" w:rsidP="00222D55">
            <w:pPr>
              <w:jc w:val="both"/>
              <w:rPr>
                <w:color w:val="000000"/>
              </w:rPr>
            </w:pPr>
            <w:r w:rsidRPr="00D701E4">
              <w:t>Valsts akciju sabiedrība „Valsts nekustamie īpašumi” 2010.gadā ir veikusi būv</w:t>
            </w:r>
            <w:r w:rsidR="00415727">
              <w:t>es</w:t>
            </w:r>
            <w:r w:rsidRPr="00D701E4">
              <w:t xml:space="preserve"> vizuālo apskati un konstrukcijas stāvokļa izvērtējumu remontdarbu </w:t>
            </w:r>
            <w:r w:rsidR="00415727">
              <w:t xml:space="preserve">plānošanai. </w:t>
            </w:r>
            <w:r w:rsidRPr="00D701E4">
              <w:t xml:space="preserve">Par </w:t>
            </w:r>
            <w:r w:rsidR="00415727">
              <w:t>šo objektu ir sagatavots</w:t>
            </w:r>
            <w:r w:rsidRPr="00D701E4">
              <w:t xml:space="preserve"> un Ārlietu ministrijā iesniegt</w:t>
            </w:r>
            <w:r w:rsidR="00415727">
              <w:t>s</w:t>
            </w:r>
            <w:r w:rsidRPr="00D701E4">
              <w:t xml:space="preserve"> apsekošanas atzinum</w:t>
            </w:r>
            <w:r w:rsidR="00415727">
              <w:t>s</w:t>
            </w:r>
            <w:r w:rsidRPr="00D701E4">
              <w:t xml:space="preserve">. </w:t>
            </w:r>
          </w:p>
          <w:p w:rsidR="002366A4" w:rsidRDefault="002366A4" w:rsidP="00236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Ņemot vērā pašrei</w:t>
            </w:r>
            <w:r w:rsidR="00415727">
              <w:rPr>
                <w:color w:val="000000"/>
              </w:rPr>
              <w:t>zējo budžeta situāciju</w:t>
            </w:r>
            <w:r>
              <w:rPr>
                <w:color w:val="000000"/>
              </w:rPr>
              <w:t xml:space="preserve">, </w:t>
            </w:r>
            <w:r w:rsidRPr="00415727">
              <w:rPr>
                <w:color w:val="000000"/>
              </w:rPr>
              <w:t>Ārlietu ministrija lūdz prioritāri piešķirt 60 839 latus Latvijas Republikas vēstniecības ēkas Igaunijas Republikā jumta remontam.</w:t>
            </w:r>
            <w:r>
              <w:rPr>
                <w:color w:val="000000"/>
              </w:rPr>
              <w:t xml:space="preserve"> </w:t>
            </w:r>
          </w:p>
          <w:p w:rsidR="002366A4" w:rsidRDefault="002366A4" w:rsidP="002366A4">
            <w:pPr>
              <w:jc w:val="both"/>
              <w:rPr>
                <w:color w:val="000000"/>
              </w:rPr>
            </w:pPr>
            <w:r>
              <w:t>Vēstniecības ēkas e</w:t>
            </w:r>
            <w:r w:rsidRPr="00907B1F">
              <w:t xml:space="preserve">kspertīzi </w:t>
            </w:r>
            <w:r>
              <w:t xml:space="preserve">ir </w:t>
            </w:r>
            <w:r w:rsidRPr="00907B1F">
              <w:t>veicis VAS „</w:t>
            </w:r>
            <w:r w:rsidR="00415727">
              <w:t>Valsts nekustamie īpašumi</w:t>
            </w:r>
            <w:r w:rsidRPr="00907B1F">
              <w:t>”</w:t>
            </w:r>
            <w:r w:rsidR="001F5FE9">
              <w:t xml:space="preserve"> </w:t>
            </w:r>
            <w:r w:rsidRPr="00907B1F">
              <w:t xml:space="preserve">būvinženieris </w:t>
            </w:r>
            <w:proofErr w:type="spellStart"/>
            <w:r w:rsidRPr="00907B1F">
              <w:t>T.Keivs</w:t>
            </w:r>
            <w:proofErr w:type="spellEnd"/>
            <w:r>
              <w:t>, kā arī</w:t>
            </w:r>
            <w:r w:rsidR="00AE4366">
              <w:t xml:space="preserve"> nepieciešamo darbu tāmi (izmak</w:t>
            </w:r>
            <w:r w:rsidR="00FA5CEA">
              <w:t>s</w:t>
            </w:r>
            <w:r w:rsidR="00AE4366">
              <w:t>as) ir izskatījis un akceptējis sertificēts būvinženieris</w:t>
            </w:r>
            <w:r w:rsidRPr="00907B1F">
              <w:t>.</w:t>
            </w:r>
          </w:p>
          <w:p w:rsidR="00EE3B34" w:rsidRDefault="002366A4" w:rsidP="002366A4">
            <w:pPr>
              <w:jc w:val="both"/>
            </w:pPr>
            <w:r>
              <w:t>Minētajiem darbiem</w:t>
            </w:r>
            <w:r w:rsidR="00222D55" w:rsidRPr="00D701E4">
              <w:t xml:space="preserve"> ir sezonas ierobežojumi (vasara, agrs rudens), tādēļ steidzami ir nepieciešamas pieņemt lēmumu par līdzekļu piešķiršanu šim </w:t>
            </w:r>
            <w:r>
              <w:t>remontam, lai sākoties rudens un ziemas sezonai, lai novērstu tālāku nekustamā īpašuma bojāšanos</w:t>
            </w:r>
            <w:r w:rsidR="00222D55" w:rsidRPr="00D701E4">
              <w:t>.</w:t>
            </w:r>
          </w:p>
          <w:p w:rsidR="00AE4366" w:rsidRPr="002366A4" w:rsidRDefault="00AE4366" w:rsidP="00415727">
            <w:pPr>
              <w:jc w:val="both"/>
            </w:pPr>
          </w:p>
        </w:tc>
      </w:tr>
      <w:tr w:rsidR="008E31E5" w:rsidRPr="00D701E4" w:rsidTr="001F5FE9">
        <w:trPr>
          <w:gridAfter w:val="2"/>
          <w:wAfter w:w="500" w:type="dxa"/>
          <w:trHeight w:val="587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3.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Saistītie politikas ietekmes novērtējumi un pētījumi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0311A6" w:rsidP="00B51A08">
            <w:pPr>
              <w:spacing w:before="75" w:after="75"/>
            </w:pPr>
            <w:r w:rsidRPr="00D701E4">
              <w:t xml:space="preserve">Nav </w:t>
            </w:r>
            <w:r w:rsidR="00B51A08" w:rsidRPr="00D701E4">
              <w:t>veikti</w:t>
            </w:r>
            <w:r w:rsidR="00CD75EC" w:rsidRPr="00D701E4">
              <w:t>.</w:t>
            </w:r>
          </w:p>
        </w:tc>
      </w:tr>
      <w:tr w:rsidR="008E31E5" w:rsidRPr="00D701E4" w:rsidTr="001F5FE9">
        <w:trPr>
          <w:gridAfter w:val="2"/>
          <w:wAfter w:w="500" w:type="dxa"/>
          <w:trHeight w:val="384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4.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Tiesiskā regulējuma mērķis un būtība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02A" w:rsidRDefault="000919FC" w:rsidP="002366A4">
            <w:pPr>
              <w:pStyle w:val="Heading1"/>
              <w:jc w:val="both"/>
              <w:rPr>
                <w:b w:val="0"/>
                <w:color w:val="000000"/>
                <w:sz w:val="24"/>
              </w:rPr>
            </w:pPr>
            <w:r w:rsidRPr="005308B5">
              <w:rPr>
                <w:b w:val="0"/>
                <w:sz w:val="24"/>
              </w:rPr>
              <w:t xml:space="preserve">Rīkojuma projekts paredz </w:t>
            </w:r>
            <w:r w:rsidR="00222D55" w:rsidRPr="005308B5">
              <w:rPr>
                <w:b w:val="0"/>
                <w:sz w:val="24"/>
              </w:rPr>
              <w:t xml:space="preserve">piešķirt nepieciešamos līdzekļus </w:t>
            </w:r>
            <w:r w:rsidR="002366A4">
              <w:rPr>
                <w:b w:val="0"/>
                <w:sz w:val="24"/>
              </w:rPr>
              <w:t xml:space="preserve">neatliekama </w:t>
            </w:r>
            <w:r w:rsidR="005308B5" w:rsidRPr="005308B5">
              <w:rPr>
                <w:b w:val="0"/>
                <w:color w:val="000000"/>
                <w:sz w:val="24"/>
              </w:rPr>
              <w:t>Latvijas Republikas vēstniecības ēkas Igaunijas Republikā jumta remonta</w:t>
            </w:r>
            <w:r w:rsidR="002366A4">
              <w:rPr>
                <w:b w:val="0"/>
                <w:color w:val="000000"/>
                <w:sz w:val="24"/>
              </w:rPr>
              <w:t xml:space="preserve"> veikšanai. </w:t>
            </w:r>
          </w:p>
          <w:p w:rsidR="00791590" w:rsidRPr="00791590" w:rsidRDefault="00791590" w:rsidP="00791590">
            <w:pPr>
              <w:rPr>
                <w:lang w:eastAsia="en-US"/>
              </w:rPr>
            </w:pPr>
          </w:p>
        </w:tc>
      </w:tr>
      <w:tr w:rsidR="008E31E5" w:rsidRPr="00D701E4" w:rsidTr="001F5FE9">
        <w:trPr>
          <w:gridAfter w:val="2"/>
          <w:wAfter w:w="500" w:type="dxa"/>
          <w:trHeight w:val="476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5.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Projekta izstrādē iesaistītās institūcijas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055A83" w:rsidP="00222D55">
            <w:pPr>
              <w:spacing w:before="75" w:after="75"/>
            </w:pPr>
            <w:r w:rsidRPr="00D701E4">
              <w:t>Ārlietu ministrija</w:t>
            </w:r>
            <w:r w:rsidR="00D24074" w:rsidRPr="00D701E4">
              <w:t>.</w:t>
            </w:r>
          </w:p>
        </w:tc>
      </w:tr>
      <w:tr w:rsidR="008E31E5" w:rsidRPr="00D701E4" w:rsidTr="001F5FE9">
        <w:trPr>
          <w:gridAfter w:val="2"/>
          <w:wAfter w:w="500" w:type="dxa"/>
          <w:trHeight w:val="1005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6.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Iemesli, kādēļ netika nodrošināta sabiedrības līdzdalība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222D55" w:rsidP="00055A83">
            <w:pPr>
              <w:spacing w:before="75" w:after="75"/>
              <w:ind w:right="180"/>
              <w:jc w:val="both"/>
            </w:pPr>
            <w:r w:rsidRPr="00D701E4">
              <w:t>Projekts attiecas tikai uz valsts pārvaldes funkciju nodrošināšanu.</w:t>
            </w:r>
          </w:p>
        </w:tc>
      </w:tr>
      <w:tr w:rsidR="008E31E5" w:rsidRPr="00D701E4" w:rsidTr="001F5FE9">
        <w:trPr>
          <w:gridAfter w:val="2"/>
          <w:wAfter w:w="500" w:type="dxa"/>
          <w:tblCellSpacing w:w="0" w:type="dxa"/>
        </w:trPr>
        <w:tc>
          <w:tcPr>
            <w:tcW w:w="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lastRenderedPageBreak/>
              <w:t> 7.</w:t>
            </w:r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Pr="00D701E4" w:rsidRDefault="008E31E5" w:rsidP="003C3B89">
            <w:pPr>
              <w:spacing w:before="75" w:after="75"/>
            </w:pPr>
            <w:r w:rsidRPr="00D701E4">
              <w:t> Cita informācija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1E5" w:rsidRDefault="00A1601B" w:rsidP="00FF01EC">
            <w:pPr>
              <w:spacing w:before="75" w:after="75"/>
              <w:jc w:val="both"/>
            </w:pPr>
            <w:r w:rsidRPr="00D701E4">
              <w:t>Nav.</w:t>
            </w:r>
          </w:p>
          <w:p w:rsidR="00791590" w:rsidRPr="00D701E4" w:rsidRDefault="00791590" w:rsidP="00FF01EC">
            <w:pPr>
              <w:spacing w:before="75" w:after="75"/>
              <w:jc w:val="both"/>
            </w:pPr>
          </w:p>
        </w:tc>
      </w:tr>
      <w:tr w:rsidR="00A1601B" w:rsidRPr="00D701E4" w:rsidTr="001F5FE9">
        <w:trPr>
          <w:gridAfter w:val="1"/>
          <w:wAfter w:w="358" w:type="dxa"/>
          <w:trHeight w:val="652"/>
          <w:tblCellSpacing w:w="0" w:type="dxa"/>
        </w:trPr>
        <w:tc>
          <w:tcPr>
            <w:tcW w:w="922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7D2CE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701E4">
              <w:rPr>
                <w:b/>
              </w:rPr>
              <w:t>III. Tiesību akta projekta ietekme uz valsts budžetu un pašvaldību budžetiem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</w:t>
            </w:r>
            <w:r w:rsidRPr="00D701E4">
              <w:rPr>
                <w:b/>
                <w:bCs/>
              </w:rPr>
              <w:t>Rādītāji</w:t>
            </w:r>
          </w:p>
        </w:tc>
        <w:tc>
          <w:tcPr>
            <w:tcW w:w="273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</w:t>
            </w:r>
            <w:r w:rsidR="0039569C" w:rsidRPr="00D701E4">
              <w:t>201</w:t>
            </w:r>
            <w:r w:rsidR="00413CC6" w:rsidRPr="00D701E4">
              <w:t>1</w:t>
            </w:r>
            <w:r w:rsidR="0039569C" w:rsidRPr="00D701E4">
              <w:t xml:space="preserve">. </w:t>
            </w:r>
            <w:r w:rsidRPr="00D701E4">
              <w:rPr>
                <w:bCs/>
              </w:rPr>
              <w:t>gads</w:t>
            </w:r>
          </w:p>
        </w:tc>
        <w:tc>
          <w:tcPr>
            <w:tcW w:w="41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D701E4">
                <w:t>. latu</w:t>
              </w:r>
            </w:smartTag>
            <w:r w:rsidRPr="00D701E4">
              <w:t>)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</w:t>
            </w:r>
            <w:r w:rsidR="0039569C" w:rsidRPr="00D701E4">
              <w:t>201</w:t>
            </w:r>
            <w:r w:rsidR="00413CC6" w:rsidRPr="00D701E4">
              <w:t>2</w:t>
            </w:r>
            <w:r w:rsidR="00FC7C46" w:rsidRPr="00D701E4">
              <w:t>. gads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</w:t>
            </w:r>
            <w:r w:rsidR="0039569C" w:rsidRPr="00D701E4">
              <w:t>201</w:t>
            </w:r>
            <w:r w:rsidR="00413CC6" w:rsidRPr="00D701E4">
              <w:t>3</w:t>
            </w:r>
            <w:r w:rsidR="00FC7C46" w:rsidRPr="00D701E4">
              <w:t>. gads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</w:t>
            </w:r>
            <w:r w:rsidR="0039569C" w:rsidRPr="00D701E4">
              <w:t>201</w:t>
            </w:r>
            <w:r w:rsidR="00413CC6" w:rsidRPr="00D701E4">
              <w:t>4</w:t>
            </w:r>
            <w:r w:rsidR="00FC7C46" w:rsidRPr="00D701E4">
              <w:t>. gads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Saskaņā ar valsts budžetu kārtējam gadam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Izmaiņas kārtējā gadā, salīdzinot ar budžetu kārtējam gadam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Izmaiņas, salīdzinot ar kārtējo (n) gadu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Izmaiņas, salīdzinot ar kārtējo (n) gadu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Izmaiņas, salīdzinot ar kārtējo (n) gadu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2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4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5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6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1. Budžeta ieņēmumi: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1.1. valsts pamatbudžets, tai sk</w:t>
            </w:r>
            <w:r w:rsidR="00B15AB1" w:rsidRPr="00D701E4">
              <w:t>aitā ieņēmumi no maksas pakalpo</w:t>
            </w:r>
            <w:r w:rsidRPr="00D701E4">
              <w:t>jumiem un citi pašu ieņēmumi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1.2. valsts speciālais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 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1.3. pašvaldību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2. Budžeta izdevumi: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80EDD" w:rsidP="005308B5">
            <w:pPr>
              <w:spacing w:before="100" w:beforeAutospacing="1" w:after="100" w:afterAutospacing="1"/>
            </w:pPr>
            <w:r>
              <w:t>+</w:t>
            </w:r>
            <w:r w:rsidR="005308B5" w:rsidRPr="006578F8">
              <w:t>60</w:t>
            </w:r>
            <w:r w:rsidR="005308B5">
              <w:t>,</w:t>
            </w:r>
            <w:r w:rsidR="005308B5" w:rsidRPr="006578F8">
              <w:t xml:space="preserve"> 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2.1. valsts pamatbudžets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80EDD" w:rsidP="005308B5">
            <w:pPr>
              <w:spacing w:before="100" w:beforeAutospacing="1" w:after="100" w:afterAutospacing="1"/>
            </w:pPr>
            <w:r>
              <w:t>+</w:t>
            </w:r>
            <w:r w:rsidR="005308B5" w:rsidRPr="006578F8">
              <w:t>60</w:t>
            </w:r>
            <w:r w:rsidR="005308B5">
              <w:t>,</w:t>
            </w:r>
            <w:r w:rsidR="005308B5" w:rsidRPr="006578F8">
              <w:t xml:space="preserve"> 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2.2. valsts speciālais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01654D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2.3. pašvaldību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3. Finansiālā ietekme: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E50E03" w:rsidP="005308B5">
            <w:pPr>
              <w:spacing w:before="100" w:beforeAutospacing="1" w:after="100" w:afterAutospacing="1"/>
            </w:pPr>
            <w:r w:rsidRPr="00D701E4">
              <w:t xml:space="preserve">- </w:t>
            </w:r>
            <w:r w:rsidR="005308B5" w:rsidRPr="006578F8">
              <w:t>60</w:t>
            </w:r>
            <w:r w:rsidR="005308B5">
              <w:t>,</w:t>
            </w:r>
            <w:r w:rsidR="005308B5" w:rsidRPr="006578F8">
              <w:t xml:space="preserve"> 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3.1. valsts pamatbudžets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26029C" w:rsidP="005308B5">
            <w:pPr>
              <w:spacing w:before="100" w:beforeAutospacing="1" w:after="100" w:afterAutospacing="1"/>
            </w:pPr>
            <w:r w:rsidRPr="0026029C">
              <w:t xml:space="preserve">- </w:t>
            </w:r>
            <w:r w:rsidR="005308B5" w:rsidRPr="006578F8">
              <w:t>60</w:t>
            </w:r>
            <w:r w:rsidR="005308B5">
              <w:t>,</w:t>
            </w:r>
            <w:r w:rsidR="005308B5" w:rsidRPr="006578F8">
              <w:t xml:space="preserve"> 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3.2. speciālais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26029C" w:rsidP="00464842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3.3. pašvaldību budžets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91400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4. Finanšu līdzekļi papildu izde</w:t>
            </w:r>
            <w:r w:rsidRPr="00D701E4">
              <w:softHyphen/>
              <w:t>vumu finansēšanai (kompensējošu izdevumu samazinājumu norāda ar "+" zīmi)</w:t>
            </w:r>
          </w:p>
        </w:tc>
        <w:tc>
          <w:tcPr>
            <w:tcW w:w="13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80EDD" w:rsidP="00A1601B">
            <w:pPr>
              <w:spacing w:before="100" w:beforeAutospacing="1" w:after="100" w:afterAutospacing="1"/>
            </w:pPr>
            <w:r>
              <w:t>+60,8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5. Precizēta finansiālā ietekme:</w:t>
            </w:r>
          </w:p>
        </w:tc>
        <w:tc>
          <w:tcPr>
            <w:tcW w:w="13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X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80EDD" w:rsidP="005308B5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5.1. valsts pamatbudžets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D80EDD" w:rsidP="002366A4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5.2. speciālais 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39569C" w:rsidP="00A1601B">
            <w:pPr>
              <w:spacing w:before="100" w:beforeAutospacing="1" w:after="100" w:afterAutospacing="1"/>
            </w:pPr>
            <w:r w:rsidRPr="00D701E4">
              <w:t>0</w:t>
            </w: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5.3. pašvaldību 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 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 </w:t>
            </w:r>
          </w:p>
        </w:tc>
      </w:tr>
      <w:tr w:rsidR="00A1601B" w:rsidRPr="00D701E4" w:rsidTr="001F5FE9">
        <w:trPr>
          <w:gridAfter w:val="1"/>
          <w:wAfter w:w="358" w:type="dxa"/>
          <w:trHeight w:val="1719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lastRenderedPageBreak/>
              <w:t> 6. Detalizēts ieņēmumu un izdevu</w:t>
            </w:r>
            <w:r w:rsidRPr="00D701E4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87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9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029"/>
              <w:gridCol w:w="3616"/>
            </w:tblGrid>
            <w:tr w:rsidR="00183CC9" w:rsidRPr="00D701E4" w:rsidTr="00FA7329">
              <w:tc>
                <w:tcPr>
                  <w:tcW w:w="3029" w:type="dxa"/>
                </w:tcPr>
                <w:p w:rsidR="00183CC9" w:rsidRPr="00D701E4" w:rsidRDefault="00183CC9" w:rsidP="00183CC9"/>
              </w:tc>
              <w:tc>
                <w:tcPr>
                  <w:tcW w:w="3616" w:type="dxa"/>
                </w:tcPr>
                <w:p w:rsidR="00183CC9" w:rsidRPr="00D701E4" w:rsidRDefault="00183CC9" w:rsidP="00183CC9"/>
              </w:tc>
            </w:tr>
          </w:tbl>
          <w:p w:rsidR="0008049A" w:rsidRPr="00D701E4" w:rsidRDefault="0008049A" w:rsidP="005308B5">
            <w:pPr>
              <w:spacing w:before="100" w:beforeAutospacing="1" w:after="100" w:afterAutospacing="1"/>
            </w:pPr>
          </w:p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6.1. detalizēts ieņēmumu aprēķins</w:t>
            </w:r>
          </w:p>
        </w:tc>
        <w:tc>
          <w:tcPr>
            <w:tcW w:w="6874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6.2. detalizēts izdevumu aprēķins</w:t>
            </w:r>
          </w:p>
        </w:tc>
        <w:tc>
          <w:tcPr>
            <w:tcW w:w="6874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B" w:rsidRPr="00D701E4" w:rsidRDefault="00A1601B" w:rsidP="00A1601B"/>
        </w:tc>
      </w:tr>
      <w:tr w:rsidR="00A1601B" w:rsidRPr="00D701E4" w:rsidTr="001F5FE9">
        <w:trPr>
          <w:gridAfter w:val="1"/>
          <w:wAfter w:w="358" w:type="dxa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Pr="00D701E4" w:rsidRDefault="00A1601B" w:rsidP="00A1601B">
            <w:pPr>
              <w:spacing w:before="100" w:beforeAutospacing="1" w:after="100" w:afterAutospacing="1"/>
            </w:pPr>
            <w:r w:rsidRPr="00D701E4">
              <w:t> 7. Cita informācija</w:t>
            </w:r>
          </w:p>
        </w:tc>
        <w:tc>
          <w:tcPr>
            <w:tcW w:w="6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2D" w:rsidRDefault="00D80EDD" w:rsidP="000808D3">
            <w:pPr>
              <w:spacing w:before="100" w:beforeAutospacing="1" w:after="100" w:afterAutospacing="1"/>
              <w:ind w:left="165" w:right="194"/>
              <w:jc w:val="both"/>
            </w:pPr>
            <w:r>
              <w:t>Izdevumus sedz no valsts budžeta programmas 02.00.00 „Līdzekļi neparedzētiem gadījumiem”.</w:t>
            </w:r>
          </w:p>
          <w:p w:rsidR="00A92EF5" w:rsidRPr="00D701E4" w:rsidRDefault="00987737" w:rsidP="000808D3">
            <w:pPr>
              <w:spacing w:before="100" w:beforeAutospacing="1" w:after="100" w:afterAutospacing="1"/>
              <w:ind w:left="165" w:right="194"/>
              <w:jc w:val="both"/>
            </w:pPr>
            <w:r>
              <w:t>Anotācijas p</w:t>
            </w:r>
            <w:r w:rsidR="00A92EF5">
              <w:t>ielikumā jumta remonta tāme, kas sagatavota pamatojoties uz VAS "valsts nekustamie īpašumi" apsekošanas atzinumu par nepieciešamajiem jumta remontdarbiem.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957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3C3B89">
            <w:pPr>
              <w:pStyle w:val="naisnod"/>
              <w:spacing w:before="120" w:beforeAutospacing="0" w:after="120" w:afterAutospacing="0"/>
              <w:ind w:firstLine="181"/>
              <w:jc w:val="center"/>
            </w:pPr>
            <w:r w:rsidRPr="00D701E4">
              <w:t> </w:t>
            </w:r>
            <w:r w:rsidRPr="00D701E4">
              <w:rPr>
                <w:b/>
                <w:bCs/>
              </w:rPr>
              <w:t> </w:t>
            </w:r>
            <w:smartTag w:uri="urn:schemas-microsoft-com:office:smarttags" w:element="stockticker">
              <w:r w:rsidRPr="00D701E4">
                <w:rPr>
                  <w:b/>
                  <w:bCs/>
                </w:rPr>
                <w:t>VII</w:t>
              </w:r>
            </w:smartTag>
            <w:r w:rsidRPr="00D701E4">
              <w:rPr>
                <w:b/>
                <w:bCs/>
              </w:rPr>
              <w:t>. Tiesību akta projekta izpildes nodrošināšana un tās ietekme uz institūcijām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numPr>
                <w:ilvl w:val="0"/>
                <w:numId w:val="1"/>
              </w:numPr>
              <w:tabs>
                <w:tab w:val="clear" w:pos="540"/>
                <w:tab w:val="num" w:pos="345"/>
              </w:tabs>
              <w:spacing w:before="75" w:beforeAutospacing="0" w:after="75" w:afterAutospacing="0"/>
              <w:ind w:left="0" w:firstLine="0"/>
            </w:pPr>
            <w:r w:rsidRPr="00D701E4">
              <w:t>Projekta izpildē iesaistītās institūcijas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704364" w:rsidP="0031396F">
            <w:pPr>
              <w:ind w:right="165"/>
              <w:jc w:val="both"/>
              <w:rPr>
                <w:highlight w:val="yellow"/>
              </w:rPr>
            </w:pPr>
            <w:r w:rsidRPr="00D701E4">
              <w:t>Ā</w:t>
            </w:r>
            <w:r w:rsidR="00BD519E" w:rsidRPr="00D701E4">
              <w:t>rlietu ministrija.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2. Projekta ietekme uz pārvaldes funkcijām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2F7CAF" w:rsidP="0031396F">
            <w:pPr>
              <w:pStyle w:val="naiskr"/>
              <w:ind w:right="165"/>
              <w:jc w:val="both"/>
            </w:pPr>
            <w:r w:rsidRPr="00D701E4">
              <w:t>Rīkojuma</w:t>
            </w:r>
            <w:r w:rsidR="00BD519E" w:rsidRPr="00D701E4">
              <w:t xml:space="preserve"> projekta izpilde tiks nodrošināta līdzšinējo funkciju ietvaros.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3. Projekta ietekme uz pārvaldes institucionālo struktūru</w:t>
            </w:r>
          </w:p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Jaunu institūciju izveide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2F7CAF" w:rsidP="0031396F">
            <w:pPr>
              <w:pStyle w:val="naiskr"/>
              <w:ind w:right="165"/>
              <w:jc w:val="both"/>
            </w:pPr>
            <w:r w:rsidRPr="00D701E4">
              <w:t>Rīkojuma</w:t>
            </w:r>
            <w:r w:rsidR="00BD519E" w:rsidRPr="00D701E4">
              <w:t xml:space="preserve"> projekta izpildei nav nepieciešams izveidot jaunas institūcijas.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4. Projekta ietekme uz pārvaldes institucionālo struktūru</w:t>
            </w:r>
          </w:p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Esošu institūciju likvidācija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2F7CAF" w:rsidP="0031396F">
            <w:pPr>
              <w:pStyle w:val="naiskr"/>
              <w:ind w:right="165"/>
              <w:jc w:val="both"/>
            </w:pPr>
            <w:r w:rsidRPr="00D701E4">
              <w:t>Rīkojuma</w:t>
            </w:r>
            <w:r w:rsidR="00BD519E" w:rsidRPr="00D701E4">
              <w:t xml:space="preserve"> projekta izpildei nav nepieciešams likvidēt esošu institūciju.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5. Projekta ietekme uz pārvaldes institucionālo struktūru</w:t>
            </w:r>
          </w:p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Esošu institūciju reorganizācija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2F7CAF" w:rsidP="0031396F">
            <w:pPr>
              <w:pStyle w:val="naiskr"/>
              <w:ind w:right="165"/>
              <w:jc w:val="both"/>
            </w:pPr>
            <w:r w:rsidRPr="00D701E4">
              <w:t>Rīkojuma</w:t>
            </w:r>
            <w:r w:rsidR="00BD519E" w:rsidRPr="00D701E4">
              <w:t xml:space="preserve"> projekta izpildei nav nepieciešams reorganizēt esošu institūciju vai apvienot esošas institūcijas.</w:t>
            </w:r>
          </w:p>
        </w:tc>
      </w:tr>
      <w:tr w:rsidR="008E31E5" w:rsidRPr="00D701E4" w:rsidTr="001F5FE9">
        <w:trPr>
          <w:gridBefore w:val="1"/>
          <w:wBefore w:w="15" w:type="dxa"/>
          <w:tblCellSpacing w:w="0" w:type="dxa"/>
        </w:trPr>
        <w:tc>
          <w:tcPr>
            <w:tcW w:w="4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BD519E">
            <w:pPr>
              <w:pStyle w:val="naiskr"/>
              <w:spacing w:before="75" w:beforeAutospacing="0" w:after="75" w:afterAutospacing="0"/>
            </w:pPr>
            <w:r w:rsidRPr="00D701E4">
              <w:t>6. Cita informācija</w:t>
            </w:r>
          </w:p>
        </w:tc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1E5" w:rsidRPr="00D701E4" w:rsidRDefault="008E31E5" w:rsidP="0031396F">
            <w:pPr>
              <w:pStyle w:val="naiskr"/>
              <w:jc w:val="both"/>
            </w:pPr>
            <w:r w:rsidRPr="00D701E4">
              <w:t>Nav.</w:t>
            </w:r>
          </w:p>
        </w:tc>
      </w:tr>
    </w:tbl>
    <w:p w:rsidR="00D701E4" w:rsidRPr="00D701E4" w:rsidRDefault="00D701E4" w:rsidP="00544115">
      <w:pPr>
        <w:outlineLvl w:val="0"/>
      </w:pPr>
    </w:p>
    <w:p w:rsidR="00B910CC" w:rsidRPr="00D701E4" w:rsidRDefault="00B910CC" w:rsidP="00544115">
      <w:pPr>
        <w:outlineLvl w:val="0"/>
      </w:pPr>
      <w:r w:rsidRPr="00D701E4">
        <w:t>Anotācijas</w:t>
      </w:r>
      <w:r w:rsidR="00FF2E65" w:rsidRPr="00D701E4">
        <w:t xml:space="preserve"> </w:t>
      </w:r>
      <w:r w:rsidR="00A1601B" w:rsidRPr="00D701E4">
        <w:rPr>
          <w:bCs/>
        </w:rPr>
        <w:t xml:space="preserve"> II, IV, </w:t>
      </w:r>
      <w:r w:rsidRPr="00D701E4">
        <w:t>V un VI sadaļa - nav attiecināms.</w:t>
      </w:r>
    </w:p>
    <w:p w:rsidR="001F5FE9" w:rsidRDefault="001F5FE9" w:rsidP="008E31E5">
      <w:pPr>
        <w:pStyle w:val="naisf"/>
        <w:spacing w:before="0" w:after="0"/>
        <w:ind w:firstLine="0"/>
      </w:pPr>
    </w:p>
    <w:p w:rsidR="00BF5E6F" w:rsidRPr="00157774" w:rsidRDefault="00BF5E6F" w:rsidP="00BF5E6F">
      <w:pPr>
        <w:tabs>
          <w:tab w:val="left" w:pos="3525"/>
          <w:tab w:val="left" w:pos="3600"/>
          <w:tab w:val="left" w:pos="6195"/>
        </w:tabs>
      </w:pPr>
      <w:bookmarkStart w:id="2" w:name="OLE_LINK1"/>
      <w:r w:rsidRPr="00157774">
        <w:t>Ārlietu ministra vietā</w:t>
      </w:r>
    </w:p>
    <w:p w:rsidR="00BF5E6F" w:rsidRDefault="00BF5E6F" w:rsidP="00BF5E6F">
      <w:pPr>
        <w:tabs>
          <w:tab w:val="left" w:pos="3525"/>
          <w:tab w:val="left" w:pos="3600"/>
          <w:tab w:val="left" w:pos="6195"/>
        </w:tabs>
        <w:rPr>
          <w:b/>
        </w:rPr>
      </w:pPr>
      <w:r w:rsidRPr="004104C4">
        <w:t xml:space="preserve">Ministru prezidenta biedrs, </w:t>
      </w:r>
    </w:p>
    <w:p w:rsidR="00BF5E6F" w:rsidRPr="006807AD" w:rsidRDefault="00BF5E6F" w:rsidP="00BF5E6F">
      <w:r>
        <w:t>a</w:t>
      </w:r>
      <w:r w:rsidRPr="004104C4">
        <w:t xml:space="preserve">izsardzības ministrs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04C4">
        <w:t xml:space="preserve"> Artis Pabriks  </w:t>
      </w:r>
    </w:p>
    <w:p w:rsidR="001F5FE9" w:rsidRPr="00D701E4" w:rsidRDefault="001F5FE9" w:rsidP="008E31E5">
      <w:pPr>
        <w:pStyle w:val="naisf"/>
        <w:spacing w:before="0" w:after="0"/>
      </w:pPr>
    </w:p>
    <w:p w:rsidR="00D701E4" w:rsidRDefault="003B31C8" w:rsidP="004A49F4">
      <w:pPr>
        <w:pStyle w:val="naisf"/>
        <w:spacing w:before="0" w:after="0"/>
        <w:ind w:firstLine="0"/>
        <w:rPr>
          <w:bCs/>
          <w:sz w:val="16"/>
          <w:szCs w:val="16"/>
        </w:rPr>
      </w:pPr>
      <w:r w:rsidRPr="00D701E4">
        <w:t>Vīza: V</w:t>
      </w:r>
      <w:r w:rsidR="00CF3123" w:rsidRPr="00D701E4">
        <w:t>alsts sekretār</w:t>
      </w:r>
      <w:r w:rsidR="004A49F4">
        <w:t xml:space="preserve">a </w:t>
      </w:r>
      <w:proofErr w:type="spellStart"/>
      <w:r w:rsidR="004A49F4">
        <w:t>p.i</w:t>
      </w:r>
      <w:proofErr w:type="spellEnd"/>
      <w:r w:rsidR="004A49F4">
        <w:t>.</w:t>
      </w:r>
      <w:r w:rsidR="00CF3123" w:rsidRPr="00D701E4">
        <w:tab/>
      </w:r>
      <w:r w:rsidR="00D701E4" w:rsidRPr="00D701E4">
        <w:t xml:space="preserve"> </w:t>
      </w:r>
      <w:r w:rsidR="00D701E4" w:rsidRPr="00D701E4">
        <w:tab/>
      </w:r>
      <w:r w:rsidR="00D701E4" w:rsidRPr="00D701E4">
        <w:tab/>
      </w:r>
      <w:r w:rsidR="00D701E4" w:rsidRPr="00D701E4">
        <w:tab/>
      </w:r>
      <w:r w:rsidR="004A49F4">
        <w:tab/>
      </w:r>
      <w:r w:rsidR="00BF5E6F">
        <w:tab/>
      </w:r>
      <w:r w:rsidR="00BF5E6F">
        <w:tab/>
        <w:t>Ivars Pundurs</w:t>
      </w:r>
    </w:p>
    <w:bookmarkEnd w:id="2"/>
    <w:p w:rsidR="0054388D" w:rsidRDefault="0054388D" w:rsidP="001F5FE9">
      <w:pPr>
        <w:pStyle w:val="Header"/>
        <w:tabs>
          <w:tab w:val="clear" w:pos="4153"/>
          <w:tab w:val="clear" w:pos="8306"/>
          <w:tab w:val="left" w:pos="2790"/>
        </w:tabs>
        <w:jc w:val="both"/>
        <w:rPr>
          <w:bCs/>
          <w:sz w:val="16"/>
          <w:szCs w:val="16"/>
        </w:rPr>
      </w:pPr>
    </w:p>
    <w:p w:rsidR="001F5FE9" w:rsidRDefault="001F5FE9" w:rsidP="001F5FE9">
      <w:pPr>
        <w:pStyle w:val="Header"/>
        <w:tabs>
          <w:tab w:val="clear" w:pos="4153"/>
          <w:tab w:val="clear" w:pos="8306"/>
          <w:tab w:val="left" w:pos="2790"/>
        </w:tabs>
        <w:jc w:val="both"/>
        <w:rPr>
          <w:bCs/>
          <w:sz w:val="16"/>
          <w:szCs w:val="16"/>
        </w:rPr>
      </w:pPr>
    </w:p>
    <w:p w:rsidR="00DB7589" w:rsidRPr="00BF5E6F" w:rsidRDefault="002366A4" w:rsidP="00DB7589">
      <w:pPr>
        <w:pStyle w:val="Header"/>
        <w:tabs>
          <w:tab w:val="center" w:pos="900"/>
        </w:tabs>
        <w:jc w:val="both"/>
        <w:rPr>
          <w:bCs/>
          <w:sz w:val="20"/>
          <w:szCs w:val="20"/>
        </w:rPr>
      </w:pPr>
      <w:r w:rsidRPr="00BF5E6F">
        <w:rPr>
          <w:bCs/>
          <w:sz w:val="20"/>
          <w:szCs w:val="20"/>
        </w:rPr>
        <w:t>22</w:t>
      </w:r>
      <w:r w:rsidR="00A23536" w:rsidRPr="00BF5E6F">
        <w:rPr>
          <w:bCs/>
          <w:sz w:val="20"/>
          <w:szCs w:val="20"/>
        </w:rPr>
        <w:t>.07</w:t>
      </w:r>
      <w:r w:rsidR="00B4484F" w:rsidRPr="00BF5E6F">
        <w:rPr>
          <w:bCs/>
          <w:sz w:val="20"/>
          <w:szCs w:val="20"/>
        </w:rPr>
        <w:t>.2011.</w:t>
      </w:r>
      <w:bookmarkStart w:id="3" w:name="_GoBack"/>
      <w:bookmarkEnd w:id="3"/>
    </w:p>
    <w:p w:rsidR="00145A44" w:rsidRPr="00145A44" w:rsidRDefault="00145A44" w:rsidP="00145A44">
      <w:pPr>
        <w:jc w:val="both"/>
        <w:rPr>
          <w:sz w:val="20"/>
          <w:szCs w:val="20"/>
        </w:rPr>
      </w:pPr>
      <w:r w:rsidRPr="00145A44">
        <w:rPr>
          <w:sz w:val="20"/>
          <w:szCs w:val="20"/>
        </w:rPr>
        <w:fldChar w:fldCharType="begin"/>
      </w:r>
      <w:r w:rsidRPr="00145A44">
        <w:rPr>
          <w:sz w:val="20"/>
          <w:szCs w:val="20"/>
        </w:rPr>
        <w:instrText xml:space="preserve"> NUMWORDS  \* MERGEFORMAT </w:instrText>
      </w:r>
      <w:r w:rsidRPr="00145A4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690</w:t>
      </w:r>
      <w:r w:rsidRPr="00145A44">
        <w:rPr>
          <w:sz w:val="20"/>
          <w:szCs w:val="20"/>
        </w:rPr>
        <w:fldChar w:fldCharType="end"/>
      </w:r>
    </w:p>
    <w:p w:rsidR="000B4B15" w:rsidRPr="00BF5E6F" w:rsidRDefault="002366A4" w:rsidP="00B910CC">
      <w:pPr>
        <w:jc w:val="both"/>
        <w:rPr>
          <w:sz w:val="20"/>
          <w:szCs w:val="20"/>
        </w:rPr>
      </w:pPr>
      <w:proofErr w:type="spellStart"/>
      <w:r w:rsidRPr="00BF5E6F">
        <w:rPr>
          <w:sz w:val="20"/>
          <w:szCs w:val="20"/>
        </w:rPr>
        <w:t>I.Skutāne</w:t>
      </w:r>
      <w:proofErr w:type="spellEnd"/>
    </w:p>
    <w:p w:rsidR="008E31E5" w:rsidRPr="00BF5E6F" w:rsidRDefault="0001654D" w:rsidP="00B910CC">
      <w:pPr>
        <w:jc w:val="both"/>
        <w:rPr>
          <w:sz w:val="20"/>
          <w:szCs w:val="20"/>
        </w:rPr>
      </w:pPr>
      <w:r w:rsidRPr="00BF5E6F">
        <w:rPr>
          <w:sz w:val="20"/>
          <w:szCs w:val="20"/>
        </w:rPr>
        <w:t>67016</w:t>
      </w:r>
      <w:r w:rsidR="002366A4" w:rsidRPr="00BF5E6F">
        <w:rPr>
          <w:sz w:val="20"/>
          <w:szCs w:val="20"/>
        </w:rPr>
        <w:t>130</w:t>
      </w:r>
      <w:r w:rsidR="00DB7589" w:rsidRPr="00BF5E6F">
        <w:rPr>
          <w:sz w:val="20"/>
          <w:szCs w:val="20"/>
        </w:rPr>
        <w:t xml:space="preserve">, </w:t>
      </w:r>
      <w:hyperlink r:id="rId9" w:history="1">
        <w:r w:rsidR="002366A4" w:rsidRPr="00BF5E6F">
          <w:rPr>
            <w:rStyle w:val="Hyperlink"/>
            <w:sz w:val="20"/>
            <w:szCs w:val="20"/>
          </w:rPr>
          <w:t>ilze.skutane@mfa.gov.lv</w:t>
        </w:r>
      </w:hyperlink>
      <w:r w:rsidR="000B4B15" w:rsidRPr="00BF5E6F">
        <w:rPr>
          <w:sz w:val="20"/>
          <w:szCs w:val="20"/>
        </w:rPr>
        <w:t xml:space="preserve"> </w:t>
      </w:r>
    </w:p>
    <w:sectPr w:rsidR="008E31E5" w:rsidRPr="00BF5E6F" w:rsidSect="001F5FE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141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1B" w:rsidRDefault="00C21F1B">
      <w:r>
        <w:separator/>
      </w:r>
    </w:p>
  </w:endnote>
  <w:endnote w:type="continuationSeparator" w:id="0">
    <w:p w:rsidR="00C21F1B" w:rsidRDefault="00C2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B" w:rsidRDefault="005D38D8" w:rsidP="00260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F1B" w:rsidRDefault="00C21F1B" w:rsidP="00874C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B" w:rsidRDefault="00C21F1B" w:rsidP="00260722">
    <w:pPr>
      <w:pStyle w:val="Footer"/>
      <w:framePr w:wrap="around" w:vAnchor="text" w:hAnchor="margin" w:xAlign="right" w:y="1"/>
      <w:rPr>
        <w:rStyle w:val="PageNumber"/>
      </w:rPr>
    </w:pPr>
  </w:p>
  <w:p w:rsidR="00C21F1B" w:rsidRPr="002366A4" w:rsidRDefault="00C21F1B" w:rsidP="002366A4">
    <w:pPr>
      <w:pStyle w:val="Heading1"/>
      <w:jc w:val="both"/>
      <w:rPr>
        <w:b w:val="0"/>
        <w:color w:val="000000"/>
        <w:sz w:val="18"/>
        <w:szCs w:val="18"/>
      </w:rPr>
    </w:pPr>
    <w:r w:rsidRPr="002366A4">
      <w:rPr>
        <w:b w:val="0"/>
        <w:sz w:val="18"/>
        <w:szCs w:val="18"/>
      </w:rPr>
      <w:t>AMAnot_220711_remonts; Ministru kabineta rīkojuma projekta „Par</w:t>
    </w:r>
    <w:r w:rsidRPr="002366A4">
      <w:rPr>
        <w:b w:val="0"/>
        <w:color w:val="000000"/>
        <w:sz w:val="18"/>
        <w:szCs w:val="18"/>
      </w:rPr>
      <w:t xml:space="preserve"> finanšu līdzekļu piešķiršanu no valsts budžeta programmas „Līdzekļi neparedzētiem gadījumiem” Latvijas Republikas vēstniecības ēkas Igaunijas Republikā jumta remontam”</w:t>
    </w:r>
    <w:r>
      <w:rPr>
        <w:b w:val="0"/>
        <w:color w:val="000000"/>
        <w:sz w:val="18"/>
        <w:szCs w:val="18"/>
      </w:rPr>
      <w:t>”</w:t>
    </w:r>
    <w:r w:rsidRPr="002366A4">
      <w:rPr>
        <w:b w:val="0"/>
        <w:color w:val="000000"/>
        <w:sz w:val="18"/>
        <w:szCs w:val="18"/>
      </w:rPr>
      <w:t xml:space="preserve"> </w:t>
    </w:r>
    <w:r w:rsidRPr="002366A4">
      <w:rPr>
        <w:b w:val="0"/>
        <w:bCs w:val="0"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366A4">
        <w:rPr>
          <w:b w:val="0"/>
          <w:bCs w:val="0"/>
          <w:sz w:val="18"/>
          <w:szCs w:val="18"/>
        </w:rPr>
        <w:t>ziņojums</w:t>
      </w:r>
    </w:smartTag>
    <w:r w:rsidRPr="002366A4">
      <w:rPr>
        <w:b w:val="0"/>
        <w:bCs w:val="0"/>
        <w:sz w:val="18"/>
        <w:szCs w:val="18"/>
      </w:rPr>
      <w:t xml:space="preserve"> (anotācija)</w:t>
    </w:r>
  </w:p>
  <w:p w:rsidR="00C21F1B" w:rsidRPr="00A1601B" w:rsidRDefault="00C21F1B" w:rsidP="002366A4">
    <w:pPr>
      <w:pStyle w:val="Heading1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B" w:rsidRPr="002366A4" w:rsidRDefault="00C21F1B" w:rsidP="002366A4">
    <w:pPr>
      <w:pStyle w:val="Heading1"/>
      <w:jc w:val="both"/>
      <w:rPr>
        <w:b w:val="0"/>
        <w:color w:val="000000"/>
        <w:sz w:val="18"/>
        <w:szCs w:val="18"/>
      </w:rPr>
    </w:pPr>
    <w:r w:rsidRPr="002366A4">
      <w:rPr>
        <w:b w:val="0"/>
        <w:sz w:val="18"/>
        <w:szCs w:val="18"/>
      </w:rPr>
      <w:t>AMAnot_220711_remonts; Ministru kabineta rīkojuma projekta „Par</w:t>
    </w:r>
    <w:r w:rsidRPr="002366A4">
      <w:rPr>
        <w:b w:val="0"/>
        <w:color w:val="000000"/>
        <w:sz w:val="18"/>
        <w:szCs w:val="18"/>
      </w:rPr>
      <w:t xml:space="preserve"> finanšu līdzekļu piešķiršanu no valsts budžeta programmas „Līdzekļi neparedzētiem gadījumiem” Latvijas Republikas vēstniecības ēkas Igaunijas Republikā jumta remontam” </w:t>
    </w:r>
    <w:r w:rsidRPr="002366A4">
      <w:rPr>
        <w:b w:val="0"/>
        <w:bCs w:val="0"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366A4">
        <w:rPr>
          <w:b w:val="0"/>
          <w:bCs w:val="0"/>
          <w:sz w:val="18"/>
          <w:szCs w:val="18"/>
        </w:rPr>
        <w:t>ziņojums</w:t>
      </w:r>
    </w:smartTag>
    <w:r w:rsidRPr="002366A4">
      <w:rPr>
        <w:b w:val="0"/>
        <w:bCs w:val="0"/>
        <w:sz w:val="18"/>
        <w:szCs w:val="18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1B" w:rsidRDefault="00C21F1B">
      <w:r>
        <w:separator/>
      </w:r>
    </w:p>
  </w:footnote>
  <w:footnote w:type="continuationSeparator" w:id="0">
    <w:p w:rsidR="00C21F1B" w:rsidRDefault="00C2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B" w:rsidRDefault="005D38D8" w:rsidP="002607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F1B" w:rsidRDefault="00C21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B" w:rsidRDefault="005D38D8" w:rsidP="002607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F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A44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F1B" w:rsidRDefault="00C21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F0B"/>
    <w:multiLevelType w:val="hybridMultilevel"/>
    <w:tmpl w:val="E4F8907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D7163"/>
    <w:multiLevelType w:val="hybridMultilevel"/>
    <w:tmpl w:val="6AF47F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05882"/>
    <w:multiLevelType w:val="hybridMultilevel"/>
    <w:tmpl w:val="911080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A4E73"/>
    <w:multiLevelType w:val="hybridMultilevel"/>
    <w:tmpl w:val="925E9A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704CF"/>
    <w:multiLevelType w:val="hybridMultilevel"/>
    <w:tmpl w:val="A2AC37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6071A"/>
    <w:multiLevelType w:val="hybridMultilevel"/>
    <w:tmpl w:val="1A909072"/>
    <w:lvl w:ilvl="0" w:tplc="2F88C8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6C371FD"/>
    <w:multiLevelType w:val="hybridMultilevel"/>
    <w:tmpl w:val="29D2E4E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F25B1"/>
    <w:multiLevelType w:val="multilevel"/>
    <w:tmpl w:val="672A2C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5"/>
    <w:rsid w:val="000106A5"/>
    <w:rsid w:val="000143BC"/>
    <w:rsid w:val="000157E0"/>
    <w:rsid w:val="0001654D"/>
    <w:rsid w:val="0001672D"/>
    <w:rsid w:val="00025AFD"/>
    <w:rsid w:val="00027034"/>
    <w:rsid w:val="000311A6"/>
    <w:rsid w:val="00032ED3"/>
    <w:rsid w:val="00044313"/>
    <w:rsid w:val="0004611B"/>
    <w:rsid w:val="0004759E"/>
    <w:rsid w:val="00055A83"/>
    <w:rsid w:val="00057157"/>
    <w:rsid w:val="00070A87"/>
    <w:rsid w:val="0007434C"/>
    <w:rsid w:val="0008049A"/>
    <w:rsid w:val="000808D3"/>
    <w:rsid w:val="00080E41"/>
    <w:rsid w:val="000849B3"/>
    <w:rsid w:val="000919FC"/>
    <w:rsid w:val="000A0ADA"/>
    <w:rsid w:val="000A68C3"/>
    <w:rsid w:val="000B298F"/>
    <w:rsid w:val="000B4B15"/>
    <w:rsid w:val="000C2CC2"/>
    <w:rsid w:val="000C5F29"/>
    <w:rsid w:val="000D23D3"/>
    <w:rsid w:val="000D2A14"/>
    <w:rsid w:val="000D53FF"/>
    <w:rsid w:val="000D68CA"/>
    <w:rsid w:val="000E2732"/>
    <w:rsid w:val="000F27EB"/>
    <w:rsid w:val="00101B30"/>
    <w:rsid w:val="00115641"/>
    <w:rsid w:val="001157FA"/>
    <w:rsid w:val="00121509"/>
    <w:rsid w:val="00122499"/>
    <w:rsid w:val="00137F01"/>
    <w:rsid w:val="00140D0E"/>
    <w:rsid w:val="00145A44"/>
    <w:rsid w:val="00152FD2"/>
    <w:rsid w:val="001538E8"/>
    <w:rsid w:val="00160583"/>
    <w:rsid w:val="00171BB3"/>
    <w:rsid w:val="0018208F"/>
    <w:rsid w:val="00183CC9"/>
    <w:rsid w:val="001912B3"/>
    <w:rsid w:val="00193839"/>
    <w:rsid w:val="001C203F"/>
    <w:rsid w:val="001C25F9"/>
    <w:rsid w:val="001E4D86"/>
    <w:rsid w:val="001E7F6D"/>
    <w:rsid w:val="001F5FE9"/>
    <w:rsid w:val="002026DF"/>
    <w:rsid w:val="00203051"/>
    <w:rsid w:val="00204AAD"/>
    <w:rsid w:val="00212359"/>
    <w:rsid w:val="00222D55"/>
    <w:rsid w:val="00223289"/>
    <w:rsid w:val="002308F6"/>
    <w:rsid w:val="00231979"/>
    <w:rsid w:val="002319BD"/>
    <w:rsid w:val="002366A4"/>
    <w:rsid w:val="0024043C"/>
    <w:rsid w:val="002455A1"/>
    <w:rsid w:val="002527CD"/>
    <w:rsid w:val="0026029C"/>
    <w:rsid w:val="00260722"/>
    <w:rsid w:val="00260E46"/>
    <w:rsid w:val="002617B9"/>
    <w:rsid w:val="002650A3"/>
    <w:rsid w:val="00274329"/>
    <w:rsid w:val="002745E8"/>
    <w:rsid w:val="0028137A"/>
    <w:rsid w:val="002854BC"/>
    <w:rsid w:val="00285FC2"/>
    <w:rsid w:val="00287918"/>
    <w:rsid w:val="00293D4D"/>
    <w:rsid w:val="00295B4F"/>
    <w:rsid w:val="00297356"/>
    <w:rsid w:val="002A4486"/>
    <w:rsid w:val="002A688E"/>
    <w:rsid w:val="002B02F8"/>
    <w:rsid w:val="002B064E"/>
    <w:rsid w:val="002B183A"/>
    <w:rsid w:val="002B1C61"/>
    <w:rsid w:val="002B37EF"/>
    <w:rsid w:val="002E3860"/>
    <w:rsid w:val="002F0C58"/>
    <w:rsid w:val="002F7CAF"/>
    <w:rsid w:val="002F7F1D"/>
    <w:rsid w:val="00301C2A"/>
    <w:rsid w:val="00305CF8"/>
    <w:rsid w:val="003105AD"/>
    <w:rsid w:val="0031396F"/>
    <w:rsid w:val="00314D32"/>
    <w:rsid w:val="00320866"/>
    <w:rsid w:val="00332FDA"/>
    <w:rsid w:val="0034608A"/>
    <w:rsid w:val="00354066"/>
    <w:rsid w:val="00365C4B"/>
    <w:rsid w:val="00367754"/>
    <w:rsid w:val="00387B2D"/>
    <w:rsid w:val="00387DCD"/>
    <w:rsid w:val="0039091C"/>
    <w:rsid w:val="00392A3D"/>
    <w:rsid w:val="0039569C"/>
    <w:rsid w:val="003A2551"/>
    <w:rsid w:val="003A7394"/>
    <w:rsid w:val="003A741B"/>
    <w:rsid w:val="003B31C8"/>
    <w:rsid w:val="003C0EB4"/>
    <w:rsid w:val="003C358D"/>
    <w:rsid w:val="003C3B89"/>
    <w:rsid w:val="003D4FE2"/>
    <w:rsid w:val="003E2855"/>
    <w:rsid w:val="003E4061"/>
    <w:rsid w:val="003E7418"/>
    <w:rsid w:val="003F1AA8"/>
    <w:rsid w:val="004130BD"/>
    <w:rsid w:val="00413CC6"/>
    <w:rsid w:val="00415727"/>
    <w:rsid w:val="00415CD0"/>
    <w:rsid w:val="00417A32"/>
    <w:rsid w:val="004261FB"/>
    <w:rsid w:val="004303E1"/>
    <w:rsid w:val="00431703"/>
    <w:rsid w:val="004525CD"/>
    <w:rsid w:val="00456206"/>
    <w:rsid w:val="00464842"/>
    <w:rsid w:val="00464F20"/>
    <w:rsid w:val="0048132D"/>
    <w:rsid w:val="004941C2"/>
    <w:rsid w:val="00494307"/>
    <w:rsid w:val="004A48B7"/>
    <w:rsid w:val="004A49F4"/>
    <w:rsid w:val="004C4B00"/>
    <w:rsid w:val="004C7C0B"/>
    <w:rsid w:val="004E468B"/>
    <w:rsid w:val="004E7C5E"/>
    <w:rsid w:val="00500D74"/>
    <w:rsid w:val="00501FC8"/>
    <w:rsid w:val="00517634"/>
    <w:rsid w:val="005223C7"/>
    <w:rsid w:val="005246AA"/>
    <w:rsid w:val="005251C4"/>
    <w:rsid w:val="005308B5"/>
    <w:rsid w:val="005350C5"/>
    <w:rsid w:val="00540A85"/>
    <w:rsid w:val="0054388D"/>
    <w:rsid w:val="00544115"/>
    <w:rsid w:val="00554784"/>
    <w:rsid w:val="0056114A"/>
    <w:rsid w:val="0056610A"/>
    <w:rsid w:val="00573F99"/>
    <w:rsid w:val="00585C9F"/>
    <w:rsid w:val="00586D3B"/>
    <w:rsid w:val="00590A47"/>
    <w:rsid w:val="00597220"/>
    <w:rsid w:val="005B5C9C"/>
    <w:rsid w:val="005C5569"/>
    <w:rsid w:val="005C6D7D"/>
    <w:rsid w:val="005D2C6F"/>
    <w:rsid w:val="005D38D8"/>
    <w:rsid w:val="005D7014"/>
    <w:rsid w:val="005D79BF"/>
    <w:rsid w:val="005E2F45"/>
    <w:rsid w:val="005E5499"/>
    <w:rsid w:val="005E5FEB"/>
    <w:rsid w:val="005E75DE"/>
    <w:rsid w:val="005F77A7"/>
    <w:rsid w:val="006017A5"/>
    <w:rsid w:val="00612200"/>
    <w:rsid w:val="00616E36"/>
    <w:rsid w:val="00626F30"/>
    <w:rsid w:val="00627A0C"/>
    <w:rsid w:val="0063181F"/>
    <w:rsid w:val="006318B4"/>
    <w:rsid w:val="0063596E"/>
    <w:rsid w:val="00663B70"/>
    <w:rsid w:val="006732B5"/>
    <w:rsid w:val="00684E11"/>
    <w:rsid w:val="006A732C"/>
    <w:rsid w:val="006B0CB7"/>
    <w:rsid w:val="006B3660"/>
    <w:rsid w:val="006E38D5"/>
    <w:rsid w:val="006F2466"/>
    <w:rsid w:val="006F2EC2"/>
    <w:rsid w:val="00704364"/>
    <w:rsid w:val="007068DB"/>
    <w:rsid w:val="0071613F"/>
    <w:rsid w:val="00725AEC"/>
    <w:rsid w:val="00730833"/>
    <w:rsid w:val="007467DC"/>
    <w:rsid w:val="007501D2"/>
    <w:rsid w:val="00756A3F"/>
    <w:rsid w:val="00760DF1"/>
    <w:rsid w:val="00761BA3"/>
    <w:rsid w:val="00765EF2"/>
    <w:rsid w:val="00791590"/>
    <w:rsid w:val="00791AFD"/>
    <w:rsid w:val="007920DC"/>
    <w:rsid w:val="00792620"/>
    <w:rsid w:val="00794E1E"/>
    <w:rsid w:val="007A3DCE"/>
    <w:rsid w:val="007A71DA"/>
    <w:rsid w:val="007C16DF"/>
    <w:rsid w:val="007C1E88"/>
    <w:rsid w:val="007C6F14"/>
    <w:rsid w:val="007D2CE1"/>
    <w:rsid w:val="007F7D7D"/>
    <w:rsid w:val="00805448"/>
    <w:rsid w:val="0080619E"/>
    <w:rsid w:val="0081532E"/>
    <w:rsid w:val="008244BC"/>
    <w:rsid w:val="00844643"/>
    <w:rsid w:val="00844DA9"/>
    <w:rsid w:val="00851F3F"/>
    <w:rsid w:val="00852B41"/>
    <w:rsid w:val="008618A7"/>
    <w:rsid w:val="00866878"/>
    <w:rsid w:val="00871C0F"/>
    <w:rsid w:val="00874C1D"/>
    <w:rsid w:val="0087757F"/>
    <w:rsid w:val="00877A4E"/>
    <w:rsid w:val="00890F32"/>
    <w:rsid w:val="008936BB"/>
    <w:rsid w:val="00895D4F"/>
    <w:rsid w:val="00896090"/>
    <w:rsid w:val="00896F42"/>
    <w:rsid w:val="008B2953"/>
    <w:rsid w:val="008C49A1"/>
    <w:rsid w:val="008E31E5"/>
    <w:rsid w:val="008E46AA"/>
    <w:rsid w:val="008F0D8F"/>
    <w:rsid w:val="008F10E8"/>
    <w:rsid w:val="008F5711"/>
    <w:rsid w:val="00905963"/>
    <w:rsid w:val="009158FE"/>
    <w:rsid w:val="00917410"/>
    <w:rsid w:val="0092197D"/>
    <w:rsid w:val="009220EF"/>
    <w:rsid w:val="00924545"/>
    <w:rsid w:val="00932C63"/>
    <w:rsid w:val="0093570E"/>
    <w:rsid w:val="00937A3D"/>
    <w:rsid w:val="009429CB"/>
    <w:rsid w:val="009518D5"/>
    <w:rsid w:val="00961C27"/>
    <w:rsid w:val="00987737"/>
    <w:rsid w:val="009927B0"/>
    <w:rsid w:val="00993BA9"/>
    <w:rsid w:val="009976B7"/>
    <w:rsid w:val="009A6814"/>
    <w:rsid w:val="009A73E6"/>
    <w:rsid w:val="009B634A"/>
    <w:rsid w:val="009C3762"/>
    <w:rsid w:val="009C3E24"/>
    <w:rsid w:val="009E07E6"/>
    <w:rsid w:val="00A0119D"/>
    <w:rsid w:val="00A022A3"/>
    <w:rsid w:val="00A14A22"/>
    <w:rsid w:val="00A1601B"/>
    <w:rsid w:val="00A23536"/>
    <w:rsid w:val="00A30438"/>
    <w:rsid w:val="00A30B62"/>
    <w:rsid w:val="00A473C7"/>
    <w:rsid w:val="00A5303E"/>
    <w:rsid w:val="00A865AD"/>
    <w:rsid w:val="00A869BA"/>
    <w:rsid w:val="00A92EF5"/>
    <w:rsid w:val="00A94D44"/>
    <w:rsid w:val="00AB1382"/>
    <w:rsid w:val="00AC0594"/>
    <w:rsid w:val="00AD2537"/>
    <w:rsid w:val="00AD417E"/>
    <w:rsid w:val="00AD6953"/>
    <w:rsid w:val="00AE10CE"/>
    <w:rsid w:val="00AE4366"/>
    <w:rsid w:val="00AE5553"/>
    <w:rsid w:val="00AE76F3"/>
    <w:rsid w:val="00B15AB1"/>
    <w:rsid w:val="00B24513"/>
    <w:rsid w:val="00B25523"/>
    <w:rsid w:val="00B330D3"/>
    <w:rsid w:val="00B4484F"/>
    <w:rsid w:val="00B51A08"/>
    <w:rsid w:val="00B55A8D"/>
    <w:rsid w:val="00B63AC8"/>
    <w:rsid w:val="00B74B2D"/>
    <w:rsid w:val="00B83DFE"/>
    <w:rsid w:val="00B86CB5"/>
    <w:rsid w:val="00B8793D"/>
    <w:rsid w:val="00B910CC"/>
    <w:rsid w:val="00B9402A"/>
    <w:rsid w:val="00B94467"/>
    <w:rsid w:val="00B9783A"/>
    <w:rsid w:val="00BA6B89"/>
    <w:rsid w:val="00BB3ECC"/>
    <w:rsid w:val="00BC2B01"/>
    <w:rsid w:val="00BD2AD7"/>
    <w:rsid w:val="00BD519E"/>
    <w:rsid w:val="00BE4561"/>
    <w:rsid w:val="00BF5E6F"/>
    <w:rsid w:val="00BF6D04"/>
    <w:rsid w:val="00C01A29"/>
    <w:rsid w:val="00C11AB8"/>
    <w:rsid w:val="00C154AB"/>
    <w:rsid w:val="00C16258"/>
    <w:rsid w:val="00C162B2"/>
    <w:rsid w:val="00C16E91"/>
    <w:rsid w:val="00C21F1B"/>
    <w:rsid w:val="00C2243D"/>
    <w:rsid w:val="00C31EF1"/>
    <w:rsid w:val="00C36B4A"/>
    <w:rsid w:val="00C43E3E"/>
    <w:rsid w:val="00C44EDA"/>
    <w:rsid w:val="00C54FB3"/>
    <w:rsid w:val="00C55702"/>
    <w:rsid w:val="00C61B45"/>
    <w:rsid w:val="00C74F66"/>
    <w:rsid w:val="00C85B46"/>
    <w:rsid w:val="00C8698A"/>
    <w:rsid w:val="00C92AC4"/>
    <w:rsid w:val="00CA472A"/>
    <w:rsid w:val="00CA7C5A"/>
    <w:rsid w:val="00CB02AF"/>
    <w:rsid w:val="00CB7A78"/>
    <w:rsid w:val="00CD1D7A"/>
    <w:rsid w:val="00CD3CBE"/>
    <w:rsid w:val="00CD75EC"/>
    <w:rsid w:val="00CD7C1C"/>
    <w:rsid w:val="00CF3123"/>
    <w:rsid w:val="00CF59F5"/>
    <w:rsid w:val="00CF666B"/>
    <w:rsid w:val="00D16C3E"/>
    <w:rsid w:val="00D205FB"/>
    <w:rsid w:val="00D230C3"/>
    <w:rsid w:val="00D24074"/>
    <w:rsid w:val="00D37634"/>
    <w:rsid w:val="00D37946"/>
    <w:rsid w:val="00D51A71"/>
    <w:rsid w:val="00D60C7F"/>
    <w:rsid w:val="00D662B9"/>
    <w:rsid w:val="00D701E4"/>
    <w:rsid w:val="00D80EDD"/>
    <w:rsid w:val="00D84A86"/>
    <w:rsid w:val="00D90EB8"/>
    <w:rsid w:val="00D91400"/>
    <w:rsid w:val="00DB7589"/>
    <w:rsid w:val="00DC33F9"/>
    <w:rsid w:val="00DD3E74"/>
    <w:rsid w:val="00DD5391"/>
    <w:rsid w:val="00DE5640"/>
    <w:rsid w:val="00DF0221"/>
    <w:rsid w:val="00DF14C2"/>
    <w:rsid w:val="00DF2218"/>
    <w:rsid w:val="00E04047"/>
    <w:rsid w:val="00E441EC"/>
    <w:rsid w:val="00E50E03"/>
    <w:rsid w:val="00E51F43"/>
    <w:rsid w:val="00E5292F"/>
    <w:rsid w:val="00E6545E"/>
    <w:rsid w:val="00E73F0A"/>
    <w:rsid w:val="00E75600"/>
    <w:rsid w:val="00E81958"/>
    <w:rsid w:val="00E85E61"/>
    <w:rsid w:val="00E87E30"/>
    <w:rsid w:val="00E937C5"/>
    <w:rsid w:val="00E93BD6"/>
    <w:rsid w:val="00E971E8"/>
    <w:rsid w:val="00EA40C8"/>
    <w:rsid w:val="00EB5D53"/>
    <w:rsid w:val="00ED52BA"/>
    <w:rsid w:val="00EE3B34"/>
    <w:rsid w:val="00EF43EF"/>
    <w:rsid w:val="00F1017D"/>
    <w:rsid w:val="00F11637"/>
    <w:rsid w:val="00F35572"/>
    <w:rsid w:val="00F418CC"/>
    <w:rsid w:val="00F41A62"/>
    <w:rsid w:val="00F46033"/>
    <w:rsid w:val="00F46682"/>
    <w:rsid w:val="00F46D0A"/>
    <w:rsid w:val="00F675E6"/>
    <w:rsid w:val="00F724DA"/>
    <w:rsid w:val="00F73328"/>
    <w:rsid w:val="00F74D61"/>
    <w:rsid w:val="00F92BF0"/>
    <w:rsid w:val="00F955F4"/>
    <w:rsid w:val="00FA0C9A"/>
    <w:rsid w:val="00FA191D"/>
    <w:rsid w:val="00FA19E6"/>
    <w:rsid w:val="00FA5CEA"/>
    <w:rsid w:val="00FA7329"/>
    <w:rsid w:val="00FC6DFE"/>
    <w:rsid w:val="00FC7C46"/>
    <w:rsid w:val="00FE1587"/>
    <w:rsid w:val="00FE3110"/>
    <w:rsid w:val="00FF01EC"/>
    <w:rsid w:val="00FF2E6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8B5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1E5"/>
    <w:pPr>
      <w:spacing w:after="120"/>
    </w:pPr>
  </w:style>
  <w:style w:type="paragraph" w:styleId="BodyTextIndent">
    <w:name w:val="Body Text Indent"/>
    <w:basedOn w:val="Normal"/>
    <w:rsid w:val="008E31E5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8E31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1E5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Normal"/>
    <w:rsid w:val="008E31E5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E31E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E31E5"/>
    <w:pPr>
      <w:spacing w:before="75" w:after="75"/>
      <w:ind w:firstLine="375"/>
      <w:jc w:val="both"/>
    </w:pPr>
  </w:style>
  <w:style w:type="paragraph" w:customStyle="1" w:styleId="RakstzCharCharRakstz">
    <w:name w:val="Rakstz. Char Char Rakstz."/>
    <w:basedOn w:val="Normal"/>
    <w:rsid w:val="008E31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874C1D"/>
  </w:style>
  <w:style w:type="character" w:styleId="CommentReference">
    <w:name w:val="annotation reference"/>
    <w:semiHidden/>
    <w:rsid w:val="000143BC"/>
    <w:rPr>
      <w:sz w:val="16"/>
      <w:szCs w:val="16"/>
    </w:rPr>
  </w:style>
  <w:style w:type="paragraph" w:styleId="CommentText">
    <w:name w:val="annotation text"/>
    <w:basedOn w:val="Normal"/>
    <w:semiHidden/>
    <w:rsid w:val="000143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43BC"/>
    <w:rPr>
      <w:b/>
      <w:bCs/>
    </w:rPr>
  </w:style>
  <w:style w:type="paragraph" w:styleId="BalloonText">
    <w:name w:val="Balloon Text"/>
    <w:basedOn w:val="Normal"/>
    <w:semiHidden/>
    <w:rsid w:val="000143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isc">
    <w:name w:val="naisc"/>
    <w:basedOn w:val="Normal"/>
    <w:rsid w:val="00FE1587"/>
    <w:pPr>
      <w:spacing w:before="75" w:after="75"/>
      <w:jc w:val="center"/>
    </w:pPr>
  </w:style>
  <w:style w:type="table" w:styleId="TableGrid">
    <w:name w:val="Table Grid"/>
    <w:basedOn w:val="TableNormal"/>
    <w:rsid w:val="0008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4B2D"/>
    <w:rPr>
      <w:color w:val="0000FF"/>
      <w:u w:val="single"/>
    </w:rPr>
  </w:style>
  <w:style w:type="paragraph" w:styleId="NormalWeb">
    <w:name w:val="Normal (Web)"/>
    <w:basedOn w:val="Normal"/>
    <w:rsid w:val="001157FA"/>
    <w:pPr>
      <w:spacing w:before="75" w:after="225"/>
    </w:pPr>
  </w:style>
  <w:style w:type="character" w:customStyle="1" w:styleId="HeaderChar">
    <w:name w:val="Header Char"/>
    <w:link w:val="Header"/>
    <w:uiPriority w:val="99"/>
    <w:locked/>
    <w:rsid w:val="0020305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08B5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8B5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1E5"/>
    <w:pPr>
      <w:spacing w:after="120"/>
    </w:pPr>
  </w:style>
  <w:style w:type="paragraph" w:styleId="BodyTextIndent">
    <w:name w:val="Body Text Indent"/>
    <w:basedOn w:val="Normal"/>
    <w:rsid w:val="008E31E5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8E31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1E5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Normal"/>
    <w:rsid w:val="008E31E5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E31E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E31E5"/>
    <w:pPr>
      <w:spacing w:before="75" w:after="75"/>
      <w:ind w:firstLine="375"/>
      <w:jc w:val="both"/>
    </w:pPr>
  </w:style>
  <w:style w:type="paragraph" w:customStyle="1" w:styleId="RakstzCharCharRakstz">
    <w:name w:val="Rakstz. Char Char Rakstz."/>
    <w:basedOn w:val="Normal"/>
    <w:rsid w:val="008E31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874C1D"/>
  </w:style>
  <w:style w:type="character" w:styleId="CommentReference">
    <w:name w:val="annotation reference"/>
    <w:semiHidden/>
    <w:rsid w:val="000143BC"/>
    <w:rPr>
      <w:sz w:val="16"/>
      <w:szCs w:val="16"/>
    </w:rPr>
  </w:style>
  <w:style w:type="paragraph" w:styleId="CommentText">
    <w:name w:val="annotation text"/>
    <w:basedOn w:val="Normal"/>
    <w:semiHidden/>
    <w:rsid w:val="000143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43BC"/>
    <w:rPr>
      <w:b/>
      <w:bCs/>
    </w:rPr>
  </w:style>
  <w:style w:type="paragraph" w:styleId="BalloonText">
    <w:name w:val="Balloon Text"/>
    <w:basedOn w:val="Normal"/>
    <w:semiHidden/>
    <w:rsid w:val="000143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isc">
    <w:name w:val="naisc"/>
    <w:basedOn w:val="Normal"/>
    <w:rsid w:val="00FE1587"/>
    <w:pPr>
      <w:spacing w:before="75" w:after="75"/>
      <w:jc w:val="center"/>
    </w:pPr>
  </w:style>
  <w:style w:type="table" w:styleId="TableGrid">
    <w:name w:val="Table Grid"/>
    <w:basedOn w:val="TableNormal"/>
    <w:rsid w:val="0008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4B2D"/>
    <w:rPr>
      <w:color w:val="0000FF"/>
      <w:u w:val="single"/>
    </w:rPr>
  </w:style>
  <w:style w:type="paragraph" w:styleId="NormalWeb">
    <w:name w:val="Normal (Web)"/>
    <w:basedOn w:val="Normal"/>
    <w:rsid w:val="001157FA"/>
    <w:pPr>
      <w:spacing w:before="75" w:after="225"/>
    </w:pPr>
  </w:style>
  <w:style w:type="character" w:customStyle="1" w:styleId="HeaderChar">
    <w:name w:val="Header Char"/>
    <w:link w:val="Header"/>
    <w:uiPriority w:val="99"/>
    <w:locked/>
    <w:rsid w:val="0020305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08B5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skutane@mfa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2D19-8DD6-4D5D-B81C-9D97E4EB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4542</Characters>
  <Application>Microsoft Office Word</Application>
  <DocSecurity>4</DocSecurity>
  <Lines>324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Ārlietu ministrija</Company>
  <LinksUpToDate>false</LinksUpToDate>
  <CharactersWithSpaces>5044</CharactersWithSpaces>
  <SharedDoc>false</SharedDoc>
  <HLinks>
    <vt:vector size="6" baseType="variant">
      <vt:variant>
        <vt:i4>19005566</vt:i4>
      </vt:variant>
      <vt:variant>
        <vt:i4>3</vt:i4>
      </vt:variant>
      <vt:variant>
        <vt:i4>0</vt:i4>
      </vt:variant>
      <vt:variant>
        <vt:i4>5</vt:i4>
      </vt:variant>
      <vt:variant>
        <vt:lpwstr>mailto:dana.rudāka@mfa.gov.lv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Ministru kabineta rīkojuma projekta „Par finanšu līdzekļu piešķiršanu no valsts budžeta programmas  „Līdzekļi neparedzētiem gadījumiem”” sākotnējās ietekmes novērtējuma ziņojums (anotācija)</dc:subject>
  <dc:creator>Ārlietu ministrija</dc:creator>
  <dc:description>A. Krastiņš
67016403,andris.krastins@mfa.gov.lv</dc:description>
  <cp:lastModifiedBy>Ilze Skutane</cp:lastModifiedBy>
  <cp:revision>2</cp:revision>
  <cp:lastPrinted>2011-08-04T08:08:00Z</cp:lastPrinted>
  <dcterms:created xsi:type="dcterms:W3CDTF">2011-08-04T09:19:00Z</dcterms:created>
  <dcterms:modified xsi:type="dcterms:W3CDTF">2011-08-04T09:19:00Z</dcterms:modified>
</cp:coreProperties>
</file>