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21" w:rsidRDefault="00916021" w:rsidP="00916021">
      <w:pPr>
        <w:pStyle w:val="Heading1"/>
        <w:rPr>
          <w:szCs w:val="24"/>
        </w:rPr>
      </w:pPr>
      <w:bookmarkStart w:id="0" w:name="bkm16"/>
      <w:bookmarkStart w:id="1" w:name="bkm15"/>
      <w:bookmarkEnd w:id="0"/>
      <w:r>
        <w:rPr>
          <w:szCs w:val="24"/>
        </w:rPr>
        <w:t>Likumprojekts</w:t>
      </w:r>
    </w:p>
    <w:p w:rsidR="00916021" w:rsidRDefault="00916021" w:rsidP="00916021">
      <w:pPr>
        <w:jc w:val="both"/>
        <w:rPr>
          <w:sz w:val="28"/>
        </w:rPr>
      </w:pPr>
    </w:p>
    <w:p w:rsidR="00916021" w:rsidRDefault="00916021" w:rsidP="00916021">
      <w:pPr>
        <w:pStyle w:val="Heading2"/>
        <w:rPr>
          <w:szCs w:val="24"/>
        </w:rPr>
      </w:pPr>
      <w:bookmarkStart w:id="2" w:name="OLE_LINK4"/>
      <w:bookmarkStart w:id="3" w:name="OLE_LINK3"/>
      <w:bookmarkStart w:id="4" w:name="OLE_LINK8"/>
      <w:bookmarkStart w:id="5" w:name="OLE_LINK7"/>
      <w:r>
        <w:rPr>
          <w:szCs w:val="24"/>
        </w:rPr>
        <w:t xml:space="preserve">Grozījumi </w:t>
      </w:r>
      <w:bookmarkEnd w:id="2"/>
      <w:bookmarkEnd w:id="3"/>
      <w:r>
        <w:t>likumā „Par nodokļiem un nodevām</w:t>
      </w:r>
      <w:bookmarkEnd w:id="4"/>
      <w:bookmarkEnd w:id="5"/>
      <w:r>
        <w:t>”</w:t>
      </w:r>
    </w:p>
    <w:p w:rsidR="00916021" w:rsidRDefault="00916021" w:rsidP="00916021">
      <w:pPr>
        <w:pStyle w:val="BodyTextIndent"/>
      </w:pPr>
    </w:p>
    <w:p w:rsidR="00916021" w:rsidRDefault="00916021" w:rsidP="00916021">
      <w:pPr>
        <w:pStyle w:val="BodyTextIndent"/>
        <w:spacing w:before="100" w:beforeAutospacing="1" w:after="100" w:afterAutospacing="1"/>
        <w:rPr>
          <w:rFonts w:ascii="Courier New" w:hAnsi="Courier New" w:cs="Courier New"/>
          <w:sz w:val="20"/>
          <w:szCs w:val="20"/>
          <w:lang w:eastAsia="lv-LV"/>
        </w:rPr>
      </w:pPr>
      <w:r>
        <w:rPr>
          <w:szCs w:val="28"/>
        </w:rPr>
        <w:t xml:space="preserve">Izdarīt likumā „Par nodokļiem un nodevām” </w:t>
      </w:r>
      <w:r>
        <w:t xml:space="preserve">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 </w:t>
      </w:r>
      <w:proofErr w:type="spellStart"/>
      <w:r>
        <w:t>nr</w:t>
      </w:r>
      <w:proofErr w:type="spellEnd"/>
      <w:r>
        <w:t>.; 2010, 91., 101., 131., 151., 157.</w:t>
      </w:r>
      <w:r w:rsidR="007439A5">
        <w:t>,</w:t>
      </w:r>
      <w:r w:rsidR="007439A5" w:rsidRPr="007439A5">
        <w:rPr>
          <w:szCs w:val="28"/>
        </w:rPr>
        <w:t xml:space="preserve"> </w:t>
      </w:r>
      <w:r w:rsidR="007439A5">
        <w:rPr>
          <w:szCs w:val="28"/>
        </w:rPr>
        <w:t>186., 199., 203.nr.; 2013, 61., 92.nr.)</w:t>
      </w:r>
      <w:r>
        <w:rPr>
          <w:szCs w:val="28"/>
        </w:rPr>
        <w:t xml:space="preserve"> šādus grozījumus</w:t>
      </w:r>
      <w:r>
        <w:t>:</w:t>
      </w:r>
    </w:p>
    <w:p w:rsidR="00916021" w:rsidRDefault="00916021" w:rsidP="00916021">
      <w:pPr>
        <w:pStyle w:val="BodyTextIndent"/>
        <w:spacing w:before="100" w:beforeAutospacing="1" w:after="100" w:afterAutospacing="1"/>
        <w:ind w:firstLine="567"/>
        <w:rPr>
          <w:szCs w:val="28"/>
        </w:rPr>
      </w:pPr>
      <w:r>
        <w:rPr>
          <w:szCs w:val="28"/>
        </w:rPr>
        <w:t xml:space="preserve">1. Papildināt likuma 11.panta otro daļu ar </w:t>
      </w:r>
      <w:r w:rsidR="007439A5">
        <w:rPr>
          <w:szCs w:val="28"/>
        </w:rPr>
        <w:t>12</w:t>
      </w:r>
      <w:r w:rsidR="00E930C2">
        <w:rPr>
          <w:szCs w:val="28"/>
        </w:rPr>
        <w:t>6</w:t>
      </w:r>
      <w:r>
        <w:rPr>
          <w:szCs w:val="28"/>
        </w:rPr>
        <w:t>.punktu šādā redakcijā:</w:t>
      </w:r>
    </w:p>
    <w:bookmarkEnd w:id="1"/>
    <w:p w:rsidR="00916021" w:rsidRDefault="00916021" w:rsidP="00916021">
      <w:pPr>
        <w:pStyle w:val="naisf"/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„1</w:t>
      </w:r>
      <w:r w:rsidR="00EB51DD">
        <w:rPr>
          <w:sz w:val="28"/>
          <w:szCs w:val="28"/>
        </w:rPr>
        <w:t>2</w:t>
      </w:r>
      <w:r w:rsidR="00E930C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EB51DD" w:rsidRPr="00EB51DD">
        <w:rPr>
          <w:sz w:val="28"/>
          <w:szCs w:val="28"/>
        </w:rPr>
        <w:t>par pilsonības reģistrācijas iesnieguma izskatīšanu</w:t>
      </w:r>
      <w:r>
        <w:rPr>
          <w:sz w:val="28"/>
          <w:szCs w:val="28"/>
        </w:rPr>
        <w:t>.”</w:t>
      </w:r>
    </w:p>
    <w:p w:rsidR="00916021" w:rsidRDefault="00916021" w:rsidP="00916021">
      <w:pPr>
        <w:pStyle w:val="naisf"/>
        <w:ind w:firstLine="567"/>
        <w:rPr>
          <w:sz w:val="28"/>
          <w:szCs w:val="28"/>
        </w:rPr>
      </w:pPr>
    </w:p>
    <w:p w:rsidR="00916021" w:rsidRDefault="00916021" w:rsidP="00916021">
      <w:pPr>
        <w:pStyle w:val="naisf"/>
        <w:ind w:firstLine="567"/>
        <w:rPr>
          <w:sz w:val="28"/>
          <w:szCs w:val="28"/>
        </w:rPr>
      </w:pPr>
      <w:r>
        <w:rPr>
          <w:sz w:val="28"/>
          <w:szCs w:val="28"/>
        </w:rPr>
        <w:t>2. Papildināt pārejas noteikumus ar 1</w:t>
      </w:r>
      <w:r w:rsidR="00EB51DD">
        <w:rPr>
          <w:sz w:val="28"/>
          <w:szCs w:val="28"/>
        </w:rPr>
        <w:t>5</w:t>
      </w:r>
      <w:r w:rsidR="00E930C2">
        <w:rPr>
          <w:sz w:val="28"/>
          <w:szCs w:val="28"/>
        </w:rPr>
        <w:t>2</w:t>
      </w:r>
      <w:r>
        <w:rPr>
          <w:sz w:val="28"/>
          <w:szCs w:val="28"/>
        </w:rPr>
        <w:t>.punktu šādā redakcijā:</w:t>
      </w:r>
    </w:p>
    <w:p w:rsidR="00916021" w:rsidRDefault="00916021" w:rsidP="00916021">
      <w:pPr>
        <w:pStyle w:val="naisf"/>
        <w:ind w:firstLine="567"/>
        <w:rPr>
          <w:sz w:val="28"/>
          <w:szCs w:val="28"/>
        </w:rPr>
      </w:pPr>
      <w:r>
        <w:rPr>
          <w:sz w:val="28"/>
          <w:szCs w:val="28"/>
        </w:rPr>
        <w:t>„</w:t>
      </w:r>
      <w:r w:rsidR="00EB51DD">
        <w:rPr>
          <w:sz w:val="28"/>
          <w:szCs w:val="28"/>
        </w:rPr>
        <w:t>15</w:t>
      </w:r>
      <w:r w:rsidR="00E930C2">
        <w:rPr>
          <w:sz w:val="28"/>
          <w:szCs w:val="28"/>
        </w:rPr>
        <w:t>2</w:t>
      </w:r>
      <w:r>
        <w:rPr>
          <w:sz w:val="28"/>
          <w:szCs w:val="28"/>
        </w:rPr>
        <w:t xml:space="preserve">. Šā likuma 11.panta otrās daļas </w:t>
      </w:r>
      <w:r w:rsidR="007439A5">
        <w:rPr>
          <w:sz w:val="28"/>
          <w:szCs w:val="28"/>
        </w:rPr>
        <w:t>12</w:t>
      </w:r>
      <w:r w:rsidR="00E930C2">
        <w:rPr>
          <w:sz w:val="28"/>
          <w:szCs w:val="28"/>
        </w:rPr>
        <w:t>6</w:t>
      </w:r>
      <w:r>
        <w:rPr>
          <w:sz w:val="28"/>
          <w:szCs w:val="28"/>
        </w:rPr>
        <w:t>.punkts stājas spēkā</w:t>
      </w:r>
      <w:r w:rsidR="00EB51DD">
        <w:rPr>
          <w:sz w:val="28"/>
          <w:szCs w:val="28"/>
        </w:rPr>
        <w:t xml:space="preserve"> 2013. gada</w:t>
      </w:r>
      <w:r w:rsidR="007439A5">
        <w:rPr>
          <w:sz w:val="28"/>
          <w:szCs w:val="28"/>
        </w:rPr>
        <w:t xml:space="preserve"> 1.</w:t>
      </w:r>
      <w:r w:rsidR="008B5AEE">
        <w:rPr>
          <w:sz w:val="28"/>
          <w:szCs w:val="28"/>
        </w:rPr>
        <w:t> </w:t>
      </w:r>
      <w:r w:rsidR="00EB51DD">
        <w:rPr>
          <w:sz w:val="28"/>
          <w:szCs w:val="28"/>
        </w:rPr>
        <w:t>oktobrī</w:t>
      </w:r>
      <w:r>
        <w:rPr>
          <w:sz w:val="28"/>
          <w:szCs w:val="28"/>
        </w:rPr>
        <w:t>.”</w:t>
      </w:r>
    </w:p>
    <w:p w:rsidR="00916021" w:rsidRDefault="00916021" w:rsidP="00916021">
      <w:pPr>
        <w:pStyle w:val="naisf"/>
        <w:ind w:firstLine="567"/>
        <w:rPr>
          <w:rFonts w:eastAsia="Calibri"/>
          <w:sz w:val="28"/>
          <w:szCs w:val="28"/>
          <w:lang w:eastAsia="en-US"/>
        </w:rPr>
      </w:pPr>
    </w:p>
    <w:p w:rsidR="00916021" w:rsidRDefault="00916021" w:rsidP="00916021">
      <w:pPr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916021" w:rsidRDefault="00916021" w:rsidP="00916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4254"/>
      </w:tblGrid>
      <w:tr w:rsidR="00916021" w:rsidTr="00916021">
        <w:tc>
          <w:tcPr>
            <w:tcW w:w="4268" w:type="dxa"/>
            <w:hideMark/>
          </w:tcPr>
          <w:p w:rsidR="00916021" w:rsidRDefault="0091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Ārlietu ministrs</w:t>
            </w:r>
          </w:p>
        </w:tc>
        <w:tc>
          <w:tcPr>
            <w:tcW w:w="4254" w:type="dxa"/>
          </w:tcPr>
          <w:p w:rsidR="00916021" w:rsidRDefault="007439A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E.Rinkēvičs</w:t>
            </w:r>
            <w:proofErr w:type="spellEnd"/>
          </w:p>
          <w:p w:rsidR="00916021" w:rsidRDefault="009160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021" w:rsidTr="00916021">
        <w:tc>
          <w:tcPr>
            <w:tcW w:w="4268" w:type="dxa"/>
          </w:tcPr>
          <w:p w:rsidR="00916021" w:rsidRDefault="007439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Vīza: Valsts sekretāra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p.i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916021" w:rsidRDefault="007439A5" w:rsidP="00EB51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E.Stiprais</w:t>
            </w:r>
          </w:p>
        </w:tc>
      </w:tr>
    </w:tbl>
    <w:p w:rsidR="00916021" w:rsidRDefault="00916021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6021" w:rsidRDefault="00916021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DD" w:rsidRDefault="00EB51DD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6021" w:rsidRDefault="00E930C2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03.09</w:t>
      </w:r>
      <w:r w:rsidR="00EB51DD">
        <w:rPr>
          <w:rFonts w:ascii="Times New Roman" w:hAnsi="Times New Roman"/>
          <w:sz w:val="20"/>
          <w:szCs w:val="20"/>
        </w:rPr>
        <w:t>.2013</w:t>
      </w:r>
    </w:p>
    <w:p w:rsidR="00EB51DD" w:rsidRDefault="00EB51DD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E930C2">
        <w:rPr>
          <w:rFonts w:ascii="Times New Roman" w:hAnsi="Times New Roman"/>
          <w:noProof/>
          <w:sz w:val="20"/>
          <w:szCs w:val="20"/>
        </w:rPr>
        <w:t>144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916021" w:rsidRDefault="00EB51DD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Jekaterina Tuļina</w:t>
      </w:r>
    </w:p>
    <w:p w:rsidR="00916021" w:rsidRDefault="00916021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67016</w:t>
      </w:r>
      <w:r w:rsidR="00EB51DD">
        <w:rPr>
          <w:rFonts w:ascii="Times New Roman" w:hAnsi="Times New Roman"/>
          <w:sz w:val="20"/>
          <w:szCs w:val="20"/>
        </w:rPr>
        <w:t>177</w:t>
      </w:r>
      <w:r>
        <w:rPr>
          <w:rFonts w:ascii="Times New Roman" w:hAnsi="Times New Roman"/>
          <w:sz w:val="20"/>
          <w:szCs w:val="20"/>
        </w:rPr>
        <w:t>,</w:t>
      </w:r>
      <w:r w:rsidR="00EB51DD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EB51DD" w:rsidRPr="00434E24">
          <w:rPr>
            <w:rStyle w:val="Hyperlink"/>
            <w:rFonts w:ascii="Times New Roman" w:hAnsi="Times New Roman"/>
            <w:sz w:val="20"/>
            <w:szCs w:val="20"/>
          </w:rPr>
          <w:t>jekaterina.tulina@mfa.gov.lv</w:t>
        </w:r>
      </w:hyperlink>
    </w:p>
    <w:p w:rsidR="00EB51DD" w:rsidRDefault="00EB51DD" w:rsidP="00916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1ED6" w:rsidRDefault="00916021" w:rsidP="00EB51DD">
      <w:pPr>
        <w:tabs>
          <w:tab w:val="left" w:pos="1785"/>
        </w:tabs>
      </w:pPr>
      <w:r>
        <w:tab/>
      </w:r>
    </w:p>
    <w:sectPr w:rsidR="005D1ED6" w:rsidSect="006D5DF7">
      <w:footerReference w:type="default" r:id="rId8"/>
      <w:pgSz w:w="11907" w:h="16840" w:code="9"/>
      <w:pgMar w:top="1134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EE" w:rsidRDefault="008B5AEE" w:rsidP="008B5AEE">
      <w:pPr>
        <w:spacing w:after="0" w:line="240" w:lineRule="auto"/>
      </w:pPr>
      <w:r>
        <w:separator/>
      </w:r>
    </w:p>
  </w:endnote>
  <w:endnote w:type="continuationSeparator" w:id="0">
    <w:p w:rsidR="008B5AEE" w:rsidRDefault="008B5AEE" w:rsidP="008B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EE" w:rsidRPr="00090E56" w:rsidRDefault="008B5AEE">
    <w:pPr>
      <w:pStyle w:val="Footer"/>
      <w:rPr>
        <w:rFonts w:ascii="Times New Roman" w:hAnsi="Times New Roman"/>
        <w:sz w:val="20"/>
        <w:szCs w:val="20"/>
      </w:rPr>
    </w:pPr>
    <w:r w:rsidRPr="008B5AEE">
      <w:rPr>
        <w:rFonts w:ascii="Times New Roman" w:hAnsi="Times New Roman"/>
        <w:sz w:val="20"/>
        <w:szCs w:val="20"/>
      </w:rPr>
      <w:fldChar w:fldCharType="begin"/>
    </w:r>
    <w:r w:rsidRPr="008B5AEE">
      <w:rPr>
        <w:rFonts w:ascii="Times New Roman" w:hAnsi="Times New Roman"/>
        <w:sz w:val="20"/>
        <w:szCs w:val="20"/>
      </w:rPr>
      <w:instrText xml:space="preserve"> FILENAME   \* MERGEFORMAT </w:instrText>
    </w:r>
    <w:r w:rsidRPr="008B5AEE">
      <w:rPr>
        <w:rFonts w:ascii="Times New Roman" w:hAnsi="Times New Roman"/>
        <w:sz w:val="20"/>
        <w:szCs w:val="20"/>
      </w:rPr>
      <w:fldChar w:fldCharType="separate"/>
    </w:r>
    <w:r w:rsidR="00E930C2">
      <w:rPr>
        <w:rFonts w:ascii="Times New Roman" w:hAnsi="Times New Roman"/>
        <w:noProof/>
        <w:sz w:val="20"/>
        <w:szCs w:val="20"/>
      </w:rPr>
      <w:t>AMlik_030913_pilsoniba_VN</w:t>
    </w:r>
    <w:r w:rsidRPr="008B5AEE">
      <w:rPr>
        <w:rFonts w:ascii="Times New Roman" w:hAnsi="Times New Roman"/>
        <w:sz w:val="20"/>
        <w:szCs w:val="20"/>
      </w:rPr>
      <w:fldChar w:fldCharType="end"/>
    </w:r>
    <w:r w:rsidRPr="008B5AEE">
      <w:rPr>
        <w:rFonts w:ascii="Times New Roman" w:hAnsi="Times New Roman"/>
        <w:sz w:val="20"/>
        <w:szCs w:val="20"/>
      </w:rPr>
      <w:t>; Likumprojekts „Grozījumi likumā „Par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EE" w:rsidRDefault="008B5AEE" w:rsidP="008B5AEE">
      <w:pPr>
        <w:spacing w:after="0" w:line="240" w:lineRule="auto"/>
      </w:pPr>
      <w:r>
        <w:separator/>
      </w:r>
    </w:p>
  </w:footnote>
  <w:footnote w:type="continuationSeparator" w:id="0">
    <w:p w:rsidR="008B5AEE" w:rsidRDefault="008B5AEE" w:rsidP="008B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21"/>
    <w:rsid w:val="00090E56"/>
    <w:rsid w:val="00457B93"/>
    <w:rsid w:val="005D1ED6"/>
    <w:rsid w:val="006D5DF7"/>
    <w:rsid w:val="007439A5"/>
    <w:rsid w:val="008B5AEE"/>
    <w:rsid w:val="00916021"/>
    <w:rsid w:val="00970980"/>
    <w:rsid w:val="00D92210"/>
    <w:rsid w:val="00E930C2"/>
    <w:rsid w:val="00E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21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1602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60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021"/>
    <w:rPr>
      <w:rFonts w:ascii="Times New Roman" w:eastAsia="Times New Roman" w:hAnsi="Times New Roman" w:cs="Times New Roman"/>
      <w:i/>
      <w:iCs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916021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9160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602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91602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B51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EE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EE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EE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021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1602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60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021"/>
    <w:rPr>
      <w:rFonts w:ascii="Times New Roman" w:eastAsia="Times New Roman" w:hAnsi="Times New Roman" w:cs="Times New Roman"/>
      <w:i/>
      <w:iCs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916021"/>
    <w:rPr>
      <w:rFonts w:ascii="Times New Roman" w:eastAsia="Times New Roman" w:hAnsi="Times New Roman" w:cs="Times New Roman"/>
      <w:b/>
      <w:bCs/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9160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6021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Normal"/>
    <w:rsid w:val="0091602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B51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EE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B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EE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EE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katerina.tulina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Tulina</dc:creator>
  <cp:lastModifiedBy>Jekaterina Tulina</cp:lastModifiedBy>
  <cp:revision>3</cp:revision>
  <cp:lastPrinted>2013-08-29T13:08:00Z</cp:lastPrinted>
  <dcterms:created xsi:type="dcterms:W3CDTF">2013-09-03T13:33:00Z</dcterms:created>
  <dcterms:modified xsi:type="dcterms:W3CDTF">2013-09-03T13:36:00Z</dcterms:modified>
</cp:coreProperties>
</file>