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2B" w:rsidRPr="00B518BA" w:rsidRDefault="007C312B" w:rsidP="00D93E66">
      <w:pPr>
        <w:pStyle w:val="Heading1"/>
        <w:spacing w:before="0" w:after="120"/>
        <w:jc w:val="right"/>
        <w:rPr>
          <w:rFonts w:ascii="Times New Roman" w:hAnsi="Times New Roman" w:cs="Times New Roman"/>
          <w:b w:val="0"/>
          <w:sz w:val="28"/>
          <w:szCs w:val="24"/>
          <w:lang w:val="lv-LV"/>
        </w:rPr>
      </w:pPr>
      <w:r w:rsidRPr="00B518BA">
        <w:rPr>
          <w:rFonts w:ascii="Times New Roman" w:hAnsi="Times New Roman" w:cs="Times New Roman"/>
          <w:b w:val="0"/>
          <w:sz w:val="28"/>
          <w:szCs w:val="24"/>
          <w:lang w:val="lv-LV"/>
        </w:rPr>
        <w:t>Projekts</w:t>
      </w:r>
    </w:p>
    <w:p w:rsidR="007C312B" w:rsidRDefault="007C312B" w:rsidP="00D93E66">
      <w:pPr>
        <w:pStyle w:val="Heading1"/>
        <w:spacing w:before="0" w:after="120"/>
        <w:jc w:val="center"/>
        <w:rPr>
          <w:rFonts w:ascii="Times New Roman" w:hAnsi="Times New Roman" w:cs="Times New Roman"/>
          <w:sz w:val="28"/>
          <w:szCs w:val="24"/>
          <w:lang w:val="lv-LV"/>
        </w:rPr>
      </w:pPr>
    </w:p>
    <w:p w:rsidR="007C312B" w:rsidRPr="00B518BA" w:rsidRDefault="007C312B" w:rsidP="00D93E66">
      <w:pPr>
        <w:pStyle w:val="Heading1"/>
        <w:spacing w:before="0" w:after="120"/>
        <w:jc w:val="center"/>
        <w:rPr>
          <w:rFonts w:ascii="Times New Roman" w:hAnsi="Times New Roman" w:cs="Times New Roman"/>
          <w:sz w:val="28"/>
          <w:szCs w:val="24"/>
          <w:lang w:val="lv-LV"/>
        </w:rPr>
      </w:pPr>
      <w:r w:rsidRPr="00B518BA">
        <w:rPr>
          <w:rFonts w:ascii="Times New Roman" w:hAnsi="Times New Roman" w:cs="Times New Roman"/>
          <w:sz w:val="28"/>
          <w:szCs w:val="24"/>
          <w:lang w:val="lv-LV"/>
        </w:rPr>
        <w:t>LATVIJAS REPUBLIKAS MINISTRU KABINETS</w:t>
      </w:r>
    </w:p>
    <w:p w:rsidR="007C312B" w:rsidRDefault="007C312B" w:rsidP="00701ABC">
      <w:pPr>
        <w:tabs>
          <w:tab w:val="left" w:pos="6840"/>
          <w:tab w:val="right" w:pos="9000"/>
        </w:tabs>
        <w:rPr>
          <w:sz w:val="28"/>
          <w:szCs w:val="28"/>
          <w:lang w:val="lv-LV"/>
        </w:rPr>
      </w:pPr>
    </w:p>
    <w:p w:rsidR="007C312B" w:rsidRPr="00562D76" w:rsidRDefault="007C312B" w:rsidP="00701ABC">
      <w:pPr>
        <w:tabs>
          <w:tab w:val="left" w:pos="6840"/>
          <w:tab w:val="right" w:pos="9000"/>
        </w:tabs>
        <w:rPr>
          <w:sz w:val="28"/>
          <w:szCs w:val="28"/>
          <w:lang w:val="lv-LV"/>
        </w:rPr>
      </w:pPr>
      <w:r w:rsidRPr="00562D76">
        <w:rPr>
          <w:sz w:val="28"/>
          <w:szCs w:val="28"/>
          <w:lang w:val="lv-LV"/>
        </w:rPr>
        <w:t>20</w:t>
      </w:r>
      <w:r>
        <w:rPr>
          <w:sz w:val="28"/>
          <w:szCs w:val="28"/>
          <w:lang w:val="lv-LV"/>
        </w:rPr>
        <w:t>11</w:t>
      </w:r>
      <w:r w:rsidRPr="00562D76">
        <w:rPr>
          <w:sz w:val="28"/>
          <w:szCs w:val="28"/>
          <w:lang w:val="lv-LV"/>
        </w:rPr>
        <w:t>.gada</w:t>
      </w:r>
      <w:r w:rsidRPr="00562D76">
        <w:rPr>
          <w:sz w:val="28"/>
          <w:szCs w:val="28"/>
          <w:lang w:val="lv-LV"/>
        </w:rPr>
        <w:tab/>
        <w:t>Noteikumi Nr.</w:t>
      </w:r>
    </w:p>
    <w:p w:rsidR="007C312B" w:rsidRPr="00562D76" w:rsidRDefault="007C312B" w:rsidP="00701ABC">
      <w:pPr>
        <w:tabs>
          <w:tab w:val="left" w:pos="6840"/>
          <w:tab w:val="right" w:pos="9000"/>
        </w:tabs>
        <w:rPr>
          <w:sz w:val="28"/>
          <w:szCs w:val="28"/>
          <w:lang w:val="lv-LV"/>
        </w:rPr>
      </w:pPr>
      <w:r w:rsidRPr="00562D76">
        <w:rPr>
          <w:sz w:val="28"/>
          <w:szCs w:val="28"/>
          <w:lang w:val="lv-LV"/>
        </w:rPr>
        <w:t>Rīgā</w:t>
      </w:r>
      <w:r w:rsidRPr="00562D76">
        <w:rPr>
          <w:sz w:val="28"/>
          <w:szCs w:val="28"/>
          <w:lang w:val="lv-LV"/>
        </w:rPr>
        <w:tab/>
        <w:t>(prot. Nr.            .§)</w:t>
      </w:r>
    </w:p>
    <w:p w:rsidR="007C312B" w:rsidRPr="00562D76" w:rsidRDefault="007C312B" w:rsidP="00701ABC">
      <w:pPr>
        <w:pStyle w:val="Heading2"/>
        <w:jc w:val="center"/>
        <w:rPr>
          <w:b/>
          <w:bCs/>
          <w:i w:val="0"/>
          <w:sz w:val="28"/>
        </w:rPr>
      </w:pPr>
    </w:p>
    <w:p w:rsidR="007C312B" w:rsidRDefault="007C312B" w:rsidP="00701ABC">
      <w:pPr>
        <w:pStyle w:val="Heading2"/>
        <w:jc w:val="center"/>
        <w:rPr>
          <w:b/>
          <w:bCs/>
          <w:i w:val="0"/>
          <w:sz w:val="28"/>
        </w:rPr>
      </w:pPr>
      <w:r>
        <w:rPr>
          <w:b/>
          <w:bCs/>
          <w:i w:val="0"/>
          <w:sz w:val="28"/>
        </w:rPr>
        <w:t>Grozījumi Ministru kabineta 2010.gada 20.jūlija noteikumos Nr.657</w:t>
      </w:r>
    </w:p>
    <w:p w:rsidR="007C312B" w:rsidRPr="00562D76" w:rsidRDefault="007C312B" w:rsidP="00701ABC">
      <w:pPr>
        <w:pStyle w:val="Heading2"/>
        <w:jc w:val="center"/>
        <w:rPr>
          <w:b/>
          <w:i w:val="0"/>
          <w:sz w:val="28"/>
        </w:rPr>
      </w:pPr>
      <w:r>
        <w:rPr>
          <w:b/>
          <w:bCs/>
          <w:i w:val="0"/>
          <w:sz w:val="28"/>
        </w:rPr>
        <w:t>„</w:t>
      </w:r>
      <w:r w:rsidRPr="00562D76">
        <w:rPr>
          <w:b/>
          <w:bCs/>
          <w:i w:val="0"/>
          <w:sz w:val="28"/>
        </w:rPr>
        <w:t xml:space="preserve">Kārtība, kādā izsniedz vai atsaka izsniegt stratēģiskas nozīmes preču licences un citus </w:t>
      </w:r>
      <w:r w:rsidRPr="00562D76">
        <w:rPr>
          <w:b/>
          <w:i w:val="0"/>
          <w:sz w:val="28"/>
        </w:rPr>
        <w:t>ar stratēģiskas nozīmes preču apriti saistītos dokumentus</w:t>
      </w:r>
      <w:r>
        <w:rPr>
          <w:b/>
          <w:i w:val="0"/>
          <w:sz w:val="28"/>
        </w:rPr>
        <w:t>”</w:t>
      </w:r>
    </w:p>
    <w:p w:rsidR="007C312B" w:rsidRPr="00562D76" w:rsidRDefault="007C312B" w:rsidP="00701ABC">
      <w:pPr>
        <w:jc w:val="right"/>
        <w:rPr>
          <w:sz w:val="28"/>
          <w:lang w:val="lv-LV"/>
        </w:rPr>
      </w:pPr>
    </w:p>
    <w:p w:rsidR="007C312B" w:rsidRPr="00562D76" w:rsidRDefault="007C312B" w:rsidP="00701ABC">
      <w:pPr>
        <w:jc w:val="right"/>
        <w:rPr>
          <w:sz w:val="28"/>
          <w:lang w:val="lv-LV"/>
        </w:rPr>
      </w:pPr>
      <w:r w:rsidRPr="00562D76">
        <w:rPr>
          <w:sz w:val="28"/>
          <w:lang w:val="lv-LV"/>
        </w:rPr>
        <w:t>Izdoti saskaņā ar Stratēģiskas</w:t>
      </w:r>
    </w:p>
    <w:p w:rsidR="007C312B" w:rsidRPr="00562D76" w:rsidRDefault="007C312B" w:rsidP="00701ABC">
      <w:pPr>
        <w:jc w:val="right"/>
        <w:rPr>
          <w:sz w:val="28"/>
          <w:lang w:val="lv-LV"/>
        </w:rPr>
      </w:pPr>
      <w:r w:rsidRPr="00562D76">
        <w:rPr>
          <w:sz w:val="28"/>
          <w:lang w:val="lv-LV"/>
        </w:rPr>
        <w:t>nozīmes preču aprites likuma</w:t>
      </w:r>
    </w:p>
    <w:p w:rsidR="007C312B" w:rsidRPr="00562D76" w:rsidRDefault="007C312B" w:rsidP="00701ABC">
      <w:pPr>
        <w:jc w:val="right"/>
        <w:rPr>
          <w:sz w:val="28"/>
          <w:lang w:val="lv-LV"/>
        </w:rPr>
      </w:pPr>
      <w:r w:rsidRPr="00562D76">
        <w:rPr>
          <w:sz w:val="28"/>
          <w:lang w:val="lv-LV"/>
        </w:rPr>
        <w:t>5.panta divpadsmito daļu, 6.pantu,</w:t>
      </w:r>
    </w:p>
    <w:p w:rsidR="007C312B" w:rsidRPr="00562D76" w:rsidRDefault="007C312B" w:rsidP="00701ABC">
      <w:pPr>
        <w:jc w:val="right"/>
        <w:rPr>
          <w:sz w:val="28"/>
          <w:lang w:val="lv-LV"/>
        </w:rPr>
      </w:pPr>
      <w:r w:rsidRPr="00562D76">
        <w:rPr>
          <w:sz w:val="28"/>
          <w:lang w:val="lv-LV"/>
        </w:rPr>
        <w:t>7.panta ceturto daļu</w:t>
      </w:r>
    </w:p>
    <w:p w:rsidR="007C312B" w:rsidRPr="00562D76" w:rsidRDefault="007C312B" w:rsidP="00701ABC">
      <w:pPr>
        <w:jc w:val="right"/>
        <w:rPr>
          <w:sz w:val="28"/>
          <w:lang w:val="lv-LV"/>
        </w:rPr>
      </w:pPr>
      <w:r w:rsidRPr="00562D76">
        <w:rPr>
          <w:sz w:val="28"/>
          <w:lang w:val="lv-LV"/>
        </w:rPr>
        <w:t xml:space="preserve">un 12.panta devīto daļu </w:t>
      </w:r>
    </w:p>
    <w:p w:rsidR="007C312B" w:rsidRDefault="007C312B" w:rsidP="00B91339">
      <w:pPr>
        <w:pStyle w:val="naisf"/>
        <w:spacing w:before="0" w:beforeAutospacing="0" w:after="0" w:afterAutospacing="0"/>
        <w:ind w:firstLine="709"/>
        <w:jc w:val="both"/>
        <w:rPr>
          <w:color w:val="000000"/>
          <w:sz w:val="28"/>
          <w:szCs w:val="28"/>
        </w:rPr>
      </w:pPr>
    </w:p>
    <w:p w:rsidR="007C312B" w:rsidRPr="00652CEC" w:rsidRDefault="007C312B" w:rsidP="00B91339">
      <w:pPr>
        <w:pStyle w:val="naisf"/>
        <w:spacing w:before="0" w:beforeAutospacing="0" w:after="0" w:afterAutospacing="0"/>
        <w:ind w:firstLine="709"/>
        <w:jc w:val="both"/>
        <w:rPr>
          <w:noProof/>
          <w:color w:val="000000"/>
          <w:sz w:val="28"/>
          <w:szCs w:val="28"/>
        </w:rPr>
      </w:pPr>
      <w:r w:rsidRPr="00652CEC">
        <w:rPr>
          <w:color w:val="000000"/>
          <w:sz w:val="28"/>
          <w:szCs w:val="28"/>
        </w:rPr>
        <w:t>Izdarīt Ministru kabineta 20</w:t>
      </w:r>
      <w:r>
        <w:rPr>
          <w:color w:val="000000"/>
          <w:sz w:val="28"/>
          <w:szCs w:val="28"/>
        </w:rPr>
        <w:t>10</w:t>
      </w:r>
      <w:r w:rsidRPr="00652CEC">
        <w:rPr>
          <w:color w:val="000000"/>
          <w:sz w:val="28"/>
          <w:szCs w:val="28"/>
        </w:rPr>
        <w:t xml:space="preserve">.gada </w:t>
      </w:r>
      <w:r>
        <w:rPr>
          <w:color w:val="000000"/>
          <w:sz w:val="28"/>
          <w:szCs w:val="28"/>
        </w:rPr>
        <w:t xml:space="preserve">20.jūlija noteikumos </w:t>
      </w:r>
      <w:r w:rsidRPr="00652CEC">
        <w:rPr>
          <w:color w:val="000000"/>
          <w:sz w:val="28"/>
          <w:szCs w:val="28"/>
        </w:rPr>
        <w:t>Nr.</w:t>
      </w:r>
      <w:r>
        <w:rPr>
          <w:color w:val="000000"/>
          <w:sz w:val="28"/>
          <w:szCs w:val="28"/>
        </w:rPr>
        <w:t>657</w:t>
      </w:r>
      <w:r w:rsidRPr="00652CEC">
        <w:rPr>
          <w:color w:val="000000"/>
          <w:sz w:val="28"/>
          <w:szCs w:val="28"/>
        </w:rPr>
        <w:t xml:space="preserve"> </w:t>
      </w:r>
      <w:r w:rsidRPr="00B91339">
        <w:rPr>
          <w:color w:val="000000"/>
          <w:sz w:val="28"/>
          <w:szCs w:val="28"/>
        </w:rPr>
        <w:t>„</w:t>
      </w:r>
      <w:r w:rsidRPr="00B91339">
        <w:rPr>
          <w:bCs/>
          <w:sz w:val="28"/>
        </w:rPr>
        <w:t xml:space="preserve">Kārtība, kādā izsniedz vai atsaka izsniegt stratēģiskas nozīmes preču licences un citus </w:t>
      </w:r>
      <w:r w:rsidRPr="00B91339">
        <w:rPr>
          <w:sz w:val="28"/>
        </w:rPr>
        <w:t>ar stratēģiskas nozīmes preču apriti saistītos dokumentus</w:t>
      </w:r>
      <w:r w:rsidRPr="00B91339">
        <w:rPr>
          <w:color w:val="000000"/>
          <w:sz w:val="28"/>
          <w:szCs w:val="28"/>
        </w:rPr>
        <w:t>” (Latvijas Vēstnesis, 20</w:t>
      </w:r>
      <w:r>
        <w:rPr>
          <w:color w:val="000000"/>
          <w:sz w:val="28"/>
          <w:szCs w:val="28"/>
        </w:rPr>
        <w:t>10</w:t>
      </w:r>
      <w:r w:rsidRPr="00B91339">
        <w:rPr>
          <w:color w:val="000000"/>
          <w:sz w:val="28"/>
          <w:szCs w:val="28"/>
        </w:rPr>
        <w:t>,</w:t>
      </w:r>
      <w:r w:rsidRPr="00652CEC">
        <w:rPr>
          <w:color w:val="000000"/>
          <w:sz w:val="28"/>
          <w:szCs w:val="28"/>
        </w:rPr>
        <w:t xml:space="preserve"> </w:t>
      </w:r>
      <w:r>
        <w:rPr>
          <w:color w:val="000000"/>
          <w:sz w:val="28"/>
          <w:szCs w:val="28"/>
        </w:rPr>
        <w:t>122</w:t>
      </w:r>
      <w:r w:rsidRPr="00652CEC">
        <w:rPr>
          <w:color w:val="000000"/>
          <w:sz w:val="28"/>
          <w:szCs w:val="28"/>
        </w:rPr>
        <w:t xml:space="preserve">.nr.) </w:t>
      </w:r>
      <w:r w:rsidRPr="00652CEC">
        <w:rPr>
          <w:noProof/>
          <w:color w:val="000000"/>
          <w:sz w:val="28"/>
          <w:szCs w:val="28"/>
        </w:rPr>
        <w:t>šādus grozījumus:</w:t>
      </w:r>
    </w:p>
    <w:p w:rsidR="007C312B" w:rsidRDefault="007C312B" w:rsidP="00701ABC">
      <w:pPr>
        <w:pStyle w:val="BodyTextIndent2"/>
        <w:spacing w:after="0"/>
        <w:ind w:right="0"/>
      </w:pPr>
      <w:r w:rsidRPr="00562D76">
        <w:t>1.</w:t>
      </w:r>
      <w:r>
        <w:t>papildināt noteikumus ar 2.7.</w:t>
      </w:r>
      <w:r w:rsidRPr="00053B55">
        <w:rPr>
          <w:vertAlign w:val="superscript"/>
        </w:rPr>
        <w:t>1</w:t>
      </w:r>
      <w:r>
        <w:rPr>
          <w:vertAlign w:val="superscript"/>
        </w:rPr>
        <w:t xml:space="preserve"> </w:t>
      </w:r>
      <w:r>
        <w:t>punktu šādā redakcijā:</w:t>
      </w:r>
    </w:p>
    <w:p w:rsidR="007C312B" w:rsidRDefault="007C312B" w:rsidP="00701ABC">
      <w:pPr>
        <w:pStyle w:val="BodyTextIndent2"/>
        <w:spacing w:after="0"/>
        <w:ind w:right="0"/>
      </w:pPr>
      <w:r>
        <w:t>„2.7.</w:t>
      </w:r>
      <w:r w:rsidRPr="00053B55">
        <w:rPr>
          <w:vertAlign w:val="superscript"/>
        </w:rPr>
        <w:t>1</w:t>
      </w:r>
      <w:r>
        <w:t xml:space="preserve"> globālā pārvietošanas licence”;</w:t>
      </w:r>
    </w:p>
    <w:p w:rsidR="007C312B" w:rsidRDefault="007C312B" w:rsidP="00701ABC">
      <w:pPr>
        <w:pStyle w:val="BodyTextIndent2"/>
        <w:spacing w:after="0"/>
        <w:ind w:right="0"/>
      </w:pPr>
      <w:r>
        <w:t>2.papildināt noteikumus ar 2.7.</w:t>
      </w:r>
      <w:r w:rsidRPr="00053B55">
        <w:rPr>
          <w:vertAlign w:val="superscript"/>
        </w:rPr>
        <w:t xml:space="preserve"> </w:t>
      </w:r>
      <w:r>
        <w:rPr>
          <w:vertAlign w:val="superscript"/>
        </w:rPr>
        <w:t xml:space="preserve">2 </w:t>
      </w:r>
      <w:r>
        <w:t>punktu šādā redakcijā:</w:t>
      </w:r>
    </w:p>
    <w:p w:rsidR="007C312B" w:rsidRDefault="007C312B" w:rsidP="00701ABC">
      <w:pPr>
        <w:pStyle w:val="BodyTextIndent2"/>
        <w:spacing w:after="0"/>
        <w:ind w:right="0"/>
      </w:pPr>
      <w:r>
        <w:t>„2.7.</w:t>
      </w:r>
      <w:r w:rsidRPr="00053B55">
        <w:rPr>
          <w:vertAlign w:val="superscript"/>
        </w:rPr>
        <w:t xml:space="preserve"> </w:t>
      </w:r>
      <w:r>
        <w:rPr>
          <w:vertAlign w:val="superscript"/>
        </w:rPr>
        <w:t xml:space="preserve">2 </w:t>
      </w:r>
      <w:r>
        <w:t>vispārējā pārvietošanas licence”;</w:t>
      </w:r>
    </w:p>
    <w:p w:rsidR="007C312B" w:rsidRDefault="007C312B" w:rsidP="00701ABC">
      <w:pPr>
        <w:pStyle w:val="BodyTextIndent2"/>
        <w:spacing w:after="0"/>
        <w:ind w:right="0"/>
      </w:pPr>
      <w:r>
        <w:t>3.papildināt noteikumu III sadaļas virsrakstu aiz vārdiem „vispārējo tranzīta” ar vārdiem „vai globālo pārvietošanas”;</w:t>
      </w:r>
    </w:p>
    <w:p w:rsidR="007C312B" w:rsidRDefault="007C312B" w:rsidP="00701ABC">
      <w:pPr>
        <w:pStyle w:val="BodyTextIndent2"/>
        <w:spacing w:after="0"/>
        <w:ind w:right="0"/>
      </w:pPr>
      <w:r>
        <w:t>4.papildināt noteikumu 11.punktu aiz vārdiem „vispārējo tranzīta” ar vārdiem „ vai globālo pārvietošanas”;</w:t>
      </w:r>
    </w:p>
    <w:p w:rsidR="007C312B" w:rsidRDefault="007C312B" w:rsidP="00701ABC">
      <w:pPr>
        <w:pStyle w:val="BodyTextIndent2"/>
        <w:spacing w:after="0"/>
        <w:ind w:right="0"/>
      </w:pPr>
      <w:r>
        <w:t>5.papildināt noteikumu 11.1.punktu aiz vārdiem „vispārējās tranzīta” ar vārdiem „vai globālās pārvietošanas”</w:t>
      </w:r>
    </w:p>
    <w:p w:rsidR="007C312B" w:rsidRDefault="007C312B" w:rsidP="00701ABC">
      <w:pPr>
        <w:pStyle w:val="BodyTextIndent2"/>
        <w:spacing w:after="0"/>
        <w:ind w:right="0"/>
      </w:pPr>
      <w:r>
        <w:t>6.papildināt noteikumu 13., 14., 15. un 16.punktu aiz vārdiem „vispārējās tranzīta” ar vārdiem „vai globālās pārvietošanas”;</w:t>
      </w:r>
    </w:p>
    <w:p w:rsidR="007C312B" w:rsidRDefault="007C312B" w:rsidP="00701ABC">
      <w:pPr>
        <w:pStyle w:val="BodyTextIndent2"/>
        <w:spacing w:after="0"/>
        <w:ind w:right="0"/>
      </w:pPr>
      <w:r>
        <w:t>7.papildināt noteikumus ar 19.</w:t>
      </w:r>
      <w:r w:rsidRPr="008B2EF1">
        <w:rPr>
          <w:vertAlign w:val="superscript"/>
        </w:rPr>
        <w:t>1</w:t>
      </w:r>
      <w:r>
        <w:t>punktu šādā redakcijā:</w:t>
      </w:r>
    </w:p>
    <w:p w:rsidR="007C312B" w:rsidRPr="008B2EF1" w:rsidRDefault="007C312B" w:rsidP="008B2EF1">
      <w:pPr>
        <w:pStyle w:val="NormalWeb"/>
        <w:spacing w:before="0" w:after="0"/>
        <w:ind w:left="720"/>
        <w:jc w:val="both"/>
        <w:rPr>
          <w:rFonts w:ascii="Times New Roman" w:hAnsi="Times New Roman"/>
          <w:sz w:val="28"/>
          <w:szCs w:val="28"/>
        </w:rPr>
      </w:pPr>
      <w:r w:rsidRPr="008B2EF1">
        <w:rPr>
          <w:rFonts w:ascii="Times New Roman" w:hAnsi="Times New Roman"/>
          <w:sz w:val="28"/>
          <w:szCs w:val="28"/>
        </w:rPr>
        <w:t>„19.</w:t>
      </w:r>
      <w:r w:rsidRPr="008B2EF1">
        <w:rPr>
          <w:rFonts w:ascii="Times New Roman" w:hAnsi="Times New Roman"/>
          <w:sz w:val="28"/>
          <w:szCs w:val="28"/>
          <w:vertAlign w:val="superscript"/>
        </w:rPr>
        <w:t>1</w:t>
      </w:r>
      <w:r w:rsidRPr="008B2EF1">
        <w:rPr>
          <w:rFonts w:ascii="Times New Roman" w:hAnsi="Times New Roman"/>
          <w:sz w:val="28"/>
          <w:szCs w:val="28"/>
        </w:rPr>
        <w:t xml:space="preserve"> </w:t>
      </w:r>
      <w:r>
        <w:rPr>
          <w:rFonts w:ascii="Times New Roman" w:hAnsi="Times New Roman"/>
          <w:sz w:val="28"/>
          <w:szCs w:val="28"/>
        </w:rPr>
        <w:t>Stratēģiskas nozīmes preču globālo</w:t>
      </w:r>
      <w:r w:rsidRPr="008B2EF1">
        <w:rPr>
          <w:rFonts w:ascii="Times New Roman" w:hAnsi="Times New Roman"/>
          <w:sz w:val="28"/>
          <w:szCs w:val="28"/>
        </w:rPr>
        <w:t xml:space="preserve"> </w:t>
      </w:r>
      <w:r>
        <w:rPr>
          <w:rFonts w:ascii="Times New Roman" w:hAnsi="Times New Roman"/>
          <w:sz w:val="28"/>
          <w:szCs w:val="28"/>
        </w:rPr>
        <w:t>pārvietošanas</w:t>
      </w:r>
      <w:r w:rsidRPr="008B2EF1">
        <w:rPr>
          <w:rFonts w:ascii="Times New Roman" w:hAnsi="Times New Roman"/>
          <w:sz w:val="28"/>
          <w:szCs w:val="28"/>
        </w:rPr>
        <w:t xml:space="preserve"> licenci komiteja izsniedz Eiropas Savienības Kopējā militāro preču sarakstā minēto preču sūtījumiem uz vienu vai vairākām Eiropas Savienības dalībvalstīm. </w:t>
      </w:r>
      <w:r>
        <w:rPr>
          <w:rFonts w:ascii="Times New Roman" w:hAnsi="Times New Roman"/>
          <w:sz w:val="28"/>
          <w:szCs w:val="28"/>
        </w:rPr>
        <w:t>Stratēģiskas nozīmes preču globālajā</w:t>
      </w:r>
      <w:r w:rsidRPr="008B2EF1">
        <w:rPr>
          <w:rFonts w:ascii="Times New Roman" w:hAnsi="Times New Roman"/>
          <w:sz w:val="28"/>
          <w:szCs w:val="28"/>
        </w:rPr>
        <w:t xml:space="preserve"> </w:t>
      </w:r>
      <w:r>
        <w:rPr>
          <w:rFonts w:ascii="Times New Roman" w:hAnsi="Times New Roman"/>
          <w:sz w:val="28"/>
          <w:szCs w:val="28"/>
        </w:rPr>
        <w:t>pārvietošanas</w:t>
      </w:r>
      <w:r w:rsidRPr="008B2EF1">
        <w:rPr>
          <w:rFonts w:ascii="Times New Roman" w:hAnsi="Times New Roman"/>
          <w:sz w:val="28"/>
          <w:szCs w:val="28"/>
        </w:rPr>
        <w:t xml:space="preserve"> licencē tiek norādītas preces vai preču kategorija, saņēmēji vai saņēmēju kategorija, kā arī saņēmēja valsts.”; </w:t>
      </w:r>
    </w:p>
    <w:p w:rsidR="007C312B" w:rsidRDefault="007C312B" w:rsidP="005F2909">
      <w:pPr>
        <w:pStyle w:val="BodyTextIndent2"/>
        <w:spacing w:after="0"/>
        <w:ind w:left="709" w:right="0" w:firstLine="11"/>
      </w:pPr>
      <w:r>
        <w:t>8. papildināt noteikumu 20.punktu pirms vārda „stratēģiskas” ar tekstu šādā redakcijā:</w:t>
      </w:r>
    </w:p>
    <w:p w:rsidR="007C312B" w:rsidRDefault="007C312B" w:rsidP="005F2909">
      <w:pPr>
        <w:pStyle w:val="BodyTextIndent2"/>
        <w:spacing w:after="0"/>
        <w:ind w:left="709" w:right="0" w:firstLine="0"/>
      </w:pPr>
      <w:r>
        <w:t>„Ja stratēģiskas nozīmes preču aprites subjekts licences pieteikuma deklarācijā izteicis vēlmi saņemt s</w:t>
      </w:r>
      <w:r w:rsidRPr="00562D76">
        <w:t>tratēģiskas nozīmes preču eksporta, importa</w:t>
      </w:r>
      <w:r>
        <w:t>, tranzīta, pārvietošanas,</w:t>
      </w:r>
      <w:r w:rsidRPr="00562D76">
        <w:t xml:space="preserve"> vispārējo eksporta</w:t>
      </w:r>
      <w:r>
        <w:t>, vispārējo tranzīta un globālo pārvietošanas licenci papīra formā,”;</w:t>
      </w:r>
    </w:p>
    <w:p w:rsidR="007C312B" w:rsidRPr="005F2909" w:rsidRDefault="007C312B" w:rsidP="005F2909">
      <w:pPr>
        <w:pStyle w:val="NormalWeb"/>
        <w:spacing w:before="0" w:after="0"/>
        <w:ind w:left="720"/>
        <w:jc w:val="both"/>
        <w:rPr>
          <w:rFonts w:ascii="Times New Roman" w:hAnsi="Times New Roman"/>
          <w:sz w:val="28"/>
          <w:szCs w:val="28"/>
        </w:rPr>
      </w:pPr>
      <w:r>
        <w:rPr>
          <w:rFonts w:ascii="Times New Roman" w:hAnsi="Times New Roman"/>
          <w:sz w:val="28"/>
          <w:szCs w:val="28"/>
        </w:rPr>
        <w:t>9</w:t>
      </w:r>
      <w:r w:rsidRPr="005F2909">
        <w:rPr>
          <w:rFonts w:ascii="Times New Roman" w:hAnsi="Times New Roman"/>
          <w:sz w:val="28"/>
          <w:szCs w:val="28"/>
        </w:rPr>
        <w:t>. papildināt noteikumus ar 20</w:t>
      </w:r>
      <w:r w:rsidRPr="005F2909">
        <w:rPr>
          <w:rFonts w:ascii="Times New Roman" w:hAnsi="Times New Roman"/>
          <w:sz w:val="28"/>
          <w:szCs w:val="28"/>
          <w:vertAlign w:val="superscript"/>
        </w:rPr>
        <w:t>1</w:t>
      </w:r>
      <w:r w:rsidRPr="005F2909">
        <w:rPr>
          <w:rFonts w:ascii="Times New Roman" w:hAnsi="Times New Roman"/>
          <w:sz w:val="28"/>
          <w:szCs w:val="28"/>
        </w:rPr>
        <w:t>.punktu šādā redakcijā:</w:t>
      </w:r>
    </w:p>
    <w:p w:rsidR="007C312B" w:rsidRDefault="007C312B" w:rsidP="000E243A">
      <w:pPr>
        <w:pStyle w:val="NormalWeb"/>
        <w:spacing w:before="0" w:after="0"/>
        <w:ind w:left="720"/>
        <w:jc w:val="both"/>
        <w:rPr>
          <w:rFonts w:ascii="Times New Roman" w:hAnsi="Times New Roman"/>
          <w:sz w:val="28"/>
          <w:szCs w:val="24"/>
        </w:rPr>
      </w:pPr>
      <w:r w:rsidRPr="009279C1">
        <w:rPr>
          <w:rFonts w:ascii="Times New Roman" w:hAnsi="Times New Roman"/>
          <w:sz w:val="28"/>
          <w:szCs w:val="28"/>
        </w:rPr>
        <w:t>„</w:t>
      </w:r>
      <w:r w:rsidRPr="005F2909">
        <w:rPr>
          <w:rFonts w:ascii="Times New Roman" w:hAnsi="Times New Roman"/>
          <w:sz w:val="28"/>
          <w:szCs w:val="28"/>
        </w:rPr>
        <w:t>20</w:t>
      </w:r>
      <w:r w:rsidRPr="005F2909">
        <w:rPr>
          <w:rFonts w:ascii="Times New Roman" w:hAnsi="Times New Roman"/>
          <w:sz w:val="28"/>
          <w:szCs w:val="28"/>
          <w:vertAlign w:val="superscript"/>
        </w:rPr>
        <w:t>1</w:t>
      </w:r>
      <w:r>
        <w:rPr>
          <w:rFonts w:ascii="Times New Roman" w:hAnsi="Times New Roman"/>
          <w:sz w:val="28"/>
          <w:szCs w:val="24"/>
        </w:rPr>
        <w:t xml:space="preserve">. </w:t>
      </w:r>
      <w:r w:rsidRPr="00562D76">
        <w:rPr>
          <w:rFonts w:ascii="Times New Roman" w:hAnsi="Times New Roman"/>
          <w:sz w:val="28"/>
          <w:szCs w:val="24"/>
        </w:rPr>
        <w:t>Stratēģiskas nozīmes preču eksporta, importa</w:t>
      </w:r>
      <w:r>
        <w:rPr>
          <w:rFonts w:ascii="Times New Roman" w:hAnsi="Times New Roman"/>
          <w:sz w:val="28"/>
          <w:szCs w:val="24"/>
        </w:rPr>
        <w:t>, tranzīta, pārvietošanas,</w:t>
      </w:r>
      <w:r w:rsidRPr="00562D76">
        <w:rPr>
          <w:rFonts w:ascii="Times New Roman" w:hAnsi="Times New Roman"/>
          <w:sz w:val="28"/>
          <w:szCs w:val="24"/>
        </w:rPr>
        <w:t xml:space="preserve"> vispārējo eksporta</w:t>
      </w:r>
      <w:r>
        <w:rPr>
          <w:rFonts w:ascii="Times New Roman" w:hAnsi="Times New Roman"/>
          <w:sz w:val="28"/>
          <w:szCs w:val="24"/>
        </w:rPr>
        <w:t>, vispārējo tranzīta un globālo pārvietošanas licenci</w:t>
      </w:r>
      <w:r w:rsidRPr="00562D76">
        <w:rPr>
          <w:rFonts w:ascii="Times New Roman" w:hAnsi="Times New Roman"/>
          <w:sz w:val="28"/>
          <w:szCs w:val="24"/>
        </w:rPr>
        <w:t xml:space="preserve">  sagatavo </w:t>
      </w:r>
      <w:r>
        <w:rPr>
          <w:rFonts w:ascii="Times New Roman" w:hAnsi="Times New Roman"/>
          <w:sz w:val="28"/>
          <w:szCs w:val="24"/>
        </w:rPr>
        <w:t xml:space="preserve">elektroniska dokumenta formā </w:t>
      </w:r>
      <w:r w:rsidRPr="001F1BB8">
        <w:rPr>
          <w:rFonts w:ascii="Times New Roman" w:hAnsi="Times New Roman"/>
          <w:iCs/>
          <w:sz w:val="28"/>
          <w:szCs w:val="28"/>
        </w:rPr>
        <w:t>atbilstoši normatīvajiem aktiem par elektronisko dokumentu noformēšanu</w:t>
      </w:r>
      <w:r>
        <w:rPr>
          <w:rFonts w:ascii="Times New Roman" w:hAnsi="Times New Roman"/>
          <w:iCs/>
          <w:sz w:val="28"/>
          <w:szCs w:val="28"/>
        </w:rPr>
        <w:t xml:space="preserve"> </w:t>
      </w:r>
      <w:r>
        <w:rPr>
          <w:rFonts w:ascii="Times New Roman" w:hAnsi="Times New Roman"/>
          <w:sz w:val="28"/>
          <w:szCs w:val="24"/>
        </w:rPr>
        <w:t xml:space="preserve">un </w:t>
      </w:r>
      <w:r w:rsidRPr="001F1BB8">
        <w:rPr>
          <w:rFonts w:ascii="Times New Roman" w:hAnsi="Times New Roman"/>
          <w:iCs/>
          <w:sz w:val="28"/>
          <w:szCs w:val="28"/>
        </w:rPr>
        <w:t xml:space="preserve">nosūta </w:t>
      </w:r>
      <w:r>
        <w:rPr>
          <w:rFonts w:ascii="Times New Roman" w:hAnsi="Times New Roman"/>
          <w:iCs/>
          <w:sz w:val="28"/>
          <w:szCs w:val="28"/>
        </w:rPr>
        <w:t>stratēģiskas nozīmes preču subjektam un Valsts ieņēmumu dienestam. Reizi ceturksnī Valsts ieņēmumu dienests elektroniskā formā sniedz ziņas komitejai par izmantotajām s</w:t>
      </w:r>
      <w:r w:rsidRPr="00562D76">
        <w:rPr>
          <w:rFonts w:ascii="Times New Roman" w:hAnsi="Times New Roman"/>
          <w:sz w:val="28"/>
          <w:szCs w:val="24"/>
        </w:rPr>
        <w:t>tratēģiskas nozīmes preču eksporta, importa</w:t>
      </w:r>
      <w:r>
        <w:rPr>
          <w:rFonts w:ascii="Times New Roman" w:hAnsi="Times New Roman"/>
          <w:sz w:val="28"/>
          <w:szCs w:val="24"/>
        </w:rPr>
        <w:t>, tranzīta, vispārējām</w:t>
      </w:r>
      <w:r w:rsidRPr="00562D76">
        <w:rPr>
          <w:rFonts w:ascii="Times New Roman" w:hAnsi="Times New Roman"/>
          <w:sz w:val="28"/>
          <w:szCs w:val="24"/>
        </w:rPr>
        <w:t xml:space="preserve"> eksporta</w:t>
      </w:r>
      <w:r>
        <w:rPr>
          <w:rFonts w:ascii="Times New Roman" w:hAnsi="Times New Roman"/>
          <w:sz w:val="28"/>
          <w:szCs w:val="24"/>
        </w:rPr>
        <w:t xml:space="preserve"> un vispārējām tranzīta </w:t>
      </w:r>
      <w:r w:rsidRPr="00562D76">
        <w:rPr>
          <w:rFonts w:ascii="Times New Roman" w:hAnsi="Times New Roman"/>
          <w:sz w:val="28"/>
          <w:szCs w:val="24"/>
        </w:rPr>
        <w:t>licenc</w:t>
      </w:r>
      <w:r>
        <w:rPr>
          <w:rFonts w:ascii="Times New Roman" w:hAnsi="Times New Roman"/>
          <w:sz w:val="28"/>
          <w:szCs w:val="24"/>
        </w:rPr>
        <w:t>ēm.”;</w:t>
      </w:r>
    </w:p>
    <w:p w:rsidR="007C312B" w:rsidRDefault="007C312B" w:rsidP="000E243A">
      <w:pPr>
        <w:pStyle w:val="BodyTextIndent2"/>
        <w:spacing w:after="0"/>
        <w:ind w:left="720" w:right="0" w:firstLine="0"/>
      </w:pPr>
      <w:r>
        <w:t>10. papildināt noteikumu 21., 23. un 24.punktu aiz vārdiem „vispārējo tranzīta” ar vārdiem „vai globālo pārvietošanas”;</w:t>
      </w:r>
    </w:p>
    <w:p w:rsidR="007C312B" w:rsidRDefault="007C312B" w:rsidP="000E243A">
      <w:pPr>
        <w:pStyle w:val="BodyTextIndent2"/>
        <w:spacing w:after="0"/>
        <w:ind w:left="720" w:right="0" w:firstLine="0"/>
      </w:pPr>
      <w:r>
        <w:t>11. papildināt noteikumu 22.punktu ar teikumu šādā redakcijā:</w:t>
      </w:r>
    </w:p>
    <w:p w:rsidR="007C312B" w:rsidRDefault="007C312B" w:rsidP="000E243A">
      <w:pPr>
        <w:pStyle w:val="BodyTextIndent2"/>
        <w:spacing w:after="0"/>
        <w:ind w:left="720" w:right="0" w:firstLine="0"/>
      </w:pPr>
      <w:r>
        <w:t>„Globālās pārvietošanas licences derīguma termiņš ir trīs gadi.”;</w:t>
      </w:r>
    </w:p>
    <w:p w:rsidR="007C312B" w:rsidRDefault="007C312B" w:rsidP="000E243A">
      <w:pPr>
        <w:pStyle w:val="BodyTextIndent2"/>
        <w:spacing w:after="0"/>
        <w:ind w:left="720" w:right="0" w:firstLine="0"/>
      </w:pPr>
      <w:r>
        <w:t>12. papildināt noteikumu IV sadaļas virsrakstu aiz vārda „eksporta” ar vārdiem „un vispārējā pārvietošanas”;</w:t>
      </w:r>
    </w:p>
    <w:p w:rsidR="007C312B" w:rsidRDefault="007C312B" w:rsidP="000E243A">
      <w:pPr>
        <w:pStyle w:val="BodyTextIndent2"/>
        <w:spacing w:after="0"/>
        <w:ind w:left="720" w:right="0" w:firstLine="0"/>
      </w:pPr>
      <w:r>
        <w:t>13. papildināt noteikumus ar 30</w:t>
      </w:r>
      <w:r w:rsidRPr="00B24C14">
        <w:t>.</w:t>
      </w:r>
      <w:r w:rsidRPr="00053B55">
        <w:rPr>
          <w:vertAlign w:val="superscript"/>
        </w:rPr>
        <w:t>1</w:t>
      </w:r>
      <w:r>
        <w:t>punktu šādā redakcijā:</w:t>
      </w:r>
    </w:p>
    <w:p w:rsidR="007C312B" w:rsidRDefault="007C312B" w:rsidP="00EB0044">
      <w:pPr>
        <w:ind w:left="720"/>
        <w:jc w:val="both"/>
        <w:rPr>
          <w:sz w:val="28"/>
          <w:szCs w:val="28"/>
          <w:lang w:val="lv-LV"/>
        </w:rPr>
      </w:pPr>
      <w:r>
        <w:rPr>
          <w:lang w:val="lv-LV"/>
        </w:rPr>
        <w:t xml:space="preserve"> „</w:t>
      </w:r>
      <w:r w:rsidRPr="0027799B">
        <w:rPr>
          <w:sz w:val="28"/>
          <w:szCs w:val="28"/>
          <w:lang w:val="lv-LV"/>
        </w:rPr>
        <w:t>30.</w:t>
      </w:r>
      <w:r>
        <w:rPr>
          <w:sz w:val="28"/>
          <w:szCs w:val="28"/>
          <w:vertAlign w:val="superscript"/>
          <w:lang w:val="lv-LV"/>
        </w:rPr>
        <w:t xml:space="preserve">1 </w:t>
      </w:r>
      <w:r>
        <w:rPr>
          <w:sz w:val="28"/>
          <w:szCs w:val="28"/>
          <w:lang w:val="lv-LV"/>
        </w:rPr>
        <w:t>Vispārējo pārvietošanas</w:t>
      </w:r>
      <w:r w:rsidRPr="00EB0044">
        <w:rPr>
          <w:sz w:val="28"/>
          <w:szCs w:val="28"/>
          <w:lang w:val="lv-LV"/>
        </w:rPr>
        <w:t xml:space="preserve"> licenc</w:t>
      </w:r>
      <w:r>
        <w:rPr>
          <w:sz w:val="28"/>
          <w:szCs w:val="28"/>
          <w:lang w:val="lv-LV"/>
        </w:rPr>
        <w:t>i (6.pielikums) komiteja</w:t>
      </w:r>
      <w:r w:rsidRPr="0027799B">
        <w:rPr>
          <w:sz w:val="28"/>
          <w:szCs w:val="28"/>
          <w:lang w:val="lv-LV"/>
        </w:rPr>
        <w:t xml:space="preserve"> </w:t>
      </w:r>
      <w:r>
        <w:rPr>
          <w:sz w:val="28"/>
          <w:szCs w:val="28"/>
          <w:lang w:val="lv-LV"/>
        </w:rPr>
        <w:t>izsniedz pēc savas iniciatīvas, nosakot Eiropas Savienības Kopējā militāro preču sarakstā minētās preces, kuras atļauts nosūtīt uz jebkuru Eiropas Savienības dalībvalsti pie nosacījuma, ka:</w:t>
      </w:r>
    </w:p>
    <w:p w:rsidR="007C312B" w:rsidRPr="00EB0044" w:rsidRDefault="007C312B" w:rsidP="00000F38">
      <w:pPr>
        <w:ind w:left="720"/>
        <w:jc w:val="both"/>
        <w:rPr>
          <w:sz w:val="28"/>
          <w:szCs w:val="28"/>
          <w:lang w:val="lv-LV"/>
        </w:rPr>
      </w:pPr>
      <w:r>
        <w:rPr>
          <w:sz w:val="28"/>
          <w:szCs w:val="28"/>
          <w:lang w:val="lv-LV"/>
        </w:rPr>
        <w:t>30.</w:t>
      </w:r>
      <w:r>
        <w:rPr>
          <w:sz w:val="28"/>
          <w:szCs w:val="28"/>
          <w:vertAlign w:val="superscript"/>
          <w:lang w:val="lv-LV"/>
        </w:rPr>
        <w:t>1</w:t>
      </w:r>
      <w:r>
        <w:rPr>
          <w:sz w:val="28"/>
          <w:szCs w:val="28"/>
          <w:lang w:val="lv-LV"/>
        </w:rPr>
        <w:t xml:space="preserve">1. </w:t>
      </w:r>
      <w:r w:rsidRPr="00EB0044">
        <w:rPr>
          <w:sz w:val="28"/>
          <w:szCs w:val="28"/>
          <w:lang w:val="lv-LV"/>
        </w:rPr>
        <w:t>saņēmējs ir dalībvalsts bruņoto s</w:t>
      </w:r>
      <w:r>
        <w:rPr>
          <w:sz w:val="28"/>
          <w:szCs w:val="28"/>
          <w:lang w:val="lv-LV"/>
        </w:rPr>
        <w:t xml:space="preserve">pēku vienība vai līgumslēdzēja </w:t>
      </w:r>
      <w:r w:rsidRPr="00EB0044">
        <w:rPr>
          <w:sz w:val="28"/>
          <w:szCs w:val="28"/>
          <w:lang w:val="lv-LV"/>
        </w:rPr>
        <w:t>iestāde aizsardzības jomā, kura iepirkumu veic ekskluzīvām dalībvalsts bruņoto spēku vajadzībām;</w:t>
      </w:r>
    </w:p>
    <w:p w:rsidR="007C312B" w:rsidRPr="00EB0044" w:rsidRDefault="007C312B" w:rsidP="00000F38">
      <w:pPr>
        <w:ind w:left="720"/>
        <w:jc w:val="both"/>
        <w:rPr>
          <w:sz w:val="28"/>
          <w:szCs w:val="28"/>
          <w:lang w:val="lv-LV"/>
        </w:rPr>
      </w:pPr>
      <w:r>
        <w:rPr>
          <w:sz w:val="28"/>
          <w:szCs w:val="28"/>
          <w:lang w:val="lv-LV"/>
        </w:rPr>
        <w:t>30.</w:t>
      </w:r>
      <w:r>
        <w:rPr>
          <w:sz w:val="28"/>
          <w:szCs w:val="28"/>
          <w:vertAlign w:val="superscript"/>
          <w:lang w:val="lv-LV"/>
        </w:rPr>
        <w:t>1</w:t>
      </w:r>
      <w:r>
        <w:rPr>
          <w:sz w:val="28"/>
          <w:szCs w:val="28"/>
          <w:lang w:val="lv-LV"/>
        </w:rPr>
        <w:t xml:space="preserve">2. </w:t>
      </w:r>
      <w:r w:rsidRPr="00EB0044">
        <w:rPr>
          <w:sz w:val="28"/>
          <w:szCs w:val="28"/>
          <w:lang w:val="lv-LV"/>
        </w:rPr>
        <w:t xml:space="preserve">saņēmējs ir </w:t>
      </w:r>
      <w:r>
        <w:rPr>
          <w:sz w:val="28"/>
          <w:szCs w:val="28"/>
          <w:lang w:val="lv-LV"/>
        </w:rPr>
        <w:t>komersants</w:t>
      </w:r>
      <w:r w:rsidRPr="00EB0044">
        <w:rPr>
          <w:sz w:val="28"/>
          <w:szCs w:val="28"/>
          <w:lang w:val="lv-LV"/>
        </w:rPr>
        <w:t xml:space="preserve">, kas ir </w:t>
      </w:r>
      <w:r>
        <w:rPr>
          <w:sz w:val="28"/>
          <w:szCs w:val="28"/>
          <w:lang w:val="lv-LV"/>
        </w:rPr>
        <w:t>saņēmis Aizsardzības ministrijas militārā ražotāja sertifikātu (7.pielikums);</w:t>
      </w:r>
    </w:p>
    <w:p w:rsidR="007C312B" w:rsidRPr="00EB0044" w:rsidRDefault="007C312B" w:rsidP="00047C54">
      <w:pPr>
        <w:ind w:left="360"/>
        <w:jc w:val="both"/>
        <w:rPr>
          <w:sz w:val="28"/>
          <w:szCs w:val="28"/>
          <w:lang w:val="lv-LV"/>
        </w:rPr>
      </w:pPr>
      <w:r>
        <w:rPr>
          <w:sz w:val="28"/>
          <w:szCs w:val="28"/>
          <w:lang w:val="lv-LV"/>
        </w:rPr>
        <w:tab/>
        <w:t>30.</w:t>
      </w:r>
      <w:r>
        <w:rPr>
          <w:sz w:val="28"/>
          <w:szCs w:val="28"/>
          <w:vertAlign w:val="superscript"/>
          <w:lang w:val="lv-LV"/>
        </w:rPr>
        <w:t>1</w:t>
      </w:r>
      <w:r>
        <w:rPr>
          <w:sz w:val="28"/>
          <w:szCs w:val="28"/>
          <w:lang w:val="lv-LV"/>
        </w:rPr>
        <w:t xml:space="preserve">3. </w:t>
      </w:r>
      <w:r w:rsidRPr="00EB0044">
        <w:rPr>
          <w:sz w:val="28"/>
          <w:szCs w:val="28"/>
          <w:lang w:val="lv-LV"/>
        </w:rPr>
        <w:t>sūtījumu vei</w:t>
      </w:r>
      <w:r>
        <w:rPr>
          <w:sz w:val="28"/>
          <w:szCs w:val="28"/>
          <w:lang w:val="lv-LV"/>
        </w:rPr>
        <w:t>c demonstrējumu, novērtēšanas vai</w:t>
      </w:r>
      <w:r w:rsidRPr="00EB0044">
        <w:rPr>
          <w:sz w:val="28"/>
          <w:szCs w:val="28"/>
          <w:lang w:val="lv-LV"/>
        </w:rPr>
        <w:t xml:space="preserve"> izstādes nolūkā;</w:t>
      </w:r>
    </w:p>
    <w:p w:rsidR="007C312B" w:rsidRDefault="007C312B" w:rsidP="00047C54">
      <w:pPr>
        <w:ind w:left="720"/>
        <w:jc w:val="both"/>
        <w:rPr>
          <w:sz w:val="28"/>
          <w:szCs w:val="28"/>
          <w:lang w:val="lv-LV"/>
        </w:rPr>
      </w:pPr>
      <w:r>
        <w:rPr>
          <w:sz w:val="28"/>
          <w:szCs w:val="28"/>
          <w:lang w:val="lv-LV"/>
        </w:rPr>
        <w:t>30.</w:t>
      </w:r>
      <w:r>
        <w:rPr>
          <w:sz w:val="28"/>
          <w:szCs w:val="28"/>
          <w:vertAlign w:val="superscript"/>
          <w:lang w:val="lv-LV"/>
        </w:rPr>
        <w:t>1</w:t>
      </w:r>
      <w:r>
        <w:rPr>
          <w:sz w:val="28"/>
          <w:szCs w:val="28"/>
          <w:lang w:val="lv-LV"/>
        </w:rPr>
        <w:t xml:space="preserve">4. </w:t>
      </w:r>
      <w:r w:rsidRPr="00EB0044">
        <w:rPr>
          <w:sz w:val="28"/>
          <w:szCs w:val="28"/>
          <w:lang w:val="lv-LV"/>
        </w:rPr>
        <w:t xml:space="preserve">sūtījumu veic tehniskās apkopes </w:t>
      </w:r>
      <w:r>
        <w:rPr>
          <w:sz w:val="28"/>
          <w:szCs w:val="28"/>
          <w:lang w:val="lv-LV"/>
        </w:rPr>
        <w:t xml:space="preserve">un remonta veikšanas nolūkā, </w:t>
      </w:r>
      <w:r w:rsidRPr="00EB0044">
        <w:rPr>
          <w:sz w:val="28"/>
          <w:szCs w:val="28"/>
          <w:lang w:val="lv-LV"/>
        </w:rPr>
        <w:t>ja saņēmējs ir ar aizsardzību saistīto ražojumu sākotnējais</w:t>
      </w:r>
      <w:r>
        <w:rPr>
          <w:sz w:val="28"/>
          <w:szCs w:val="28"/>
          <w:lang w:val="lv-LV"/>
        </w:rPr>
        <w:t xml:space="preserve"> </w:t>
      </w:r>
      <w:r w:rsidRPr="00EB0044">
        <w:rPr>
          <w:sz w:val="28"/>
          <w:szCs w:val="28"/>
          <w:lang w:val="lv-LV"/>
        </w:rPr>
        <w:t>piegādātājs.</w:t>
      </w:r>
      <w:r>
        <w:rPr>
          <w:sz w:val="28"/>
          <w:szCs w:val="28"/>
          <w:lang w:val="lv-LV"/>
        </w:rPr>
        <w:t>”</w:t>
      </w:r>
    </w:p>
    <w:p w:rsidR="007C312B" w:rsidRDefault="007C312B" w:rsidP="00047C54">
      <w:pPr>
        <w:ind w:left="720"/>
        <w:jc w:val="both"/>
        <w:rPr>
          <w:sz w:val="28"/>
          <w:szCs w:val="28"/>
          <w:lang w:val="lv-LV"/>
        </w:rPr>
      </w:pPr>
      <w:r>
        <w:rPr>
          <w:sz w:val="28"/>
          <w:szCs w:val="28"/>
          <w:lang w:val="lv-LV"/>
        </w:rPr>
        <w:t xml:space="preserve">14. papildināt noteikumus ar </w:t>
      </w:r>
      <w:r w:rsidRPr="005F2909">
        <w:rPr>
          <w:sz w:val="28"/>
          <w:szCs w:val="28"/>
          <w:lang w:val="lv-LV"/>
        </w:rPr>
        <w:t>30.</w:t>
      </w:r>
      <w:r w:rsidRPr="005F2909">
        <w:rPr>
          <w:sz w:val="28"/>
          <w:szCs w:val="28"/>
          <w:vertAlign w:val="superscript"/>
          <w:lang w:val="lv-LV"/>
        </w:rPr>
        <w:t>2</w:t>
      </w:r>
      <w:r w:rsidRPr="005F2909">
        <w:rPr>
          <w:sz w:val="28"/>
          <w:szCs w:val="28"/>
          <w:lang w:val="lv-LV"/>
        </w:rPr>
        <w:t>punktu</w:t>
      </w:r>
      <w:r>
        <w:rPr>
          <w:sz w:val="28"/>
          <w:szCs w:val="28"/>
          <w:lang w:val="lv-LV"/>
        </w:rPr>
        <w:t xml:space="preserve"> šādā redakcijā:</w:t>
      </w:r>
    </w:p>
    <w:p w:rsidR="007C312B" w:rsidRDefault="007C312B" w:rsidP="00047C54">
      <w:pPr>
        <w:ind w:left="720"/>
        <w:jc w:val="both"/>
        <w:rPr>
          <w:sz w:val="28"/>
          <w:szCs w:val="28"/>
          <w:lang w:val="lv-LV"/>
        </w:rPr>
      </w:pPr>
      <w:r>
        <w:rPr>
          <w:sz w:val="28"/>
          <w:szCs w:val="28"/>
          <w:lang w:val="lv-LV"/>
        </w:rPr>
        <w:t>„30.</w:t>
      </w:r>
      <w:r>
        <w:rPr>
          <w:sz w:val="28"/>
          <w:szCs w:val="28"/>
          <w:vertAlign w:val="superscript"/>
          <w:lang w:val="lv-LV"/>
        </w:rPr>
        <w:t>2</w:t>
      </w:r>
      <w:r>
        <w:rPr>
          <w:sz w:val="28"/>
          <w:szCs w:val="28"/>
          <w:lang w:val="lv-LV"/>
        </w:rPr>
        <w:t xml:space="preserve"> Komiteja publicē vispārējo pārvietošanas licenci oficiālajā laikrakstā.”;</w:t>
      </w:r>
    </w:p>
    <w:p w:rsidR="007C312B" w:rsidRDefault="007C312B" w:rsidP="00047C54">
      <w:pPr>
        <w:ind w:left="720"/>
        <w:jc w:val="both"/>
        <w:rPr>
          <w:sz w:val="28"/>
          <w:szCs w:val="28"/>
          <w:lang w:val="lv-LV"/>
        </w:rPr>
      </w:pPr>
      <w:r>
        <w:rPr>
          <w:sz w:val="28"/>
          <w:szCs w:val="28"/>
          <w:lang w:val="lv-LV"/>
        </w:rPr>
        <w:t xml:space="preserve">15. papildināt noteikumus ar </w:t>
      </w:r>
      <w:r w:rsidRPr="005F2909">
        <w:rPr>
          <w:sz w:val="28"/>
          <w:szCs w:val="28"/>
          <w:lang w:val="lv-LV"/>
        </w:rPr>
        <w:t>30.</w:t>
      </w:r>
      <w:r w:rsidRPr="005F2909">
        <w:rPr>
          <w:sz w:val="28"/>
          <w:szCs w:val="28"/>
          <w:vertAlign w:val="superscript"/>
          <w:lang w:val="lv-LV"/>
        </w:rPr>
        <w:t>3</w:t>
      </w:r>
      <w:r w:rsidRPr="005F2909">
        <w:rPr>
          <w:sz w:val="28"/>
          <w:szCs w:val="28"/>
          <w:lang w:val="lv-LV"/>
        </w:rPr>
        <w:t>punktu</w:t>
      </w:r>
      <w:r>
        <w:rPr>
          <w:sz w:val="28"/>
          <w:szCs w:val="28"/>
          <w:lang w:val="lv-LV"/>
        </w:rPr>
        <w:t xml:space="preserve"> šādā redakcijā:</w:t>
      </w:r>
    </w:p>
    <w:p w:rsidR="007C312B" w:rsidRDefault="007C312B" w:rsidP="00000F38">
      <w:pPr>
        <w:ind w:left="720"/>
        <w:jc w:val="both"/>
        <w:rPr>
          <w:sz w:val="28"/>
          <w:szCs w:val="28"/>
          <w:lang w:val="lv-LV"/>
        </w:rPr>
      </w:pPr>
      <w:r>
        <w:rPr>
          <w:sz w:val="28"/>
          <w:szCs w:val="28"/>
          <w:lang w:val="lv-LV"/>
        </w:rPr>
        <w:t>„30.</w:t>
      </w:r>
      <w:r>
        <w:rPr>
          <w:sz w:val="28"/>
          <w:szCs w:val="28"/>
          <w:vertAlign w:val="superscript"/>
          <w:lang w:val="lv-LV"/>
        </w:rPr>
        <w:t>3</w:t>
      </w:r>
      <w:r>
        <w:rPr>
          <w:sz w:val="28"/>
          <w:szCs w:val="28"/>
          <w:lang w:val="lv-LV"/>
        </w:rPr>
        <w:t xml:space="preserve"> Lai saņemtu preču sūtījumu no citas Eiropas Savienības dalībvalsts saskaņā ar vispārējo pārvietošanas licenci, stratēģiskas nozīmes preču aprites subjektam jābūt Aizsardzības ministrijas militārā ražotāja sertifikātam, ko izsniedz, ja subjekts atbilst šādiem kritērijiem:</w:t>
      </w:r>
    </w:p>
    <w:p w:rsidR="007C312B" w:rsidRDefault="007C312B" w:rsidP="00000F38">
      <w:pPr>
        <w:ind w:left="720"/>
        <w:jc w:val="both"/>
        <w:rPr>
          <w:sz w:val="28"/>
          <w:szCs w:val="28"/>
          <w:lang w:val="lv-LV"/>
        </w:rPr>
      </w:pPr>
      <w:r>
        <w:rPr>
          <w:sz w:val="28"/>
          <w:szCs w:val="28"/>
          <w:lang w:val="lv-LV"/>
        </w:rPr>
        <w:t>30.</w:t>
      </w:r>
      <w:r>
        <w:rPr>
          <w:sz w:val="28"/>
          <w:szCs w:val="28"/>
          <w:vertAlign w:val="superscript"/>
          <w:lang w:val="lv-LV"/>
        </w:rPr>
        <w:t>3</w:t>
      </w:r>
      <w:r>
        <w:rPr>
          <w:sz w:val="28"/>
          <w:szCs w:val="28"/>
          <w:lang w:val="lv-LV"/>
        </w:rPr>
        <w:t>1. apliecināta pieredze aizsardzības jomā komersantiem, kas izgatavo ar aizsardzību saistītus ražojumus vai daļēji pabeigtus ar aizsardzību saistītus ražojumus, un kurus veido no trešajām personām iegādātas sastāvdaļas un/vai sistēmas un apakšsistēmas, lai laistu tos tirgū ar savu vārdu vai zīmolu;</w:t>
      </w:r>
    </w:p>
    <w:p w:rsidR="007C312B" w:rsidRDefault="007C312B" w:rsidP="00000F38">
      <w:pPr>
        <w:ind w:left="720"/>
        <w:jc w:val="both"/>
        <w:rPr>
          <w:sz w:val="28"/>
          <w:szCs w:val="28"/>
          <w:lang w:val="lv-LV"/>
        </w:rPr>
      </w:pPr>
      <w:r>
        <w:rPr>
          <w:sz w:val="28"/>
          <w:szCs w:val="28"/>
          <w:lang w:val="lv-LV"/>
        </w:rPr>
        <w:t>30.</w:t>
      </w:r>
      <w:r>
        <w:rPr>
          <w:sz w:val="28"/>
          <w:szCs w:val="28"/>
          <w:vertAlign w:val="superscript"/>
          <w:lang w:val="lv-LV"/>
        </w:rPr>
        <w:t>3</w:t>
      </w:r>
      <w:r>
        <w:rPr>
          <w:sz w:val="28"/>
          <w:szCs w:val="28"/>
          <w:lang w:val="lv-LV"/>
        </w:rPr>
        <w:t>2. nav konstatēti pārkāpumi attiecībā uz eksporta ierobežojumiem uz trešajām valstīm;</w:t>
      </w:r>
    </w:p>
    <w:p w:rsidR="007C312B" w:rsidRDefault="007C312B" w:rsidP="00000F38">
      <w:pPr>
        <w:ind w:left="720"/>
        <w:jc w:val="both"/>
        <w:rPr>
          <w:sz w:val="28"/>
          <w:szCs w:val="28"/>
          <w:lang w:val="lv-LV"/>
        </w:rPr>
      </w:pPr>
      <w:r>
        <w:rPr>
          <w:sz w:val="28"/>
          <w:szCs w:val="28"/>
          <w:lang w:val="lv-LV"/>
        </w:rPr>
        <w:t>30.</w:t>
      </w:r>
      <w:r>
        <w:rPr>
          <w:sz w:val="28"/>
          <w:szCs w:val="28"/>
          <w:vertAlign w:val="superscript"/>
          <w:lang w:val="lv-LV"/>
        </w:rPr>
        <w:t>3</w:t>
      </w:r>
      <w:r>
        <w:rPr>
          <w:sz w:val="28"/>
          <w:szCs w:val="28"/>
          <w:lang w:val="lv-LV"/>
        </w:rPr>
        <w:t>3. nav spēkā stājušos tiesas spriedumu par normatīvo aktu pārkāpšanu, kas regulē ar aizsardzību saistītu ražojumu komercdarbības jomu;</w:t>
      </w:r>
    </w:p>
    <w:p w:rsidR="007C312B" w:rsidRDefault="007C312B" w:rsidP="00000F38">
      <w:pPr>
        <w:ind w:left="720"/>
        <w:jc w:val="both"/>
        <w:rPr>
          <w:sz w:val="28"/>
          <w:szCs w:val="28"/>
          <w:lang w:val="lv-LV"/>
        </w:rPr>
      </w:pPr>
      <w:r>
        <w:rPr>
          <w:sz w:val="28"/>
          <w:szCs w:val="28"/>
          <w:lang w:val="lv-LV"/>
        </w:rPr>
        <w:t>30.</w:t>
      </w:r>
      <w:r>
        <w:rPr>
          <w:sz w:val="28"/>
          <w:szCs w:val="28"/>
          <w:vertAlign w:val="superscript"/>
          <w:lang w:val="lv-LV"/>
        </w:rPr>
        <w:t>3</w:t>
      </w:r>
      <w:r>
        <w:rPr>
          <w:sz w:val="28"/>
          <w:szCs w:val="28"/>
          <w:lang w:val="lv-LV"/>
        </w:rPr>
        <w:t>4. apliecināta pieredzējušu vadītāju nodarbināšana uzņēmumā – vismaz viena gada pieredze vadošā amatā ar aizsardzību saistītu ražojumu komercdarbības jomā;</w:t>
      </w:r>
    </w:p>
    <w:p w:rsidR="007C312B" w:rsidRDefault="007C312B" w:rsidP="00000F38">
      <w:pPr>
        <w:ind w:left="720"/>
        <w:jc w:val="both"/>
        <w:rPr>
          <w:sz w:val="28"/>
          <w:szCs w:val="28"/>
          <w:lang w:val="lv-LV"/>
        </w:rPr>
      </w:pPr>
      <w:r>
        <w:rPr>
          <w:sz w:val="28"/>
          <w:szCs w:val="28"/>
          <w:lang w:val="lv-LV"/>
        </w:rPr>
        <w:t>30.</w:t>
      </w:r>
      <w:r>
        <w:rPr>
          <w:sz w:val="28"/>
          <w:szCs w:val="28"/>
          <w:vertAlign w:val="superscript"/>
          <w:lang w:val="lv-LV"/>
        </w:rPr>
        <w:t>3</w:t>
      </w:r>
      <w:r>
        <w:rPr>
          <w:sz w:val="28"/>
          <w:szCs w:val="28"/>
          <w:lang w:val="lv-LV"/>
        </w:rPr>
        <w:t>5. apliecināta vismaz divu augstākā līmeņa vadošo darbinieku norīkošana par personīgi atbildīgām personām attiecībā uz sūtījumiem un eksportu, un amats nedrīkst radīt interešu konfliktu.”;</w:t>
      </w:r>
    </w:p>
    <w:p w:rsidR="007C312B" w:rsidRDefault="007C312B" w:rsidP="00000F38">
      <w:pPr>
        <w:ind w:left="720"/>
        <w:jc w:val="both"/>
        <w:rPr>
          <w:sz w:val="28"/>
          <w:szCs w:val="28"/>
          <w:lang w:val="lv-LV"/>
        </w:rPr>
      </w:pPr>
      <w:r>
        <w:rPr>
          <w:sz w:val="28"/>
          <w:szCs w:val="28"/>
          <w:lang w:val="lv-LV"/>
        </w:rPr>
        <w:t xml:space="preserve">16. papildināt noteikumus ar </w:t>
      </w:r>
      <w:r w:rsidRPr="00FB3568">
        <w:rPr>
          <w:sz w:val="28"/>
          <w:szCs w:val="28"/>
          <w:lang w:val="lv-LV"/>
        </w:rPr>
        <w:t>30.</w:t>
      </w:r>
      <w:r w:rsidRPr="00FB3568">
        <w:rPr>
          <w:sz w:val="28"/>
          <w:szCs w:val="28"/>
          <w:vertAlign w:val="superscript"/>
          <w:lang w:val="lv-LV"/>
        </w:rPr>
        <w:t>4</w:t>
      </w:r>
      <w:r w:rsidRPr="00FB3568">
        <w:rPr>
          <w:sz w:val="28"/>
          <w:szCs w:val="28"/>
          <w:lang w:val="lv-LV"/>
        </w:rPr>
        <w:t>punktu</w:t>
      </w:r>
      <w:r>
        <w:rPr>
          <w:sz w:val="28"/>
          <w:szCs w:val="28"/>
          <w:lang w:val="lv-LV"/>
        </w:rPr>
        <w:t xml:space="preserve"> šādā redakcijā: </w:t>
      </w:r>
    </w:p>
    <w:p w:rsidR="007C312B" w:rsidRDefault="007C312B" w:rsidP="00D13FAF">
      <w:pPr>
        <w:adjustRightInd w:val="0"/>
        <w:ind w:left="720"/>
        <w:jc w:val="both"/>
        <w:rPr>
          <w:sz w:val="28"/>
          <w:szCs w:val="28"/>
          <w:lang w:val="lv-LV"/>
        </w:rPr>
      </w:pPr>
      <w:r>
        <w:rPr>
          <w:sz w:val="28"/>
          <w:szCs w:val="28"/>
          <w:lang w:val="lv-LV"/>
        </w:rPr>
        <w:t>„30.</w:t>
      </w:r>
      <w:r>
        <w:rPr>
          <w:sz w:val="28"/>
          <w:szCs w:val="28"/>
          <w:vertAlign w:val="superscript"/>
          <w:lang w:val="lv-LV"/>
        </w:rPr>
        <w:t>4</w:t>
      </w:r>
      <w:r w:rsidRPr="00D13FAF">
        <w:rPr>
          <w:sz w:val="28"/>
          <w:szCs w:val="28"/>
          <w:lang w:val="lv-LV"/>
        </w:rPr>
        <w:t xml:space="preserve"> Lai veik</w:t>
      </w:r>
      <w:r>
        <w:rPr>
          <w:sz w:val="28"/>
          <w:szCs w:val="28"/>
          <w:lang w:val="lv-LV"/>
        </w:rPr>
        <w:t>tu darījumu saskaņā ar vispārējo</w:t>
      </w:r>
      <w:r w:rsidRPr="00D13FAF">
        <w:rPr>
          <w:sz w:val="28"/>
          <w:szCs w:val="28"/>
          <w:lang w:val="lv-LV"/>
        </w:rPr>
        <w:t xml:space="preserve"> </w:t>
      </w:r>
      <w:r>
        <w:rPr>
          <w:sz w:val="28"/>
          <w:szCs w:val="28"/>
          <w:lang w:val="lv-LV"/>
        </w:rPr>
        <w:t xml:space="preserve">pārvietošanas </w:t>
      </w:r>
      <w:r w:rsidRPr="00D13FAF">
        <w:rPr>
          <w:sz w:val="28"/>
          <w:szCs w:val="28"/>
          <w:lang w:val="lv-LV"/>
        </w:rPr>
        <w:t>licenci, stratēģiskas nozīmes preču aprites subjekts nosūta preču pavaddokumentus komitejas stratēģiskas nozīmes preču identifikācijas speciālistam, izmantojot elektroniskos sakaru līdzekļus, un saņem tā atzinumu, ka preces tie</w:t>
      </w:r>
      <w:r>
        <w:rPr>
          <w:sz w:val="28"/>
          <w:szCs w:val="28"/>
          <w:lang w:val="lv-LV"/>
        </w:rPr>
        <w:t>k nosūtītas saskaņā ar vispārējo</w:t>
      </w:r>
      <w:r w:rsidRPr="00D13FAF">
        <w:rPr>
          <w:sz w:val="28"/>
          <w:szCs w:val="28"/>
          <w:lang w:val="lv-LV"/>
        </w:rPr>
        <w:t xml:space="preserve"> </w:t>
      </w:r>
      <w:r>
        <w:rPr>
          <w:sz w:val="28"/>
          <w:szCs w:val="28"/>
          <w:lang w:val="lv-LV"/>
        </w:rPr>
        <w:t xml:space="preserve">pārvietošanas </w:t>
      </w:r>
      <w:r w:rsidRPr="00D13FAF">
        <w:rPr>
          <w:sz w:val="28"/>
          <w:szCs w:val="28"/>
          <w:lang w:val="lv-LV"/>
        </w:rPr>
        <w:t>licenci.</w:t>
      </w:r>
      <w:r>
        <w:rPr>
          <w:sz w:val="28"/>
          <w:szCs w:val="28"/>
          <w:lang w:val="lv-LV"/>
        </w:rPr>
        <w:t xml:space="preserve"> </w:t>
      </w:r>
      <w:r w:rsidRPr="00D13FAF">
        <w:rPr>
          <w:sz w:val="28"/>
          <w:szCs w:val="28"/>
          <w:lang w:val="lv-LV"/>
        </w:rPr>
        <w:t>Piegādātāji glabā uzskaites dokumentus trīs gadus pēc tā k</w:t>
      </w:r>
      <w:r>
        <w:rPr>
          <w:sz w:val="28"/>
          <w:szCs w:val="28"/>
          <w:lang w:val="lv-LV"/>
        </w:rPr>
        <w:t>alendārā gada beigām, kad veikta preču nosūtīšana</w:t>
      </w:r>
      <w:r w:rsidRPr="00D13FAF">
        <w:rPr>
          <w:sz w:val="28"/>
          <w:szCs w:val="28"/>
          <w:lang w:val="lv-LV"/>
        </w:rPr>
        <w:t xml:space="preserve">. </w:t>
      </w:r>
      <w:r>
        <w:rPr>
          <w:sz w:val="28"/>
          <w:szCs w:val="28"/>
          <w:lang w:val="lv-LV"/>
        </w:rPr>
        <w:t>Tos pēc pieprasījuma iesniedz k</w:t>
      </w:r>
      <w:r w:rsidRPr="00D13FAF">
        <w:rPr>
          <w:sz w:val="28"/>
          <w:szCs w:val="28"/>
          <w:lang w:val="lv-LV"/>
        </w:rPr>
        <w:t>omitejai.</w:t>
      </w:r>
      <w:r>
        <w:rPr>
          <w:sz w:val="28"/>
          <w:szCs w:val="28"/>
          <w:lang w:val="lv-LV"/>
        </w:rPr>
        <w:t>”;</w:t>
      </w:r>
      <w:r w:rsidRPr="00D13FAF">
        <w:rPr>
          <w:sz w:val="28"/>
          <w:szCs w:val="28"/>
          <w:lang w:val="lv-LV"/>
        </w:rPr>
        <w:t xml:space="preserve"> </w:t>
      </w:r>
    </w:p>
    <w:p w:rsidR="007C312B" w:rsidRDefault="007C312B" w:rsidP="00D13FAF">
      <w:pPr>
        <w:adjustRightInd w:val="0"/>
        <w:ind w:left="720"/>
        <w:jc w:val="both"/>
        <w:rPr>
          <w:sz w:val="28"/>
          <w:szCs w:val="28"/>
          <w:lang w:val="lv-LV"/>
        </w:rPr>
      </w:pPr>
      <w:r>
        <w:rPr>
          <w:sz w:val="28"/>
          <w:szCs w:val="28"/>
          <w:lang w:val="lv-LV"/>
        </w:rPr>
        <w:t xml:space="preserve">17. papildināt tekstu visā noteikumu 3.pielikumā aiz vārdiem „vispārējās tranzīta” ar vārdiem „vai globālās pārvietošanas”; </w:t>
      </w:r>
    </w:p>
    <w:p w:rsidR="007C312B" w:rsidRDefault="007C312B" w:rsidP="003A6624">
      <w:pPr>
        <w:pStyle w:val="NormalWeb"/>
        <w:spacing w:before="0" w:after="0"/>
        <w:ind w:left="709" w:firstLine="11"/>
        <w:jc w:val="both"/>
        <w:rPr>
          <w:rFonts w:ascii="Times New Roman" w:hAnsi="Times New Roman"/>
          <w:sz w:val="28"/>
          <w:szCs w:val="28"/>
        </w:rPr>
      </w:pPr>
      <w:r>
        <w:rPr>
          <w:rFonts w:ascii="Times New Roman" w:hAnsi="Times New Roman"/>
          <w:sz w:val="28"/>
          <w:szCs w:val="28"/>
        </w:rPr>
        <w:t>18</w:t>
      </w:r>
      <w:r w:rsidRPr="003A6624">
        <w:rPr>
          <w:rFonts w:ascii="Times New Roman" w:hAnsi="Times New Roman"/>
          <w:sz w:val="28"/>
          <w:szCs w:val="28"/>
        </w:rPr>
        <w:t>. noteikumu 42.punktu izteikt šādā redakcijā</w:t>
      </w:r>
      <w:r>
        <w:rPr>
          <w:rFonts w:ascii="Times New Roman" w:hAnsi="Times New Roman"/>
          <w:sz w:val="28"/>
          <w:szCs w:val="28"/>
        </w:rPr>
        <w:t>:</w:t>
      </w:r>
    </w:p>
    <w:p w:rsidR="007C312B" w:rsidRPr="003A6624" w:rsidRDefault="007C312B" w:rsidP="003A6624">
      <w:pPr>
        <w:pStyle w:val="NormalWeb"/>
        <w:spacing w:before="0" w:after="0"/>
        <w:ind w:left="709" w:firstLine="11"/>
        <w:jc w:val="both"/>
        <w:rPr>
          <w:rFonts w:ascii="Times New Roman" w:hAnsi="Times New Roman"/>
          <w:sz w:val="28"/>
          <w:szCs w:val="28"/>
        </w:rPr>
      </w:pPr>
      <w:r w:rsidRPr="003A6624">
        <w:rPr>
          <w:rFonts w:ascii="Times New Roman" w:hAnsi="Times New Roman"/>
          <w:sz w:val="28"/>
          <w:szCs w:val="28"/>
        </w:rPr>
        <w:t>„42. Ja komiteja nolemj, ka sarakstos neuzskaitītajām precēm ir nepie</w:t>
      </w:r>
      <w:r w:rsidRPr="003A6624">
        <w:rPr>
          <w:rFonts w:ascii="Times New Roman" w:hAnsi="Times New Roman"/>
          <w:sz w:val="28"/>
          <w:szCs w:val="28"/>
        </w:rPr>
        <w:softHyphen/>
        <w:t>ciešama eksporta vai tranzīta licence, komiteja rakstiski par to paziņo stratēģiskas nozīmes preču subjektam un Valsts ieņēmumu dienestam.”</w:t>
      </w:r>
      <w:r>
        <w:rPr>
          <w:rFonts w:ascii="Times New Roman" w:hAnsi="Times New Roman"/>
          <w:sz w:val="28"/>
          <w:szCs w:val="28"/>
        </w:rPr>
        <w:t>;</w:t>
      </w:r>
    </w:p>
    <w:p w:rsidR="007C312B" w:rsidRDefault="007C312B" w:rsidP="00AC0556">
      <w:pPr>
        <w:adjustRightInd w:val="0"/>
        <w:ind w:left="720"/>
        <w:jc w:val="both"/>
        <w:rPr>
          <w:sz w:val="28"/>
          <w:szCs w:val="28"/>
          <w:lang w:val="lv-LV"/>
        </w:rPr>
      </w:pPr>
      <w:r>
        <w:rPr>
          <w:sz w:val="28"/>
          <w:szCs w:val="28"/>
          <w:lang w:val="lv-LV"/>
        </w:rPr>
        <w:t>19. papildināt noteikumus ar nodaļu „Noslēguma jautājumi” šādā redakcijā:</w:t>
      </w:r>
    </w:p>
    <w:p w:rsidR="007C312B" w:rsidRPr="0063326B" w:rsidRDefault="007C312B" w:rsidP="00AC0556">
      <w:pPr>
        <w:adjustRightInd w:val="0"/>
        <w:ind w:left="720"/>
        <w:jc w:val="both"/>
        <w:rPr>
          <w:bCs/>
          <w:sz w:val="28"/>
          <w:szCs w:val="28"/>
          <w:lang w:val="lv-LV"/>
        </w:rPr>
      </w:pPr>
      <w:r w:rsidRPr="0063326B">
        <w:rPr>
          <w:bCs/>
          <w:sz w:val="28"/>
          <w:szCs w:val="28"/>
          <w:lang w:val="lv-LV"/>
        </w:rPr>
        <w:t>“53.Noteikumu 9.punkts stājas spēkā 2011.gada 1.septembrī.”;</w:t>
      </w:r>
    </w:p>
    <w:p w:rsidR="007C312B" w:rsidRDefault="007C312B" w:rsidP="00AC0556">
      <w:pPr>
        <w:adjustRightInd w:val="0"/>
        <w:ind w:left="720"/>
        <w:jc w:val="both"/>
        <w:rPr>
          <w:sz w:val="28"/>
          <w:szCs w:val="28"/>
          <w:lang w:val="lv-LV"/>
        </w:rPr>
      </w:pPr>
      <w:r w:rsidRPr="0063326B">
        <w:rPr>
          <w:bCs/>
          <w:sz w:val="28"/>
          <w:szCs w:val="28"/>
          <w:lang w:val="lv-LV"/>
        </w:rPr>
        <w:t>“54.</w:t>
      </w:r>
      <w:r>
        <w:rPr>
          <w:bCs/>
          <w:sz w:val="28"/>
          <w:szCs w:val="28"/>
          <w:lang w:val="lv-LV"/>
        </w:rPr>
        <w:t>Normatīvie noteikumi</w:t>
      </w:r>
      <w:r w:rsidRPr="0063326B">
        <w:rPr>
          <w:bCs/>
          <w:sz w:val="28"/>
          <w:szCs w:val="28"/>
          <w:lang w:val="lv-LV"/>
        </w:rPr>
        <w:t>, kas attiecas uz globālā</w:t>
      </w:r>
      <w:r>
        <w:rPr>
          <w:bCs/>
          <w:sz w:val="28"/>
          <w:szCs w:val="28"/>
          <w:lang w:val="lv-LV"/>
        </w:rPr>
        <w:t>s</w:t>
      </w:r>
      <w:r w:rsidRPr="0063326B">
        <w:rPr>
          <w:bCs/>
          <w:sz w:val="28"/>
          <w:szCs w:val="28"/>
          <w:lang w:val="lv-LV"/>
        </w:rPr>
        <w:t xml:space="preserve"> </w:t>
      </w:r>
      <w:r>
        <w:rPr>
          <w:bCs/>
          <w:sz w:val="28"/>
          <w:szCs w:val="28"/>
          <w:lang w:val="lv-LV"/>
        </w:rPr>
        <w:t>pārvietošanas un vispārējās</w:t>
      </w:r>
      <w:r w:rsidRPr="0063326B">
        <w:rPr>
          <w:bCs/>
          <w:sz w:val="28"/>
          <w:szCs w:val="28"/>
          <w:lang w:val="lv-LV"/>
        </w:rPr>
        <w:t xml:space="preserve"> </w:t>
      </w:r>
      <w:r>
        <w:rPr>
          <w:bCs/>
          <w:sz w:val="28"/>
          <w:szCs w:val="28"/>
          <w:lang w:val="lv-LV"/>
        </w:rPr>
        <w:t xml:space="preserve">pārvietošanas </w:t>
      </w:r>
      <w:r w:rsidRPr="0063326B">
        <w:rPr>
          <w:bCs/>
          <w:sz w:val="28"/>
          <w:szCs w:val="28"/>
          <w:lang w:val="lv-LV"/>
        </w:rPr>
        <w:t xml:space="preserve">licencēm, stājas spēkā 2012.gada 30.jūnijā.”; </w:t>
      </w:r>
    </w:p>
    <w:p w:rsidR="007C312B" w:rsidRDefault="007C312B" w:rsidP="00AC0556">
      <w:pPr>
        <w:ind w:left="720"/>
        <w:jc w:val="both"/>
        <w:rPr>
          <w:sz w:val="28"/>
          <w:szCs w:val="28"/>
          <w:lang w:val="lv-LV"/>
        </w:rPr>
      </w:pPr>
      <w:r>
        <w:rPr>
          <w:sz w:val="28"/>
          <w:szCs w:val="28"/>
          <w:lang w:val="lv-LV"/>
        </w:rPr>
        <w:t>20</w:t>
      </w:r>
      <w:r w:rsidRPr="00652CEC">
        <w:rPr>
          <w:sz w:val="28"/>
          <w:szCs w:val="28"/>
          <w:lang w:val="lv-LV"/>
        </w:rPr>
        <w:t>.</w:t>
      </w:r>
      <w:r>
        <w:rPr>
          <w:color w:val="C00000"/>
          <w:sz w:val="28"/>
          <w:szCs w:val="28"/>
          <w:lang w:val="lv-LV"/>
        </w:rPr>
        <w:t xml:space="preserve"> </w:t>
      </w:r>
      <w:r w:rsidRPr="00F018B4">
        <w:rPr>
          <w:sz w:val="28"/>
          <w:szCs w:val="28"/>
          <w:lang w:val="lv-LV"/>
        </w:rPr>
        <w:t>papildināt</w:t>
      </w:r>
      <w:r>
        <w:rPr>
          <w:sz w:val="28"/>
          <w:szCs w:val="28"/>
          <w:lang w:val="lv-LV"/>
        </w:rPr>
        <w:t xml:space="preserve"> informatīvo atsauci</w:t>
      </w:r>
      <w:r w:rsidRPr="00452C5F">
        <w:rPr>
          <w:bCs/>
          <w:sz w:val="28"/>
          <w:szCs w:val="28"/>
          <w:lang w:val="lv-LV"/>
        </w:rPr>
        <w:t xml:space="preserve"> </w:t>
      </w:r>
      <w:r>
        <w:rPr>
          <w:bCs/>
          <w:sz w:val="28"/>
          <w:szCs w:val="28"/>
          <w:lang w:val="lv-LV"/>
        </w:rPr>
        <w:t>uz Eiropas Savienības direktīvām</w:t>
      </w:r>
      <w:r w:rsidRPr="00452C5F">
        <w:rPr>
          <w:sz w:val="28"/>
          <w:szCs w:val="28"/>
          <w:lang w:val="lv-LV"/>
        </w:rPr>
        <w:t xml:space="preserve"> </w:t>
      </w:r>
      <w:r>
        <w:rPr>
          <w:sz w:val="28"/>
          <w:szCs w:val="28"/>
          <w:lang w:val="lv-LV"/>
        </w:rPr>
        <w:t xml:space="preserve">ar 3. un 4.punktu </w:t>
      </w:r>
      <w:r w:rsidRPr="00452C5F">
        <w:rPr>
          <w:sz w:val="28"/>
          <w:szCs w:val="28"/>
          <w:lang w:val="lv-LV"/>
        </w:rPr>
        <w:t>šādā redakcijā:</w:t>
      </w:r>
    </w:p>
    <w:p w:rsidR="007C312B" w:rsidRPr="00A642AD" w:rsidRDefault="007C312B" w:rsidP="00AC0556">
      <w:pPr>
        <w:pStyle w:val="Default"/>
        <w:ind w:left="709"/>
        <w:jc w:val="both"/>
        <w:rPr>
          <w:rFonts w:ascii="Times New Roman" w:hAnsi="Times New Roman" w:cs="Times New Roman"/>
          <w:sz w:val="28"/>
          <w:szCs w:val="28"/>
        </w:rPr>
      </w:pPr>
      <w:r>
        <w:rPr>
          <w:rFonts w:ascii="Times New Roman" w:hAnsi="Times New Roman" w:cs="Times New Roman"/>
          <w:sz w:val="28"/>
          <w:szCs w:val="28"/>
        </w:rPr>
        <w:t>„</w:t>
      </w:r>
      <w:r w:rsidRPr="00A642AD">
        <w:rPr>
          <w:rFonts w:ascii="Times New Roman" w:hAnsi="Times New Roman" w:cs="Times New Roman"/>
          <w:sz w:val="28"/>
          <w:szCs w:val="28"/>
        </w:rPr>
        <w:t xml:space="preserve">3) Eiropas Parlamenta un Padomes 2009.gada </w:t>
      </w:r>
      <w:r>
        <w:rPr>
          <w:rFonts w:ascii="Times New Roman" w:hAnsi="Times New Roman" w:cs="Times New Roman"/>
          <w:sz w:val="28"/>
          <w:szCs w:val="28"/>
        </w:rPr>
        <w:t>6.maija direktīvas</w:t>
      </w:r>
      <w:r w:rsidRPr="00A642AD">
        <w:rPr>
          <w:rFonts w:ascii="Times New Roman" w:hAnsi="Times New Roman" w:cs="Times New Roman"/>
          <w:sz w:val="28"/>
          <w:szCs w:val="28"/>
        </w:rPr>
        <w:t xml:space="preserve"> 2009/43/EK, ar ko vienkāršo noteikumus un nosacījumus ar aizsardzību saistīto ražojumu sūtījumiem</w:t>
      </w:r>
      <w:r>
        <w:rPr>
          <w:rFonts w:ascii="Times New Roman" w:hAnsi="Times New Roman" w:cs="Times New Roman"/>
          <w:sz w:val="28"/>
          <w:szCs w:val="28"/>
        </w:rPr>
        <w:t>;</w:t>
      </w:r>
    </w:p>
    <w:p w:rsidR="007C312B" w:rsidRDefault="007C312B" w:rsidP="00AC0556">
      <w:pPr>
        <w:pStyle w:val="Default"/>
        <w:ind w:left="709"/>
        <w:jc w:val="both"/>
        <w:rPr>
          <w:rFonts w:ascii="Times New Roman" w:hAnsi="Times New Roman" w:cs="Times New Roman"/>
          <w:bCs/>
          <w:sz w:val="28"/>
          <w:szCs w:val="28"/>
        </w:rPr>
      </w:pPr>
      <w:r w:rsidRPr="00A642AD">
        <w:rPr>
          <w:rFonts w:ascii="Times New Roman" w:hAnsi="Times New Roman" w:cs="Times New Roman"/>
          <w:sz w:val="28"/>
          <w:szCs w:val="28"/>
        </w:rPr>
        <w:t xml:space="preserve">4) Eiropas Komisijas 2010.gada 22.novembra direktīvas 2010/80/ES, ar ko groza Eiropas Parlamenta un Padomes direktīvu 2009/43/EK </w:t>
      </w:r>
      <w:r w:rsidRPr="00A642AD">
        <w:rPr>
          <w:rFonts w:ascii="Times New Roman" w:hAnsi="Times New Roman" w:cs="Times New Roman"/>
          <w:bCs/>
          <w:sz w:val="28"/>
          <w:szCs w:val="28"/>
        </w:rPr>
        <w:t>attiecībā uz tādu ražojumu sarakstu, kas saistīti ar aizsardzību</w:t>
      </w:r>
      <w:r>
        <w:rPr>
          <w:rFonts w:ascii="Times New Roman" w:hAnsi="Times New Roman" w:cs="Times New Roman"/>
          <w:bCs/>
          <w:sz w:val="28"/>
          <w:szCs w:val="28"/>
        </w:rPr>
        <w:t>.”.</w:t>
      </w:r>
    </w:p>
    <w:p w:rsidR="007C312B" w:rsidRPr="00A642AD" w:rsidRDefault="007C312B" w:rsidP="00A642AD">
      <w:pPr>
        <w:pStyle w:val="Default"/>
        <w:ind w:firstLine="709"/>
        <w:jc w:val="both"/>
        <w:rPr>
          <w:rFonts w:ascii="Times New Roman" w:hAnsi="Times New Roman" w:cs="Times New Roman"/>
          <w:sz w:val="28"/>
          <w:szCs w:val="28"/>
        </w:rPr>
      </w:pPr>
    </w:p>
    <w:p w:rsidR="007C312B" w:rsidRDefault="007C312B" w:rsidP="00A642AD">
      <w:pPr>
        <w:pStyle w:val="Default"/>
        <w:ind w:firstLine="709"/>
      </w:pPr>
    </w:p>
    <w:p w:rsidR="007C312B" w:rsidRDefault="007C312B" w:rsidP="00A642AD">
      <w:pPr>
        <w:pStyle w:val="Default"/>
        <w:ind w:firstLine="709"/>
      </w:pPr>
    </w:p>
    <w:p w:rsidR="007C312B" w:rsidRDefault="007C312B" w:rsidP="00A642AD">
      <w:pPr>
        <w:pStyle w:val="Default"/>
        <w:ind w:firstLine="709"/>
      </w:pPr>
    </w:p>
    <w:p w:rsidR="007C312B" w:rsidRDefault="007C312B" w:rsidP="00A642AD">
      <w:pPr>
        <w:pStyle w:val="Default"/>
        <w:ind w:firstLine="709"/>
      </w:pPr>
    </w:p>
    <w:p w:rsidR="007C312B" w:rsidRPr="00A642AD" w:rsidRDefault="007C312B" w:rsidP="00A642AD">
      <w:pPr>
        <w:pStyle w:val="Default"/>
        <w:ind w:firstLine="709"/>
        <w:rPr>
          <w:rFonts w:ascii="Times New Roman" w:hAnsi="Times New Roman" w:cs="Times New Roman"/>
          <w:sz w:val="28"/>
          <w:szCs w:val="28"/>
        </w:rPr>
      </w:pPr>
      <w:r w:rsidRPr="00A642AD">
        <w:rPr>
          <w:rFonts w:ascii="Times New Roman" w:hAnsi="Times New Roman" w:cs="Times New Roman"/>
          <w:sz w:val="28"/>
          <w:szCs w:val="28"/>
        </w:rPr>
        <w:t xml:space="preserve">Ministru prezidents </w:t>
      </w:r>
      <w:r w:rsidRPr="00A642AD">
        <w:rPr>
          <w:rFonts w:ascii="Times New Roman" w:hAnsi="Times New Roman" w:cs="Times New Roman"/>
          <w:sz w:val="28"/>
          <w:szCs w:val="28"/>
        </w:rPr>
        <w:tab/>
        <w:t xml:space="preserve">                                    </w:t>
      </w:r>
      <w:r w:rsidRPr="00A642AD">
        <w:rPr>
          <w:rFonts w:ascii="Times New Roman" w:hAnsi="Times New Roman" w:cs="Times New Roman"/>
          <w:sz w:val="28"/>
          <w:szCs w:val="28"/>
        </w:rPr>
        <w:tab/>
      </w:r>
      <w:r w:rsidRPr="00A642AD">
        <w:rPr>
          <w:rFonts w:ascii="Times New Roman" w:hAnsi="Times New Roman" w:cs="Times New Roman"/>
          <w:sz w:val="28"/>
          <w:szCs w:val="28"/>
        </w:rPr>
        <w:tab/>
        <w:t>V.Dombrovskis</w:t>
      </w:r>
    </w:p>
    <w:p w:rsidR="007C312B" w:rsidRPr="00A642AD" w:rsidRDefault="007C312B" w:rsidP="00D93E66">
      <w:pPr>
        <w:spacing w:after="120"/>
        <w:rPr>
          <w:sz w:val="28"/>
          <w:szCs w:val="28"/>
          <w:lang w:val="lv-LV"/>
        </w:rPr>
      </w:pPr>
    </w:p>
    <w:p w:rsidR="007C312B" w:rsidRPr="00B518BA" w:rsidRDefault="007C312B" w:rsidP="00D93E66">
      <w:pPr>
        <w:spacing w:after="120"/>
        <w:ind w:firstLine="720"/>
        <w:rPr>
          <w:sz w:val="28"/>
          <w:lang w:val="lv-LV"/>
        </w:rPr>
      </w:pPr>
      <w:r w:rsidRPr="00B518BA">
        <w:rPr>
          <w:sz w:val="28"/>
          <w:lang w:val="lv-LV"/>
        </w:rPr>
        <w:t xml:space="preserve">Ārlietu ministrs                            </w:t>
      </w:r>
      <w:r>
        <w:rPr>
          <w:sz w:val="28"/>
          <w:lang w:val="lv-LV"/>
        </w:rPr>
        <w:t xml:space="preserve">                   </w:t>
      </w:r>
      <w:r>
        <w:rPr>
          <w:sz w:val="28"/>
          <w:lang w:val="lv-LV"/>
        </w:rPr>
        <w:tab/>
      </w:r>
      <w:r>
        <w:rPr>
          <w:sz w:val="28"/>
          <w:lang w:val="lv-LV"/>
        </w:rPr>
        <w:tab/>
        <w:t>Ģ.V.Kristovskis</w:t>
      </w:r>
      <w:r w:rsidRPr="00B518BA">
        <w:rPr>
          <w:sz w:val="28"/>
          <w:lang w:val="lv-LV"/>
        </w:rPr>
        <w:tab/>
      </w:r>
      <w:r w:rsidRPr="00B518BA">
        <w:rPr>
          <w:sz w:val="28"/>
          <w:lang w:val="lv-LV"/>
        </w:rPr>
        <w:tab/>
      </w:r>
    </w:p>
    <w:p w:rsidR="007C312B" w:rsidRPr="00B030D6" w:rsidRDefault="007C312B" w:rsidP="00D93E66">
      <w:pPr>
        <w:pStyle w:val="naisf"/>
        <w:spacing w:before="0" w:beforeAutospacing="0" w:after="120" w:afterAutospacing="0"/>
        <w:jc w:val="both"/>
        <w:rPr>
          <w:sz w:val="28"/>
          <w:lang w:val="cs-CZ"/>
        </w:rPr>
      </w:pPr>
    </w:p>
    <w:p w:rsidR="007C312B" w:rsidRDefault="007C312B" w:rsidP="00D93E66">
      <w:pPr>
        <w:spacing w:after="120"/>
        <w:rPr>
          <w:sz w:val="28"/>
          <w:lang w:val="lv-LV"/>
        </w:rPr>
      </w:pPr>
    </w:p>
    <w:p w:rsidR="007C312B" w:rsidRPr="00B518BA" w:rsidRDefault="007C312B" w:rsidP="00D93E66">
      <w:pPr>
        <w:spacing w:after="120"/>
        <w:rPr>
          <w:sz w:val="28"/>
          <w:lang w:val="lv-LV"/>
        </w:rPr>
      </w:pPr>
      <w:r w:rsidRPr="00B518BA">
        <w:rPr>
          <w:sz w:val="28"/>
          <w:lang w:val="lv-LV"/>
        </w:rPr>
        <w:t>Iesniedzējs: Ārl</w:t>
      </w:r>
      <w:r>
        <w:rPr>
          <w:sz w:val="28"/>
          <w:lang w:val="lv-LV"/>
        </w:rPr>
        <w:t xml:space="preserve">ietu ministrs </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t>Ģ.V.Kristovskis</w:t>
      </w:r>
    </w:p>
    <w:p w:rsidR="007C312B" w:rsidRPr="00B518BA" w:rsidRDefault="007C312B" w:rsidP="00D93E66">
      <w:pPr>
        <w:spacing w:after="120"/>
        <w:rPr>
          <w:sz w:val="28"/>
          <w:lang w:val="lv-LV"/>
        </w:rPr>
      </w:pPr>
    </w:p>
    <w:p w:rsidR="007C312B" w:rsidRPr="00B518BA" w:rsidRDefault="007C312B" w:rsidP="00D93E66">
      <w:pPr>
        <w:spacing w:after="120"/>
        <w:rPr>
          <w:sz w:val="28"/>
          <w:lang w:val="lv-LV"/>
        </w:rPr>
      </w:pPr>
      <w:r w:rsidRPr="00B518BA">
        <w:rPr>
          <w:sz w:val="28"/>
          <w:lang w:val="lv-LV"/>
        </w:rPr>
        <w:t>Vizē: Val</w:t>
      </w:r>
      <w:r>
        <w:rPr>
          <w:sz w:val="28"/>
          <w:lang w:val="lv-LV"/>
        </w:rPr>
        <w:t>sts sekretāra p.i.</w:t>
      </w:r>
      <w:r>
        <w:rPr>
          <w:sz w:val="28"/>
          <w:lang w:val="lv-LV"/>
        </w:rPr>
        <w:tab/>
      </w:r>
      <w:r>
        <w:rPr>
          <w:sz w:val="28"/>
          <w:lang w:val="lv-LV"/>
        </w:rPr>
        <w:tab/>
      </w:r>
      <w:r>
        <w:rPr>
          <w:sz w:val="28"/>
          <w:lang w:val="lv-LV"/>
        </w:rPr>
        <w:tab/>
      </w:r>
      <w:r>
        <w:rPr>
          <w:sz w:val="28"/>
          <w:lang w:val="lv-LV"/>
        </w:rPr>
        <w:tab/>
      </w:r>
      <w:r>
        <w:rPr>
          <w:sz w:val="28"/>
          <w:lang w:val="lv-LV"/>
        </w:rPr>
        <w:tab/>
      </w:r>
      <w:r>
        <w:rPr>
          <w:sz w:val="28"/>
          <w:lang w:val="lv-LV"/>
        </w:rPr>
        <w:tab/>
        <w:t>A.Razāns</w:t>
      </w:r>
    </w:p>
    <w:p w:rsidR="007C312B" w:rsidRPr="00B518BA" w:rsidRDefault="007C312B" w:rsidP="00D93E66">
      <w:pPr>
        <w:pStyle w:val="NormalWeb"/>
        <w:spacing w:before="0" w:after="120"/>
        <w:rPr>
          <w:rFonts w:ascii="Times New Roman" w:hAnsi="Times New Roman"/>
          <w:sz w:val="28"/>
          <w:szCs w:val="24"/>
        </w:rPr>
      </w:pPr>
    </w:p>
    <w:p w:rsidR="007C312B" w:rsidRDefault="007C312B" w:rsidP="00D93E66">
      <w:pPr>
        <w:pStyle w:val="NormalWeb"/>
        <w:spacing w:before="0" w:after="120"/>
        <w:rPr>
          <w:rFonts w:ascii="Times New Roman" w:hAnsi="Times New Roman"/>
          <w:sz w:val="28"/>
          <w:szCs w:val="24"/>
        </w:rPr>
      </w:pPr>
    </w:p>
    <w:p w:rsidR="007C312B" w:rsidRDefault="007C312B" w:rsidP="00D93E66">
      <w:pPr>
        <w:pStyle w:val="NormalWeb"/>
        <w:spacing w:before="0" w:after="120"/>
        <w:rPr>
          <w:rFonts w:ascii="Times New Roman" w:hAnsi="Times New Roman"/>
          <w:sz w:val="28"/>
          <w:szCs w:val="24"/>
        </w:rPr>
      </w:pPr>
    </w:p>
    <w:p w:rsidR="007C312B" w:rsidRDefault="007C312B" w:rsidP="00D93E66">
      <w:pPr>
        <w:pStyle w:val="NormalWeb"/>
        <w:spacing w:before="0" w:after="120"/>
        <w:rPr>
          <w:rFonts w:ascii="Times New Roman" w:hAnsi="Times New Roman"/>
          <w:sz w:val="28"/>
          <w:szCs w:val="24"/>
        </w:rPr>
      </w:pPr>
    </w:p>
    <w:p w:rsidR="007C312B" w:rsidRDefault="007C312B" w:rsidP="00D93E66">
      <w:pPr>
        <w:pStyle w:val="NormalWeb"/>
        <w:spacing w:before="0" w:after="120"/>
        <w:rPr>
          <w:rFonts w:ascii="Times New Roman" w:hAnsi="Times New Roman"/>
          <w:sz w:val="28"/>
          <w:szCs w:val="24"/>
        </w:rPr>
      </w:pPr>
      <w:bookmarkStart w:id="0" w:name="_GoBack"/>
      <w:bookmarkEnd w:id="0"/>
    </w:p>
    <w:p w:rsidR="007C312B" w:rsidRPr="00B518BA" w:rsidRDefault="007C312B" w:rsidP="00D93E66">
      <w:pPr>
        <w:pStyle w:val="NormalWeb"/>
        <w:spacing w:before="0" w:after="120"/>
        <w:rPr>
          <w:rFonts w:ascii="Times New Roman" w:hAnsi="Times New Roman"/>
          <w:sz w:val="28"/>
          <w:szCs w:val="24"/>
        </w:rPr>
      </w:pPr>
    </w:p>
    <w:p w:rsidR="007C312B" w:rsidRPr="00540B78" w:rsidRDefault="007C312B" w:rsidP="00D93E66">
      <w:pPr>
        <w:tabs>
          <w:tab w:val="left" w:pos="720"/>
        </w:tabs>
        <w:jc w:val="both"/>
        <w:rPr>
          <w:sz w:val="22"/>
          <w:szCs w:val="22"/>
          <w:lang w:val="lv-LV"/>
        </w:rPr>
      </w:pPr>
      <w:r>
        <w:rPr>
          <w:sz w:val="22"/>
          <w:szCs w:val="22"/>
          <w:lang w:val="lv-LV"/>
        </w:rPr>
        <w:t>05</w:t>
      </w:r>
      <w:r w:rsidRPr="00540B78">
        <w:rPr>
          <w:sz w:val="22"/>
          <w:szCs w:val="22"/>
          <w:lang w:val="lv-LV"/>
        </w:rPr>
        <w:t>.0</w:t>
      </w:r>
      <w:r>
        <w:rPr>
          <w:sz w:val="22"/>
          <w:szCs w:val="22"/>
          <w:lang w:val="lv-LV"/>
        </w:rPr>
        <w:t>5</w:t>
      </w:r>
      <w:r w:rsidRPr="00540B78">
        <w:rPr>
          <w:sz w:val="22"/>
          <w:szCs w:val="22"/>
          <w:lang w:val="lv-LV"/>
        </w:rPr>
        <w:t>.20</w:t>
      </w:r>
      <w:r>
        <w:rPr>
          <w:sz w:val="22"/>
          <w:szCs w:val="22"/>
          <w:lang w:val="lv-LV"/>
        </w:rPr>
        <w:t>11</w:t>
      </w:r>
      <w:r w:rsidRPr="00540B78">
        <w:rPr>
          <w:sz w:val="22"/>
          <w:szCs w:val="22"/>
          <w:lang w:val="lv-LV"/>
        </w:rPr>
        <w:t xml:space="preserve"> </w:t>
      </w:r>
    </w:p>
    <w:p w:rsidR="007C312B" w:rsidRPr="00540B78" w:rsidRDefault="007C312B" w:rsidP="00D93E66">
      <w:pPr>
        <w:tabs>
          <w:tab w:val="left" w:pos="6804"/>
        </w:tabs>
        <w:jc w:val="both"/>
        <w:rPr>
          <w:sz w:val="22"/>
          <w:szCs w:val="22"/>
          <w:lang w:val="lv-LV"/>
        </w:rPr>
      </w:pPr>
      <w:bookmarkStart w:id="1" w:name="OLE_LINK1"/>
      <w:bookmarkStart w:id="2" w:name="OLE_LINK2"/>
      <w:r>
        <w:rPr>
          <w:sz w:val="22"/>
          <w:szCs w:val="22"/>
          <w:lang w:val="lv-LV"/>
        </w:rPr>
        <w:t>859</w:t>
      </w:r>
    </w:p>
    <w:p w:rsidR="007C312B" w:rsidRPr="00540B78" w:rsidRDefault="007C312B" w:rsidP="00D93E66">
      <w:pPr>
        <w:tabs>
          <w:tab w:val="left" w:pos="6804"/>
        </w:tabs>
        <w:jc w:val="both"/>
        <w:rPr>
          <w:sz w:val="22"/>
          <w:szCs w:val="22"/>
          <w:lang w:val="lv-LV"/>
        </w:rPr>
      </w:pPr>
      <w:r w:rsidRPr="00540B78">
        <w:rPr>
          <w:sz w:val="22"/>
          <w:szCs w:val="22"/>
          <w:lang w:val="lv-LV"/>
        </w:rPr>
        <w:t>A.Kalniņa</w:t>
      </w:r>
    </w:p>
    <w:p w:rsidR="007C312B" w:rsidRPr="005A4ACB" w:rsidRDefault="007C312B" w:rsidP="00BC4E03">
      <w:pPr>
        <w:pStyle w:val="naislab"/>
        <w:spacing w:before="0" w:after="0"/>
        <w:jc w:val="both"/>
      </w:pPr>
      <w:r w:rsidRPr="00540B78">
        <w:rPr>
          <w:sz w:val="22"/>
          <w:szCs w:val="22"/>
        </w:rPr>
        <w:t>67016426,</w:t>
      </w:r>
      <w:bookmarkEnd w:id="1"/>
      <w:bookmarkEnd w:id="2"/>
      <w:r w:rsidRPr="00540B78">
        <w:rPr>
          <w:sz w:val="22"/>
          <w:szCs w:val="22"/>
        </w:rPr>
        <w:t xml:space="preserve"> </w:t>
      </w:r>
      <w:hyperlink r:id="rId7" w:history="1">
        <w:r w:rsidRPr="00540B78">
          <w:rPr>
            <w:rStyle w:val="Hyperlink"/>
            <w:sz w:val="22"/>
            <w:szCs w:val="22"/>
          </w:rPr>
          <w:t>agnese.kalnina@mfa.gov.lv</w:t>
        </w:r>
      </w:hyperlink>
      <w:r w:rsidRPr="005A4ACB">
        <w:t xml:space="preserve"> </w:t>
      </w:r>
    </w:p>
    <w:sectPr w:rsidR="007C312B" w:rsidRPr="005A4ACB" w:rsidSect="00192CC7">
      <w:headerReference w:type="even" r:id="rId8"/>
      <w:headerReference w:type="default" r:id="rId9"/>
      <w:footerReference w:type="even" r:id="rId10"/>
      <w:footerReference w:type="default" r:id="rId11"/>
      <w:footerReference w:type="first" r:id="rId12"/>
      <w:pgSz w:w="12240" w:h="15840"/>
      <w:pgMar w:top="1276" w:right="1134" w:bottom="22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12B" w:rsidRDefault="007C312B">
      <w:r>
        <w:separator/>
      </w:r>
    </w:p>
  </w:endnote>
  <w:endnote w:type="continuationSeparator" w:id="1">
    <w:p w:rsidR="007C312B" w:rsidRDefault="007C3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B" w:rsidRDefault="007C312B" w:rsidP="00D93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12B" w:rsidRDefault="007C312B" w:rsidP="00D93E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B" w:rsidRDefault="007C312B" w:rsidP="00D93E66">
    <w:pPr>
      <w:pStyle w:val="Footer"/>
      <w:framePr w:wrap="around" w:vAnchor="text" w:hAnchor="margin" w:xAlign="right" w:y="1"/>
      <w:rPr>
        <w:rStyle w:val="PageNumber"/>
      </w:rPr>
    </w:pPr>
  </w:p>
  <w:p w:rsidR="007C312B" w:rsidRPr="005922C8" w:rsidRDefault="007C312B" w:rsidP="00D93E66">
    <w:pPr>
      <w:pStyle w:val="Footer"/>
      <w:ind w:right="360"/>
      <w:jc w:val="both"/>
      <w:rPr>
        <w:sz w:val="20"/>
        <w:lang w:val="lv-LV"/>
      </w:rPr>
    </w:pPr>
    <w:r>
      <w:rPr>
        <w:sz w:val="20"/>
        <w:lang w:val="lv-LV"/>
      </w:rPr>
      <w:t xml:space="preserve">AMnot_05052011; </w:t>
    </w:r>
    <w:r w:rsidRPr="005922C8">
      <w:rPr>
        <w:sz w:val="20"/>
        <w:lang w:val="lv-LV"/>
      </w:rPr>
      <w:t>Ministru kabineta noteikumu projekts “</w:t>
    </w:r>
    <w:r>
      <w:rPr>
        <w:sz w:val="20"/>
        <w:lang w:val="lv-LV"/>
      </w:rPr>
      <w:t>Grozījumi Ministru kabineta 2010.gada 20.jūlija noteikumos Nr.657 „</w:t>
    </w:r>
    <w:r w:rsidRPr="005922C8">
      <w:rPr>
        <w:sz w:val="20"/>
        <w:lang w:val="lv-LV"/>
      </w:rPr>
      <w:t xml:space="preserve">Kārtība, kādā izsniedz </w:t>
    </w:r>
    <w:r>
      <w:rPr>
        <w:sz w:val="20"/>
        <w:lang w:val="lv-LV"/>
      </w:rPr>
      <w:t xml:space="preserve">vai atsaka izsniegt </w:t>
    </w:r>
    <w:r w:rsidRPr="005922C8">
      <w:rPr>
        <w:sz w:val="20"/>
        <w:lang w:val="lv-LV"/>
      </w:rPr>
      <w:t>stratēģiskas nozīmes preču licences un citus ar stratēģiskas nozīmes apriti saistītos dokumentus”</w:t>
    </w:r>
    <w:r>
      <w:rPr>
        <w:sz w:val="20"/>
        <w:lang w:val="lv-LV"/>
      </w:rPr>
      <w:t>”</w:t>
    </w:r>
  </w:p>
  <w:p w:rsidR="007C312B" w:rsidRDefault="007C312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B" w:rsidRPr="005922C8" w:rsidRDefault="007C312B" w:rsidP="00820CB5">
    <w:pPr>
      <w:pStyle w:val="Footer"/>
      <w:ind w:right="360"/>
      <w:jc w:val="both"/>
      <w:rPr>
        <w:sz w:val="20"/>
        <w:lang w:val="lv-LV"/>
      </w:rPr>
    </w:pPr>
    <w:r>
      <w:rPr>
        <w:sz w:val="20"/>
        <w:lang w:val="lv-LV"/>
      </w:rPr>
      <w:t xml:space="preserve">AMnot_05052011; </w:t>
    </w:r>
    <w:r w:rsidRPr="005922C8">
      <w:rPr>
        <w:sz w:val="20"/>
        <w:lang w:val="lv-LV"/>
      </w:rPr>
      <w:t>Ministru kabineta noteikumu projekts “</w:t>
    </w:r>
    <w:r>
      <w:rPr>
        <w:sz w:val="20"/>
        <w:lang w:val="lv-LV"/>
      </w:rPr>
      <w:t>Grozījumi Ministru kabineta 2010.gada 20.jūlija noteikumos Nr.657 „</w:t>
    </w:r>
    <w:r w:rsidRPr="005922C8">
      <w:rPr>
        <w:sz w:val="20"/>
        <w:lang w:val="lv-LV"/>
      </w:rPr>
      <w:t xml:space="preserve">Kārtība, kādā izsniedz </w:t>
    </w:r>
    <w:r>
      <w:rPr>
        <w:sz w:val="20"/>
        <w:lang w:val="lv-LV"/>
      </w:rPr>
      <w:t xml:space="preserve">vai atsaka izsniegt </w:t>
    </w:r>
    <w:r w:rsidRPr="005922C8">
      <w:rPr>
        <w:sz w:val="20"/>
        <w:lang w:val="lv-LV"/>
      </w:rPr>
      <w:t>stratēģiskas nozīmes preču licences un citus ar stratēģiskas nozīmes apriti saistītos dokumentus”</w:t>
    </w:r>
    <w:r>
      <w:rPr>
        <w:sz w:val="20"/>
        <w:lang w:val="lv-LV"/>
      </w:rPr>
      <w:t>”</w:t>
    </w:r>
  </w:p>
  <w:p w:rsidR="007C312B" w:rsidRDefault="007C3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12B" w:rsidRDefault="007C312B">
      <w:r>
        <w:separator/>
      </w:r>
    </w:p>
  </w:footnote>
  <w:footnote w:type="continuationSeparator" w:id="1">
    <w:p w:rsidR="007C312B" w:rsidRDefault="007C3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B" w:rsidRDefault="007C312B" w:rsidP="00D93E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12B" w:rsidRDefault="007C3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B" w:rsidRDefault="007C312B" w:rsidP="00D93E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C312B" w:rsidRPr="00A866A0" w:rsidRDefault="007C312B" w:rsidP="00D93E66">
    <w:pPr>
      <w:pStyle w:val="Header"/>
      <w:jc w:val="right"/>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ECA"/>
    <w:multiLevelType w:val="hybridMultilevel"/>
    <w:tmpl w:val="46B87544"/>
    <w:lvl w:ilvl="0" w:tplc="0426000F">
      <w:start w:val="29"/>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44DF51CD"/>
    <w:multiLevelType w:val="hybridMultilevel"/>
    <w:tmpl w:val="1D4E9152"/>
    <w:lvl w:ilvl="0" w:tplc="B17C60B8">
      <w:start w:val="1"/>
      <w:numFmt w:val="decimal"/>
      <w:lvlText w:val="%1."/>
      <w:lvlJc w:val="left"/>
      <w:pPr>
        <w:tabs>
          <w:tab w:val="num" w:pos="1080"/>
        </w:tabs>
        <w:ind w:left="1080" w:hanging="720"/>
      </w:pPr>
      <w:rPr>
        <w:rFonts w:cs="Times New Roman" w:hint="default"/>
      </w:rPr>
    </w:lvl>
    <w:lvl w:ilvl="1" w:tplc="77989B54">
      <w:start w:val="1"/>
      <w:numFmt w:val="lowerLetter"/>
      <w:lvlText w:val="%2)"/>
      <w:lvlJc w:val="left"/>
      <w:pPr>
        <w:tabs>
          <w:tab w:val="num" w:pos="1800"/>
        </w:tabs>
        <w:ind w:left="1800" w:hanging="72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56DE4134"/>
    <w:multiLevelType w:val="multilevel"/>
    <w:tmpl w:val="578027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77165FC4"/>
    <w:multiLevelType w:val="multilevel"/>
    <w:tmpl w:val="713806A0"/>
    <w:lvl w:ilvl="0">
      <w:start w:val="29"/>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7CDD06B5"/>
    <w:multiLevelType w:val="multilevel"/>
    <w:tmpl w:val="D6C866C4"/>
    <w:lvl w:ilvl="0">
      <w:start w:val="2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96D"/>
    <w:rsid w:val="00000F38"/>
    <w:rsid w:val="0003394F"/>
    <w:rsid w:val="00047C54"/>
    <w:rsid w:val="00053B55"/>
    <w:rsid w:val="0005710D"/>
    <w:rsid w:val="00061E61"/>
    <w:rsid w:val="00072AD9"/>
    <w:rsid w:val="00073F96"/>
    <w:rsid w:val="0009105E"/>
    <w:rsid w:val="000C34C7"/>
    <w:rsid w:val="000E243A"/>
    <w:rsid w:val="000F2362"/>
    <w:rsid w:val="00121408"/>
    <w:rsid w:val="001346F5"/>
    <w:rsid w:val="001437D1"/>
    <w:rsid w:val="00155076"/>
    <w:rsid w:val="00167140"/>
    <w:rsid w:val="00192CC7"/>
    <w:rsid w:val="001C75C9"/>
    <w:rsid w:val="001D1361"/>
    <w:rsid w:val="001F1BB8"/>
    <w:rsid w:val="002078D1"/>
    <w:rsid w:val="00221C54"/>
    <w:rsid w:val="00253126"/>
    <w:rsid w:val="00260D09"/>
    <w:rsid w:val="0027799B"/>
    <w:rsid w:val="00290239"/>
    <w:rsid w:val="002B5684"/>
    <w:rsid w:val="002B7EDF"/>
    <w:rsid w:val="002D4F95"/>
    <w:rsid w:val="002E296D"/>
    <w:rsid w:val="002E5CE2"/>
    <w:rsid w:val="002E69BE"/>
    <w:rsid w:val="00305545"/>
    <w:rsid w:val="00320DE7"/>
    <w:rsid w:val="003A1C92"/>
    <w:rsid w:val="003A6624"/>
    <w:rsid w:val="003C56FB"/>
    <w:rsid w:val="00414433"/>
    <w:rsid w:val="00415B53"/>
    <w:rsid w:val="004204BB"/>
    <w:rsid w:val="00452C5F"/>
    <w:rsid w:val="00470B53"/>
    <w:rsid w:val="00493ECA"/>
    <w:rsid w:val="004A1589"/>
    <w:rsid w:val="004A52AF"/>
    <w:rsid w:val="004A7259"/>
    <w:rsid w:val="004B5003"/>
    <w:rsid w:val="004C3548"/>
    <w:rsid w:val="004D05BD"/>
    <w:rsid w:val="004E13AA"/>
    <w:rsid w:val="005242CD"/>
    <w:rsid w:val="0052454D"/>
    <w:rsid w:val="0052579A"/>
    <w:rsid w:val="005347B8"/>
    <w:rsid w:val="00540B78"/>
    <w:rsid w:val="00562D76"/>
    <w:rsid w:val="005651C3"/>
    <w:rsid w:val="005825FD"/>
    <w:rsid w:val="00590AE6"/>
    <w:rsid w:val="00591664"/>
    <w:rsid w:val="005922C8"/>
    <w:rsid w:val="00592F2F"/>
    <w:rsid w:val="005A4ACB"/>
    <w:rsid w:val="005B79F7"/>
    <w:rsid w:val="005E33EC"/>
    <w:rsid w:val="005F2909"/>
    <w:rsid w:val="006069B6"/>
    <w:rsid w:val="00620302"/>
    <w:rsid w:val="0063326B"/>
    <w:rsid w:val="00652CEC"/>
    <w:rsid w:val="0065575C"/>
    <w:rsid w:val="00683C6D"/>
    <w:rsid w:val="006B3869"/>
    <w:rsid w:val="00700BEA"/>
    <w:rsid w:val="00701ABC"/>
    <w:rsid w:val="0070589E"/>
    <w:rsid w:val="00712709"/>
    <w:rsid w:val="007C312B"/>
    <w:rsid w:val="00820CB5"/>
    <w:rsid w:val="0082406B"/>
    <w:rsid w:val="00833A99"/>
    <w:rsid w:val="008618AA"/>
    <w:rsid w:val="0087527B"/>
    <w:rsid w:val="008B2DCB"/>
    <w:rsid w:val="008B2EF1"/>
    <w:rsid w:val="008C3F6F"/>
    <w:rsid w:val="008D1698"/>
    <w:rsid w:val="008F1021"/>
    <w:rsid w:val="00900021"/>
    <w:rsid w:val="0092610F"/>
    <w:rsid w:val="009279C1"/>
    <w:rsid w:val="00947176"/>
    <w:rsid w:val="009C7245"/>
    <w:rsid w:val="00A03286"/>
    <w:rsid w:val="00A2382F"/>
    <w:rsid w:val="00A27ACB"/>
    <w:rsid w:val="00A642AD"/>
    <w:rsid w:val="00A80E85"/>
    <w:rsid w:val="00A860DD"/>
    <w:rsid w:val="00A866A0"/>
    <w:rsid w:val="00AC0556"/>
    <w:rsid w:val="00AE2C52"/>
    <w:rsid w:val="00AE37EC"/>
    <w:rsid w:val="00B00AAC"/>
    <w:rsid w:val="00B0294D"/>
    <w:rsid w:val="00B030D6"/>
    <w:rsid w:val="00B24C14"/>
    <w:rsid w:val="00B518BA"/>
    <w:rsid w:val="00B91339"/>
    <w:rsid w:val="00BC4DA3"/>
    <w:rsid w:val="00BC4E03"/>
    <w:rsid w:val="00BD6DA3"/>
    <w:rsid w:val="00BD708A"/>
    <w:rsid w:val="00BF3FBD"/>
    <w:rsid w:val="00BF651E"/>
    <w:rsid w:val="00C34CCB"/>
    <w:rsid w:val="00C36366"/>
    <w:rsid w:val="00C66378"/>
    <w:rsid w:val="00C931F8"/>
    <w:rsid w:val="00CF5B86"/>
    <w:rsid w:val="00CF6ACA"/>
    <w:rsid w:val="00D0085D"/>
    <w:rsid w:val="00D13FAF"/>
    <w:rsid w:val="00D15673"/>
    <w:rsid w:val="00D22BA0"/>
    <w:rsid w:val="00D65EDF"/>
    <w:rsid w:val="00D66647"/>
    <w:rsid w:val="00D702D9"/>
    <w:rsid w:val="00D93E66"/>
    <w:rsid w:val="00E109FB"/>
    <w:rsid w:val="00E241D6"/>
    <w:rsid w:val="00E45A3E"/>
    <w:rsid w:val="00E51B28"/>
    <w:rsid w:val="00E55AF2"/>
    <w:rsid w:val="00E632E4"/>
    <w:rsid w:val="00E85270"/>
    <w:rsid w:val="00EA372A"/>
    <w:rsid w:val="00EA6C5F"/>
    <w:rsid w:val="00EB0044"/>
    <w:rsid w:val="00EC6EDB"/>
    <w:rsid w:val="00ED3699"/>
    <w:rsid w:val="00EE75F8"/>
    <w:rsid w:val="00F018B4"/>
    <w:rsid w:val="00F17C0A"/>
    <w:rsid w:val="00F44319"/>
    <w:rsid w:val="00FB3568"/>
    <w:rsid w:val="00FC1541"/>
    <w:rsid w:val="00FE0241"/>
    <w:rsid w:val="00FE3D58"/>
    <w:rsid w:val="00FF5A0F"/>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3E"/>
    <w:rPr>
      <w:sz w:val="24"/>
      <w:szCs w:val="24"/>
      <w:lang w:val="en-GB" w:eastAsia="en-US"/>
    </w:rPr>
  </w:style>
  <w:style w:type="paragraph" w:styleId="Heading1">
    <w:name w:val="heading 1"/>
    <w:basedOn w:val="Normal"/>
    <w:next w:val="Normal"/>
    <w:link w:val="Heading1Char"/>
    <w:uiPriority w:val="99"/>
    <w:qFormat/>
    <w:rsid w:val="00E45A3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45A3E"/>
    <w:pPr>
      <w:keepNext/>
      <w:jc w:val="right"/>
      <w:outlineLvl w:val="1"/>
    </w:pPr>
    <w:rPr>
      <w:i/>
      <w:lang w:val="lv-LV"/>
    </w:rPr>
  </w:style>
  <w:style w:type="paragraph" w:styleId="Heading5">
    <w:name w:val="heading 5"/>
    <w:basedOn w:val="Normal"/>
    <w:next w:val="Normal"/>
    <w:link w:val="Heading5Char"/>
    <w:uiPriority w:val="99"/>
    <w:qFormat/>
    <w:rsid w:val="00E45A3E"/>
    <w:pPr>
      <w:spacing w:before="240" w:after="60"/>
      <w:outlineLvl w:val="4"/>
    </w:pPr>
    <w:rPr>
      <w:b/>
      <w:i/>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69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ED3699"/>
    <w:rPr>
      <w:rFonts w:ascii="Cambria" w:hAnsi="Cambria" w:cs="Times New Roman"/>
      <w:b/>
      <w:bCs/>
      <w:i/>
      <w:iCs/>
      <w:sz w:val="28"/>
      <w:szCs w:val="28"/>
      <w:lang w:val="en-GB" w:eastAsia="en-US"/>
    </w:rPr>
  </w:style>
  <w:style w:type="character" w:customStyle="1" w:styleId="Heading5Char">
    <w:name w:val="Heading 5 Char"/>
    <w:basedOn w:val="DefaultParagraphFont"/>
    <w:link w:val="Heading5"/>
    <w:uiPriority w:val="99"/>
    <w:semiHidden/>
    <w:locked/>
    <w:rsid w:val="00ED3699"/>
    <w:rPr>
      <w:rFonts w:ascii="Calibri" w:hAnsi="Calibri" w:cs="Times New Roman"/>
      <w:b/>
      <w:bCs/>
      <w:i/>
      <w:iCs/>
      <w:sz w:val="26"/>
      <w:szCs w:val="26"/>
      <w:lang w:val="en-GB" w:eastAsia="en-US"/>
    </w:rPr>
  </w:style>
  <w:style w:type="paragraph" w:styleId="BodyText3">
    <w:name w:val="Body Text 3"/>
    <w:basedOn w:val="Normal"/>
    <w:link w:val="BodyText3Char"/>
    <w:uiPriority w:val="99"/>
    <w:rsid w:val="00E45A3E"/>
    <w:pPr>
      <w:spacing w:after="120"/>
      <w:ind w:right="-720"/>
      <w:jc w:val="both"/>
    </w:pPr>
    <w:rPr>
      <w:sz w:val="28"/>
      <w:lang w:val="lv-LV"/>
    </w:rPr>
  </w:style>
  <w:style w:type="character" w:customStyle="1" w:styleId="BodyText3Char">
    <w:name w:val="Body Text 3 Char"/>
    <w:basedOn w:val="DefaultParagraphFont"/>
    <w:link w:val="BodyText3"/>
    <w:uiPriority w:val="99"/>
    <w:semiHidden/>
    <w:locked/>
    <w:rsid w:val="00ED3699"/>
    <w:rPr>
      <w:rFonts w:cs="Times New Roman"/>
      <w:sz w:val="16"/>
      <w:szCs w:val="16"/>
      <w:lang w:val="en-GB" w:eastAsia="en-US"/>
    </w:rPr>
  </w:style>
  <w:style w:type="paragraph" w:styleId="BodyTextIndent2">
    <w:name w:val="Body Text Indent 2"/>
    <w:basedOn w:val="Normal"/>
    <w:link w:val="BodyTextIndent2Char"/>
    <w:uiPriority w:val="99"/>
    <w:rsid w:val="00E45A3E"/>
    <w:pPr>
      <w:spacing w:after="120"/>
      <w:ind w:right="-720" w:firstLine="720"/>
      <w:jc w:val="both"/>
    </w:pPr>
    <w:rPr>
      <w:sz w:val="28"/>
      <w:lang w:val="lv-LV"/>
    </w:rPr>
  </w:style>
  <w:style w:type="character" w:customStyle="1" w:styleId="BodyTextIndent2Char">
    <w:name w:val="Body Text Indent 2 Char"/>
    <w:basedOn w:val="DefaultParagraphFont"/>
    <w:link w:val="BodyTextIndent2"/>
    <w:uiPriority w:val="99"/>
    <w:semiHidden/>
    <w:locked/>
    <w:rsid w:val="00ED3699"/>
    <w:rPr>
      <w:rFonts w:cs="Times New Roman"/>
      <w:sz w:val="24"/>
      <w:szCs w:val="24"/>
      <w:lang w:val="en-GB" w:eastAsia="en-US"/>
    </w:rPr>
  </w:style>
  <w:style w:type="paragraph" w:styleId="Footer">
    <w:name w:val="footer"/>
    <w:basedOn w:val="Normal"/>
    <w:link w:val="FooterChar"/>
    <w:uiPriority w:val="99"/>
    <w:semiHidden/>
    <w:rsid w:val="00E45A3E"/>
    <w:pPr>
      <w:tabs>
        <w:tab w:val="center" w:pos="4320"/>
        <w:tab w:val="right" w:pos="8640"/>
      </w:tabs>
    </w:pPr>
  </w:style>
  <w:style w:type="character" w:customStyle="1" w:styleId="FooterChar">
    <w:name w:val="Footer Char"/>
    <w:basedOn w:val="DefaultParagraphFont"/>
    <w:link w:val="Footer"/>
    <w:uiPriority w:val="99"/>
    <w:semiHidden/>
    <w:locked/>
    <w:rsid w:val="00ED3699"/>
    <w:rPr>
      <w:rFonts w:cs="Times New Roman"/>
      <w:sz w:val="24"/>
      <w:szCs w:val="24"/>
      <w:lang w:val="en-GB" w:eastAsia="en-US"/>
    </w:rPr>
  </w:style>
  <w:style w:type="character" w:styleId="PageNumber">
    <w:name w:val="page number"/>
    <w:basedOn w:val="DefaultParagraphFont"/>
    <w:uiPriority w:val="99"/>
    <w:rsid w:val="00E45A3E"/>
    <w:rPr>
      <w:rFonts w:cs="Times New Roman"/>
    </w:rPr>
  </w:style>
  <w:style w:type="paragraph" w:styleId="Header">
    <w:name w:val="header"/>
    <w:basedOn w:val="Normal"/>
    <w:link w:val="HeaderChar"/>
    <w:uiPriority w:val="99"/>
    <w:rsid w:val="00E45A3E"/>
    <w:pPr>
      <w:tabs>
        <w:tab w:val="center" w:pos="4320"/>
        <w:tab w:val="right" w:pos="8640"/>
      </w:tabs>
    </w:pPr>
  </w:style>
  <w:style w:type="character" w:customStyle="1" w:styleId="HeaderChar">
    <w:name w:val="Header Char"/>
    <w:basedOn w:val="DefaultParagraphFont"/>
    <w:link w:val="Header"/>
    <w:uiPriority w:val="99"/>
    <w:semiHidden/>
    <w:locked/>
    <w:rsid w:val="00ED3699"/>
    <w:rPr>
      <w:rFonts w:cs="Times New Roman"/>
      <w:sz w:val="24"/>
      <w:szCs w:val="24"/>
      <w:lang w:val="en-GB" w:eastAsia="en-US"/>
    </w:rPr>
  </w:style>
  <w:style w:type="paragraph" w:styleId="NormalWeb">
    <w:name w:val="Normal (Web)"/>
    <w:basedOn w:val="Normal"/>
    <w:uiPriority w:val="99"/>
    <w:rsid w:val="00E45A3E"/>
    <w:pPr>
      <w:spacing w:before="75" w:after="75"/>
    </w:pPr>
    <w:rPr>
      <w:rFonts w:ascii="Verdana" w:hAnsi="Verdana"/>
      <w:color w:val="000000"/>
      <w:sz w:val="20"/>
      <w:szCs w:val="20"/>
      <w:lang w:val="lv-LV" w:eastAsia="lv-LV"/>
    </w:rPr>
  </w:style>
  <w:style w:type="paragraph" w:styleId="BalloonText">
    <w:name w:val="Balloon Text"/>
    <w:basedOn w:val="Normal"/>
    <w:link w:val="BalloonTextChar"/>
    <w:uiPriority w:val="99"/>
    <w:semiHidden/>
    <w:rsid w:val="00E4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699"/>
    <w:rPr>
      <w:rFonts w:cs="Times New Roman"/>
      <w:sz w:val="2"/>
      <w:lang w:val="en-GB" w:eastAsia="en-US"/>
    </w:rPr>
  </w:style>
  <w:style w:type="paragraph" w:customStyle="1" w:styleId="naisf">
    <w:name w:val="naisf"/>
    <w:basedOn w:val="Normal"/>
    <w:uiPriority w:val="99"/>
    <w:rsid w:val="00E45A3E"/>
    <w:pPr>
      <w:spacing w:before="100" w:beforeAutospacing="1" w:after="100" w:afterAutospacing="1"/>
    </w:pPr>
    <w:rPr>
      <w:lang w:val="lv-LV" w:eastAsia="lv-LV"/>
    </w:rPr>
  </w:style>
  <w:style w:type="paragraph" w:customStyle="1" w:styleId="naislab">
    <w:name w:val="naislab"/>
    <w:basedOn w:val="Normal"/>
    <w:uiPriority w:val="99"/>
    <w:rsid w:val="00E45A3E"/>
    <w:pPr>
      <w:spacing w:before="75" w:after="75"/>
      <w:jc w:val="right"/>
    </w:pPr>
    <w:rPr>
      <w:lang w:val="lv-LV" w:eastAsia="lv-LV"/>
    </w:rPr>
  </w:style>
  <w:style w:type="character" w:styleId="Hyperlink">
    <w:name w:val="Hyperlink"/>
    <w:basedOn w:val="DefaultParagraphFont"/>
    <w:uiPriority w:val="99"/>
    <w:rsid w:val="00E45A3E"/>
    <w:rPr>
      <w:rFonts w:cs="Times New Roman"/>
      <w:color w:val="0000FF"/>
      <w:u w:val="single"/>
    </w:rPr>
  </w:style>
  <w:style w:type="paragraph" w:customStyle="1" w:styleId="agree">
    <w:name w:val="agree"/>
    <w:basedOn w:val="Normal"/>
    <w:uiPriority w:val="99"/>
    <w:rsid w:val="00E45A3E"/>
    <w:pPr>
      <w:spacing w:before="75" w:after="75"/>
    </w:pPr>
    <w:rPr>
      <w:rFonts w:ascii="Verdana" w:hAnsi="Verdana"/>
      <w:color w:val="000000"/>
      <w:sz w:val="20"/>
      <w:szCs w:val="20"/>
      <w:lang w:val="lv-LV" w:eastAsia="lv-LV"/>
    </w:rPr>
  </w:style>
  <w:style w:type="paragraph" w:customStyle="1" w:styleId="Default">
    <w:name w:val="Default"/>
    <w:uiPriority w:val="99"/>
    <w:rsid w:val="00A642AD"/>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divs>
    <w:div w:id="1684819836">
      <w:marLeft w:val="0"/>
      <w:marRight w:val="0"/>
      <w:marTop w:val="0"/>
      <w:marBottom w:val="0"/>
      <w:divBdr>
        <w:top w:val="none" w:sz="0" w:space="0" w:color="auto"/>
        <w:left w:val="none" w:sz="0" w:space="0" w:color="auto"/>
        <w:bottom w:val="none" w:sz="0" w:space="0" w:color="auto"/>
        <w:right w:val="none" w:sz="0" w:space="0" w:color="auto"/>
      </w:divBdr>
      <w:divsChild>
        <w:div w:id="168481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kalnina@mfa.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4667</Words>
  <Characters>2661</Characters>
  <Application>Microsoft Office Outlook</Application>
  <DocSecurity>0</DocSecurity>
  <Lines>0</Lines>
  <Paragraphs>0</Paragraphs>
  <ScaleCrop>false</ScaleCrop>
  <Company>Ārlietu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2010.gada 20.jūlija noteikumos Nr.657</dc:title>
  <dc:subject>MK noteikumi</dc:subject>
  <dc:creator>Agnese Kalniņa</dc:creator>
  <cp:keywords/>
  <dc:description>67016426agnese.kalnina@mfa.gov.lv </dc:description>
  <cp:lastModifiedBy>rl103</cp:lastModifiedBy>
  <cp:revision>2</cp:revision>
  <cp:lastPrinted>2011-05-12T05:53:00Z</cp:lastPrinted>
  <dcterms:created xsi:type="dcterms:W3CDTF">2011-05-18T07:50:00Z</dcterms:created>
  <dcterms:modified xsi:type="dcterms:W3CDTF">2011-05-18T07:50:00Z</dcterms:modified>
</cp:coreProperties>
</file>