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BD" w:rsidRDefault="00AA34BD" w:rsidP="00BB54B2">
      <w:pPr>
        <w:spacing w:before="120" w:after="120"/>
        <w:jc w:val="center"/>
        <w:rPr>
          <w:b/>
          <w:sz w:val="28"/>
          <w:szCs w:val="28"/>
        </w:rPr>
      </w:pPr>
      <w:r>
        <w:rPr>
          <w:b/>
          <w:sz w:val="28"/>
          <w:szCs w:val="28"/>
        </w:rPr>
        <w:t>Informatīvais ziņojums</w:t>
      </w:r>
    </w:p>
    <w:p w:rsidR="00AA34BD" w:rsidRDefault="00AA34BD" w:rsidP="00AA34BD">
      <w:pPr>
        <w:spacing w:before="120" w:after="120"/>
        <w:jc w:val="center"/>
        <w:rPr>
          <w:b/>
          <w:sz w:val="28"/>
          <w:szCs w:val="28"/>
        </w:rPr>
      </w:pPr>
      <w:r>
        <w:rPr>
          <w:b/>
          <w:sz w:val="28"/>
          <w:szCs w:val="28"/>
        </w:rPr>
        <w:t xml:space="preserve">2012.gada </w:t>
      </w:r>
      <w:r w:rsidR="00CA0FAA">
        <w:rPr>
          <w:b/>
          <w:sz w:val="28"/>
          <w:szCs w:val="28"/>
        </w:rPr>
        <w:t>16</w:t>
      </w:r>
      <w:r>
        <w:rPr>
          <w:b/>
          <w:sz w:val="28"/>
          <w:szCs w:val="28"/>
        </w:rPr>
        <w:t xml:space="preserve">. </w:t>
      </w:r>
      <w:r w:rsidR="00CA0FAA">
        <w:rPr>
          <w:b/>
          <w:sz w:val="28"/>
          <w:szCs w:val="28"/>
        </w:rPr>
        <w:t>oktobra</w:t>
      </w:r>
      <w:r>
        <w:rPr>
          <w:b/>
          <w:sz w:val="28"/>
          <w:szCs w:val="28"/>
        </w:rPr>
        <w:t xml:space="preserve"> Ministru kabineta sēdes darba kārtības punktā</w:t>
      </w:r>
    </w:p>
    <w:p w:rsidR="00AA34BD" w:rsidRDefault="00AA34BD" w:rsidP="00AA34BD">
      <w:pPr>
        <w:spacing w:before="120" w:after="120"/>
        <w:jc w:val="center"/>
        <w:rPr>
          <w:b/>
          <w:sz w:val="28"/>
          <w:szCs w:val="28"/>
        </w:rPr>
      </w:pPr>
      <w:r>
        <w:rPr>
          <w:b/>
          <w:sz w:val="28"/>
          <w:szCs w:val="28"/>
        </w:rPr>
        <w:t>“P</w:t>
      </w:r>
      <w:r w:rsidR="00935F22">
        <w:rPr>
          <w:b/>
          <w:sz w:val="28"/>
          <w:szCs w:val="28"/>
        </w:rPr>
        <w:t>ar Latvijas Republikas nacionālās</w:t>
      </w:r>
      <w:r>
        <w:rPr>
          <w:b/>
          <w:sz w:val="28"/>
          <w:szCs w:val="28"/>
        </w:rPr>
        <w:t xml:space="preserve"> pozīcij</w:t>
      </w:r>
      <w:r w:rsidR="00935F22">
        <w:rPr>
          <w:b/>
          <w:sz w:val="28"/>
          <w:szCs w:val="28"/>
        </w:rPr>
        <w:t>as</w:t>
      </w:r>
      <w:r>
        <w:rPr>
          <w:b/>
          <w:sz w:val="28"/>
          <w:szCs w:val="28"/>
        </w:rPr>
        <w:t xml:space="preserve"> apstiprināšanu 2012.gada </w:t>
      </w:r>
      <w:r w:rsidR="00CA0FAA">
        <w:rPr>
          <w:b/>
          <w:sz w:val="28"/>
          <w:szCs w:val="28"/>
        </w:rPr>
        <w:t>18</w:t>
      </w:r>
      <w:r>
        <w:rPr>
          <w:b/>
          <w:sz w:val="28"/>
          <w:szCs w:val="28"/>
        </w:rPr>
        <w:t>.-</w:t>
      </w:r>
      <w:r w:rsidR="00CA0FAA">
        <w:rPr>
          <w:b/>
          <w:sz w:val="28"/>
          <w:szCs w:val="28"/>
        </w:rPr>
        <w:t>19</w:t>
      </w:r>
      <w:r>
        <w:rPr>
          <w:b/>
          <w:sz w:val="28"/>
          <w:szCs w:val="28"/>
        </w:rPr>
        <w:t xml:space="preserve">. </w:t>
      </w:r>
      <w:r w:rsidR="00CA0FAA">
        <w:rPr>
          <w:b/>
          <w:sz w:val="28"/>
          <w:szCs w:val="28"/>
        </w:rPr>
        <w:t>oktobra</w:t>
      </w:r>
      <w:r>
        <w:rPr>
          <w:b/>
          <w:sz w:val="28"/>
          <w:szCs w:val="28"/>
        </w:rPr>
        <w:t xml:space="preserve"> Eiropadomes sanāksmei”</w:t>
      </w:r>
    </w:p>
    <w:p w:rsidR="00AA34BD" w:rsidRDefault="00AA34BD" w:rsidP="00AA34BD">
      <w:pPr>
        <w:spacing w:before="120" w:after="120"/>
        <w:jc w:val="both"/>
        <w:rPr>
          <w:bCs/>
        </w:rPr>
      </w:pPr>
    </w:p>
    <w:p w:rsidR="00ED7AC1" w:rsidRPr="00E0208D" w:rsidRDefault="00AA34BD" w:rsidP="00830120">
      <w:pPr>
        <w:spacing w:before="120" w:after="120"/>
        <w:jc w:val="both"/>
      </w:pPr>
      <w:r w:rsidRPr="00830120">
        <w:rPr>
          <w:bCs/>
        </w:rPr>
        <w:t xml:space="preserve">2012.gada </w:t>
      </w:r>
      <w:r w:rsidR="00ED7AC1">
        <w:rPr>
          <w:bCs/>
        </w:rPr>
        <w:t>18</w:t>
      </w:r>
      <w:r w:rsidRPr="00830120">
        <w:rPr>
          <w:bCs/>
        </w:rPr>
        <w:t>.-</w:t>
      </w:r>
      <w:r w:rsidR="00ED7AC1">
        <w:rPr>
          <w:bCs/>
        </w:rPr>
        <w:t>19</w:t>
      </w:r>
      <w:r w:rsidRPr="00830120">
        <w:rPr>
          <w:bCs/>
        </w:rPr>
        <w:t>.</w:t>
      </w:r>
      <w:r w:rsidR="00ED7AC1">
        <w:rPr>
          <w:bCs/>
        </w:rPr>
        <w:t>oktobra</w:t>
      </w:r>
      <w:r w:rsidRPr="00830120">
        <w:rPr>
          <w:bCs/>
        </w:rPr>
        <w:t xml:space="preserve"> Eiropadomē Eiropas Savienības (ES) valstu un valdību vadītāji diskutēs </w:t>
      </w:r>
      <w:r w:rsidRPr="00830120">
        <w:t xml:space="preserve">par </w:t>
      </w:r>
      <w:r w:rsidR="00830120" w:rsidRPr="00830120">
        <w:t>ek</w:t>
      </w:r>
      <w:r w:rsidR="00ED7AC1">
        <w:t xml:space="preserve">onomikas politikas jautājumiem – izvērtēs </w:t>
      </w:r>
      <w:r w:rsidR="00ED7AC1" w:rsidRPr="00ED7AC1">
        <w:rPr>
          <w:b/>
        </w:rPr>
        <w:t>progresu Izaugsmes un nodarbinātības pakta īstenošanā</w:t>
      </w:r>
      <w:r w:rsidR="00ED7AC1">
        <w:t xml:space="preserve">, kā arī diskutēs </w:t>
      </w:r>
      <w:r w:rsidR="00ED7AC1" w:rsidRPr="00140640">
        <w:t xml:space="preserve">par </w:t>
      </w:r>
      <w:r w:rsidR="00ED7AC1" w:rsidRPr="00ED7AC1">
        <w:t xml:space="preserve">Eiropadomes </w:t>
      </w:r>
      <w:r w:rsidR="00ED7AC1" w:rsidRPr="00E0208D">
        <w:t>prezidenta</w:t>
      </w:r>
      <w:r w:rsidR="00ED7AC1" w:rsidRPr="00E0208D">
        <w:rPr>
          <w:b/>
        </w:rPr>
        <w:t xml:space="preserve"> </w:t>
      </w:r>
      <w:proofErr w:type="spellStart"/>
      <w:r w:rsidR="00ED7AC1" w:rsidRPr="00E0208D">
        <w:t>H.Van</w:t>
      </w:r>
      <w:proofErr w:type="spellEnd"/>
      <w:r w:rsidR="00ED7AC1" w:rsidRPr="00E0208D">
        <w:t xml:space="preserve"> </w:t>
      </w:r>
      <w:proofErr w:type="spellStart"/>
      <w:r w:rsidR="00ED7AC1" w:rsidRPr="00E0208D">
        <w:t>Rompeja</w:t>
      </w:r>
      <w:proofErr w:type="spellEnd"/>
      <w:r w:rsidR="00ED7AC1" w:rsidRPr="00E0208D">
        <w:t xml:space="preserve"> starpposma ziņojumu par</w:t>
      </w:r>
      <w:r w:rsidR="00ED7AC1" w:rsidRPr="00E0208D">
        <w:rPr>
          <w:b/>
        </w:rPr>
        <w:t xml:space="preserve"> Ekonomiskās un monetārās savienības </w:t>
      </w:r>
      <w:r w:rsidR="00ED7AC1" w:rsidRPr="00E0208D">
        <w:t xml:space="preserve">padziļināšanu. Tāpat paredzēta diskusija par sadarbību ar </w:t>
      </w:r>
      <w:r w:rsidR="00ED7AC1" w:rsidRPr="00E0208D">
        <w:rPr>
          <w:b/>
        </w:rPr>
        <w:t>stratēģiskajiem partneriem</w:t>
      </w:r>
      <w:r w:rsidR="00ED7AC1" w:rsidRPr="00E0208D">
        <w:t xml:space="preserve">, koncentrējoties uz </w:t>
      </w:r>
      <w:r w:rsidR="00ED7AC1" w:rsidRPr="00E0208D">
        <w:rPr>
          <w:b/>
        </w:rPr>
        <w:t>ES sadarbību ar Ķīnu</w:t>
      </w:r>
      <w:r w:rsidR="00ED7AC1" w:rsidRPr="00E0208D">
        <w:t xml:space="preserve">. </w:t>
      </w:r>
    </w:p>
    <w:p w:rsidR="00E0208D" w:rsidRPr="00E0208D" w:rsidRDefault="00E0208D" w:rsidP="00E0208D">
      <w:pPr>
        <w:spacing w:before="120" w:after="120"/>
        <w:jc w:val="both"/>
      </w:pPr>
      <w:r w:rsidRPr="00E0208D">
        <w:t xml:space="preserve">Eiropadomē </w:t>
      </w:r>
      <w:r w:rsidRPr="00E0208D">
        <w:rPr>
          <w:rFonts w:eastAsiaTheme="minorHAnsi"/>
        </w:rPr>
        <w:t xml:space="preserve">valstu un valdību vadītāju sanāksmē izvērtēs </w:t>
      </w:r>
      <w:r w:rsidRPr="00E0208D">
        <w:rPr>
          <w:rFonts w:eastAsiaTheme="minorHAnsi"/>
          <w:b/>
        </w:rPr>
        <w:t>progresu Izaugsmes un nodarbinātības pakta īstenošanā</w:t>
      </w:r>
      <w:r w:rsidRPr="00E0208D">
        <w:rPr>
          <w:rFonts w:eastAsiaTheme="minorHAnsi"/>
        </w:rPr>
        <w:t xml:space="preserve">, tai skaitā tiks izvērtēta situācija tajos </w:t>
      </w:r>
      <w:r w:rsidRPr="00E0208D">
        <w:rPr>
          <w:rFonts w:eastAsiaTheme="minorHAnsi"/>
          <w:b/>
        </w:rPr>
        <w:t>Vienotā tirgus akta I</w:t>
      </w:r>
      <w:r w:rsidRPr="00E0208D">
        <w:rPr>
          <w:rFonts w:eastAsiaTheme="minorHAnsi"/>
        </w:rPr>
        <w:t xml:space="preserve"> prioritārajos pasākumos, kuros vēl nepieciešams pabeigt darbu.</w:t>
      </w:r>
      <w:r w:rsidRPr="00E0208D">
        <w:t xml:space="preserve"> </w:t>
      </w:r>
    </w:p>
    <w:p w:rsidR="00E0208D" w:rsidRPr="00E0208D" w:rsidRDefault="00E0208D" w:rsidP="00E0208D">
      <w:pPr>
        <w:spacing w:before="120" w:after="120"/>
        <w:jc w:val="both"/>
        <w:rPr>
          <w:rFonts w:eastAsiaTheme="minorHAnsi"/>
        </w:rPr>
      </w:pPr>
      <w:proofErr w:type="spellStart"/>
      <w:r w:rsidRPr="00E0208D">
        <w:rPr>
          <w:rFonts w:eastAsiaTheme="minorHAnsi"/>
        </w:rPr>
        <w:t>Š.g</w:t>
      </w:r>
      <w:proofErr w:type="spellEnd"/>
      <w:r w:rsidRPr="00E0208D">
        <w:rPr>
          <w:rFonts w:eastAsiaTheme="minorHAnsi"/>
        </w:rPr>
        <w:t xml:space="preserve">. 3.oktobrī Eiropas Komisija nāca klajā ar paziņojumu par </w:t>
      </w:r>
      <w:r w:rsidRPr="00E0208D">
        <w:rPr>
          <w:rFonts w:eastAsiaTheme="minorHAnsi"/>
          <w:b/>
        </w:rPr>
        <w:t>Vienotā tirgus aktu II</w:t>
      </w:r>
      <w:r w:rsidRPr="00E0208D">
        <w:rPr>
          <w:rFonts w:eastAsiaTheme="minorHAnsi"/>
        </w:rPr>
        <w:t>, kas satur nākamos 12 prioritāros pasākumu kopumus Eiropas izaugsmes un nodarbinātības nodrošināšanai.</w:t>
      </w:r>
      <w:r w:rsidRPr="00E0208D">
        <w:t xml:space="preserve"> </w:t>
      </w:r>
      <w:r w:rsidRPr="00E0208D">
        <w:rPr>
          <w:rFonts w:eastAsiaTheme="minorHAnsi"/>
        </w:rPr>
        <w:t>Eiropadome aicinās publicēt ar Vienoto tirgus aktu II saistītos priekšlikumus līdz 2013.gada 31.martam un apstiprināt tos līdz 2014.gada pavasarim.</w:t>
      </w:r>
    </w:p>
    <w:p w:rsidR="00E0208D" w:rsidRPr="00E0208D" w:rsidRDefault="00E0208D" w:rsidP="00E0208D">
      <w:pPr>
        <w:spacing w:before="120" w:after="120"/>
        <w:jc w:val="both"/>
      </w:pPr>
      <w:r w:rsidRPr="00E0208D">
        <w:rPr>
          <w:rFonts w:eastAsiaTheme="minorHAnsi"/>
        </w:rPr>
        <w:t xml:space="preserve">Eiropadomes diskusija aptvers arī </w:t>
      </w:r>
      <w:r w:rsidRPr="00A543DE">
        <w:rPr>
          <w:rFonts w:eastAsiaTheme="minorHAnsi"/>
        </w:rPr>
        <w:t>citus Izaugsmes un nodarbinātības pakta aspektus</w:t>
      </w:r>
      <w:r w:rsidRPr="00E0208D">
        <w:rPr>
          <w:rFonts w:eastAsiaTheme="minorHAnsi"/>
        </w:rPr>
        <w:t xml:space="preserve"> - </w:t>
      </w:r>
      <w:r w:rsidRPr="00A543DE">
        <w:rPr>
          <w:rFonts w:eastAsiaTheme="minorHAnsi"/>
          <w:b/>
        </w:rPr>
        <w:t>i</w:t>
      </w:r>
      <w:r w:rsidRPr="00A543DE">
        <w:rPr>
          <w:b/>
        </w:rPr>
        <w:t>nvestīcijas izaugsmei, pētniecību un inovācijas, nodokļu politiku, nodarbinātību un sociālo iekļaušanu, „Eiropa 2020” stratēģijas īstenošanu</w:t>
      </w:r>
      <w:r w:rsidRPr="00E0208D">
        <w:t xml:space="preserve"> </w:t>
      </w:r>
      <w:proofErr w:type="spellStart"/>
      <w:r w:rsidRPr="00E0208D">
        <w:t>u.c</w:t>
      </w:r>
      <w:proofErr w:type="spellEnd"/>
      <w:r w:rsidRPr="00E0208D">
        <w:t>.</w:t>
      </w:r>
    </w:p>
    <w:p w:rsidR="00E0208D" w:rsidRPr="00E0208D" w:rsidRDefault="00E0208D" w:rsidP="00E0208D">
      <w:pPr>
        <w:jc w:val="both"/>
      </w:pPr>
      <w:r w:rsidRPr="00E0208D">
        <w:t xml:space="preserve">Eiropadomē paredzēta diskusija par </w:t>
      </w:r>
      <w:r w:rsidRPr="00E0208D">
        <w:rPr>
          <w:b/>
        </w:rPr>
        <w:t xml:space="preserve">Eiropadomes prezidenta </w:t>
      </w:r>
      <w:proofErr w:type="spellStart"/>
      <w:r w:rsidRPr="00E0208D">
        <w:rPr>
          <w:b/>
        </w:rPr>
        <w:t>H.Van</w:t>
      </w:r>
      <w:proofErr w:type="spellEnd"/>
      <w:r w:rsidRPr="00E0208D">
        <w:rPr>
          <w:b/>
        </w:rPr>
        <w:t xml:space="preserve"> </w:t>
      </w:r>
      <w:proofErr w:type="spellStart"/>
      <w:r w:rsidRPr="00E0208D">
        <w:rPr>
          <w:b/>
        </w:rPr>
        <w:t>Rompeja</w:t>
      </w:r>
      <w:proofErr w:type="spellEnd"/>
      <w:r w:rsidRPr="00E0208D">
        <w:rPr>
          <w:b/>
        </w:rPr>
        <w:t xml:space="preserve"> starpposma ziņojumu par Ekonomiskās un monetārās savienības (EMS) padziļināšanu</w:t>
      </w:r>
      <w:r w:rsidRPr="00E0208D">
        <w:t xml:space="preserve">. Diskusijas mērķis ir konsolidēt ES dalībvalstu viedokļus par šo jautājumu. Starpposma ziņojums publicēts </w:t>
      </w:r>
      <w:proofErr w:type="spellStart"/>
      <w:r w:rsidRPr="00E0208D">
        <w:t>š.g</w:t>
      </w:r>
      <w:proofErr w:type="spellEnd"/>
      <w:r w:rsidRPr="00E0208D">
        <w:t xml:space="preserve">. 12.oktobrī. </w:t>
      </w:r>
    </w:p>
    <w:p w:rsidR="00E0208D" w:rsidRPr="00E0208D" w:rsidRDefault="00E0208D" w:rsidP="00E0208D">
      <w:pPr>
        <w:spacing w:before="120" w:after="120"/>
        <w:jc w:val="both"/>
      </w:pPr>
      <w:r w:rsidRPr="00E0208D">
        <w:t xml:space="preserve">Eiropadomē valstu un valdību vadītāji aicinās izstrādāt un 2012.gada decembra Eiropadomē prezentēt </w:t>
      </w:r>
      <w:r w:rsidRPr="00E0208D">
        <w:rPr>
          <w:b/>
        </w:rPr>
        <w:t>noslēguma ziņojumu</w:t>
      </w:r>
      <w:r w:rsidRPr="00E0208D">
        <w:t xml:space="preserve"> un precīzu „</w:t>
      </w:r>
      <w:r w:rsidRPr="00E0208D">
        <w:rPr>
          <w:b/>
        </w:rPr>
        <w:t>ceļa karti</w:t>
      </w:r>
      <w:r w:rsidRPr="00E0208D">
        <w:t xml:space="preserve">”, lai virzītos uz priekšu ar EMS veidošanas galvenajiem blokiem. </w:t>
      </w:r>
    </w:p>
    <w:p w:rsidR="00E0208D" w:rsidRPr="00E0208D" w:rsidRDefault="00E0208D" w:rsidP="00E0208D">
      <w:pPr>
        <w:spacing w:before="120" w:after="120"/>
        <w:jc w:val="both"/>
      </w:pPr>
      <w:r w:rsidRPr="00E0208D">
        <w:t xml:space="preserve">Jautājumā par </w:t>
      </w:r>
      <w:r w:rsidRPr="00E0208D">
        <w:rPr>
          <w:b/>
        </w:rPr>
        <w:t>stratēģiskajiem partneriem</w:t>
      </w:r>
      <w:r w:rsidRPr="00E0208D">
        <w:t xml:space="preserve"> Eiropadome koncentrēsies uz ES attiecībām ar Ķīnu, novērtējot š.g.20.septembra ES-Ķīnas samita rezultātus un diskutējot par divpusējo attiecību nākotni kontekstā ar Ķīnas politiskās vadības maiņu. </w:t>
      </w:r>
    </w:p>
    <w:p w:rsidR="00E0208D" w:rsidRPr="00E0208D" w:rsidRDefault="00E0208D" w:rsidP="00E0208D">
      <w:pPr>
        <w:spacing w:before="120" w:after="120"/>
        <w:jc w:val="both"/>
      </w:pPr>
      <w:r w:rsidRPr="00E0208D">
        <w:t xml:space="preserve">Atkarībā no diskusiju rezultātiem š.g.15.oktobra Ārlietu padomē, Eiropadomē varētu apstiprināt deklarāciju par </w:t>
      </w:r>
      <w:r w:rsidRPr="00E0208D">
        <w:rPr>
          <w:b/>
        </w:rPr>
        <w:t>situāciju Sīrijā</w:t>
      </w:r>
      <w:r w:rsidRPr="00E0208D">
        <w:t>.</w:t>
      </w:r>
    </w:p>
    <w:p w:rsidR="00E0208D" w:rsidRPr="00E0208D" w:rsidRDefault="00E0208D" w:rsidP="00E0208D">
      <w:pPr>
        <w:jc w:val="both"/>
        <w:rPr>
          <w:b/>
        </w:rPr>
      </w:pPr>
      <w:r w:rsidRPr="00E0208D">
        <w:rPr>
          <w:b/>
        </w:rPr>
        <w:t>Latvija</w:t>
      </w:r>
      <w:r w:rsidRPr="00E0208D">
        <w:t xml:space="preserve"> Eiropadomē sagaida Izaugsmes un nodarbinātības pakta progresa izvērtējumu. Šī jautājuma ietvaros </w:t>
      </w:r>
      <w:r w:rsidRPr="00E0208D">
        <w:rPr>
          <w:b/>
        </w:rPr>
        <w:t>Latvijai svarīga ES Vienotā tirgus efektīva funkcionēšana</w:t>
      </w:r>
      <w:r w:rsidRPr="00E0208D">
        <w:t xml:space="preserve"> un tā </w:t>
      </w:r>
      <w:r w:rsidRPr="00E0208D">
        <w:rPr>
          <w:b/>
        </w:rPr>
        <w:t xml:space="preserve">loma ES ekonomikas izaugsmes veicināšanā. </w:t>
      </w:r>
    </w:p>
    <w:p w:rsidR="00E0208D" w:rsidRPr="00E0208D" w:rsidRDefault="00E0208D" w:rsidP="00E0208D">
      <w:pPr>
        <w:jc w:val="both"/>
      </w:pPr>
    </w:p>
    <w:p w:rsidR="00E0208D" w:rsidRPr="00E0208D" w:rsidRDefault="00E0208D" w:rsidP="00E0208D">
      <w:pPr>
        <w:jc w:val="both"/>
        <w:rPr>
          <w:b/>
          <w:lang w:eastAsia="lv-LV"/>
        </w:rPr>
      </w:pPr>
      <w:r w:rsidRPr="00E0208D">
        <w:lastRenderedPageBreak/>
        <w:t xml:space="preserve">Tāpat </w:t>
      </w:r>
      <w:r w:rsidRPr="00E0208D">
        <w:rPr>
          <w:b/>
        </w:rPr>
        <w:t>Latvija</w:t>
      </w:r>
      <w:r w:rsidRPr="00E0208D">
        <w:t xml:space="preserve"> Eiropadomē sagaida diskusiju par Ekonomisko un monetāro savienību, kas balstīsies uz Eiropadomes prezidenta </w:t>
      </w:r>
      <w:proofErr w:type="spellStart"/>
      <w:r w:rsidRPr="00E0208D">
        <w:t>H.Van</w:t>
      </w:r>
      <w:proofErr w:type="spellEnd"/>
      <w:r w:rsidRPr="00E0208D">
        <w:t xml:space="preserve"> </w:t>
      </w:r>
      <w:proofErr w:type="spellStart"/>
      <w:r w:rsidRPr="00E0208D">
        <w:t>Rompeja</w:t>
      </w:r>
      <w:proofErr w:type="spellEnd"/>
      <w:r w:rsidRPr="00E0208D">
        <w:t xml:space="preserve"> starpposma ziņojumu. Latvija uzskata, ka </w:t>
      </w:r>
      <w:r w:rsidRPr="00E0208D">
        <w:rPr>
          <w:b/>
        </w:rPr>
        <w:t>EMS padziļināšanai jābūt atvērtam un caurspīdīgam procesam</w:t>
      </w:r>
      <w:r w:rsidRPr="00E0208D">
        <w:t xml:space="preserve"> pret tām dalībvalstīm, kas nav eiro zonā, kā arī jāievēro Vienotā tirgus integritāte.</w:t>
      </w:r>
    </w:p>
    <w:p w:rsidR="00E0208D" w:rsidRDefault="00E0208D" w:rsidP="00E0208D">
      <w:pPr>
        <w:spacing w:before="120" w:after="120"/>
        <w:jc w:val="both"/>
      </w:pPr>
    </w:p>
    <w:p w:rsidR="00E0208D" w:rsidRDefault="00E0208D" w:rsidP="00E0208D">
      <w:pPr>
        <w:spacing w:before="120" w:after="120"/>
        <w:jc w:val="both"/>
      </w:pPr>
    </w:p>
    <w:p w:rsidR="002D0EE8" w:rsidRDefault="002D0EE8" w:rsidP="00F93618">
      <w:pPr>
        <w:pStyle w:val="Header"/>
        <w:spacing w:after="120"/>
        <w:ind w:right="-540"/>
        <w:rPr>
          <w:bCs/>
        </w:rPr>
      </w:pPr>
    </w:p>
    <w:p w:rsidR="00F93618" w:rsidRPr="00915E08" w:rsidRDefault="003E2C7B" w:rsidP="00F93618">
      <w:pPr>
        <w:pStyle w:val="Header"/>
        <w:spacing w:after="120"/>
        <w:ind w:right="-540"/>
        <w:rPr>
          <w:bCs/>
        </w:rPr>
      </w:pPr>
      <w:r>
        <w:rPr>
          <w:bCs/>
        </w:rPr>
        <w:t>Ies</w:t>
      </w:r>
      <w:r w:rsidR="006B5E25">
        <w:rPr>
          <w:bCs/>
        </w:rPr>
        <w:t>niedzējs: ārlietu ministrs</w:t>
      </w:r>
      <w:r w:rsidR="00F93618">
        <w:rPr>
          <w:bCs/>
        </w:rPr>
        <w:tab/>
      </w:r>
      <w:r w:rsidR="00957291">
        <w:rPr>
          <w:bCs/>
        </w:rPr>
        <w:tab/>
      </w:r>
      <w:proofErr w:type="spellStart"/>
      <w:r w:rsidR="006B5E25">
        <w:rPr>
          <w:bCs/>
        </w:rPr>
        <w:t>E.Rinkēvičs</w:t>
      </w:r>
      <w:proofErr w:type="spellEnd"/>
      <w:r w:rsidR="00F04D8C">
        <w:rPr>
          <w:bCs/>
        </w:rPr>
        <w:t xml:space="preserve"> </w:t>
      </w:r>
      <w:r w:rsidR="00F93618" w:rsidRPr="00915E08">
        <w:rPr>
          <w:bCs/>
        </w:rPr>
        <w:tab/>
      </w:r>
    </w:p>
    <w:p w:rsidR="00F93618" w:rsidRDefault="00F93618" w:rsidP="00F93618">
      <w:pPr>
        <w:pStyle w:val="Header"/>
        <w:spacing w:after="120"/>
        <w:ind w:right="-540"/>
        <w:rPr>
          <w:bCs/>
        </w:rPr>
      </w:pPr>
    </w:p>
    <w:p w:rsidR="00BB54B2" w:rsidRDefault="00BB54B2" w:rsidP="00F93618">
      <w:pPr>
        <w:pStyle w:val="Header"/>
        <w:spacing w:after="120"/>
        <w:ind w:right="-540"/>
        <w:rPr>
          <w:bCs/>
        </w:rPr>
      </w:pPr>
    </w:p>
    <w:p w:rsidR="00F93618" w:rsidRPr="00915E08" w:rsidRDefault="00F93618" w:rsidP="00F93618">
      <w:pPr>
        <w:pStyle w:val="Header"/>
        <w:spacing w:after="120"/>
        <w:ind w:right="-540"/>
        <w:rPr>
          <w:bCs/>
        </w:rPr>
      </w:pPr>
      <w:r w:rsidRPr="00915E08">
        <w:rPr>
          <w:bCs/>
        </w:rPr>
        <w:t>Vīza: valsts sekretār</w:t>
      </w:r>
      <w:r w:rsidR="006B5E25">
        <w:rPr>
          <w:bCs/>
        </w:rPr>
        <w:t xml:space="preserve">a </w:t>
      </w:r>
      <w:proofErr w:type="spellStart"/>
      <w:r w:rsidR="006B5E25">
        <w:rPr>
          <w:bCs/>
        </w:rPr>
        <w:t>p.i</w:t>
      </w:r>
      <w:proofErr w:type="spellEnd"/>
      <w:r w:rsidR="006B5E25">
        <w:rPr>
          <w:bCs/>
        </w:rPr>
        <w:t>.</w:t>
      </w:r>
      <w:r w:rsidRPr="00915E08">
        <w:rPr>
          <w:bCs/>
        </w:rPr>
        <w:tab/>
      </w:r>
      <w:r w:rsidRPr="00915E08">
        <w:rPr>
          <w:bCs/>
        </w:rPr>
        <w:tab/>
      </w:r>
      <w:proofErr w:type="spellStart"/>
      <w:r w:rsidRPr="00915E08">
        <w:rPr>
          <w:bCs/>
        </w:rPr>
        <w:t>A.</w:t>
      </w:r>
      <w:r w:rsidR="006B5E25">
        <w:rPr>
          <w:bCs/>
        </w:rPr>
        <w:t>Pildegovičs</w:t>
      </w:r>
      <w:proofErr w:type="spellEnd"/>
      <w:r w:rsidRPr="00915E08">
        <w:rPr>
          <w:bCs/>
        </w:rPr>
        <w:tab/>
      </w:r>
      <w:proofErr w:type="gramStart"/>
      <w:r w:rsidRPr="00915E08">
        <w:rPr>
          <w:bCs/>
        </w:rPr>
        <w:t xml:space="preserve">                 </w:t>
      </w:r>
      <w:proofErr w:type="gramEnd"/>
    </w:p>
    <w:p w:rsidR="00BF42AE" w:rsidRDefault="00BF42AE"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F93618" w:rsidRDefault="00F93618" w:rsidP="00F93618">
      <w:pPr>
        <w:pStyle w:val="Header"/>
        <w:rPr>
          <w:bCs/>
          <w:highlight w:val="yellow"/>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Pr="0083703E" w:rsidRDefault="00DD7C1D" w:rsidP="00F93618">
      <w:pPr>
        <w:pStyle w:val="Header"/>
        <w:rPr>
          <w:bCs/>
          <w:sz w:val="20"/>
          <w:szCs w:val="20"/>
        </w:rPr>
      </w:pPr>
    </w:p>
    <w:p w:rsidR="00F93618" w:rsidRPr="0083703E" w:rsidRDefault="006B5E25" w:rsidP="00F93618">
      <w:pPr>
        <w:pStyle w:val="Header"/>
        <w:rPr>
          <w:bCs/>
          <w:sz w:val="20"/>
          <w:szCs w:val="20"/>
        </w:rPr>
      </w:pPr>
      <w:r w:rsidRPr="0083703E">
        <w:rPr>
          <w:bCs/>
          <w:sz w:val="20"/>
          <w:szCs w:val="20"/>
        </w:rPr>
        <w:t>12</w:t>
      </w:r>
      <w:r w:rsidR="00F04D8C" w:rsidRPr="0083703E">
        <w:rPr>
          <w:bCs/>
          <w:sz w:val="20"/>
          <w:szCs w:val="20"/>
        </w:rPr>
        <w:t>.</w:t>
      </w:r>
      <w:r w:rsidRPr="0083703E">
        <w:rPr>
          <w:bCs/>
          <w:sz w:val="20"/>
          <w:szCs w:val="20"/>
        </w:rPr>
        <w:t>12</w:t>
      </w:r>
      <w:r w:rsidR="00F93618" w:rsidRPr="0083703E">
        <w:rPr>
          <w:bCs/>
          <w:sz w:val="20"/>
          <w:szCs w:val="20"/>
        </w:rPr>
        <w:t>.</w:t>
      </w:r>
      <w:r w:rsidR="0052792B" w:rsidRPr="0083703E">
        <w:rPr>
          <w:bCs/>
          <w:sz w:val="20"/>
          <w:szCs w:val="20"/>
        </w:rPr>
        <w:t>201</w:t>
      </w:r>
      <w:bookmarkStart w:id="0" w:name="_GoBack"/>
      <w:bookmarkEnd w:id="0"/>
      <w:r w:rsidR="0052792B" w:rsidRPr="0083703E">
        <w:rPr>
          <w:bCs/>
          <w:sz w:val="20"/>
          <w:szCs w:val="20"/>
        </w:rPr>
        <w:t>2</w:t>
      </w:r>
      <w:r w:rsidR="00700E1D" w:rsidRPr="0083703E">
        <w:rPr>
          <w:bCs/>
          <w:sz w:val="20"/>
          <w:szCs w:val="20"/>
        </w:rPr>
        <w:t xml:space="preserve">. </w:t>
      </w:r>
      <w:r w:rsidRPr="0083703E">
        <w:rPr>
          <w:bCs/>
          <w:sz w:val="20"/>
          <w:szCs w:val="20"/>
        </w:rPr>
        <w:t>12</w:t>
      </w:r>
      <w:r w:rsidR="00700E1D" w:rsidRPr="0083703E">
        <w:rPr>
          <w:bCs/>
          <w:sz w:val="20"/>
          <w:szCs w:val="20"/>
        </w:rPr>
        <w:t>:</w:t>
      </w:r>
      <w:r w:rsidRPr="0083703E">
        <w:rPr>
          <w:bCs/>
          <w:sz w:val="20"/>
          <w:szCs w:val="20"/>
        </w:rPr>
        <w:t>00</w:t>
      </w:r>
    </w:p>
    <w:p w:rsidR="00F93618" w:rsidRPr="0083703E" w:rsidRDefault="00467688" w:rsidP="00F93618">
      <w:pPr>
        <w:pStyle w:val="Header"/>
        <w:rPr>
          <w:sz w:val="20"/>
          <w:szCs w:val="20"/>
        </w:rPr>
      </w:pPr>
      <w:r w:rsidRPr="0083703E">
        <w:rPr>
          <w:sz w:val="20"/>
          <w:szCs w:val="20"/>
        </w:rPr>
        <w:t>359</w:t>
      </w:r>
    </w:p>
    <w:p w:rsidR="00F93618" w:rsidRPr="0083703E" w:rsidRDefault="006B5E25" w:rsidP="00F93618">
      <w:pPr>
        <w:pStyle w:val="Header"/>
        <w:rPr>
          <w:sz w:val="20"/>
          <w:szCs w:val="20"/>
        </w:rPr>
      </w:pPr>
      <w:proofErr w:type="spellStart"/>
      <w:r w:rsidRPr="0083703E">
        <w:rPr>
          <w:sz w:val="20"/>
          <w:szCs w:val="20"/>
        </w:rPr>
        <w:t>BaibaČāmāne</w:t>
      </w:r>
      <w:proofErr w:type="spellEnd"/>
      <w:r w:rsidRPr="0083703E">
        <w:rPr>
          <w:sz w:val="20"/>
          <w:szCs w:val="20"/>
        </w:rPr>
        <w:t>, 67016259</w:t>
      </w:r>
    </w:p>
    <w:p w:rsidR="003F564F" w:rsidRPr="0083703E" w:rsidRDefault="009C1414" w:rsidP="00E75A5D">
      <w:pPr>
        <w:pStyle w:val="Header"/>
        <w:rPr>
          <w:sz w:val="20"/>
          <w:szCs w:val="20"/>
        </w:rPr>
      </w:pPr>
      <w:hyperlink r:id="rId8" w:history="1">
        <w:r w:rsidR="006B5E25" w:rsidRPr="0083703E">
          <w:rPr>
            <w:rStyle w:val="Hyperlink"/>
            <w:color w:val="auto"/>
            <w:sz w:val="20"/>
            <w:szCs w:val="20"/>
          </w:rPr>
          <w:t>Baiba.Camane@mfa.gov.lv</w:t>
        </w:r>
      </w:hyperlink>
    </w:p>
    <w:sectPr w:rsidR="003F564F" w:rsidRPr="0083703E" w:rsidSect="00815C9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8D" w:rsidRDefault="00E0208D" w:rsidP="008A23D7">
      <w:r>
        <w:separator/>
      </w:r>
    </w:p>
  </w:endnote>
  <w:endnote w:type="continuationSeparator" w:id="0">
    <w:p w:rsidR="00E0208D" w:rsidRDefault="00E0208D" w:rsidP="008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785220"/>
      <w:docPartObj>
        <w:docPartGallery w:val="Page Numbers (Bottom of Page)"/>
        <w:docPartUnique/>
      </w:docPartObj>
    </w:sdtPr>
    <w:sdtEndPr>
      <w:rPr>
        <w:noProof/>
      </w:rPr>
    </w:sdtEndPr>
    <w:sdtContent>
      <w:p w:rsidR="00E0208D" w:rsidRDefault="00E0208D" w:rsidP="00F04D8C">
        <w:pPr>
          <w:pStyle w:val="Footer"/>
          <w:jc w:val="both"/>
        </w:pPr>
      </w:p>
      <w:p w:rsidR="00E0208D" w:rsidRDefault="00E0208D" w:rsidP="00F04D8C">
        <w:pPr>
          <w:pStyle w:val="Footer"/>
          <w:jc w:val="both"/>
        </w:pPr>
      </w:p>
      <w:p w:rsidR="00E0208D" w:rsidRPr="00F56AB8" w:rsidRDefault="00E0208D" w:rsidP="00F04D8C">
        <w:pPr>
          <w:pStyle w:val="Footer"/>
          <w:jc w:val="both"/>
          <w:rPr>
            <w:sz w:val="20"/>
            <w:szCs w:val="20"/>
          </w:rPr>
        </w:pPr>
        <w:r>
          <w:rPr>
            <w:sz w:val="20"/>
            <w:szCs w:val="20"/>
          </w:rPr>
          <w:t>AMzino_121012</w:t>
        </w:r>
        <w:r w:rsidRPr="00F56AB8">
          <w:rPr>
            <w:sz w:val="20"/>
            <w:szCs w:val="20"/>
          </w:rPr>
          <w:t xml:space="preserve">; Informatīvais </w:t>
        </w:r>
        <w:smartTag w:uri="schemas-tilde-lv/tildestengine" w:element="veidnes">
          <w:smartTagPr>
            <w:attr w:name="id" w:val="-1"/>
            <w:attr w:name="baseform" w:val="ziņojums"/>
            <w:attr w:name="text" w:val="ziņojums"/>
          </w:smartTagPr>
          <w:r w:rsidRPr="00F56AB8">
            <w:rPr>
              <w:sz w:val="20"/>
              <w:szCs w:val="20"/>
            </w:rPr>
            <w:t>ziņojums</w:t>
          </w:r>
        </w:smartTag>
        <w:r>
          <w:rPr>
            <w:sz w:val="20"/>
            <w:szCs w:val="20"/>
          </w:rPr>
          <w:t xml:space="preserve"> </w:t>
        </w:r>
        <w:r w:rsidR="009C1414">
          <w:rPr>
            <w:sz w:val="20"/>
            <w:szCs w:val="20"/>
          </w:rPr>
          <w:t>„</w:t>
        </w:r>
        <w:r w:rsidR="009C1414" w:rsidRPr="009C1414">
          <w:rPr>
            <w:sz w:val="20"/>
            <w:szCs w:val="20"/>
          </w:rPr>
          <w:t>Par Latvijas Republikas nacionālās pozīcijas apstiprināšanu 2012.gada 18.-19. oktobra Eiropadomes sanāksmei</w:t>
        </w:r>
        <w:r w:rsidR="009C1414">
          <w:rPr>
            <w:sz w:val="20"/>
            <w:szCs w:val="20"/>
          </w:rPr>
          <w:t>”</w:t>
        </w:r>
      </w:p>
      <w:p w:rsidR="00E0208D" w:rsidRPr="00F56AB8" w:rsidRDefault="00E0208D" w:rsidP="005B576B">
        <w:pPr>
          <w:pStyle w:val="Footer"/>
          <w:jc w:val="both"/>
          <w:rPr>
            <w:sz w:val="20"/>
            <w:szCs w:val="20"/>
          </w:rPr>
        </w:pPr>
      </w:p>
      <w:p w:rsidR="00E0208D" w:rsidRDefault="00E0208D">
        <w:pPr>
          <w:pStyle w:val="Footer"/>
          <w:jc w:val="right"/>
        </w:pPr>
        <w:r>
          <w:fldChar w:fldCharType="begin"/>
        </w:r>
        <w:r>
          <w:instrText xml:space="preserve"> PAGE   \* MERGEFORMAT </w:instrText>
        </w:r>
        <w:r>
          <w:fldChar w:fldCharType="separate"/>
        </w:r>
        <w:r w:rsidR="009C1414">
          <w:rPr>
            <w:noProof/>
          </w:rPr>
          <w:t>2</w:t>
        </w:r>
        <w:r>
          <w:rPr>
            <w:noProof/>
          </w:rPr>
          <w:fldChar w:fldCharType="end"/>
        </w:r>
      </w:p>
    </w:sdtContent>
  </w:sdt>
  <w:p w:rsidR="00E0208D" w:rsidRDefault="00E0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8D" w:rsidRDefault="00E0208D" w:rsidP="008A23D7">
      <w:r>
        <w:separator/>
      </w:r>
    </w:p>
  </w:footnote>
  <w:footnote w:type="continuationSeparator" w:id="0">
    <w:p w:rsidR="00E0208D" w:rsidRDefault="00E0208D" w:rsidP="008A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623"/>
    <w:multiLevelType w:val="hybridMultilevel"/>
    <w:tmpl w:val="B076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703713"/>
    <w:multiLevelType w:val="hybridMultilevel"/>
    <w:tmpl w:val="4162A0D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41D13C47"/>
    <w:multiLevelType w:val="hybridMultilevel"/>
    <w:tmpl w:val="61EC1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44F474D"/>
    <w:multiLevelType w:val="hybridMultilevel"/>
    <w:tmpl w:val="106C57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44FF2A7A"/>
    <w:multiLevelType w:val="hybridMultilevel"/>
    <w:tmpl w:val="7434722E"/>
    <w:lvl w:ilvl="0" w:tplc="C450D4F0">
      <w:numFmt w:val="bullet"/>
      <w:lvlText w:val="–"/>
      <w:lvlJc w:val="left"/>
      <w:pPr>
        <w:tabs>
          <w:tab w:val="num" w:pos="720"/>
        </w:tabs>
        <w:ind w:left="720" w:hanging="360"/>
      </w:pPr>
      <w:rPr>
        <w:rFonts w:ascii="Garamond" w:eastAsia="Calibri" w:hAnsi="Garamond" w:cs="Times New Roman" w:hint="default"/>
      </w:rPr>
    </w:lvl>
    <w:lvl w:ilvl="1" w:tplc="E11EE2D0" w:tentative="1">
      <w:start w:val="1"/>
      <w:numFmt w:val="bullet"/>
      <w:lvlText w:val=""/>
      <w:lvlJc w:val="left"/>
      <w:pPr>
        <w:tabs>
          <w:tab w:val="num" w:pos="1440"/>
        </w:tabs>
        <w:ind w:left="1440" w:hanging="360"/>
      </w:pPr>
      <w:rPr>
        <w:rFonts w:ascii="Wingdings" w:hAnsi="Wingdings" w:hint="default"/>
      </w:rPr>
    </w:lvl>
    <w:lvl w:ilvl="2" w:tplc="EEDAAF7A" w:tentative="1">
      <w:start w:val="1"/>
      <w:numFmt w:val="bullet"/>
      <w:lvlText w:val=""/>
      <w:lvlJc w:val="left"/>
      <w:pPr>
        <w:tabs>
          <w:tab w:val="num" w:pos="2160"/>
        </w:tabs>
        <w:ind w:left="2160" w:hanging="360"/>
      </w:pPr>
      <w:rPr>
        <w:rFonts w:ascii="Wingdings" w:hAnsi="Wingdings" w:hint="default"/>
      </w:rPr>
    </w:lvl>
    <w:lvl w:ilvl="3" w:tplc="88ACBA9C" w:tentative="1">
      <w:start w:val="1"/>
      <w:numFmt w:val="bullet"/>
      <w:lvlText w:val=""/>
      <w:lvlJc w:val="left"/>
      <w:pPr>
        <w:tabs>
          <w:tab w:val="num" w:pos="2880"/>
        </w:tabs>
        <w:ind w:left="2880" w:hanging="360"/>
      </w:pPr>
      <w:rPr>
        <w:rFonts w:ascii="Wingdings" w:hAnsi="Wingdings" w:hint="default"/>
      </w:rPr>
    </w:lvl>
    <w:lvl w:ilvl="4" w:tplc="7C044952" w:tentative="1">
      <w:start w:val="1"/>
      <w:numFmt w:val="bullet"/>
      <w:lvlText w:val=""/>
      <w:lvlJc w:val="left"/>
      <w:pPr>
        <w:tabs>
          <w:tab w:val="num" w:pos="3600"/>
        </w:tabs>
        <w:ind w:left="3600" w:hanging="360"/>
      </w:pPr>
      <w:rPr>
        <w:rFonts w:ascii="Wingdings" w:hAnsi="Wingdings" w:hint="default"/>
      </w:rPr>
    </w:lvl>
    <w:lvl w:ilvl="5" w:tplc="249CFA8E" w:tentative="1">
      <w:start w:val="1"/>
      <w:numFmt w:val="bullet"/>
      <w:lvlText w:val=""/>
      <w:lvlJc w:val="left"/>
      <w:pPr>
        <w:tabs>
          <w:tab w:val="num" w:pos="4320"/>
        </w:tabs>
        <w:ind w:left="4320" w:hanging="360"/>
      </w:pPr>
      <w:rPr>
        <w:rFonts w:ascii="Wingdings" w:hAnsi="Wingdings" w:hint="default"/>
      </w:rPr>
    </w:lvl>
    <w:lvl w:ilvl="6" w:tplc="D8028574" w:tentative="1">
      <w:start w:val="1"/>
      <w:numFmt w:val="bullet"/>
      <w:lvlText w:val=""/>
      <w:lvlJc w:val="left"/>
      <w:pPr>
        <w:tabs>
          <w:tab w:val="num" w:pos="5040"/>
        </w:tabs>
        <w:ind w:left="5040" w:hanging="360"/>
      </w:pPr>
      <w:rPr>
        <w:rFonts w:ascii="Wingdings" w:hAnsi="Wingdings" w:hint="default"/>
      </w:rPr>
    </w:lvl>
    <w:lvl w:ilvl="7" w:tplc="2AA2FEB6" w:tentative="1">
      <w:start w:val="1"/>
      <w:numFmt w:val="bullet"/>
      <w:lvlText w:val=""/>
      <w:lvlJc w:val="left"/>
      <w:pPr>
        <w:tabs>
          <w:tab w:val="num" w:pos="5760"/>
        </w:tabs>
        <w:ind w:left="5760" w:hanging="360"/>
      </w:pPr>
      <w:rPr>
        <w:rFonts w:ascii="Wingdings" w:hAnsi="Wingdings" w:hint="default"/>
      </w:rPr>
    </w:lvl>
    <w:lvl w:ilvl="8" w:tplc="4FF835D2" w:tentative="1">
      <w:start w:val="1"/>
      <w:numFmt w:val="bullet"/>
      <w:lvlText w:val=""/>
      <w:lvlJc w:val="left"/>
      <w:pPr>
        <w:tabs>
          <w:tab w:val="num" w:pos="6480"/>
        </w:tabs>
        <w:ind w:left="6480" w:hanging="360"/>
      </w:pPr>
      <w:rPr>
        <w:rFonts w:ascii="Wingdings" w:hAnsi="Wingdings" w:hint="default"/>
      </w:rPr>
    </w:lvl>
  </w:abstractNum>
  <w:abstractNum w:abstractNumId="5">
    <w:nsid w:val="5D8A34F7"/>
    <w:multiLevelType w:val="hybridMultilevel"/>
    <w:tmpl w:val="14D451B0"/>
    <w:lvl w:ilvl="0" w:tplc="080854D0">
      <w:start w:val="3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093831"/>
    <w:multiLevelType w:val="hybridMultilevel"/>
    <w:tmpl w:val="4464029E"/>
    <w:lvl w:ilvl="0" w:tplc="B366EE08">
      <w:start w:val="1"/>
      <w:numFmt w:val="decimal"/>
      <w:lvlText w:val="%1)"/>
      <w:lvlJc w:val="left"/>
      <w:pPr>
        <w:ind w:left="720" w:hanging="360"/>
      </w:pPr>
      <w:rPr>
        <w:lang w:val="lv-LV"/>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093B20"/>
    <w:multiLevelType w:val="hybridMultilevel"/>
    <w:tmpl w:val="655C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ED638F2"/>
    <w:multiLevelType w:val="hybridMultilevel"/>
    <w:tmpl w:val="A1548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F545A4"/>
    <w:multiLevelType w:val="hybridMultilevel"/>
    <w:tmpl w:val="E5E665DA"/>
    <w:lvl w:ilvl="0" w:tplc="342CE0C0">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6A"/>
    <w:rsid w:val="000044CC"/>
    <w:rsid w:val="00017209"/>
    <w:rsid w:val="00033DAD"/>
    <w:rsid w:val="00040F6B"/>
    <w:rsid w:val="0004389B"/>
    <w:rsid w:val="00047342"/>
    <w:rsid w:val="00052088"/>
    <w:rsid w:val="00052650"/>
    <w:rsid w:val="0007398D"/>
    <w:rsid w:val="00084A7A"/>
    <w:rsid w:val="000859B1"/>
    <w:rsid w:val="00086E31"/>
    <w:rsid w:val="000942AB"/>
    <w:rsid w:val="00097F1E"/>
    <w:rsid w:val="000A68FB"/>
    <w:rsid w:val="000B041F"/>
    <w:rsid w:val="000B54A9"/>
    <w:rsid w:val="000B6585"/>
    <w:rsid w:val="000B6F64"/>
    <w:rsid w:val="000E1C6C"/>
    <w:rsid w:val="000F096D"/>
    <w:rsid w:val="000F0C4B"/>
    <w:rsid w:val="000F3787"/>
    <w:rsid w:val="00115B05"/>
    <w:rsid w:val="00120D76"/>
    <w:rsid w:val="00121BC2"/>
    <w:rsid w:val="00125F29"/>
    <w:rsid w:val="001629F4"/>
    <w:rsid w:val="001814A6"/>
    <w:rsid w:val="00191B4D"/>
    <w:rsid w:val="001B1DC0"/>
    <w:rsid w:val="001B3CE9"/>
    <w:rsid w:val="001C39FF"/>
    <w:rsid w:val="001E3CB6"/>
    <w:rsid w:val="001E3E5A"/>
    <w:rsid w:val="00220EB3"/>
    <w:rsid w:val="00226614"/>
    <w:rsid w:val="00230D78"/>
    <w:rsid w:val="00232682"/>
    <w:rsid w:val="00240457"/>
    <w:rsid w:val="00246BE1"/>
    <w:rsid w:val="002572BF"/>
    <w:rsid w:val="00260914"/>
    <w:rsid w:val="00261974"/>
    <w:rsid w:val="00262411"/>
    <w:rsid w:val="00286B51"/>
    <w:rsid w:val="00296658"/>
    <w:rsid w:val="00297EF9"/>
    <w:rsid w:val="002A10A2"/>
    <w:rsid w:val="002A63BF"/>
    <w:rsid w:val="002B4921"/>
    <w:rsid w:val="002D0EE8"/>
    <w:rsid w:val="002D3917"/>
    <w:rsid w:val="002E08CC"/>
    <w:rsid w:val="002E3E95"/>
    <w:rsid w:val="002E57C7"/>
    <w:rsid w:val="00303B40"/>
    <w:rsid w:val="003063C8"/>
    <w:rsid w:val="00314F32"/>
    <w:rsid w:val="003275CE"/>
    <w:rsid w:val="00341684"/>
    <w:rsid w:val="00352AEE"/>
    <w:rsid w:val="0036112E"/>
    <w:rsid w:val="00365AAF"/>
    <w:rsid w:val="00371E0A"/>
    <w:rsid w:val="00381ACC"/>
    <w:rsid w:val="003849AC"/>
    <w:rsid w:val="00397FF6"/>
    <w:rsid w:val="003A057A"/>
    <w:rsid w:val="003B2636"/>
    <w:rsid w:val="003B42F2"/>
    <w:rsid w:val="003C2455"/>
    <w:rsid w:val="003D0F75"/>
    <w:rsid w:val="003D163A"/>
    <w:rsid w:val="003E2C7B"/>
    <w:rsid w:val="003F0C1C"/>
    <w:rsid w:val="003F564F"/>
    <w:rsid w:val="00401E93"/>
    <w:rsid w:val="004068CF"/>
    <w:rsid w:val="00421F69"/>
    <w:rsid w:val="00422FE8"/>
    <w:rsid w:val="004258C5"/>
    <w:rsid w:val="004319C8"/>
    <w:rsid w:val="00450C8C"/>
    <w:rsid w:val="00463EE5"/>
    <w:rsid w:val="00467688"/>
    <w:rsid w:val="004902B3"/>
    <w:rsid w:val="00495834"/>
    <w:rsid w:val="00497D21"/>
    <w:rsid w:val="004A1AEC"/>
    <w:rsid w:val="004B2B1C"/>
    <w:rsid w:val="004C64E2"/>
    <w:rsid w:val="004D3FF6"/>
    <w:rsid w:val="004D6BCC"/>
    <w:rsid w:val="004E5776"/>
    <w:rsid w:val="004F701B"/>
    <w:rsid w:val="00501E69"/>
    <w:rsid w:val="00504855"/>
    <w:rsid w:val="0050522B"/>
    <w:rsid w:val="00522CDC"/>
    <w:rsid w:val="005262BD"/>
    <w:rsid w:val="0052792B"/>
    <w:rsid w:val="00557760"/>
    <w:rsid w:val="00567012"/>
    <w:rsid w:val="00570DF8"/>
    <w:rsid w:val="005710B9"/>
    <w:rsid w:val="0057259D"/>
    <w:rsid w:val="00572ED6"/>
    <w:rsid w:val="0058320D"/>
    <w:rsid w:val="00593729"/>
    <w:rsid w:val="005A1F14"/>
    <w:rsid w:val="005B576B"/>
    <w:rsid w:val="005B7CFF"/>
    <w:rsid w:val="005D45B4"/>
    <w:rsid w:val="005E1395"/>
    <w:rsid w:val="005E7D80"/>
    <w:rsid w:val="0060159C"/>
    <w:rsid w:val="00602B7D"/>
    <w:rsid w:val="006063B9"/>
    <w:rsid w:val="00615BFE"/>
    <w:rsid w:val="00624B23"/>
    <w:rsid w:val="00631C14"/>
    <w:rsid w:val="00635684"/>
    <w:rsid w:val="0064089F"/>
    <w:rsid w:val="00655141"/>
    <w:rsid w:val="0065652B"/>
    <w:rsid w:val="00660DD2"/>
    <w:rsid w:val="0067032A"/>
    <w:rsid w:val="00672FD8"/>
    <w:rsid w:val="00674782"/>
    <w:rsid w:val="00675DAF"/>
    <w:rsid w:val="00676623"/>
    <w:rsid w:val="0068345F"/>
    <w:rsid w:val="00690F3E"/>
    <w:rsid w:val="00692956"/>
    <w:rsid w:val="006A2EB4"/>
    <w:rsid w:val="006A3696"/>
    <w:rsid w:val="006B0725"/>
    <w:rsid w:val="006B5E25"/>
    <w:rsid w:val="006D5BCB"/>
    <w:rsid w:val="006F5A10"/>
    <w:rsid w:val="00700E1D"/>
    <w:rsid w:val="00703672"/>
    <w:rsid w:val="00703A3E"/>
    <w:rsid w:val="00711D7C"/>
    <w:rsid w:val="007138C6"/>
    <w:rsid w:val="007302A6"/>
    <w:rsid w:val="00741CF2"/>
    <w:rsid w:val="007435E6"/>
    <w:rsid w:val="00753157"/>
    <w:rsid w:val="007543F6"/>
    <w:rsid w:val="00754AFA"/>
    <w:rsid w:val="007757DA"/>
    <w:rsid w:val="007817AC"/>
    <w:rsid w:val="007A5176"/>
    <w:rsid w:val="007B506A"/>
    <w:rsid w:val="007C2D56"/>
    <w:rsid w:val="007C794B"/>
    <w:rsid w:val="007E0DBE"/>
    <w:rsid w:val="007F4B6A"/>
    <w:rsid w:val="008008B5"/>
    <w:rsid w:val="00801652"/>
    <w:rsid w:val="00804C55"/>
    <w:rsid w:val="00815C90"/>
    <w:rsid w:val="008162A1"/>
    <w:rsid w:val="00830120"/>
    <w:rsid w:val="0083703E"/>
    <w:rsid w:val="00842945"/>
    <w:rsid w:val="00847198"/>
    <w:rsid w:val="008505EF"/>
    <w:rsid w:val="008809B3"/>
    <w:rsid w:val="00891A37"/>
    <w:rsid w:val="008A23D7"/>
    <w:rsid w:val="008A2700"/>
    <w:rsid w:val="008B141A"/>
    <w:rsid w:val="008B431A"/>
    <w:rsid w:val="008C6DD5"/>
    <w:rsid w:val="008E3CFD"/>
    <w:rsid w:val="008E6415"/>
    <w:rsid w:val="008E6DFA"/>
    <w:rsid w:val="00900056"/>
    <w:rsid w:val="00902306"/>
    <w:rsid w:val="00905204"/>
    <w:rsid w:val="00905B44"/>
    <w:rsid w:val="0091129A"/>
    <w:rsid w:val="00922735"/>
    <w:rsid w:val="00923D65"/>
    <w:rsid w:val="0093246B"/>
    <w:rsid w:val="00934DBA"/>
    <w:rsid w:val="00935F22"/>
    <w:rsid w:val="00943561"/>
    <w:rsid w:val="00947B16"/>
    <w:rsid w:val="00957291"/>
    <w:rsid w:val="00970CFA"/>
    <w:rsid w:val="00972C5B"/>
    <w:rsid w:val="00997898"/>
    <w:rsid w:val="009A3BF7"/>
    <w:rsid w:val="009C1414"/>
    <w:rsid w:val="009C18E7"/>
    <w:rsid w:val="009C3E17"/>
    <w:rsid w:val="009D51E7"/>
    <w:rsid w:val="009E021F"/>
    <w:rsid w:val="009F0572"/>
    <w:rsid w:val="009F0831"/>
    <w:rsid w:val="009F50A1"/>
    <w:rsid w:val="00A02F1D"/>
    <w:rsid w:val="00A12E39"/>
    <w:rsid w:val="00A133C4"/>
    <w:rsid w:val="00A13619"/>
    <w:rsid w:val="00A16950"/>
    <w:rsid w:val="00A17A5E"/>
    <w:rsid w:val="00A25410"/>
    <w:rsid w:val="00A401EC"/>
    <w:rsid w:val="00A453D8"/>
    <w:rsid w:val="00A543DE"/>
    <w:rsid w:val="00A72618"/>
    <w:rsid w:val="00A85D6E"/>
    <w:rsid w:val="00A92E29"/>
    <w:rsid w:val="00A94312"/>
    <w:rsid w:val="00AA1674"/>
    <w:rsid w:val="00AA34BD"/>
    <w:rsid w:val="00AA646D"/>
    <w:rsid w:val="00AA7758"/>
    <w:rsid w:val="00AB1F94"/>
    <w:rsid w:val="00AC0CA2"/>
    <w:rsid w:val="00AD3693"/>
    <w:rsid w:val="00AD3F88"/>
    <w:rsid w:val="00B157C9"/>
    <w:rsid w:val="00B21B34"/>
    <w:rsid w:val="00B34A68"/>
    <w:rsid w:val="00B4097D"/>
    <w:rsid w:val="00B47311"/>
    <w:rsid w:val="00B539BD"/>
    <w:rsid w:val="00B5746D"/>
    <w:rsid w:val="00B617EC"/>
    <w:rsid w:val="00B74A9C"/>
    <w:rsid w:val="00B767DA"/>
    <w:rsid w:val="00B85FF4"/>
    <w:rsid w:val="00B9338D"/>
    <w:rsid w:val="00BB54B2"/>
    <w:rsid w:val="00BB6147"/>
    <w:rsid w:val="00BB6920"/>
    <w:rsid w:val="00BC6078"/>
    <w:rsid w:val="00BC7678"/>
    <w:rsid w:val="00BD0EA7"/>
    <w:rsid w:val="00BD21C1"/>
    <w:rsid w:val="00BF19E1"/>
    <w:rsid w:val="00BF42AE"/>
    <w:rsid w:val="00C1774C"/>
    <w:rsid w:val="00C21811"/>
    <w:rsid w:val="00C22108"/>
    <w:rsid w:val="00C222A0"/>
    <w:rsid w:val="00C267DC"/>
    <w:rsid w:val="00C31D3D"/>
    <w:rsid w:val="00C44D2C"/>
    <w:rsid w:val="00C56C68"/>
    <w:rsid w:val="00C61BFB"/>
    <w:rsid w:val="00C6402F"/>
    <w:rsid w:val="00C71CD2"/>
    <w:rsid w:val="00C73CCB"/>
    <w:rsid w:val="00C75B47"/>
    <w:rsid w:val="00C7797A"/>
    <w:rsid w:val="00CA0FAA"/>
    <w:rsid w:val="00CB3ADC"/>
    <w:rsid w:val="00CD43F8"/>
    <w:rsid w:val="00CE5962"/>
    <w:rsid w:val="00CF3460"/>
    <w:rsid w:val="00D07BED"/>
    <w:rsid w:val="00D12D50"/>
    <w:rsid w:val="00D16337"/>
    <w:rsid w:val="00D33461"/>
    <w:rsid w:val="00D363C1"/>
    <w:rsid w:val="00D36755"/>
    <w:rsid w:val="00D416A7"/>
    <w:rsid w:val="00D422A2"/>
    <w:rsid w:val="00D45ABF"/>
    <w:rsid w:val="00D53E68"/>
    <w:rsid w:val="00D5782A"/>
    <w:rsid w:val="00D679B3"/>
    <w:rsid w:val="00D73701"/>
    <w:rsid w:val="00D77538"/>
    <w:rsid w:val="00D8228D"/>
    <w:rsid w:val="00D87D2E"/>
    <w:rsid w:val="00D90159"/>
    <w:rsid w:val="00DB481D"/>
    <w:rsid w:val="00DB54B6"/>
    <w:rsid w:val="00DD7C1D"/>
    <w:rsid w:val="00DF0C0F"/>
    <w:rsid w:val="00E0208D"/>
    <w:rsid w:val="00E14EEC"/>
    <w:rsid w:val="00E178A6"/>
    <w:rsid w:val="00E46338"/>
    <w:rsid w:val="00E700C9"/>
    <w:rsid w:val="00E73001"/>
    <w:rsid w:val="00E75A5D"/>
    <w:rsid w:val="00E84811"/>
    <w:rsid w:val="00E84E9E"/>
    <w:rsid w:val="00E84FF0"/>
    <w:rsid w:val="00EB3655"/>
    <w:rsid w:val="00EC0CA4"/>
    <w:rsid w:val="00ED48F5"/>
    <w:rsid w:val="00ED5D3C"/>
    <w:rsid w:val="00ED7AC1"/>
    <w:rsid w:val="00EE43F8"/>
    <w:rsid w:val="00EF1F5D"/>
    <w:rsid w:val="00F02E77"/>
    <w:rsid w:val="00F04D8C"/>
    <w:rsid w:val="00F07E89"/>
    <w:rsid w:val="00F07EA5"/>
    <w:rsid w:val="00F10512"/>
    <w:rsid w:val="00F31563"/>
    <w:rsid w:val="00F37BCA"/>
    <w:rsid w:val="00F405C9"/>
    <w:rsid w:val="00F76A1B"/>
    <w:rsid w:val="00F81A99"/>
    <w:rsid w:val="00F876B7"/>
    <w:rsid w:val="00F8797F"/>
    <w:rsid w:val="00F87D2F"/>
    <w:rsid w:val="00F92A75"/>
    <w:rsid w:val="00F93618"/>
    <w:rsid w:val="00F94C81"/>
    <w:rsid w:val="00F95A32"/>
    <w:rsid w:val="00FA60DA"/>
    <w:rsid w:val="00FA7276"/>
    <w:rsid w:val="00FC11C2"/>
    <w:rsid w:val="00FC3469"/>
    <w:rsid w:val="00FD6998"/>
    <w:rsid w:val="00FE5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310">
      <w:bodyDiv w:val="1"/>
      <w:marLeft w:val="0"/>
      <w:marRight w:val="0"/>
      <w:marTop w:val="0"/>
      <w:marBottom w:val="0"/>
      <w:divBdr>
        <w:top w:val="none" w:sz="0" w:space="0" w:color="auto"/>
        <w:left w:val="none" w:sz="0" w:space="0" w:color="auto"/>
        <w:bottom w:val="none" w:sz="0" w:space="0" w:color="auto"/>
        <w:right w:val="none" w:sz="0" w:space="0" w:color="auto"/>
      </w:divBdr>
    </w:div>
    <w:div w:id="116682652">
      <w:bodyDiv w:val="1"/>
      <w:marLeft w:val="0"/>
      <w:marRight w:val="0"/>
      <w:marTop w:val="0"/>
      <w:marBottom w:val="0"/>
      <w:divBdr>
        <w:top w:val="none" w:sz="0" w:space="0" w:color="auto"/>
        <w:left w:val="none" w:sz="0" w:space="0" w:color="auto"/>
        <w:bottom w:val="none" w:sz="0" w:space="0" w:color="auto"/>
        <w:right w:val="none" w:sz="0" w:space="0" w:color="auto"/>
      </w:divBdr>
    </w:div>
    <w:div w:id="326785100">
      <w:bodyDiv w:val="1"/>
      <w:marLeft w:val="0"/>
      <w:marRight w:val="0"/>
      <w:marTop w:val="0"/>
      <w:marBottom w:val="0"/>
      <w:divBdr>
        <w:top w:val="none" w:sz="0" w:space="0" w:color="auto"/>
        <w:left w:val="none" w:sz="0" w:space="0" w:color="auto"/>
        <w:bottom w:val="none" w:sz="0" w:space="0" w:color="auto"/>
        <w:right w:val="none" w:sz="0" w:space="0" w:color="auto"/>
      </w:divBdr>
    </w:div>
    <w:div w:id="412287255">
      <w:bodyDiv w:val="1"/>
      <w:marLeft w:val="0"/>
      <w:marRight w:val="0"/>
      <w:marTop w:val="0"/>
      <w:marBottom w:val="0"/>
      <w:divBdr>
        <w:top w:val="none" w:sz="0" w:space="0" w:color="auto"/>
        <w:left w:val="none" w:sz="0" w:space="0" w:color="auto"/>
        <w:bottom w:val="none" w:sz="0" w:space="0" w:color="auto"/>
        <w:right w:val="none" w:sz="0" w:space="0" w:color="auto"/>
      </w:divBdr>
    </w:div>
    <w:div w:id="647902528">
      <w:bodyDiv w:val="1"/>
      <w:marLeft w:val="0"/>
      <w:marRight w:val="0"/>
      <w:marTop w:val="0"/>
      <w:marBottom w:val="0"/>
      <w:divBdr>
        <w:top w:val="none" w:sz="0" w:space="0" w:color="auto"/>
        <w:left w:val="none" w:sz="0" w:space="0" w:color="auto"/>
        <w:bottom w:val="none" w:sz="0" w:space="0" w:color="auto"/>
        <w:right w:val="none" w:sz="0" w:space="0" w:color="auto"/>
      </w:divBdr>
    </w:div>
    <w:div w:id="670106080">
      <w:bodyDiv w:val="1"/>
      <w:marLeft w:val="0"/>
      <w:marRight w:val="0"/>
      <w:marTop w:val="0"/>
      <w:marBottom w:val="0"/>
      <w:divBdr>
        <w:top w:val="none" w:sz="0" w:space="0" w:color="auto"/>
        <w:left w:val="none" w:sz="0" w:space="0" w:color="auto"/>
        <w:bottom w:val="none" w:sz="0" w:space="0" w:color="auto"/>
        <w:right w:val="none" w:sz="0" w:space="0" w:color="auto"/>
      </w:divBdr>
    </w:div>
    <w:div w:id="708801118">
      <w:bodyDiv w:val="1"/>
      <w:marLeft w:val="0"/>
      <w:marRight w:val="0"/>
      <w:marTop w:val="0"/>
      <w:marBottom w:val="0"/>
      <w:divBdr>
        <w:top w:val="none" w:sz="0" w:space="0" w:color="auto"/>
        <w:left w:val="none" w:sz="0" w:space="0" w:color="auto"/>
        <w:bottom w:val="none" w:sz="0" w:space="0" w:color="auto"/>
        <w:right w:val="none" w:sz="0" w:space="0" w:color="auto"/>
      </w:divBdr>
    </w:div>
    <w:div w:id="764572605">
      <w:bodyDiv w:val="1"/>
      <w:marLeft w:val="0"/>
      <w:marRight w:val="0"/>
      <w:marTop w:val="0"/>
      <w:marBottom w:val="0"/>
      <w:divBdr>
        <w:top w:val="none" w:sz="0" w:space="0" w:color="auto"/>
        <w:left w:val="none" w:sz="0" w:space="0" w:color="auto"/>
        <w:bottom w:val="none" w:sz="0" w:space="0" w:color="auto"/>
        <w:right w:val="none" w:sz="0" w:space="0" w:color="auto"/>
      </w:divBdr>
    </w:div>
    <w:div w:id="835998144">
      <w:bodyDiv w:val="1"/>
      <w:marLeft w:val="0"/>
      <w:marRight w:val="0"/>
      <w:marTop w:val="0"/>
      <w:marBottom w:val="0"/>
      <w:divBdr>
        <w:top w:val="none" w:sz="0" w:space="0" w:color="auto"/>
        <w:left w:val="none" w:sz="0" w:space="0" w:color="auto"/>
        <w:bottom w:val="none" w:sz="0" w:space="0" w:color="auto"/>
        <w:right w:val="none" w:sz="0" w:space="0" w:color="auto"/>
      </w:divBdr>
    </w:div>
    <w:div w:id="884489994">
      <w:bodyDiv w:val="1"/>
      <w:marLeft w:val="0"/>
      <w:marRight w:val="0"/>
      <w:marTop w:val="0"/>
      <w:marBottom w:val="0"/>
      <w:divBdr>
        <w:top w:val="none" w:sz="0" w:space="0" w:color="auto"/>
        <w:left w:val="none" w:sz="0" w:space="0" w:color="auto"/>
        <w:bottom w:val="none" w:sz="0" w:space="0" w:color="auto"/>
        <w:right w:val="none" w:sz="0" w:space="0" w:color="auto"/>
      </w:divBdr>
    </w:div>
    <w:div w:id="963001848">
      <w:bodyDiv w:val="1"/>
      <w:marLeft w:val="0"/>
      <w:marRight w:val="0"/>
      <w:marTop w:val="0"/>
      <w:marBottom w:val="0"/>
      <w:divBdr>
        <w:top w:val="none" w:sz="0" w:space="0" w:color="auto"/>
        <w:left w:val="none" w:sz="0" w:space="0" w:color="auto"/>
        <w:bottom w:val="none" w:sz="0" w:space="0" w:color="auto"/>
        <w:right w:val="none" w:sz="0" w:space="0" w:color="auto"/>
      </w:divBdr>
    </w:div>
    <w:div w:id="1002201881">
      <w:bodyDiv w:val="1"/>
      <w:marLeft w:val="0"/>
      <w:marRight w:val="0"/>
      <w:marTop w:val="0"/>
      <w:marBottom w:val="0"/>
      <w:divBdr>
        <w:top w:val="none" w:sz="0" w:space="0" w:color="auto"/>
        <w:left w:val="none" w:sz="0" w:space="0" w:color="auto"/>
        <w:bottom w:val="none" w:sz="0" w:space="0" w:color="auto"/>
        <w:right w:val="none" w:sz="0" w:space="0" w:color="auto"/>
      </w:divBdr>
    </w:div>
    <w:div w:id="1019162039">
      <w:bodyDiv w:val="1"/>
      <w:marLeft w:val="0"/>
      <w:marRight w:val="0"/>
      <w:marTop w:val="0"/>
      <w:marBottom w:val="0"/>
      <w:divBdr>
        <w:top w:val="none" w:sz="0" w:space="0" w:color="auto"/>
        <w:left w:val="none" w:sz="0" w:space="0" w:color="auto"/>
        <w:bottom w:val="none" w:sz="0" w:space="0" w:color="auto"/>
        <w:right w:val="none" w:sz="0" w:space="0" w:color="auto"/>
      </w:divBdr>
    </w:div>
    <w:div w:id="1020357364">
      <w:bodyDiv w:val="1"/>
      <w:marLeft w:val="0"/>
      <w:marRight w:val="0"/>
      <w:marTop w:val="0"/>
      <w:marBottom w:val="0"/>
      <w:divBdr>
        <w:top w:val="none" w:sz="0" w:space="0" w:color="auto"/>
        <w:left w:val="none" w:sz="0" w:space="0" w:color="auto"/>
        <w:bottom w:val="none" w:sz="0" w:space="0" w:color="auto"/>
        <w:right w:val="none" w:sz="0" w:space="0" w:color="auto"/>
      </w:divBdr>
    </w:div>
    <w:div w:id="1251424625">
      <w:bodyDiv w:val="1"/>
      <w:marLeft w:val="0"/>
      <w:marRight w:val="0"/>
      <w:marTop w:val="0"/>
      <w:marBottom w:val="0"/>
      <w:divBdr>
        <w:top w:val="none" w:sz="0" w:space="0" w:color="auto"/>
        <w:left w:val="none" w:sz="0" w:space="0" w:color="auto"/>
        <w:bottom w:val="none" w:sz="0" w:space="0" w:color="auto"/>
        <w:right w:val="none" w:sz="0" w:space="0" w:color="auto"/>
      </w:divBdr>
    </w:div>
    <w:div w:id="1373267440">
      <w:bodyDiv w:val="1"/>
      <w:marLeft w:val="0"/>
      <w:marRight w:val="0"/>
      <w:marTop w:val="0"/>
      <w:marBottom w:val="0"/>
      <w:divBdr>
        <w:top w:val="none" w:sz="0" w:space="0" w:color="auto"/>
        <w:left w:val="none" w:sz="0" w:space="0" w:color="auto"/>
        <w:bottom w:val="none" w:sz="0" w:space="0" w:color="auto"/>
        <w:right w:val="none" w:sz="0" w:space="0" w:color="auto"/>
      </w:divBdr>
    </w:div>
    <w:div w:id="1426917669">
      <w:bodyDiv w:val="1"/>
      <w:marLeft w:val="0"/>
      <w:marRight w:val="0"/>
      <w:marTop w:val="0"/>
      <w:marBottom w:val="0"/>
      <w:divBdr>
        <w:top w:val="none" w:sz="0" w:space="0" w:color="auto"/>
        <w:left w:val="none" w:sz="0" w:space="0" w:color="auto"/>
        <w:bottom w:val="none" w:sz="0" w:space="0" w:color="auto"/>
        <w:right w:val="none" w:sz="0" w:space="0" w:color="auto"/>
      </w:divBdr>
    </w:div>
    <w:div w:id="1485968935">
      <w:bodyDiv w:val="1"/>
      <w:marLeft w:val="0"/>
      <w:marRight w:val="0"/>
      <w:marTop w:val="0"/>
      <w:marBottom w:val="0"/>
      <w:divBdr>
        <w:top w:val="none" w:sz="0" w:space="0" w:color="auto"/>
        <w:left w:val="none" w:sz="0" w:space="0" w:color="auto"/>
        <w:bottom w:val="none" w:sz="0" w:space="0" w:color="auto"/>
        <w:right w:val="none" w:sz="0" w:space="0" w:color="auto"/>
      </w:divBdr>
    </w:div>
    <w:div w:id="1568301962">
      <w:bodyDiv w:val="1"/>
      <w:marLeft w:val="0"/>
      <w:marRight w:val="0"/>
      <w:marTop w:val="0"/>
      <w:marBottom w:val="0"/>
      <w:divBdr>
        <w:top w:val="none" w:sz="0" w:space="0" w:color="auto"/>
        <w:left w:val="none" w:sz="0" w:space="0" w:color="auto"/>
        <w:bottom w:val="none" w:sz="0" w:space="0" w:color="auto"/>
        <w:right w:val="none" w:sz="0" w:space="0" w:color="auto"/>
      </w:divBdr>
    </w:div>
    <w:div w:id="1626933905">
      <w:bodyDiv w:val="1"/>
      <w:marLeft w:val="0"/>
      <w:marRight w:val="0"/>
      <w:marTop w:val="0"/>
      <w:marBottom w:val="0"/>
      <w:divBdr>
        <w:top w:val="none" w:sz="0" w:space="0" w:color="auto"/>
        <w:left w:val="none" w:sz="0" w:space="0" w:color="auto"/>
        <w:bottom w:val="none" w:sz="0" w:space="0" w:color="auto"/>
        <w:right w:val="none" w:sz="0" w:space="0" w:color="auto"/>
      </w:divBdr>
    </w:div>
    <w:div w:id="1654523088">
      <w:bodyDiv w:val="1"/>
      <w:marLeft w:val="0"/>
      <w:marRight w:val="0"/>
      <w:marTop w:val="0"/>
      <w:marBottom w:val="0"/>
      <w:divBdr>
        <w:top w:val="none" w:sz="0" w:space="0" w:color="auto"/>
        <w:left w:val="none" w:sz="0" w:space="0" w:color="auto"/>
        <w:bottom w:val="none" w:sz="0" w:space="0" w:color="auto"/>
        <w:right w:val="none" w:sz="0" w:space="0" w:color="auto"/>
      </w:divBdr>
    </w:div>
    <w:div w:id="1782256843">
      <w:marLeft w:val="0"/>
      <w:marRight w:val="0"/>
      <w:marTop w:val="0"/>
      <w:marBottom w:val="0"/>
      <w:divBdr>
        <w:top w:val="none" w:sz="0" w:space="0" w:color="auto"/>
        <w:left w:val="none" w:sz="0" w:space="0" w:color="auto"/>
        <w:bottom w:val="none" w:sz="0" w:space="0" w:color="auto"/>
        <w:right w:val="none" w:sz="0" w:space="0" w:color="auto"/>
      </w:divBdr>
    </w:div>
    <w:div w:id="1792507083">
      <w:bodyDiv w:val="1"/>
      <w:marLeft w:val="0"/>
      <w:marRight w:val="0"/>
      <w:marTop w:val="0"/>
      <w:marBottom w:val="0"/>
      <w:divBdr>
        <w:top w:val="none" w:sz="0" w:space="0" w:color="auto"/>
        <w:left w:val="none" w:sz="0" w:space="0" w:color="auto"/>
        <w:bottom w:val="none" w:sz="0" w:space="0" w:color="auto"/>
        <w:right w:val="none" w:sz="0" w:space="0" w:color="auto"/>
      </w:divBdr>
    </w:div>
    <w:div w:id="1836333881">
      <w:bodyDiv w:val="1"/>
      <w:marLeft w:val="0"/>
      <w:marRight w:val="0"/>
      <w:marTop w:val="0"/>
      <w:marBottom w:val="0"/>
      <w:divBdr>
        <w:top w:val="none" w:sz="0" w:space="0" w:color="auto"/>
        <w:left w:val="none" w:sz="0" w:space="0" w:color="auto"/>
        <w:bottom w:val="none" w:sz="0" w:space="0" w:color="auto"/>
        <w:right w:val="none" w:sz="0" w:space="0" w:color="auto"/>
      </w:divBdr>
    </w:div>
    <w:div w:id="1867209967">
      <w:bodyDiv w:val="1"/>
      <w:marLeft w:val="0"/>
      <w:marRight w:val="0"/>
      <w:marTop w:val="0"/>
      <w:marBottom w:val="0"/>
      <w:divBdr>
        <w:top w:val="none" w:sz="0" w:space="0" w:color="auto"/>
        <w:left w:val="none" w:sz="0" w:space="0" w:color="auto"/>
        <w:bottom w:val="none" w:sz="0" w:space="0" w:color="auto"/>
        <w:right w:val="none" w:sz="0" w:space="0" w:color="auto"/>
      </w:divBdr>
    </w:div>
    <w:div w:id="1942105813">
      <w:bodyDiv w:val="1"/>
      <w:marLeft w:val="0"/>
      <w:marRight w:val="0"/>
      <w:marTop w:val="0"/>
      <w:marBottom w:val="0"/>
      <w:divBdr>
        <w:top w:val="none" w:sz="0" w:space="0" w:color="auto"/>
        <w:left w:val="none" w:sz="0" w:space="0" w:color="auto"/>
        <w:bottom w:val="none" w:sz="0" w:space="0" w:color="auto"/>
        <w:right w:val="none" w:sz="0" w:space="0" w:color="auto"/>
      </w:divBdr>
    </w:div>
    <w:div w:id="2056350202">
      <w:bodyDiv w:val="1"/>
      <w:marLeft w:val="0"/>
      <w:marRight w:val="0"/>
      <w:marTop w:val="0"/>
      <w:marBottom w:val="0"/>
      <w:divBdr>
        <w:top w:val="none" w:sz="0" w:space="0" w:color="auto"/>
        <w:left w:val="none" w:sz="0" w:space="0" w:color="auto"/>
        <w:bottom w:val="none" w:sz="0" w:space="0" w:color="auto"/>
        <w:right w:val="none" w:sz="0" w:space="0" w:color="auto"/>
      </w:divBdr>
    </w:div>
    <w:div w:id="2105296325">
      <w:bodyDiv w:val="1"/>
      <w:marLeft w:val="0"/>
      <w:marRight w:val="0"/>
      <w:marTop w:val="0"/>
      <w:marBottom w:val="0"/>
      <w:divBdr>
        <w:top w:val="none" w:sz="0" w:space="0" w:color="auto"/>
        <w:left w:val="none" w:sz="0" w:space="0" w:color="auto"/>
        <w:bottom w:val="none" w:sz="0" w:space="0" w:color="auto"/>
        <w:right w:val="none" w:sz="0" w:space="0" w:color="auto"/>
      </w:divBdr>
    </w:div>
    <w:div w:id="2122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dzelzite@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359</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Informatīvais ziņojums par nacionālo pozīciju Nr.1 "Par 2012.gada 18.-19.oktobra Eiropadomē izskatāmajiem jautājumiem"</vt:lpstr>
    </vt:vector>
  </TitlesOfParts>
  <Company>Ārlietu ministrija</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nacionālo pozīciju Nr.1 "Par 2012.gada 18.-19.oktobra Eiropadomē izskatāmajiem jautājumiem"</dc:title>
  <dc:subject>Informatīvais ziņojums</dc:subject>
  <dc:creator>Baiba Čāmāne</dc:creator>
  <dc:description>Baiba.Camane@mfa.gov.lv_x000d_
67016259</dc:description>
  <cp:lastModifiedBy>Latvia</cp:lastModifiedBy>
  <cp:revision>13</cp:revision>
  <cp:lastPrinted>2012-10-12T08:13:00Z</cp:lastPrinted>
  <dcterms:created xsi:type="dcterms:W3CDTF">2012-10-11T11:17:00Z</dcterms:created>
  <dcterms:modified xsi:type="dcterms:W3CDTF">2012-10-12T08:13:00Z</dcterms:modified>
</cp:coreProperties>
</file>