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19" w:rsidRPr="00A20FED" w:rsidRDefault="00867A19" w:rsidP="004907A4">
      <w:pPr>
        <w:pStyle w:val="BodyText"/>
        <w:spacing w:after="120"/>
        <w:rPr>
          <w:szCs w:val="24"/>
          <w:lang w:val="lv-LV"/>
        </w:rPr>
      </w:pPr>
      <w:r w:rsidRPr="00A20FED">
        <w:rPr>
          <w:szCs w:val="24"/>
          <w:lang w:val="lv-LV"/>
        </w:rPr>
        <w:t>Informatīvais ziņojums</w:t>
      </w:r>
    </w:p>
    <w:p w:rsidR="00880E92" w:rsidRPr="00A20FED" w:rsidRDefault="00867A19" w:rsidP="004907A4">
      <w:pPr>
        <w:spacing w:after="120"/>
        <w:ind w:right="-341"/>
        <w:jc w:val="center"/>
        <w:rPr>
          <w:b/>
          <w:color w:val="000000" w:themeColor="text1"/>
          <w:sz w:val="24"/>
          <w:szCs w:val="24"/>
          <w:lang w:val="lv-LV"/>
        </w:rPr>
      </w:pPr>
      <w:r w:rsidRPr="00A20FED">
        <w:rPr>
          <w:b/>
          <w:color w:val="000000" w:themeColor="text1"/>
          <w:sz w:val="24"/>
          <w:szCs w:val="24"/>
          <w:lang w:val="lv-LV"/>
        </w:rPr>
        <w:t>“</w:t>
      </w:r>
      <w:r w:rsidR="00B014EC" w:rsidRPr="00A20FED">
        <w:rPr>
          <w:b/>
          <w:bCs/>
          <w:iCs/>
          <w:color w:val="000000" w:themeColor="text1"/>
          <w:sz w:val="24"/>
          <w:szCs w:val="24"/>
          <w:lang w:val="lv-LV"/>
        </w:rPr>
        <w:t xml:space="preserve">Par </w:t>
      </w:r>
      <w:r w:rsidR="00CA3705" w:rsidRPr="00A20FED">
        <w:rPr>
          <w:b/>
          <w:bCs/>
          <w:iCs/>
          <w:color w:val="000000" w:themeColor="text1"/>
          <w:sz w:val="24"/>
          <w:szCs w:val="24"/>
          <w:lang w:val="lv-LV"/>
        </w:rPr>
        <w:t xml:space="preserve">Latvijas Republikas nacionālo pozīciju Nr.2 „Par </w:t>
      </w:r>
      <w:r w:rsidR="00B014EC" w:rsidRPr="00A20FED">
        <w:rPr>
          <w:b/>
          <w:bCs/>
          <w:iCs/>
          <w:color w:val="000000" w:themeColor="text1"/>
          <w:sz w:val="24"/>
          <w:szCs w:val="24"/>
          <w:lang w:val="lv-LV"/>
        </w:rPr>
        <w:t>Ekonomi</w:t>
      </w:r>
      <w:r w:rsidR="00235F3E" w:rsidRPr="00A20FED">
        <w:rPr>
          <w:b/>
          <w:bCs/>
          <w:iCs/>
          <w:color w:val="000000" w:themeColor="text1"/>
          <w:sz w:val="24"/>
          <w:szCs w:val="24"/>
          <w:lang w:val="lv-LV"/>
        </w:rPr>
        <w:t>skā</w:t>
      </w:r>
      <w:r w:rsidR="002F3FFE" w:rsidRPr="00A20FED">
        <w:rPr>
          <w:b/>
          <w:bCs/>
          <w:iCs/>
          <w:color w:val="000000" w:themeColor="text1"/>
          <w:sz w:val="24"/>
          <w:szCs w:val="24"/>
          <w:lang w:val="lv-LV"/>
        </w:rPr>
        <w:t>s un monetārās savienības pilnveides jautājumiem</w:t>
      </w:r>
      <w:r w:rsidR="00CA3705" w:rsidRPr="00A20FED">
        <w:rPr>
          <w:b/>
          <w:color w:val="000000" w:themeColor="text1"/>
          <w:sz w:val="24"/>
          <w:szCs w:val="24"/>
          <w:lang w:val="lv-LV"/>
        </w:rPr>
        <w:t>””</w:t>
      </w:r>
    </w:p>
    <w:p w:rsidR="00CA3705" w:rsidRPr="00A20FED" w:rsidRDefault="00CA3705" w:rsidP="004907A4">
      <w:pPr>
        <w:spacing w:after="120"/>
        <w:ind w:right="-341"/>
        <w:jc w:val="center"/>
        <w:rPr>
          <w:b/>
          <w:color w:val="000000" w:themeColor="text1"/>
          <w:sz w:val="24"/>
          <w:szCs w:val="24"/>
          <w:u w:val="single"/>
          <w:lang w:val="lv-LV"/>
        </w:rPr>
      </w:pPr>
    </w:p>
    <w:p w:rsidR="00534A69" w:rsidRPr="00A20FED" w:rsidRDefault="00CA3705" w:rsidP="004907A4">
      <w:pPr>
        <w:spacing w:after="120"/>
        <w:jc w:val="both"/>
        <w:rPr>
          <w:sz w:val="24"/>
          <w:szCs w:val="24"/>
          <w:u w:val="single"/>
          <w:lang w:val="lv-LV"/>
        </w:rPr>
      </w:pPr>
      <w:r w:rsidRPr="00A20FED">
        <w:rPr>
          <w:sz w:val="24"/>
          <w:szCs w:val="24"/>
          <w:u w:val="single"/>
          <w:lang w:val="lv-LV"/>
        </w:rPr>
        <w:t>Ekonomiskās un monetārās savienība pilnveides procesa aktuālie jautājumi</w:t>
      </w:r>
    </w:p>
    <w:p w:rsidR="00CA3705" w:rsidRPr="00A20FED" w:rsidRDefault="00CA3705" w:rsidP="004907A4">
      <w:pPr>
        <w:spacing w:after="120"/>
        <w:ind w:right="-1"/>
        <w:jc w:val="both"/>
        <w:rPr>
          <w:sz w:val="24"/>
          <w:szCs w:val="24"/>
          <w:lang w:val="lv-LV"/>
        </w:rPr>
      </w:pPr>
      <w:r w:rsidRPr="00A20FED">
        <w:rPr>
          <w:sz w:val="24"/>
          <w:szCs w:val="24"/>
          <w:lang w:val="lv-LV"/>
        </w:rPr>
        <w:t xml:space="preserve">Šobrīd ES notiek visaptverošs darbs pie Ekonomiskās un monetārās savienības (EMS) pilnveides. Tā pamatā ir 2012.gada 25.jūnijā publicēts Eiropadomes prezidenta ziņojums, saskaņā ar kuru paredzēts ciešāk integrēt dalībvalstu finanšu sistēmas (veidojot t.s. „banku savienību), fiskālās sistēmas (veidojot t.s. „fiskālo savienību”), ekonomikas politikas sistēmas (attīstot „ekonomisko savienību”). </w:t>
      </w:r>
    </w:p>
    <w:p w:rsidR="00CA3705" w:rsidRPr="00A20FED" w:rsidRDefault="00CA3705" w:rsidP="004907A4">
      <w:pPr>
        <w:spacing w:after="120"/>
        <w:ind w:right="-1"/>
        <w:jc w:val="both"/>
        <w:rPr>
          <w:sz w:val="24"/>
          <w:szCs w:val="24"/>
          <w:lang w:val="lv-LV"/>
        </w:rPr>
      </w:pPr>
      <w:r w:rsidRPr="00A20FED">
        <w:rPr>
          <w:sz w:val="24"/>
          <w:szCs w:val="24"/>
          <w:lang w:val="lv-LV"/>
        </w:rPr>
        <w:t>2012.gada 13.-14.decembra Eiropadome apstiprināja turpmākā darba plānu. Saskaņā ar to prioritāte ir ieviest uzlaboto ekonomikas pārvaldības regulējumu</w:t>
      </w:r>
      <w:r w:rsidRPr="00A20FED">
        <w:rPr>
          <w:rStyle w:val="FootnoteReference"/>
          <w:sz w:val="24"/>
          <w:szCs w:val="24"/>
          <w:lang w:val="lv-LV"/>
        </w:rPr>
        <w:footnoteReference w:id="1"/>
      </w:r>
      <w:r w:rsidRPr="00A20FED">
        <w:rPr>
          <w:sz w:val="24"/>
          <w:szCs w:val="24"/>
          <w:lang w:val="lv-LV"/>
        </w:rPr>
        <w:t>, kā arī virzīties uz t.s. „banku savienību”, izveidojot vienotu ES kredītiestāžu uzraudzības mehānismu un arī vienotu noregulējuma mehānismu</w:t>
      </w:r>
      <w:r w:rsidRPr="00A20FED">
        <w:rPr>
          <w:color w:val="000000"/>
          <w:sz w:val="24"/>
          <w:szCs w:val="24"/>
          <w:lang w:val="lv-LV"/>
        </w:rPr>
        <w:t xml:space="preserve"> finansiālās grūtībās nonākušu kredītiestāžu restrukturizācijas jautājumu risināšanai ES līmenī. Vienlaikus</w:t>
      </w:r>
      <w:r w:rsidRPr="00A20FED">
        <w:rPr>
          <w:sz w:val="24"/>
          <w:szCs w:val="24"/>
          <w:lang w:val="lv-LV"/>
        </w:rPr>
        <w:t xml:space="preserve"> Eiropadomes apstiprinātais darba plāns paredz turpināt diskusijas arī par šādiem jautājumiem (attiecas uz t.s. „fiskālo savienību” un „ekonomisko savienību”):</w:t>
      </w:r>
    </w:p>
    <w:p w:rsidR="00CA3705" w:rsidRPr="00A20FED" w:rsidRDefault="00CA3705" w:rsidP="004907A4">
      <w:pPr>
        <w:pStyle w:val="ListParagraph"/>
        <w:numPr>
          <w:ilvl w:val="0"/>
          <w:numId w:val="7"/>
        </w:numPr>
        <w:spacing w:after="120" w:line="240" w:lineRule="auto"/>
        <w:ind w:left="284" w:right="-1" w:firstLine="0"/>
        <w:contextualSpacing w:val="0"/>
        <w:jc w:val="both"/>
        <w:rPr>
          <w:rFonts w:ascii="Times New Roman" w:hAnsi="Times New Roman" w:cs="Times New Roman"/>
          <w:sz w:val="24"/>
          <w:szCs w:val="24"/>
        </w:rPr>
      </w:pPr>
      <w:r w:rsidRPr="00A20FED">
        <w:rPr>
          <w:rFonts w:ascii="Times New Roman" w:hAnsi="Times New Roman" w:cs="Times New Roman"/>
          <w:sz w:val="24"/>
          <w:szCs w:val="24"/>
        </w:rPr>
        <w:t>nacionālo ekonomikas politikas reformu koordinēšana ES līmenī</w:t>
      </w:r>
      <w:r w:rsidRPr="00A20FED">
        <w:rPr>
          <w:rStyle w:val="FootnoteReference"/>
          <w:rFonts w:ascii="Times New Roman" w:hAnsi="Times New Roman" w:cs="Times New Roman"/>
          <w:sz w:val="24"/>
          <w:szCs w:val="24"/>
        </w:rPr>
        <w:footnoteReference w:id="2"/>
      </w:r>
      <w:r w:rsidRPr="00A20FED">
        <w:rPr>
          <w:rFonts w:ascii="Times New Roman" w:hAnsi="Times New Roman" w:cs="Times New Roman"/>
          <w:sz w:val="24"/>
          <w:szCs w:val="24"/>
        </w:rPr>
        <w:t xml:space="preserve">; </w:t>
      </w:r>
    </w:p>
    <w:p w:rsidR="00CA3705" w:rsidRPr="00A20FED" w:rsidRDefault="00CA3705" w:rsidP="004907A4">
      <w:pPr>
        <w:pStyle w:val="ListParagraph"/>
        <w:numPr>
          <w:ilvl w:val="0"/>
          <w:numId w:val="7"/>
        </w:numPr>
        <w:spacing w:after="120" w:line="240" w:lineRule="auto"/>
        <w:ind w:left="284" w:right="-1" w:firstLine="0"/>
        <w:contextualSpacing w:val="0"/>
        <w:jc w:val="both"/>
        <w:rPr>
          <w:rFonts w:ascii="Times New Roman" w:hAnsi="Times New Roman" w:cs="Times New Roman"/>
          <w:sz w:val="24"/>
          <w:szCs w:val="24"/>
        </w:rPr>
      </w:pPr>
      <w:r w:rsidRPr="00A20FED">
        <w:rPr>
          <w:rFonts w:ascii="Times New Roman" w:hAnsi="Times New Roman" w:cs="Times New Roman"/>
          <w:sz w:val="24"/>
          <w:szCs w:val="24"/>
        </w:rPr>
        <w:t>EMS sociālā dimensija, t.sk. sociālais dialogs;</w:t>
      </w:r>
    </w:p>
    <w:p w:rsidR="00CA3705" w:rsidRPr="00A20FED" w:rsidRDefault="00CA3705" w:rsidP="004907A4">
      <w:pPr>
        <w:pStyle w:val="ListParagraph"/>
        <w:numPr>
          <w:ilvl w:val="0"/>
          <w:numId w:val="7"/>
        </w:numPr>
        <w:spacing w:after="120" w:line="240" w:lineRule="auto"/>
        <w:ind w:left="709" w:right="-1" w:hanging="425"/>
        <w:contextualSpacing w:val="0"/>
        <w:jc w:val="both"/>
        <w:rPr>
          <w:rFonts w:ascii="Times New Roman" w:hAnsi="Times New Roman" w:cs="Times New Roman"/>
          <w:sz w:val="24"/>
          <w:szCs w:val="24"/>
        </w:rPr>
      </w:pPr>
      <w:r w:rsidRPr="00A20FED">
        <w:rPr>
          <w:rFonts w:ascii="Times New Roman" w:hAnsi="Times New Roman" w:cs="Times New Roman"/>
          <w:sz w:val="24"/>
          <w:szCs w:val="24"/>
        </w:rPr>
        <w:t xml:space="preserve">savstarpēji saskaņotas līgumiska rakstura vienošanās starp dalībvalstīm un ES institūcijām par katrā dalībvalstī veicamām būtiskām reformām konkurētspējas un izaugsmes veicināšanai; </w:t>
      </w:r>
    </w:p>
    <w:p w:rsidR="00CA3705" w:rsidRPr="00A20FED" w:rsidRDefault="00CA3705" w:rsidP="004907A4">
      <w:pPr>
        <w:pStyle w:val="ListParagraph"/>
        <w:numPr>
          <w:ilvl w:val="0"/>
          <w:numId w:val="7"/>
        </w:numPr>
        <w:spacing w:after="120" w:line="240" w:lineRule="auto"/>
        <w:ind w:left="709" w:right="-1" w:hanging="425"/>
        <w:contextualSpacing w:val="0"/>
        <w:jc w:val="both"/>
        <w:rPr>
          <w:rFonts w:ascii="Times New Roman" w:hAnsi="Times New Roman" w:cs="Times New Roman"/>
          <w:sz w:val="24"/>
          <w:szCs w:val="24"/>
        </w:rPr>
      </w:pPr>
      <w:r w:rsidRPr="00A20FED">
        <w:rPr>
          <w:rFonts w:ascii="Times New Roman" w:hAnsi="Times New Roman" w:cs="Times New Roman"/>
          <w:sz w:val="24"/>
          <w:szCs w:val="24"/>
        </w:rPr>
        <w:t xml:space="preserve">solidaritātes mehānismi reformu (finansiālai) atbalstīšanai tajās dalībvalstīs, kas slēgs līgumiskās vienošanās ar ES institūcijām. </w:t>
      </w:r>
    </w:p>
    <w:p w:rsidR="00CA3705" w:rsidRPr="00A20FED" w:rsidRDefault="00CA3705" w:rsidP="004907A4">
      <w:pPr>
        <w:spacing w:after="120"/>
        <w:ind w:right="-1"/>
        <w:jc w:val="both"/>
        <w:rPr>
          <w:sz w:val="24"/>
          <w:szCs w:val="24"/>
          <w:lang w:val="lv-LV"/>
        </w:rPr>
      </w:pPr>
      <w:r w:rsidRPr="00A20FED">
        <w:rPr>
          <w:sz w:val="24"/>
          <w:szCs w:val="24"/>
          <w:lang w:val="lv-LV"/>
        </w:rPr>
        <w:t xml:space="preserve">Galvenā diskusija par šiem četriem jautājumu blokiem notiks 2013.gada 27.-28.jūnija Eiropadomē. Diskusijas pamatā būs Eiropadomes prezidenta sagatavots priekšlikums turpmākajam darbam pie šiem jautājumiem. Eiropadomes prezidenta priekšlikums tiks sagatavots, ņemot vērā konsultācijas ar dalībvalstīm, kas notiek dažādos formātos – gan īpaši šim nolūkam sasauktās dalībvalstu pārstāvju sanāksmēs (1.martā, 25.aprīlī un 5.jūnijā), gan dažādos ES Padomes formātos - 28.februārī ES Nodarbinātības, sociālās politikas, veselības un patērētāju lietu ministru padomes ietvaros, 5.martā ES Ekonomikas un finanšu ministru padomē, 1.-3.maijā neformālajā ES Konkurētspējas ministru padomē, 21.maijā un 25.jūnijā Vispārējo lietu padomē. Pirms jūnija Eiropadomes diskusija paredzēta arī 22.maija Eiropadomē. </w:t>
      </w:r>
    </w:p>
    <w:p w:rsidR="00CA3705" w:rsidRPr="00A20FED" w:rsidRDefault="00CA3705" w:rsidP="004907A4">
      <w:pPr>
        <w:spacing w:after="120"/>
        <w:jc w:val="both"/>
        <w:rPr>
          <w:rStyle w:val="at1"/>
          <w:sz w:val="24"/>
          <w:szCs w:val="24"/>
          <w:lang w:val="lv-LV"/>
        </w:rPr>
      </w:pPr>
      <w:r w:rsidRPr="00A20FED">
        <w:rPr>
          <w:sz w:val="24"/>
          <w:szCs w:val="24"/>
          <w:lang w:val="lv-LV"/>
        </w:rPr>
        <w:t xml:space="preserve">Ar mērķi sniegt ieguldījumu notiekošajās konsultācijās, 2013.gada. 20.martā Eiropas Komisija (EK) nāca klajā ar diviem paziņojumiem - paziņojumu </w:t>
      </w:r>
      <w:r w:rsidRPr="00A20FED">
        <w:rPr>
          <w:rStyle w:val="at1"/>
          <w:sz w:val="24"/>
          <w:szCs w:val="24"/>
          <w:lang w:val="lv-LV"/>
        </w:rPr>
        <w:t xml:space="preserve">par svarīgāko ekonomikas politikas reformu plānu </w:t>
      </w:r>
      <w:r w:rsidRPr="00A20FED">
        <w:rPr>
          <w:rStyle w:val="at31"/>
          <w:sz w:val="24"/>
          <w:szCs w:val="24"/>
          <w:lang w:val="lv-LV"/>
        </w:rPr>
        <w:t>ex-ante</w:t>
      </w:r>
      <w:r w:rsidRPr="00A20FED">
        <w:rPr>
          <w:rStyle w:val="FootnoteReference"/>
          <w:i/>
          <w:iCs/>
          <w:sz w:val="24"/>
          <w:szCs w:val="24"/>
          <w:lang w:val="lv-LV"/>
        </w:rPr>
        <w:footnoteReference w:id="3"/>
      </w:r>
      <w:r w:rsidRPr="00A20FED">
        <w:rPr>
          <w:rStyle w:val="at1"/>
          <w:sz w:val="24"/>
          <w:szCs w:val="24"/>
          <w:lang w:val="lv-LV"/>
        </w:rPr>
        <w:t xml:space="preserve"> koordinēšanu</w:t>
      </w:r>
      <w:r w:rsidRPr="00A20FED">
        <w:rPr>
          <w:rStyle w:val="FootnoteReference"/>
          <w:sz w:val="24"/>
          <w:szCs w:val="24"/>
          <w:lang w:val="lv-LV"/>
        </w:rPr>
        <w:footnoteReference w:id="4"/>
      </w:r>
      <w:r w:rsidRPr="00A20FED">
        <w:rPr>
          <w:rStyle w:val="at1"/>
          <w:sz w:val="24"/>
          <w:szCs w:val="24"/>
          <w:lang w:val="lv-LV"/>
        </w:rPr>
        <w:t xml:space="preserve"> un paziņojumu </w:t>
      </w:r>
      <w:proofErr w:type="gramStart"/>
      <w:r w:rsidRPr="00A20FED">
        <w:rPr>
          <w:rStyle w:val="at1"/>
          <w:sz w:val="24"/>
          <w:szCs w:val="24"/>
          <w:lang w:val="lv-LV"/>
        </w:rPr>
        <w:t>par</w:t>
      </w:r>
      <w:r w:rsidR="008C1171">
        <w:rPr>
          <w:rStyle w:val="at1"/>
          <w:sz w:val="24"/>
          <w:szCs w:val="24"/>
          <w:lang w:val="lv-LV"/>
        </w:rPr>
        <w:t xml:space="preserve"> </w:t>
      </w:r>
      <w:r w:rsidRPr="00A20FED">
        <w:rPr>
          <w:rStyle w:val="at1"/>
          <w:sz w:val="24"/>
          <w:szCs w:val="24"/>
          <w:lang w:val="lv-LV"/>
        </w:rPr>
        <w:lastRenderedPageBreak/>
        <w:t>Konverģences un konkurētspējas</w:t>
      </w:r>
      <w:proofErr w:type="gramEnd"/>
      <w:r w:rsidRPr="00A20FED">
        <w:rPr>
          <w:rStyle w:val="at1"/>
          <w:sz w:val="24"/>
          <w:szCs w:val="24"/>
          <w:lang w:val="lv-LV"/>
        </w:rPr>
        <w:t xml:space="preserve"> instrumenta ieviešanu</w:t>
      </w:r>
      <w:r w:rsidRPr="00A20FED">
        <w:rPr>
          <w:rStyle w:val="FootnoteReference"/>
          <w:sz w:val="24"/>
          <w:szCs w:val="24"/>
          <w:lang w:val="lv-LV"/>
        </w:rPr>
        <w:footnoteReference w:id="5"/>
      </w:r>
      <w:r w:rsidRPr="00A20FED">
        <w:rPr>
          <w:rStyle w:val="at1"/>
          <w:sz w:val="24"/>
          <w:szCs w:val="24"/>
          <w:lang w:val="lv-LV"/>
        </w:rPr>
        <w:t xml:space="preserve">. Abos paziņojumos ir izklāstīts EK redzējums un izvirzīti jautājumi turpmākai apspriešanai notiekošo konsultāciju ietvaros. Ņemot vērā lēmumus, kas konsultāciju rezultātā tiks pieņemti 27.-28.jūnija Eiropadomē, EK 2013.gada laikā nāks klajā ar jau konkrētiem tiesību aktu priekšlikumiem. </w:t>
      </w:r>
    </w:p>
    <w:p w:rsidR="00CA3705" w:rsidRPr="00A20FED" w:rsidRDefault="00CA3705" w:rsidP="004907A4">
      <w:pPr>
        <w:spacing w:after="120"/>
        <w:jc w:val="both"/>
        <w:rPr>
          <w:sz w:val="24"/>
          <w:szCs w:val="24"/>
          <w:lang w:val="lv-LV"/>
        </w:rPr>
      </w:pPr>
      <w:r w:rsidRPr="00A20FED">
        <w:rPr>
          <w:rStyle w:val="at1"/>
          <w:sz w:val="24"/>
          <w:szCs w:val="24"/>
          <w:lang w:val="lv-LV"/>
        </w:rPr>
        <w:t xml:space="preserve"> </w:t>
      </w:r>
    </w:p>
    <w:p w:rsidR="00CA3705" w:rsidRPr="00A20FED" w:rsidRDefault="00CA3705" w:rsidP="004907A4">
      <w:pPr>
        <w:pStyle w:val="ListParagraph"/>
        <w:spacing w:after="120" w:line="240" w:lineRule="auto"/>
        <w:ind w:left="0" w:right="-1"/>
        <w:contextualSpacing w:val="0"/>
        <w:jc w:val="both"/>
        <w:rPr>
          <w:rStyle w:val="at1"/>
          <w:rFonts w:ascii="Times New Roman" w:hAnsi="Times New Roman" w:cs="Times New Roman"/>
          <w:sz w:val="24"/>
          <w:szCs w:val="24"/>
          <w:u w:val="single"/>
        </w:rPr>
      </w:pPr>
      <w:r w:rsidRPr="00A20FED">
        <w:rPr>
          <w:rFonts w:ascii="Times New Roman" w:hAnsi="Times New Roman" w:cs="Times New Roman"/>
          <w:sz w:val="24"/>
          <w:szCs w:val="24"/>
          <w:u w:val="single"/>
        </w:rPr>
        <w:t xml:space="preserve">Plašāka informācija par paziņojumu </w:t>
      </w:r>
      <w:r w:rsidRPr="00A20FED">
        <w:rPr>
          <w:rStyle w:val="at1"/>
          <w:rFonts w:ascii="Times New Roman" w:hAnsi="Times New Roman" w:cs="Times New Roman"/>
          <w:sz w:val="24"/>
          <w:szCs w:val="24"/>
          <w:u w:val="single"/>
        </w:rPr>
        <w:t xml:space="preserve">par svarīgāko ekonomikas politikas reformu plānu </w:t>
      </w:r>
      <w:r w:rsidRPr="00A20FED">
        <w:rPr>
          <w:rStyle w:val="at31"/>
          <w:rFonts w:ascii="Times New Roman" w:hAnsi="Times New Roman" w:cs="Times New Roman"/>
          <w:sz w:val="24"/>
          <w:szCs w:val="24"/>
          <w:u w:val="single"/>
        </w:rPr>
        <w:t>ex-ante</w:t>
      </w:r>
      <w:r w:rsidRPr="00A20FED">
        <w:rPr>
          <w:rStyle w:val="at1"/>
          <w:rFonts w:ascii="Times New Roman" w:hAnsi="Times New Roman" w:cs="Times New Roman"/>
          <w:sz w:val="24"/>
          <w:szCs w:val="24"/>
          <w:u w:val="single"/>
        </w:rPr>
        <w:t xml:space="preserve"> koordinēšanu</w:t>
      </w:r>
    </w:p>
    <w:p w:rsidR="00CA3705" w:rsidRPr="00A20FED" w:rsidRDefault="00CA3705" w:rsidP="004907A4">
      <w:pPr>
        <w:autoSpaceDE w:val="0"/>
        <w:autoSpaceDN w:val="0"/>
        <w:adjustRightInd w:val="0"/>
        <w:spacing w:after="120"/>
        <w:jc w:val="both"/>
        <w:rPr>
          <w:sz w:val="24"/>
          <w:szCs w:val="24"/>
          <w:lang w:val="lv-LV"/>
        </w:rPr>
      </w:pPr>
      <w:r w:rsidRPr="00A20FED">
        <w:rPr>
          <w:rStyle w:val="at1"/>
          <w:sz w:val="24"/>
          <w:szCs w:val="24"/>
          <w:lang w:val="lv-LV"/>
        </w:rPr>
        <w:t>Paziņojumā iezīmēts EK redzējums, kā ES līmenī organizēt diskusijas par liela mēroga ekonomikas politikas reformām dalībvalstīs, pirms valsts līmenī par tām tiek pieņemts galīgais lēmums.</w:t>
      </w:r>
      <w:r w:rsidRPr="00A20FED">
        <w:rPr>
          <w:sz w:val="24"/>
          <w:szCs w:val="24"/>
          <w:lang w:val="lv-LV"/>
        </w:rPr>
        <w:t xml:space="preserve"> Mērķis ir nodrošināt, lai </w:t>
      </w:r>
      <w:r w:rsidRPr="00A20FED">
        <w:rPr>
          <w:rStyle w:val="at1"/>
          <w:sz w:val="24"/>
          <w:szCs w:val="24"/>
          <w:lang w:val="lv-LV"/>
        </w:rPr>
        <w:t xml:space="preserve">jau agrīnā lēmumu pieņemšanas stadijā pienācīgi tiktu ņemts vērā, kāda ietekme – pozitīva vai negatīva – vienā dalībvalstī īstenotām reformām var būt uz citām dalībvalstīm. EK norāda, ka reformas vai to trūkums var izraisīt ievērojamu netiešu ietekmi uz citām dalībvalstīm, jo īpaši </w:t>
      </w:r>
      <w:r w:rsidRPr="00A20FED">
        <w:rPr>
          <w:rStyle w:val="at1"/>
          <w:i/>
          <w:sz w:val="24"/>
          <w:szCs w:val="24"/>
          <w:lang w:val="lv-LV"/>
        </w:rPr>
        <w:t>euro</w:t>
      </w:r>
      <w:r w:rsidRPr="00A20FED">
        <w:rPr>
          <w:rStyle w:val="at1"/>
          <w:sz w:val="24"/>
          <w:szCs w:val="24"/>
          <w:lang w:val="lv-LV"/>
        </w:rPr>
        <w:t xml:space="preserve"> zonā.</w:t>
      </w:r>
      <w:r w:rsidRPr="00A20FED">
        <w:rPr>
          <w:sz w:val="24"/>
          <w:szCs w:val="24"/>
          <w:lang w:val="lv-LV"/>
        </w:rPr>
        <w:t xml:space="preserve"> </w:t>
      </w:r>
      <w:r w:rsidRPr="00A20FED">
        <w:rPr>
          <w:rStyle w:val="at1"/>
          <w:sz w:val="24"/>
          <w:szCs w:val="24"/>
          <w:lang w:val="lv-LV"/>
        </w:rPr>
        <w:t>Labi pārdomātas reformas var, piemēram, veicināt izaugsmi un darbavietu radīšanu attiecīgajās dalībvalstīs, tādējādi palielinot pieprasījumu pēc precēm un pakalpojumiem no citām dalībvalstīm.</w:t>
      </w:r>
      <w:r w:rsidRPr="00A20FED">
        <w:rPr>
          <w:sz w:val="24"/>
          <w:szCs w:val="24"/>
          <w:lang w:val="lv-LV"/>
        </w:rPr>
        <w:t xml:space="preserve"> </w:t>
      </w:r>
      <w:r w:rsidRPr="00A20FED">
        <w:rPr>
          <w:rStyle w:val="at1"/>
          <w:sz w:val="24"/>
          <w:szCs w:val="24"/>
          <w:lang w:val="lv-LV"/>
        </w:rPr>
        <w:t>Tajā pašā laikā šādu reformu trūkums var dalībvalstis padarīt neaizsargātas pret ārējiem ekonomiskiem satricinājumiem, kas pēc tam var ietekmēt arī citas dalībvalstis.</w:t>
      </w:r>
      <w:r w:rsidRPr="00A20FED">
        <w:rPr>
          <w:sz w:val="24"/>
          <w:szCs w:val="24"/>
          <w:lang w:val="lv-LV"/>
        </w:rPr>
        <w:t xml:space="preserve"> </w:t>
      </w:r>
    </w:p>
    <w:p w:rsidR="00CA3705" w:rsidRPr="00A20FED" w:rsidRDefault="00CA3705" w:rsidP="004907A4">
      <w:pPr>
        <w:autoSpaceDE w:val="0"/>
        <w:autoSpaceDN w:val="0"/>
        <w:adjustRightInd w:val="0"/>
        <w:spacing w:after="120"/>
        <w:jc w:val="both"/>
        <w:rPr>
          <w:sz w:val="24"/>
          <w:szCs w:val="24"/>
          <w:lang w:val="lv-LV"/>
        </w:rPr>
      </w:pPr>
      <w:r w:rsidRPr="00A20FED">
        <w:rPr>
          <w:rStyle w:val="at1"/>
          <w:sz w:val="24"/>
          <w:szCs w:val="24"/>
          <w:lang w:val="lv-LV"/>
        </w:rPr>
        <w:t>Ņemot vērā minēto, p</w:t>
      </w:r>
      <w:r w:rsidRPr="00A20FED">
        <w:rPr>
          <w:sz w:val="24"/>
          <w:szCs w:val="24"/>
          <w:lang w:val="lv-LV"/>
        </w:rPr>
        <w:t>aziņojumā izklāstīti apsvērumi, kas būtu ņemami vērā, nosakot, kuras reformas būtu jākoordinē. EK uzskata, ka jākoordinē būtu reformas, kas veicina konkurētspēju, nodarbinātību, preču un pakalpojumu tirgu un tīklu industriju funkcionēšanu, kā arī reformas attiecībā uz nodokļu sistēmām, kā arī reformas, kas veicina finanšu stabilitāti un fiskālo ilgtspēju.</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Attiecībā uz to, kurām valstīm </w:t>
      </w:r>
      <w:r w:rsidRPr="00A20FED">
        <w:rPr>
          <w:i/>
          <w:sz w:val="24"/>
          <w:szCs w:val="24"/>
          <w:lang w:val="lv-LV"/>
        </w:rPr>
        <w:t xml:space="preserve">ex-ante </w:t>
      </w:r>
      <w:r w:rsidRPr="00A20FED">
        <w:rPr>
          <w:sz w:val="24"/>
          <w:szCs w:val="24"/>
          <w:lang w:val="lv-LV"/>
        </w:rPr>
        <w:t xml:space="preserve">koordinācija būtu jāveic, EK apsver iespēju ierosināt šādu koordināciju padarīt saistošu </w:t>
      </w:r>
      <w:r w:rsidRPr="00A20FED">
        <w:rPr>
          <w:i/>
          <w:sz w:val="24"/>
          <w:szCs w:val="24"/>
          <w:lang w:val="lv-LV"/>
        </w:rPr>
        <w:t>euro</w:t>
      </w:r>
      <w:r w:rsidRPr="00A20FED">
        <w:rPr>
          <w:sz w:val="24"/>
          <w:szCs w:val="24"/>
          <w:lang w:val="lv-LV"/>
        </w:rPr>
        <w:t xml:space="preserve"> zonas valstīm, jo reformu savstarpējā ietekme visvairāk ir jūtama tieši </w:t>
      </w:r>
      <w:r w:rsidRPr="00A20FED">
        <w:rPr>
          <w:i/>
          <w:sz w:val="24"/>
          <w:szCs w:val="24"/>
          <w:lang w:val="lv-LV"/>
        </w:rPr>
        <w:t>euro</w:t>
      </w:r>
      <w:r w:rsidRPr="00A20FED">
        <w:rPr>
          <w:sz w:val="24"/>
          <w:szCs w:val="24"/>
          <w:lang w:val="lv-LV"/>
        </w:rPr>
        <w:t xml:space="preserve"> zonā (izņēmums – tās </w:t>
      </w:r>
      <w:r w:rsidRPr="00A20FED">
        <w:rPr>
          <w:i/>
          <w:sz w:val="24"/>
          <w:szCs w:val="24"/>
          <w:lang w:val="lv-LV"/>
        </w:rPr>
        <w:t>euro</w:t>
      </w:r>
      <w:r w:rsidRPr="00A20FED">
        <w:rPr>
          <w:sz w:val="24"/>
          <w:szCs w:val="24"/>
          <w:lang w:val="lv-LV"/>
        </w:rPr>
        <w:t xml:space="preserve"> zonas valstis, kuras īsteno makroekonomisko korekciju programmu, koordinācijā varētu piedalīties brīvprātīgi). Vienlaikus plānots paredzēt iespēju iesaistīt arī ne </w:t>
      </w:r>
      <w:r w:rsidRPr="00A20FED">
        <w:rPr>
          <w:i/>
          <w:sz w:val="24"/>
          <w:szCs w:val="24"/>
          <w:lang w:val="lv-LV"/>
        </w:rPr>
        <w:t>euro</w:t>
      </w:r>
      <w:r w:rsidRPr="00A20FED">
        <w:rPr>
          <w:sz w:val="24"/>
          <w:szCs w:val="24"/>
          <w:lang w:val="lv-LV"/>
        </w:rPr>
        <w:t xml:space="preserve"> zonas valstis.</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EK ieskatā </w:t>
      </w:r>
      <w:r w:rsidRPr="00A20FED">
        <w:rPr>
          <w:i/>
          <w:sz w:val="24"/>
          <w:szCs w:val="24"/>
          <w:lang w:val="lv-LV"/>
        </w:rPr>
        <w:t>ex-ante</w:t>
      </w:r>
      <w:r w:rsidRPr="00A20FED">
        <w:rPr>
          <w:sz w:val="24"/>
          <w:szCs w:val="24"/>
          <w:lang w:val="lv-LV"/>
        </w:rPr>
        <w:t xml:space="preserve"> koordinācijai jābūt integrētai Eiropas semestrī</w:t>
      </w:r>
      <w:r w:rsidR="002556AF">
        <w:rPr>
          <w:rStyle w:val="FootnoteReference"/>
          <w:sz w:val="24"/>
          <w:szCs w:val="24"/>
          <w:lang w:val="lv-LV"/>
        </w:rPr>
        <w:footnoteReference w:id="6"/>
      </w:r>
      <w:r w:rsidRPr="00A20FED">
        <w:rPr>
          <w:sz w:val="24"/>
          <w:szCs w:val="24"/>
          <w:lang w:val="lv-LV"/>
        </w:rPr>
        <w:t xml:space="preserve">. Dalībvalstīm jāiesniedz EK informācija par svarīgāko ekonomikas reformu plāniem, šo informāciju ietverot nacionālajās reformu programmās, kas ik gadu jāsagatavo un jāiesniedz EK aprīlī (izņēmuma gadījumos šo informāciju varētu iesniegt arī citā veidā un laikā, piemēram, pēc EK pieprasījuma, kad dalībvalstī pie varas nāk jauna valdība). Ziņojot par svarīgāko ekonomikas politikas reformu plāniem, dalībvalstīm būtu EK jāiesniedz sīks konkrētās reformas apraksts, norādot galvenos izvirzītos ekonomikas mērķus, īstenošanas grafiku, reformas plānoto pozitīvo ietekmi un ietekmi uz budžetu. Komisija pēc dalībvalsts iesniegtās informācijas izvērtētu attiecīgos plānus, t.sk., vai </w:t>
      </w:r>
      <w:r w:rsidRPr="00A20FED">
        <w:rPr>
          <w:sz w:val="24"/>
          <w:szCs w:val="24"/>
          <w:lang w:val="lv-LV"/>
        </w:rPr>
        <w:lastRenderedPageBreak/>
        <w:t xml:space="preserve">ar ierosināto reformu var sasniegt tās mērķi, vai tā sekmē attiecīgās dalībvalsts konkurētspējas uzlabošanos un jo īpaši – kāda ir plānoto reformu ietekme uz citām ES dalībvalstīm un </w:t>
      </w:r>
      <w:r w:rsidRPr="00A20FED">
        <w:rPr>
          <w:i/>
          <w:sz w:val="24"/>
          <w:szCs w:val="24"/>
          <w:lang w:val="lv-LV"/>
        </w:rPr>
        <w:t>euro</w:t>
      </w:r>
      <w:r w:rsidRPr="00A20FED">
        <w:rPr>
          <w:sz w:val="24"/>
          <w:szCs w:val="24"/>
          <w:lang w:val="lv-LV"/>
        </w:rPr>
        <w:t xml:space="preserve"> zonas darbību. EK savu vērtējumu iesniegtu Padomei un </w:t>
      </w:r>
      <w:r w:rsidRPr="00A20FED">
        <w:rPr>
          <w:i/>
          <w:sz w:val="24"/>
          <w:szCs w:val="24"/>
          <w:lang w:val="lv-LV"/>
        </w:rPr>
        <w:t>Euro</w:t>
      </w:r>
      <w:r w:rsidRPr="00A20FED">
        <w:rPr>
          <w:sz w:val="24"/>
          <w:szCs w:val="24"/>
          <w:lang w:val="lv-LV"/>
        </w:rPr>
        <w:t xml:space="preserve"> grupai. Padome valsts reformu plānos varētu ierosināt izmaiņas, ja tās būtu attaisnojamas, ņemot vērā paredzamo ietekmi uz citām ES dalībvalstīm un </w:t>
      </w:r>
      <w:r w:rsidRPr="00A20FED">
        <w:rPr>
          <w:i/>
          <w:sz w:val="24"/>
          <w:szCs w:val="24"/>
          <w:lang w:val="lv-LV"/>
        </w:rPr>
        <w:t>euro</w:t>
      </w:r>
      <w:r w:rsidRPr="00A20FED">
        <w:rPr>
          <w:sz w:val="24"/>
          <w:szCs w:val="24"/>
          <w:lang w:val="lv-LV"/>
        </w:rPr>
        <w:t xml:space="preserve"> zonas darbību. Komisijas vērtējums, Padomē un </w:t>
      </w:r>
      <w:r w:rsidRPr="00A20FED">
        <w:rPr>
          <w:i/>
          <w:sz w:val="24"/>
          <w:szCs w:val="24"/>
          <w:lang w:val="lv-LV"/>
        </w:rPr>
        <w:t>Euro</w:t>
      </w:r>
      <w:r w:rsidRPr="00A20FED">
        <w:rPr>
          <w:sz w:val="24"/>
          <w:szCs w:val="24"/>
          <w:lang w:val="lv-LV"/>
        </w:rPr>
        <w:t xml:space="preserve"> grupā notikušo apspriežu rezultāti tiktu integrēti individuālajās rekomendācijās, kas ik gadu katrai dalībvalstij tiek sniegtas Eiropas semestra ietvaros, un ir jāņem vērā, pieņemot nacionālos lēmumus. </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Vienlaikus paziņojumā norādīts, ka, lai nodrošinātu demokrātisko leģitimitāti un atbildību, </w:t>
      </w:r>
      <w:r w:rsidRPr="00A20FED">
        <w:rPr>
          <w:i/>
          <w:sz w:val="24"/>
          <w:szCs w:val="24"/>
          <w:lang w:val="lv-LV"/>
        </w:rPr>
        <w:t>ex-ante</w:t>
      </w:r>
      <w:r w:rsidRPr="00A20FED">
        <w:rPr>
          <w:sz w:val="24"/>
          <w:szCs w:val="24"/>
          <w:lang w:val="lv-LV"/>
        </w:rPr>
        <w:t xml:space="preserve"> koordinācijas ietvaros pilnībā jārespektē valstu lēmumu pieņemšanas pilnvaras, t.i., lēmums par reformu plānu ir</w:t>
      </w:r>
      <w:r w:rsidRPr="00A20FED">
        <w:rPr>
          <w:b/>
          <w:bCs/>
          <w:sz w:val="24"/>
          <w:szCs w:val="24"/>
          <w:lang w:val="lv-LV"/>
        </w:rPr>
        <w:t xml:space="preserve"> </w:t>
      </w:r>
      <w:r w:rsidRPr="00A20FED">
        <w:rPr>
          <w:sz w:val="24"/>
          <w:szCs w:val="24"/>
          <w:lang w:val="lv-LV"/>
        </w:rPr>
        <w:t xml:space="preserve">pašas dalībvalsts ziņā. Lai nodrošinātu demokrātisko leģitimitāti un atbildību ES līmenī, EK pieļauj iespēju organizēt t.s. „ekonomisko dialogu”, t.i., paredzēt iespēju EP atbildīgās komitejas pārstāvjiem aicināt EK, Padomes prezidentu un </w:t>
      </w:r>
      <w:r w:rsidRPr="00A20FED">
        <w:rPr>
          <w:i/>
          <w:sz w:val="24"/>
          <w:szCs w:val="24"/>
          <w:lang w:val="lv-LV"/>
        </w:rPr>
        <w:t>Euro</w:t>
      </w:r>
      <w:r w:rsidRPr="00A20FED">
        <w:rPr>
          <w:sz w:val="24"/>
          <w:szCs w:val="24"/>
          <w:lang w:val="lv-LV"/>
        </w:rPr>
        <w:t xml:space="preserve"> grupas prezidentu apspriest gan EK veikto dalībvalstu reformu plānu izvērtējumu, gan Padomes diskusiju rezultātus. Tāpat EK pieļauj, ka EP varētu aicināt arī dalībvalstis piedalīties viedokļu apmaiņā par svarīgākajām plānotajām ekonomikas politikas reformām.</w:t>
      </w:r>
    </w:p>
    <w:p w:rsidR="00CA3705" w:rsidRPr="00A20FED" w:rsidRDefault="00CA3705" w:rsidP="004907A4">
      <w:pPr>
        <w:autoSpaceDE w:val="0"/>
        <w:autoSpaceDN w:val="0"/>
        <w:adjustRightInd w:val="0"/>
        <w:spacing w:after="120"/>
        <w:jc w:val="both"/>
        <w:rPr>
          <w:rStyle w:val="at1"/>
          <w:sz w:val="24"/>
          <w:szCs w:val="24"/>
          <w:lang w:val="lv-LV"/>
        </w:rPr>
      </w:pPr>
    </w:p>
    <w:p w:rsidR="00CA3705" w:rsidRPr="00A20FED" w:rsidRDefault="00CA3705" w:rsidP="004907A4">
      <w:pPr>
        <w:pStyle w:val="ListParagraph"/>
        <w:spacing w:after="120" w:line="240" w:lineRule="auto"/>
        <w:ind w:left="0" w:right="-1"/>
        <w:contextualSpacing w:val="0"/>
        <w:jc w:val="both"/>
        <w:rPr>
          <w:rStyle w:val="at1"/>
          <w:rFonts w:ascii="Times New Roman" w:hAnsi="Times New Roman" w:cs="Times New Roman"/>
          <w:sz w:val="24"/>
          <w:szCs w:val="24"/>
          <w:u w:val="single"/>
        </w:rPr>
      </w:pPr>
      <w:r w:rsidRPr="00A20FED">
        <w:rPr>
          <w:rFonts w:ascii="Times New Roman" w:hAnsi="Times New Roman" w:cs="Times New Roman"/>
          <w:sz w:val="24"/>
          <w:szCs w:val="24"/>
          <w:u w:val="single"/>
        </w:rPr>
        <w:t xml:space="preserve">Plašāka informācija par </w:t>
      </w:r>
      <w:r w:rsidRPr="00A20FED">
        <w:rPr>
          <w:rStyle w:val="at1"/>
          <w:rFonts w:ascii="Times New Roman" w:hAnsi="Times New Roman" w:cs="Times New Roman"/>
          <w:sz w:val="24"/>
          <w:szCs w:val="24"/>
          <w:u w:val="single"/>
        </w:rPr>
        <w:t>paziņojumu par Konverģences un konkurētspējas instrumenta  ieviešanu</w:t>
      </w:r>
    </w:p>
    <w:p w:rsidR="00CA3705" w:rsidRPr="00A20FED" w:rsidRDefault="00CA3705" w:rsidP="004907A4">
      <w:pPr>
        <w:pStyle w:val="ListParagraph"/>
        <w:spacing w:after="120" w:line="240" w:lineRule="auto"/>
        <w:ind w:left="0" w:right="-1"/>
        <w:contextualSpacing w:val="0"/>
        <w:jc w:val="both"/>
        <w:rPr>
          <w:rFonts w:ascii="Times New Roman" w:hAnsi="Times New Roman" w:cs="Times New Roman"/>
          <w:sz w:val="24"/>
          <w:szCs w:val="24"/>
        </w:rPr>
      </w:pPr>
      <w:r w:rsidRPr="00A20FED">
        <w:rPr>
          <w:rStyle w:val="at1"/>
          <w:rFonts w:ascii="Times New Roman" w:hAnsi="Times New Roman" w:cs="Times New Roman"/>
          <w:sz w:val="24"/>
          <w:szCs w:val="24"/>
        </w:rPr>
        <w:t>Paziņojumā aprakstīts EK ierosinājums veidot Konverģences un konkurētspējas instrumentu (KKI; pirmo reizi priekšlikums veidot šādu instrumentu minēts EK 2012.gada 28.novembra ziņojumā par EMS). EK ierosinājums tiek pamatots ar</w:t>
      </w:r>
      <w:r w:rsidRPr="00A20FED">
        <w:rPr>
          <w:rFonts w:ascii="Times New Roman" w:hAnsi="Times New Roman" w:cs="Times New Roman"/>
          <w:sz w:val="24"/>
          <w:szCs w:val="24"/>
        </w:rPr>
        <w:t xml:space="preserve"> apsvērumu, ka, ņemot vērā ietekmi, ko situācija vienā </w:t>
      </w:r>
      <w:r w:rsidRPr="00A20FED">
        <w:rPr>
          <w:rFonts w:ascii="Times New Roman" w:hAnsi="Times New Roman" w:cs="Times New Roman"/>
          <w:i/>
          <w:sz w:val="24"/>
          <w:szCs w:val="24"/>
        </w:rPr>
        <w:t>euro</w:t>
      </w:r>
      <w:r w:rsidRPr="00A20FED">
        <w:rPr>
          <w:rFonts w:ascii="Times New Roman" w:hAnsi="Times New Roman" w:cs="Times New Roman"/>
          <w:sz w:val="24"/>
          <w:szCs w:val="24"/>
        </w:rPr>
        <w:t xml:space="preserve"> zonas valstī atstāj uz pārējām un </w:t>
      </w:r>
      <w:r w:rsidRPr="00A20FED">
        <w:rPr>
          <w:rFonts w:ascii="Times New Roman" w:hAnsi="Times New Roman" w:cs="Times New Roman"/>
          <w:i/>
          <w:sz w:val="24"/>
          <w:szCs w:val="24"/>
        </w:rPr>
        <w:t>euro</w:t>
      </w:r>
      <w:r w:rsidRPr="00A20FED">
        <w:rPr>
          <w:rFonts w:ascii="Times New Roman" w:hAnsi="Times New Roman" w:cs="Times New Roman"/>
          <w:sz w:val="24"/>
          <w:szCs w:val="24"/>
        </w:rPr>
        <w:t xml:space="preserve"> zonas darbību kopumā, svarīgi, lai ikviena </w:t>
      </w:r>
      <w:r w:rsidRPr="00A20FED">
        <w:rPr>
          <w:rFonts w:ascii="Times New Roman" w:hAnsi="Times New Roman" w:cs="Times New Roman"/>
          <w:i/>
          <w:sz w:val="24"/>
          <w:szCs w:val="24"/>
        </w:rPr>
        <w:t>euro</w:t>
      </w:r>
      <w:r w:rsidRPr="00A20FED">
        <w:rPr>
          <w:rFonts w:ascii="Times New Roman" w:hAnsi="Times New Roman" w:cs="Times New Roman"/>
          <w:sz w:val="24"/>
          <w:szCs w:val="24"/>
        </w:rPr>
        <w:t xml:space="preserve"> zonas valsts īstenotu disciplinētu fiskālo un ekonomikas politiku, savlaicīgi īstenojot visas nepieciešamās reformas. Lai gan ES ekonomikas pārvaldības ietvars jau paredz veidus, kā veicināt reformas (nosakot sasniedzamos mērķus, apmainoties ar labo praksi, sniedzot vadlīnijas, nodrošinot ES līmeņa uzraudzību, kā arī sankcijas par kopējo noteikumu neievērošanu), EK uzskata, ka nepieciešams papildu instruments, kas ar finansiālu atbalstu palīdzētu īstenot svarīgākās reformas, kuru īstenošana dažkārt ir apgrūtināta ne tikai finansējuma trūkuma, bet arī sociālu un politisku iemeslu dēļ. Ņemot vērā minēto, EK ierosina veidot KKI, kas ietver divus elementus – pirmkārt, iespēju slēgt līgumiska rakstura vienošanās, kurās būtu ietvertas konkrētas reformas, ko dalībvalstis apņemas veikt ar noteiktiem pasākumiem un noteiktā laika ietvarā, un, otrkārt, iespēju saņemt finansiālu atbalstu šo vienošanos ietvaros veicamo pasākumu īstenošanai</w:t>
      </w:r>
      <w:r w:rsidRPr="00A20FED">
        <w:rPr>
          <w:rFonts w:ascii="Times New Roman" w:hAnsi="Times New Roman" w:cs="Times New Roman"/>
          <w:sz w:val="24"/>
          <w:szCs w:val="24"/>
          <w:lang w:eastAsia="lv-LV"/>
        </w:rPr>
        <w:t>. EK paredz, ka šāds KKI ļaus apvienot nepieciešamību pēc „disciplīnas”, no vienas puses, un nepieciešamību pēc „solidaritātes”, no otras puses.</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Reflektējot uz paziņojumā izklāstīto priekšlikumu, dalībvalstis konsultāciju ietvaros ir aicinātas diskutēt, kādos gadījumos būtu jāslēdz līgumiska rakstura vienošanās, kādai vajadzētu būt KKI darbības jomai, kurām dalībvalstīm vajadzētu paredzēt iespēju pretendēt uz atbalstu, kā šo instrumentu vajadzētu finansēt un kā tam būtu jāiekļaujas </w:t>
      </w:r>
      <w:r w:rsidRPr="00A20FED">
        <w:rPr>
          <w:i/>
          <w:sz w:val="24"/>
          <w:szCs w:val="24"/>
          <w:lang w:val="lv-LV"/>
        </w:rPr>
        <w:t xml:space="preserve">euro </w:t>
      </w:r>
      <w:r w:rsidRPr="00A20FED">
        <w:rPr>
          <w:sz w:val="24"/>
          <w:szCs w:val="24"/>
          <w:lang w:val="lv-LV"/>
        </w:rPr>
        <w:t xml:space="preserve">zonas un ES vispārējā ekonomikas pārvaldības sistēmā. </w:t>
      </w:r>
    </w:p>
    <w:p w:rsidR="00CA3705" w:rsidRPr="00A20FED" w:rsidRDefault="00CA3705" w:rsidP="004907A4">
      <w:pPr>
        <w:autoSpaceDE w:val="0"/>
        <w:autoSpaceDN w:val="0"/>
        <w:adjustRightInd w:val="0"/>
        <w:spacing w:after="120"/>
        <w:jc w:val="both"/>
        <w:rPr>
          <w:sz w:val="24"/>
          <w:szCs w:val="24"/>
          <w:lang w:val="lv-LV" w:eastAsia="en-US"/>
        </w:rPr>
      </w:pPr>
      <w:r w:rsidRPr="00A20FED">
        <w:rPr>
          <w:sz w:val="24"/>
          <w:szCs w:val="24"/>
          <w:lang w:val="lv-LV"/>
        </w:rPr>
        <w:t>EK uzskata, ka KKI varētu būt pieejams visām</w:t>
      </w:r>
      <w:r w:rsidRPr="00A20FED">
        <w:rPr>
          <w:i/>
          <w:sz w:val="24"/>
          <w:szCs w:val="24"/>
          <w:lang w:val="lv-LV"/>
        </w:rPr>
        <w:t xml:space="preserve"> euro</w:t>
      </w:r>
      <w:r w:rsidRPr="00A20FED">
        <w:rPr>
          <w:sz w:val="24"/>
          <w:szCs w:val="24"/>
          <w:lang w:val="lv-LV"/>
        </w:rPr>
        <w:t xml:space="preserve"> zonas dalībvalstīm (izņemot tām, kas atrodas makroekonomikas korekciju programmā) vai visām ES dalībvalstīm, ja dalībvalsts pati to lūdz, ja EK uz to aicina, ja dalībvalstij tiek piemērota makroekonomisko nesabalansētību novēršanas procedūra.</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lastRenderedPageBreak/>
        <w:t xml:space="preserve">Attiecīgi līgumiskās vienošanās būtu slēdzamas par reformām, kas nepieciešamas, lai izpildītu Eiropas semestra, t.sk. makroekonomisko nesabalansētību novēršanas procedūras ietvaros dalībvalstīm sniegtās individuālās rekomendācijas, piešķirot finansiālu atbalstu tām reformām, kam ir potenciāla ietekme uz citām ES dalībvalstīm, </w:t>
      </w:r>
      <w:r w:rsidRPr="00A20FED">
        <w:rPr>
          <w:i/>
          <w:sz w:val="24"/>
          <w:szCs w:val="24"/>
          <w:lang w:val="lv-LV"/>
        </w:rPr>
        <w:t>euro</w:t>
      </w:r>
      <w:r w:rsidRPr="00A20FED">
        <w:rPr>
          <w:sz w:val="24"/>
          <w:szCs w:val="24"/>
          <w:lang w:val="lv-LV"/>
        </w:rPr>
        <w:t xml:space="preserve"> zonas un visas ES darbību kopumā (</w:t>
      </w:r>
      <w:r w:rsidRPr="00A20FED">
        <w:rPr>
          <w:i/>
          <w:sz w:val="24"/>
          <w:szCs w:val="24"/>
          <w:lang w:val="lv-LV"/>
        </w:rPr>
        <w:t>potenciāla ietekme nozīmē gan pozitīvu ietekmi, gan negatīvu – pozitīvas ietekmes gadījumā atbalsts tiktu sniegts, lai pastiprinātu pozitīvo ietekmi, negatīvas ietekmes gadījumā – lai to mazinātu</w:t>
      </w:r>
      <w:r w:rsidRPr="00A20FED">
        <w:rPr>
          <w:sz w:val="24"/>
          <w:szCs w:val="24"/>
          <w:lang w:val="lv-LV"/>
        </w:rPr>
        <w:t xml:space="preserve">). </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Ja dalībvalsts brīvprātīgi vēlas izmantot KKI, tad līgumiskās vienošanās pamatā būtu dalībvalsts pašas sastādīts veicamo pasākumu plāns noteiktu Eiropas semestra rekomendāciju izpildei. Proti, dalībvalsts pati izveidotu plānu ar noteiktā laika ietvarā veicamiem pasākumiem tai sniegto rekomendāciju izpildei. EK izvērtētu šo plānu, t.sk., vai tajā ietvertie pasākumi risina rekomendācijās minētās problēmas, un vai tiem ir ietekme uz citām ES dalībvalstīm. EK norāda, ka finansiālais atbalsts būtu īpaši svarīgs tajos gadījumos, kad valsts ir izpildījusi tai sniegtās individuālās rekomendācijas, taču nesabalansētības, kuras bija paredzēts risināt ar šīm rekomendācijām, joprojām pastāv. Savu izvērtējumu EK apspriestu ar attiecīgo dalībvalsti un pēc tam iesniegtu formālu priekšlikumu Padomei apstiprināt līgumisko vienošanos – Padome to varētu apstiprināt arī ar grozījumiem. Ja EK un dalībvalsts nevienojas vai Padome neapstiprina sagatavoto vienošanās projektu, KKI nebūtu pieejams. Pirms Padome lemj par vienošanās projektu, svarīgi nodrošināt nacionālo parlamentu un sociālo partneru iesaisti vienošanās sagatavošanā. Lai nodrošinātu leģitimitāti un atbildību arī ES līmenī, jānodrošina arī EP iesaiste. EK uzraudzītu vienošanos izpildi Eiropas semestra procedūru ietvaros – t.i., izvērtējot dalībvalsts Nacionālajā reformu programmā sniegto ziņojumu par sasniegto progresu.</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Ja KKI tiktu paredzēts darīt pieejamu</w:t>
      </w:r>
      <w:r w:rsidRPr="00A20FED">
        <w:rPr>
          <w:i/>
          <w:sz w:val="24"/>
          <w:szCs w:val="24"/>
          <w:lang w:val="lv-LV"/>
        </w:rPr>
        <w:t xml:space="preserve"> euro</w:t>
      </w:r>
      <w:r w:rsidRPr="00A20FED">
        <w:rPr>
          <w:sz w:val="24"/>
          <w:szCs w:val="24"/>
          <w:lang w:val="lv-LV"/>
        </w:rPr>
        <w:t xml:space="preserve"> zonas valstij, kura atrodas makroekonomisko nesabalansētību novēršanas procedūras preventīvajā uzraudzībā, tad līgumiem būtu jāietver reformas, kas nepieciešamas to rekomendāciju izpildei, kas sniegtas šīs preventīvās uzraudzības ietvaros. Tiem būtu jābūt pasākumiem, kas veicina konkurētspēju un finanšu stabilitāti, kā arī uzlabo preču, pakalpojumu un darba tirgu funkcionēšanu.</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Ja KKI tiktu paredzēts darīt pieejamu </w:t>
      </w:r>
      <w:r w:rsidRPr="00A20FED">
        <w:rPr>
          <w:i/>
          <w:sz w:val="24"/>
          <w:szCs w:val="24"/>
          <w:lang w:val="lv-LV"/>
        </w:rPr>
        <w:t>euro</w:t>
      </w:r>
      <w:r w:rsidRPr="00A20FED">
        <w:rPr>
          <w:sz w:val="24"/>
          <w:szCs w:val="24"/>
          <w:lang w:val="lv-LV"/>
        </w:rPr>
        <w:t xml:space="preserve"> zonas valstij, kura atrodas pārmērīgu nesabalansētību novēršanas procedūrā, tad atsevišķa līgumiska vienošanās netiktu slēgta – to aizstātu makroekonomisko nesabalansētību novēršanas procedūras ietvaros sagatavotais Korektīvo pasākumu plāns.</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Līgumu darbības ilgums būtu atkarīgs no konkrētās valsts situācijas un nepieciešamajām reformām – varētu tikt slēgti gan īstermiņa līgumi, gan līgumi uz vairākiem gadiem.</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Vienlaikus EK uzsver nepieciešamību izveidot mehānismu, kā nodrošināt, lai dalībvalstis neatliek reformas, gaidot uz finansiālo atbalstu, bet īsteno tās savlaicīgi pašas. T.i., jānodrošina, ka KKI tiek izmantots tikai lai palīdzētu īstenot reformas, kuras citos apstākļos netiktu veiktas vai kuras nebūtu iespējams veikt noteiktā laikposmā, ņemot vērā šo reformu radītās izmaksas attiecīgajai dalībvalstij, vai kuras citādi tiktu īstenotas vēlāk, radot lielākas izmaksas attiecīgajai dalībvalstij, </w:t>
      </w:r>
      <w:r w:rsidRPr="00A20FED">
        <w:rPr>
          <w:i/>
          <w:sz w:val="24"/>
          <w:szCs w:val="24"/>
          <w:lang w:val="lv-LV"/>
        </w:rPr>
        <w:t>euro</w:t>
      </w:r>
      <w:r w:rsidRPr="00A20FED">
        <w:rPr>
          <w:sz w:val="24"/>
          <w:szCs w:val="24"/>
          <w:lang w:val="lv-LV"/>
        </w:rPr>
        <w:t xml:space="preserve"> zonai un ES kopumā. </w:t>
      </w:r>
    </w:p>
    <w:p w:rsidR="00CA3705" w:rsidRPr="00A20FED" w:rsidRDefault="00CA3705" w:rsidP="004907A4">
      <w:pPr>
        <w:autoSpaceDE w:val="0"/>
        <w:autoSpaceDN w:val="0"/>
        <w:adjustRightInd w:val="0"/>
        <w:spacing w:after="120"/>
        <w:jc w:val="both"/>
        <w:rPr>
          <w:sz w:val="24"/>
          <w:szCs w:val="24"/>
          <w:lang w:val="lv-LV"/>
        </w:rPr>
      </w:pPr>
      <w:r w:rsidRPr="00A20FED">
        <w:rPr>
          <w:sz w:val="24"/>
          <w:szCs w:val="24"/>
          <w:lang w:val="lv-LV"/>
        </w:rPr>
        <w:t xml:space="preserve">KKI nepieciešamo finansējumu EK ierosina ietvert ES budžetā kā ārējos piešķirtos ieņēmumus, t.i., uz to neattieksies daudzgadu budžeta ietvarā noteiktie griesti. Attiecībā uz finansējuma avotiem EK izvirza divas iespējas – finansēt instrumentu no </w:t>
      </w:r>
      <w:r w:rsidRPr="00A20FED">
        <w:rPr>
          <w:sz w:val="24"/>
          <w:szCs w:val="24"/>
          <w:lang w:val="lv-LV"/>
        </w:rPr>
        <w:lastRenderedPageBreak/>
        <w:t xml:space="preserve">dalībvalstu iemaksām atbilstoši to NKI vai arī no ienākumiem no jauniem īpašiem finanšu resursiem. Dalībvalstu iemaksu gadījumā iemaksas būtu jāveic visām </w:t>
      </w:r>
      <w:r w:rsidRPr="00A20FED">
        <w:rPr>
          <w:i/>
          <w:sz w:val="24"/>
          <w:szCs w:val="24"/>
          <w:lang w:val="lv-LV"/>
        </w:rPr>
        <w:t xml:space="preserve">euro </w:t>
      </w:r>
      <w:r w:rsidRPr="00A20FED">
        <w:rPr>
          <w:sz w:val="24"/>
          <w:szCs w:val="24"/>
          <w:lang w:val="lv-LV"/>
        </w:rPr>
        <w:t xml:space="preserve">zonas valstīm, neatkarīgi no tā, vai tās izmantos instrumentu vai nē, savukārt ne </w:t>
      </w:r>
      <w:r w:rsidRPr="00A20FED">
        <w:rPr>
          <w:i/>
          <w:sz w:val="24"/>
          <w:szCs w:val="24"/>
          <w:lang w:val="lv-LV"/>
        </w:rPr>
        <w:t>euro</w:t>
      </w:r>
      <w:r w:rsidRPr="00A20FED">
        <w:rPr>
          <w:sz w:val="24"/>
          <w:szCs w:val="24"/>
          <w:lang w:val="lv-LV"/>
        </w:rPr>
        <w:t xml:space="preserve"> valstīm – tikai tām, kas izmantos instrumentu. Sākotnēji instrumenta finansējums būtu ierobežots, taču laika gaitā varētu tikt palielināts, ja instruments pierādīs efektivitāti. Tā darbības nianses tiktu atrunātas pēc tā izveides.</w:t>
      </w:r>
    </w:p>
    <w:p w:rsidR="00CA3705" w:rsidRPr="00A20FED" w:rsidRDefault="00CA3705" w:rsidP="004907A4">
      <w:pPr>
        <w:spacing w:after="120"/>
        <w:jc w:val="both"/>
        <w:rPr>
          <w:sz w:val="24"/>
          <w:szCs w:val="24"/>
          <w:lang w:val="lv-LV"/>
        </w:rPr>
      </w:pPr>
    </w:p>
    <w:p w:rsidR="00CA3705" w:rsidRPr="00A20FED" w:rsidRDefault="00AC0D50" w:rsidP="004907A4">
      <w:pPr>
        <w:spacing w:after="120"/>
        <w:jc w:val="both"/>
        <w:rPr>
          <w:sz w:val="24"/>
          <w:szCs w:val="24"/>
          <w:u w:val="single"/>
          <w:lang w:val="lv-LV"/>
        </w:rPr>
      </w:pPr>
      <w:r w:rsidRPr="00A20FED">
        <w:rPr>
          <w:sz w:val="24"/>
          <w:szCs w:val="24"/>
          <w:u w:val="single"/>
          <w:lang w:val="lv-LV"/>
        </w:rPr>
        <w:t>Vispārīga informācija par Latvijas pozīciju</w:t>
      </w:r>
    </w:p>
    <w:p w:rsidR="004907A4" w:rsidRPr="00A20FED" w:rsidRDefault="004907A4" w:rsidP="004907A4">
      <w:pPr>
        <w:spacing w:before="120" w:after="120"/>
        <w:jc w:val="both"/>
        <w:rPr>
          <w:color w:val="000000"/>
          <w:sz w:val="24"/>
          <w:szCs w:val="24"/>
          <w:lang w:val="lv-LV"/>
        </w:rPr>
      </w:pPr>
      <w:r w:rsidRPr="00A20FED">
        <w:rPr>
          <w:color w:val="000000"/>
          <w:sz w:val="24"/>
          <w:szCs w:val="24"/>
          <w:lang w:val="lv-LV"/>
        </w:rPr>
        <w:t xml:space="preserve">Latvijas mērķis ir 2014.gada 1.janvārī ieviest </w:t>
      </w:r>
      <w:r w:rsidRPr="00A20FED">
        <w:rPr>
          <w:i/>
          <w:color w:val="000000"/>
          <w:sz w:val="24"/>
          <w:szCs w:val="24"/>
          <w:lang w:val="lv-LV"/>
        </w:rPr>
        <w:t>euro</w:t>
      </w:r>
      <w:r w:rsidRPr="00A20FED">
        <w:rPr>
          <w:color w:val="000000"/>
          <w:sz w:val="24"/>
          <w:szCs w:val="24"/>
          <w:lang w:val="lv-LV"/>
        </w:rPr>
        <w:t xml:space="preserve">, tāpēc Latvija vērtē Ekonomiskās un monetārās savienības jautājumus gan no ES dalībvalsts, kas nav </w:t>
      </w:r>
      <w:r w:rsidRPr="00A20FED">
        <w:rPr>
          <w:i/>
          <w:color w:val="000000"/>
          <w:sz w:val="24"/>
          <w:szCs w:val="24"/>
          <w:lang w:val="lv-LV"/>
        </w:rPr>
        <w:t>euro</w:t>
      </w:r>
      <w:r w:rsidRPr="00A20FED">
        <w:rPr>
          <w:color w:val="000000"/>
          <w:sz w:val="24"/>
          <w:szCs w:val="24"/>
          <w:lang w:val="lv-LV"/>
        </w:rPr>
        <w:t xml:space="preserve"> zonā, viedokļa, gan </w:t>
      </w:r>
      <w:r w:rsidRPr="00A20FED">
        <w:rPr>
          <w:i/>
          <w:color w:val="000000"/>
          <w:sz w:val="24"/>
          <w:szCs w:val="24"/>
          <w:lang w:val="lv-LV"/>
        </w:rPr>
        <w:t>euro</w:t>
      </w:r>
      <w:r w:rsidRPr="00A20FED">
        <w:rPr>
          <w:color w:val="000000"/>
          <w:sz w:val="24"/>
          <w:szCs w:val="24"/>
          <w:lang w:val="lv-LV"/>
        </w:rPr>
        <w:t xml:space="preserve"> zonas valsts viedokļa.</w:t>
      </w:r>
    </w:p>
    <w:p w:rsidR="004907A4" w:rsidRPr="00A20FED" w:rsidRDefault="004907A4" w:rsidP="004907A4">
      <w:pPr>
        <w:spacing w:after="120"/>
        <w:jc w:val="both"/>
        <w:rPr>
          <w:sz w:val="24"/>
          <w:szCs w:val="24"/>
          <w:lang w:val="lv-LV"/>
        </w:rPr>
      </w:pPr>
      <w:r w:rsidRPr="00A20FED">
        <w:rPr>
          <w:sz w:val="24"/>
          <w:szCs w:val="24"/>
          <w:lang w:val="lv-LV"/>
        </w:rPr>
        <w:t xml:space="preserve">Latvijai ir svarīgi, lai Ekonomiskā un monetārā savienība būtu ekonomiski stabila un tās pilnveide veicinātu sociāli ekonomisko atšķirību izlīdzināšanu (konverģenci) starp ES dalībvalstīm un reģioniem. </w:t>
      </w:r>
    </w:p>
    <w:p w:rsidR="004907A4" w:rsidRPr="00A20FED" w:rsidRDefault="004907A4" w:rsidP="004907A4">
      <w:pPr>
        <w:spacing w:after="120"/>
        <w:jc w:val="both"/>
        <w:rPr>
          <w:sz w:val="24"/>
          <w:szCs w:val="24"/>
          <w:lang w:val="lv-LV"/>
        </w:rPr>
      </w:pPr>
      <w:r w:rsidRPr="00A20FED">
        <w:rPr>
          <w:sz w:val="24"/>
          <w:szCs w:val="24"/>
          <w:lang w:val="lv-LV"/>
        </w:rPr>
        <w:t xml:space="preserve">Latvija kopumā pozitīvi vērtē diskusijas par ekonomikas politikas reformu </w:t>
      </w:r>
      <w:r w:rsidRPr="00A20FED">
        <w:rPr>
          <w:i/>
          <w:sz w:val="24"/>
          <w:szCs w:val="24"/>
          <w:lang w:val="lv-LV"/>
        </w:rPr>
        <w:t>ex ante</w:t>
      </w:r>
      <w:r w:rsidRPr="00A20FED">
        <w:rPr>
          <w:sz w:val="24"/>
          <w:szCs w:val="24"/>
          <w:lang w:val="lv-LV"/>
        </w:rPr>
        <w:t xml:space="preserve"> koordināciju ES līmenī, jo tas</w:t>
      </w:r>
      <w:r w:rsidRPr="00A20FED">
        <w:rPr>
          <w:b/>
          <w:sz w:val="24"/>
          <w:szCs w:val="24"/>
          <w:lang w:val="lv-LV"/>
        </w:rPr>
        <w:t xml:space="preserve"> </w:t>
      </w:r>
      <w:r w:rsidRPr="00A20FED">
        <w:rPr>
          <w:sz w:val="24"/>
          <w:szCs w:val="24"/>
          <w:lang w:val="lv-LV"/>
        </w:rPr>
        <w:t xml:space="preserve">dos iespēju izvērtēt dalībvalstu </w:t>
      </w:r>
      <w:r w:rsidR="000F1849" w:rsidRPr="00A20FED">
        <w:rPr>
          <w:sz w:val="24"/>
          <w:szCs w:val="24"/>
          <w:lang w:val="lv-LV"/>
        </w:rPr>
        <w:t>plānoto</w:t>
      </w:r>
      <w:r w:rsidRPr="00A20FED">
        <w:rPr>
          <w:sz w:val="24"/>
          <w:szCs w:val="24"/>
          <w:lang w:val="lv-LV"/>
        </w:rPr>
        <w:t xml:space="preserve"> reformu ietekmi uz</w:t>
      </w:r>
      <w:r w:rsidR="000F1849" w:rsidRPr="00A20FED">
        <w:rPr>
          <w:sz w:val="24"/>
          <w:szCs w:val="24"/>
          <w:lang w:val="lv-LV"/>
        </w:rPr>
        <w:t xml:space="preserve"> Latviju</w:t>
      </w:r>
      <w:r w:rsidRPr="00A20FED">
        <w:rPr>
          <w:sz w:val="24"/>
          <w:szCs w:val="24"/>
          <w:lang w:val="lv-LV"/>
        </w:rPr>
        <w:t>,</w:t>
      </w:r>
      <w:r w:rsidR="000F1849" w:rsidRPr="00A20FED">
        <w:rPr>
          <w:sz w:val="24"/>
          <w:szCs w:val="24"/>
          <w:lang w:val="lv-LV"/>
        </w:rPr>
        <w:t xml:space="preserve"> t.sk. novērst potenciāli negatīvu ietekmi, pirms tiek uzsākta attiecīgās reformas īstenošana, </w:t>
      </w:r>
      <w:r w:rsidRPr="00A20FED">
        <w:rPr>
          <w:sz w:val="24"/>
          <w:szCs w:val="24"/>
          <w:lang w:val="lv-LV"/>
        </w:rPr>
        <w:t xml:space="preserve">kā arī dos iespēju pilnveidot </w:t>
      </w:r>
      <w:r w:rsidR="000F1849" w:rsidRPr="00A20FED">
        <w:rPr>
          <w:sz w:val="24"/>
          <w:szCs w:val="24"/>
          <w:lang w:val="lv-LV"/>
        </w:rPr>
        <w:t xml:space="preserve">Latvijas </w:t>
      </w:r>
      <w:r w:rsidRPr="00A20FED">
        <w:rPr>
          <w:sz w:val="24"/>
          <w:szCs w:val="24"/>
          <w:lang w:val="lv-LV"/>
        </w:rPr>
        <w:t>iecerētās reformas, ņemot vērā citu dalībvalstu pieredzi un „labo praksi”.</w:t>
      </w:r>
    </w:p>
    <w:p w:rsidR="000F1849" w:rsidRPr="00A20FED" w:rsidRDefault="000F1849" w:rsidP="000F1849">
      <w:pPr>
        <w:spacing w:after="120"/>
        <w:jc w:val="both"/>
        <w:rPr>
          <w:sz w:val="24"/>
          <w:szCs w:val="24"/>
          <w:lang w:val="lv-LV"/>
        </w:rPr>
      </w:pPr>
      <w:r w:rsidRPr="00A20FED">
        <w:rPr>
          <w:sz w:val="24"/>
          <w:szCs w:val="24"/>
          <w:lang w:val="lv-LV"/>
        </w:rPr>
        <w:t xml:space="preserve">Lai neradītu pārmērīgu administratīvo slogu dalībvalstij, Eiropas Komisijai un ES Padomes darba formātiem, Latvija uzskata, ka jāapspriež un jākoordinē tikai svarīgākās reformas, proti, tādas, kurām ir pārrobežu </w:t>
      </w:r>
      <w:r w:rsidR="00007C32">
        <w:rPr>
          <w:sz w:val="24"/>
          <w:szCs w:val="24"/>
          <w:lang w:val="lv-LV"/>
        </w:rPr>
        <w:t xml:space="preserve">ietekme </w:t>
      </w:r>
      <w:r w:rsidRPr="00A20FED">
        <w:rPr>
          <w:sz w:val="24"/>
          <w:szCs w:val="24"/>
          <w:lang w:val="lv-LV"/>
        </w:rPr>
        <w:t>uz citām ES dalībvalstīm un Ekonomiskās un monetārās savienības darbību kopumā.</w:t>
      </w:r>
    </w:p>
    <w:p w:rsidR="00461687" w:rsidRPr="00A20FED" w:rsidRDefault="00461687" w:rsidP="000F1849">
      <w:pPr>
        <w:spacing w:after="120"/>
        <w:jc w:val="both"/>
        <w:rPr>
          <w:sz w:val="24"/>
          <w:szCs w:val="24"/>
          <w:lang w:val="lv-LV"/>
        </w:rPr>
      </w:pPr>
      <w:r w:rsidRPr="00A20FED">
        <w:rPr>
          <w:sz w:val="24"/>
          <w:szCs w:val="24"/>
          <w:lang w:val="lv-LV"/>
        </w:rPr>
        <w:t xml:space="preserve">Latvija uzskata, ka </w:t>
      </w:r>
      <w:r w:rsidRPr="00A20FED">
        <w:rPr>
          <w:i/>
          <w:sz w:val="24"/>
          <w:szCs w:val="24"/>
          <w:lang w:val="lv-LV"/>
        </w:rPr>
        <w:t>ex-ante</w:t>
      </w:r>
      <w:r w:rsidRPr="00A20FED">
        <w:rPr>
          <w:sz w:val="24"/>
          <w:szCs w:val="24"/>
          <w:lang w:val="lv-LV"/>
        </w:rPr>
        <w:t xml:space="preserve"> koordinācijas procesam prioritāri jāiekļaujas Eiropas semestrī, maksimāli izmantojot esošos ekonomikas politiku koordinācijas instrumentus un procedūras.</w:t>
      </w:r>
    </w:p>
    <w:p w:rsidR="00A20FED" w:rsidRPr="00A20FED" w:rsidRDefault="00A20FED" w:rsidP="00A20FED">
      <w:pPr>
        <w:spacing w:after="120"/>
        <w:jc w:val="both"/>
        <w:rPr>
          <w:sz w:val="24"/>
          <w:szCs w:val="24"/>
          <w:lang w:val="lv-LV"/>
        </w:rPr>
      </w:pPr>
      <w:r w:rsidRPr="00A20FED">
        <w:rPr>
          <w:sz w:val="24"/>
          <w:szCs w:val="24"/>
          <w:lang w:val="lv-LV"/>
        </w:rPr>
        <w:t>Latvija ir gatava izvērtēt nepieciešamību veidot KKI ar diviem pīlāriem – līgumiska rakstura vienošanās starp dalībvalstīm un ES Padomi par veicamajām reformām un attiecīg</w:t>
      </w:r>
      <w:r w:rsidR="00731AB8">
        <w:rPr>
          <w:sz w:val="24"/>
          <w:szCs w:val="24"/>
          <w:lang w:val="lv-LV"/>
        </w:rPr>
        <w:t>u</w:t>
      </w:r>
      <w:r w:rsidRPr="00A20FED">
        <w:rPr>
          <w:sz w:val="24"/>
          <w:szCs w:val="24"/>
          <w:lang w:val="lv-LV"/>
        </w:rPr>
        <w:t xml:space="preserve"> finanšu atbalsta mehānism</w:t>
      </w:r>
      <w:r w:rsidR="00002DB5">
        <w:rPr>
          <w:sz w:val="24"/>
          <w:szCs w:val="24"/>
          <w:lang w:val="lv-LV"/>
        </w:rPr>
        <w:t>u</w:t>
      </w:r>
      <w:r w:rsidRPr="00A20FED">
        <w:rPr>
          <w:sz w:val="24"/>
          <w:szCs w:val="24"/>
          <w:lang w:val="lv-LV"/>
        </w:rPr>
        <w:t xml:space="preserve">. </w:t>
      </w:r>
    </w:p>
    <w:p w:rsidR="000F1849" w:rsidRPr="00A20FED" w:rsidRDefault="00461687" w:rsidP="000F1849">
      <w:pPr>
        <w:spacing w:after="120"/>
        <w:jc w:val="both"/>
        <w:rPr>
          <w:color w:val="000000"/>
          <w:sz w:val="24"/>
          <w:szCs w:val="24"/>
          <w:lang w:val="lv-LV"/>
        </w:rPr>
      </w:pPr>
      <w:r w:rsidRPr="00A20FED">
        <w:rPr>
          <w:sz w:val="24"/>
          <w:szCs w:val="24"/>
          <w:lang w:val="lv-LV"/>
        </w:rPr>
        <w:t xml:space="preserve">Latvijai ir svarīgi nodrošināt </w:t>
      </w:r>
      <w:r w:rsidRPr="00A20FED">
        <w:rPr>
          <w:color w:val="000000"/>
          <w:sz w:val="24"/>
          <w:szCs w:val="24"/>
          <w:lang w:val="lv-LV"/>
        </w:rPr>
        <w:t>nacionālā parlamenta</w:t>
      </w:r>
      <w:r w:rsidR="000F1849" w:rsidRPr="00A20FED">
        <w:rPr>
          <w:color w:val="000000"/>
          <w:sz w:val="24"/>
          <w:szCs w:val="24"/>
          <w:lang w:val="lv-LV"/>
        </w:rPr>
        <w:t xml:space="preserve"> un sociālo partneru </w:t>
      </w:r>
      <w:r w:rsidRPr="00A20FED">
        <w:rPr>
          <w:color w:val="000000"/>
          <w:sz w:val="24"/>
          <w:szCs w:val="24"/>
          <w:lang w:val="lv-LV"/>
        </w:rPr>
        <w:t xml:space="preserve">adekvātu </w:t>
      </w:r>
      <w:r w:rsidR="000F1849" w:rsidRPr="00A20FED">
        <w:rPr>
          <w:color w:val="000000"/>
          <w:sz w:val="24"/>
          <w:szCs w:val="24"/>
          <w:lang w:val="lv-LV"/>
        </w:rPr>
        <w:t>iesaisti reformu izstrādes un apstiprināšanas proc</w:t>
      </w:r>
      <w:r w:rsidRPr="00A20FED">
        <w:rPr>
          <w:color w:val="000000"/>
          <w:sz w:val="24"/>
          <w:szCs w:val="24"/>
          <w:lang w:val="lv-LV"/>
        </w:rPr>
        <w:t xml:space="preserve">esā, tāpēc </w:t>
      </w:r>
      <w:r w:rsidR="00F223C6" w:rsidRPr="00A20FED">
        <w:rPr>
          <w:color w:val="000000"/>
          <w:sz w:val="24"/>
          <w:szCs w:val="24"/>
          <w:lang w:val="lv-LV"/>
        </w:rPr>
        <w:t xml:space="preserve">Latvija iestājas par to, lai </w:t>
      </w:r>
      <w:r w:rsidR="00F223C6" w:rsidRPr="00A20FED">
        <w:rPr>
          <w:sz w:val="24"/>
          <w:szCs w:val="24"/>
          <w:lang w:val="lv-LV"/>
        </w:rPr>
        <w:t>no procedūru viedokļa dalībvalstu valdībām tiktu nodrošināts nepieciešamais laiks savu nacionālo parlamentu un sociālo partneru pienācīgai iesaistei.</w:t>
      </w:r>
      <w:r w:rsidR="00F223C6" w:rsidRPr="00A20FED">
        <w:rPr>
          <w:color w:val="000000"/>
          <w:sz w:val="24"/>
          <w:szCs w:val="24"/>
          <w:lang w:val="lv-LV"/>
        </w:rPr>
        <w:t xml:space="preserve"> </w:t>
      </w:r>
      <w:r w:rsidR="00F223C6" w:rsidRPr="00A20FED">
        <w:rPr>
          <w:sz w:val="24"/>
          <w:szCs w:val="24"/>
          <w:lang w:val="lv-LV"/>
        </w:rPr>
        <w:t>G</w:t>
      </w:r>
      <w:r w:rsidRPr="00A20FED">
        <w:rPr>
          <w:sz w:val="24"/>
          <w:szCs w:val="24"/>
          <w:lang w:val="lv-LV"/>
        </w:rPr>
        <w:t>ala lēmumu par reformu īstenošanu pieņem nacionālais parlaments.</w:t>
      </w:r>
    </w:p>
    <w:p w:rsidR="00F223C6" w:rsidRPr="00A20FED" w:rsidRDefault="00F223C6" w:rsidP="004907A4">
      <w:pPr>
        <w:spacing w:after="120"/>
        <w:jc w:val="both"/>
        <w:rPr>
          <w:sz w:val="24"/>
          <w:szCs w:val="24"/>
          <w:lang w:val="lv-LV"/>
        </w:rPr>
      </w:pPr>
    </w:p>
    <w:p w:rsidR="00F223C6" w:rsidRPr="00A20FED" w:rsidRDefault="00F223C6" w:rsidP="004907A4">
      <w:pPr>
        <w:spacing w:after="120"/>
        <w:jc w:val="both"/>
        <w:rPr>
          <w:sz w:val="24"/>
          <w:szCs w:val="24"/>
          <w:lang w:val="lv-LV"/>
        </w:rPr>
      </w:pPr>
    </w:p>
    <w:p w:rsidR="00C67975" w:rsidRPr="00A20FED" w:rsidRDefault="00662233" w:rsidP="00F223C6">
      <w:pPr>
        <w:ind w:right="-58"/>
        <w:rPr>
          <w:sz w:val="24"/>
          <w:szCs w:val="24"/>
          <w:lang w:val="lv-LV"/>
        </w:rPr>
      </w:pPr>
      <w:r w:rsidRPr="00A20FED">
        <w:rPr>
          <w:sz w:val="24"/>
          <w:szCs w:val="24"/>
          <w:lang w:val="lv-LV"/>
        </w:rPr>
        <w:t>Ārlietu ministra vietā</w:t>
      </w:r>
      <w:r w:rsidR="00C67975" w:rsidRPr="00A20FED">
        <w:rPr>
          <w:sz w:val="24"/>
          <w:szCs w:val="24"/>
          <w:lang w:val="lv-LV"/>
        </w:rPr>
        <w:t xml:space="preserve">                                                                         </w:t>
      </w:r>
      <w:r w:rsidR="005C1A63" w:rsidRPr="00A20FED">
        <w:rPr>
          <w:sz w:val="24"/>
          <w:szCs w:val="24"/>
          <w:lang w:val="lv-LV"/>
        </w:rPr>
        <w:t xml:space="preserve">          </w:t>
      </w:r>
    </w:p>
    <w:p w:rsidR="00F223C6" w:rsidRPr="00A20FED" w:rsidRDefault="00CA3705" w:rsidP="00F223C6">
      <w:pPr>
        <w:jc w:val="both"/>
        <w:rPr>
          <w:sz w:val="24"/>
          <w:szCs w:val="24"/>
          <w:lang w:val="lv-LV"/>
        </w:rPr>
      </w:pPr>
      <w:r w:rsidRPr="00A20FED">
        <w:rPr>
          <w:sz w:val="24"/>
          <w:szCs w:val="24"/>
          <w:lang w:val="lv-LV"/>
        </w:rPr>
        <w:t xml:space="preserve">ekonomikas ministrs                                                                            </w:t>
      </w:r>
      <w:r w:rsidR="00F223C6" w:rsidRPr="00A20FED">
        <w:rPr>
          <w:sz w:val="24"/>
          <w:szCs w:val="24"/>
          <w:lang w:val="lv-LV"/>
        </w:rPr>
        <w:t xml:space="preserve">             </w:t>
      </w:r>
      <w:r w:rsidRPr="00A20FED">
        <w:rPr>
          <w:sz w:val="24"/>
          <w:szCs w:val="24"/>
          <w:lang w:val="lv-LV"/>
        </w:rPr>
        <w:t xml:space="preserve">D.Pavļuts   </w:t>
      </w:r>
    </w:p>
    <w:p w:rsidR="00F223C6" w:rsidRDefault="00CA3705" w:rsidP="00F223C6">
      <w:pPr>
        <w:jc w:val="both"/>
        <w:rPr>
          <w:sz w:val="24"/>
          <w:szCs w:val="24"/>
          <w:lang w:val="lv-LV"/>
        </w:rPr>
      </w:pPr>
      <w:r w:rsidRPr="00A20FED">
        <w:rPr>
          <w:sz w:val="24"/>
          <w:szCs w:val="24"/>
          <w:lang w:val="lv-LV"/>
        </w:rPr>
        <w:t xml:space="preserve">    </w:t>
      </w:r>
    </w:p>
    <w:p w:rsidR="002D2A8E" w:rsidRPr="00A20FED" w:rsidRDefault="002D2A8E" w:rsidP="00F223C6">
      <w:pPr>
        <w:jc w:val="both"/>
        <w:rPr>
          <w:sz w:val="24"/>
          <w:szCs w:val="24"/>
          <w:lang w:val="lv-LV"/>
        </w:rPr>
      </w:pPr>
    </w:p>
    <w:p w:rsidR="00876089" w:rsidRPr="008C1171" w:rsidRDefault="00CA3705" w:rsidP="008D2FE2">
      <w:pPr>
        <w:tabs>
          <w:tab w:val="left" w:pos="180"/>
        </w:tabs>
        <w:rPr>
          <w:lang w:val="lv-LV"/>
        </w:rPr>
      </w:pPr>
      <w:r w:rsidRPr="008C1171">
        <w:rPr>
          <w:lang w:val="lv-LV"/>
        </w:rPr>
        <w:t>19.04</w:t>
      </w:r>
      <w:r w:rsidR="00611E81" w:rsidRPr="008C1171">
        <w:rPr>
          <w:lang w:val="lv-LV"/>
        </w:rPr>
        <w:t xml:space="preserve">.2013. </w:t>
      </w:r>
      <w:r w:rsidR="002E6CE0">
        <w:rPr>
          <w:lang w:val="lv-LV"/>
        </w:rPr>
        <w:t>11:09</w:t>
      </w:r>
    </w:p>
    <w:p w:rsidR="00876089" w:rsidRPr="008C1171" w:rsidRDefault="00FC07BD" w:rsidP="008D2FE2">
      <w:pPr>
        <w:tabs>
          <w:tab w:val="left" w:pos="180"/>
        </w:tabs>
        <w:rPr>
          <w:lang w:val="lv-LV"/>
        </w:rPr>
      </w:pPr>
      <w:r w:rsidRPr="008C1171">
        <w:rPr>
          <w:lang w:val="lv-LV"/>
        </w:rPr>
        <w:t>2 104</w:t>
      </w:r>
    </w:p>
    <w:p w:rsidR="001635B1" w:rsidRPr="008C1171" w:rsidRDefault="001635B1" w:rsidP="008D2FE2">
      <w:pPr>
        <w:tabs>
          <w:tab w:val="left" w:pos="180"/>
        </w:tabs>
        <w:rPr>
          <w:lang w:val="lv-LV"/>
        </w:rPr>
      </w:pPr>
      <w:r w:rsidRPr="008C1171">
        <w:rPr>
          <w:lang w:val="lv-LV"/>
        </w:rPr>
        <w:t>Linda Kalēja</w:t>
      </w:r>
    </w:p>
    <w:p w:rsidR="001635B1" w:rsidRPr="008C1171" w:rsidRDefault="001635B1" w:rsidP="008D2FE2">
      <w:pPr>
        <w:tabs>
          <w:tab w:val="left" w:pos="180"/>
        </w:tabs>
        <w:rPr>
          <w:lang w:val="lv-LV"/>
        </w:rPr>
      </w:pPr>
      <w:r w:rsidRPr="008C1171">
        <w:rPr>
          <w:lang w:val="lv-LV"/>
        </w:rPr>
        <w:t xml:space="preserve">ES koordinācijas departamenta </w:t>
      </w:r>
    </w:p>
    <w:p w:rsidR="001635B1" w:rsidRPr="008C1171" w:rsidRDefault="001635B1" w:rsidP="008D2FE2">
      <w:pPr>
        <w:tabs>
          <w:tab w:val="left" w:pos="180"/>
        </w:tabs>
        <w:rPr>
          <w:lang w:val="lv-LV"/>
        </w:rPr>
      </w:pPr>
      <w:r w:rsidRPr="008C1171">
        <w:rPr>
          <w:lang w:val="lv-LV"/>
        </w:rPr>
        <w:t>Pastāvīgo pārstāvju komitejas II daļas sagatavošanas nodaļas 3.sekretāre</w:t>
      </w:r>
    </w:p>
    <w:p w:rsidR="001635B1" w:rsidRPr="002556AF" w:rsidRDefault="001635B1" w:rsidP="008D2FE2">
      <w:pPr>
        <w:tabs>
          <w:tab w:val="left" w:pos="180"/>
        </w:tabs>
        <w:rPr>
          <w:bCs/>
          <w:i/>
          <w:iCs/>
          <w:lang w:val="lv-LV"/>
        </w:rPr>
      </w:pPr>
      <w:r w:rsidRPr="008C1171">
        <w:rPr>
          <w:lang w:val="lv-LV"/>
        </w:rPr>
        <w:t>Tālrunis: 67016192; fakss: 67828121</w:t>
      </w:r>
      <w:r w:rsidR="002E6CE0">
        <w:rPr>
          <w:bCs/>
          <w:iCs/>
          <w:lang w:val="lv-LV"/>
        </w:rPr>
        <w:t>; e</w:t>
      </w:r>
      <w:r w:rsidRPr="008C1171">
        <w:rPr>
          <w:bCs/>
          <w:iCs/>
          <w:lang w:val="lv-LV"/>
        </w:rPr>
        <w:t>-pasts:</w:t>
      </w:r>
      <w:r w:rsidR="00DE5136">
        <w:rPr>
          <w:bCs/>
          <w:iCs/>
          <w:lang w:val="lv-LV"/>
        </w:rPr>
        <w:t xml:space="preserve"> </w:t>
      </w:r>
      <w:bookmarkStart w:id="0" w:name="_GoBack"/>
      <w:bookmarkEnd w:id="0"/>
      <w:r w:rsidR="00DE5136">
        <w:fldChar w:fldCharType="begin"/>
      </w:r>
      <w:r w:rsidR="00DE5136">
        <w:instrText xml:space="preserve"> HYPERLINK "mailto:baiba.camane@mfa.gov.lv" </w:instrText>
      </w:r>
      <w:r w:rsidR="00DE5136">
        <w:fldChar w:fldCharType="separate"/>
      </w:r>
      <w:r w:rsidRPr="008C1171">
        <w:rPr>
          <w:rStyle w:val="Hyperlink"/>
          <w:lang w:val="lv-LV"/>
        </w:rPr>
        <w:t>linda.kaleja@mfa.gov.lv</w:t>
      </w:r>
      <w:r w:rsidR="00DE5136">
        <w:rPr>
          <w:rStyle w:val="Hyperlink"/>
          <w:lang w:val="lv-LV"/>
        </w:rPr>
        <w:fldChar w:fldCharType="end"/>
      </w:r>
    </w:p>
    <w:sectPr w:rsidR="001635B1" w:rsidRPr="002556AF" w:rsidSect="00EF2593">
      <w:headerReference w:type="default" r:id="rId9"/>
      <w:footerReference w:type="default" r:id="rId10"/>
      <w:footerReference w:type="first" r:id="rId11"/>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46" w:rsidRDefault="00F82E46" w:rsidP="00867A19">
      <w:r>
        <w:separator/>
      </w:r>
    </w:p>
  </w:endnote>
  <w:endnote w:type="continuationSeparator" w:id="0">
    <w:p w:rsidR="00F82E46" w:rsidRDefault="00F82E46" w:rsidP="0086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D6" w:rsidRPr="00795520" w:rsidRDefault="007875A2" w:rsidP="00795520">
    <w:pPr>
      <w:pStyle w:val="Footer"/>
      <w:jc w:val="both"/>
      <w:rPr>
        <w:lang w:val="lv-LV"/>
      </w:rPr>
    </w:pPr>
    <w:r>
      <w:rPr>
        <w:lang w:val="lv-LV"/>
      </w:rPr>
      <w:t>A</w:t>
    </w:r>
    <w:r w:rsidR="00CA3705" w:rsidRPr="00795520">
      <w:rPr>
        <w:lang w:val="lv-LV"/>
      </w:rPr>
      <w:t>Mzino_1904</w:t>
    </w:r>
    <w:r w:rsidR="008B03D6" w:rsidRPr="00795520">
      <w:rPr>
        <w:lang w:val="lv-LV"/>
      </w:rPr>
      <w:t xml:space="preserve">13; Par </w:t>
    </w:r>
    <w:r w:rsidR="00CA3705" w:rsidRPr="00795520">
      <w:rPr>
        <w:lang w:val="lv-LV"/>
      </w:rPr>
      <w:t xml:space="preserve">Latvijas Republikas nacionālo pozīciju Nr.2 </w:t>
    </w:r>
    <w:r w:rsidR="00CA3705" w:rsidRPr="00795520">
      <w:rPr>
        <w:b/>
        <w:bCs/>
        <w:iCs/>
        <w:color w:val="000000" w:themeColor="text1"/>
        <w:lang w:val="lv-LV"/>
      </w:rPr>
      <w:t>„</w:t>
    </w:r>
    <w:r w:rsidR="00CA3705" w:rsidRPr="00795520">
      <w:rPr>
        <w:lang w:val="lv-LV"/>
      </w:rPr>
      <w:t xml:space="preserve">Par </w:t>
    </w:r>
    <w:r w:rsidR="008B03D6" w:rsidRPr="00795520">
      <w:rPr>
        <w:lang w:val="lv-LV"/>
      </w:rPr>
      <w:t>Ekonomiskās un monetārās savienības pilnveides jautājumiem</w:t>
    </w:r>
    <w:r w:rsidR="00CA3705" w:rsidRPr="00795520">
      <w:rPr>
        <w:lang w:val="lv-LV"/>
      </w:rPr>
      <w:t> </w:t>
    </w:r>
    <w:r w:rsidR="00CA3705" w:rsidRPr="00795520">
      <w:rPr>
        <w:b/>
        <w:color w:val="000000" w:themeColor="text1"/>
        <w:lang w:val="lv-LV"/>
      </w:rPr>
      <w:t>”</w:t>
    </w:r>
    <w:r w:rsidR="008B03D6" w:rsidRPr="00795520">
      <w:rPr>
        <w:lang w:val="lv-LV"/>
      </w:rPr>
      <w:t>.</w:t>
    </w:r>
  </w:p>
  <w:p w:rsidR="004C485E" w:rsidRPr="00CA3705" w:rsidRDefault="004C485E">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93" w:rsidRPr="00795520" w:rsidRDefault="00EF2593" w:rsidP="00EF2593">
    <w:pPr>
      <w:pStyle w:val="Footer"/>
      <w:jc w:val="both"/>
      <w:rPr>
        <w:lang w:val="lv-LV"/>
      </w:rPr>
    </w:pPr>
    <w:r>
      <w:rPr>
        <w:lang w:val="lv-LV"/>
      </w:rPr>
      <w:t>A</w:t>
    </w:r>
    <w:r w:rsidRPr="00795520">
      <w:rPr>
        <w:lang w:val="lv-LV"/>
      </w:rPr>
      <w:t xml:space="preserve">Mzino_190413; Par Latvijas Republikas nacionālo pozīciju Nr.2 </w:t>
    </w:r>
    <w:r w:rsidRPr="00795520">
      <w:rPr>
        <w:b/>
        <w:bCs/>
        <w:iCs/>
        <w:color w:val="000000" w:themeColor="text1"/>
        <w:lang w:val="lv-LV"/>
      </w:rPr>
      <w:t>„</w:t>
    </w:r>
    <w:r w:rsidRPr="00795520">
      <w:rPr>
        <w:lang w:val="lv-LV"/>
      </w:rPr>
      <w:t>Par Ekonomiskās un monetārās savienības pilnveides jautājumiem </w:t>
    </w:r>
    <w:r w:rsidRPr="00795520">
      <w:rPr>
        <w:b/>
        <w:color w:val="000000" w:themeColor="text1"/>
        <w:lang w:val="lv-LV"/>
      </w:rPr>
      <w:t>”</w:t>
    </w:r>
    <w:r w:rsidRPr="00795520">
      <w:rPr>
        <w:lang w:val="lv-LV"/>
      </w:rPr>
      <w:t>.</w:t>
    </w:r>
  </w:p>
  <w:p w:rsidR="00EF2593" w:rsidRDefault="00EF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46" w:rsidRDefault="00F82E46" w:rsidP="00867A19">
      <w:r>
        <w:separator/>
      </w:r>
    </w:p>
  </w:footnote>
  <w:footnote w:type="continuationSeparator" w:id="0">
    <w:p w:rsidR="00F82E46" w:rsidRDefault="00F82E46" w:rsidP="00867A19">
      <w:r>
        <w:continuationSeparator/>
      </w:r>
    </w:p>
  </w:footnote>
  <w:footnote w:id="1">
    <w:p w:rsidR="00CA3705" w:rsidRPr="00CA3705" w:rsidRDefault="00CA3705" w:rsidP="00CA3705">
      <w:pPr>
        <w:pStyle w:val="FootnoteText"/>
        <w:rPr>
          <w:rFonts w:ascii="Times New Roman" w:hAnsi="Times New Roman" w:cs="Times New Roman"/>
        </w:rPr>
      </w:pPr>
      <w:r w:rsidRPr="00CA3705">
        <w:rPr>
          <w:rStyle w:val="FootnoteReference"/>
          <w:rFonts w:ascii="Times New Roman" w:hAnsi="Times New Roman" w:cs="Times New Roman"/>
        </w:rPr>
        <w:footnoteRef/>
      </w:r>
      <w:r w:rsidRPr="00CA3705">
        <w:rPr>
          <w:rFonts w:ascii="Times New Roman" w:hAnsi="Times New Roman" w:cs="Times New Roman"/>
        </w:rPr>
        <w:t xml:space="preserve"> T.s. ekonomikas pārvaldības sešu tiesību aktu pakete, t.s. „otrā” ekonomikas pārvaldības tiesību aktu pakete, Līgums par stabilitāti, koordināciju un pārvaldību Ekonomiskajā un monetārajā savienībā.</w:t>
      </w:r>
    </w:p>
  </w:footnote>
  <w:footnote w:id="2">
    <w:p w:rsidR="00CA3705" w:rsidRPr="00CA3705" w:rsidRDefault="00CA3705" w:rsidP="00CA3705">
      <w:pPr>
        <w:autoSpaceDE w:val="0"/>
        <w:autoSpaceDN w:val="0"/>
        <w:adjustRightInd w:val="0"/>
        <w:jc w:val="both"/>
        <w:rPr>
          <w:lang w:val="lv-LV"/>
        </w:rPr>
      </w:pPr>
      <w:r w:rsidRPr="00CA3705">
        <w:rPr>
          <w:rStyle w:val="FootnoteReference"/>
        </w:rPr>
        <w:footnoteRef/>
      </w:r>
      <w:r w:rsidRPr="00CA3705">
        <w:rPr>
          <w:lang w:val="lv-LV"/>
        </w:rPr>
        <w:t xml:space="preserve"> Apņemšanās iepriekš apspriest un attiecīgā gadījumā koordinēt visus svarīgāko ekonomikas politikas reformu plānus ir paredzēta jau Līgumā par stabilitāti, koordināciju un pārvaldību ekonomiskajā un monetārajā (11.pantā), kas tika parakstīts 2012.gada 25.marta Eiropadomes ietvaros, un ko ir ratificējusi arī Latvija. Taču šobrīd vēl nav izstrādāts regulējums, kas noteiktu šādas reformu plānu koordinācijas procedūru un principus.</w:t>
      </w:r>
    </w:p>
  </w:footnote>
  <w:footnote w:id="3">
    <w:p w:rsidR="00CA3705" w:rsidRPr="00CA3705" w:rsidRDefault="00CA3705" w:rsidP="00CA3705">
      <w:pPr>
        <w:pStyle w:val="FootnoteText"/>
        <w:rPr>
          <w:rFonts w:ascii="Times New Roman" w:hAnsi="Times New Roman" w:cs="Times New Roman"/>
        </w:rPr>
      </w:pPr>
      <w:r w:rsidRPr="00CA3705">
        <w:rPr>
          <w:rStyle w:val="FootnoteReference"/>
          <w:rFonts w:ascii="Times New Roman" w:hAnsi="Times New Roman" w:cs="Times New Roman"/>
        </w:rPr>
        <w:footnoteRef/>
      </w:r>
      <w:r w:rsidRPr="00CA3705">
        <w:rPr>
          <w:rFonts w:ascii="Times New Roman" w:hAnsi="Times New Roman" w:cs="Times New Roman"/>
        </w:rPr>
        <w:t xml:space="preserve"> Termins </w:t>
      </w:r>
      <w:r w:rsidRPr="00CA3705">
        <w:rPr>
          <w:rFonts w:ascii="Times New Roman" w:hAnsi="Times New Roman" w:cs="Times New Roman"/>
          <w:i/>
        </w:rPr>
        <w:t>ex-ante</w:t>
      </w:r>
      <w:r w:rsidRPr="00CA3705">
        <w:rPr>
          <w:rFonts w:ascii="Times New Roman" w:hAnsi="Times New Roman" w:cs="Times New Roman"/>
        </w:rPr>
        <w:t xml:space="preserve"> dotajā kontekstā nozīmē dalībvalstu plānoto reformu apspriešanu ES līmenī </w:t>
      </w:r>
      <w:r w:rsidRPr="00CA3705">
        <w:rPr>
          <w:rFonts w:ascii="Times New Roman" w:hAnsi="Times New Roman" w:cs="Times New Roman"/>
          <w:u w:val="single"/>
        </w:rPr>
        <w:t>pirms</w:t>
      </w:r>
      <w:r w:rsidRPr="00CA3705">
        <w:rPr>
          <w:rFonts w:ascii="Times New Roman" w:hAnsi="Times New Roman" w:cs="Times New Roman"/>
        </w:rPr>
        <w:t xml:space="preserve"> dalībvalstis pieņem par tām galīgos lēmumus.</w:t>
      </w:r>
    </w:p>
  </w:footnote>
  <w:footnote w:id="4">
    <w:p w:rsidR="00CA3705" w:rsidRDefault="00CA3705" w:rsidP="00CA3705">
      <w:pPr>
        <w:autoSpaceDE w:val="0"/>
        <w:autoSpaceDN w:val="0"/>
        <w:adjustRightInd w:val="0"/>
        <w:jc w:val="both"/>
        <w:rPr>
          <w:bCs/>
          <w:lang w:val="lv-LV"/>
        </w:rPr>
      </w:pPr>
      <w:r w:rsidRPr="00CA3705">
        <w:rPr>
          <w:rStyle w:val="FootnoteReference"/>
        </w:rPr>
        <w:footnoteRef/>
      </w:r>
      <w:r w:rsidRPr="00CA3705">
        <w:rPr>
          <w:lang w:val="lv-LV"/>
        </w:rPr>
        <w:t xml:space="preserve"> </w:t>
      </w:r>
      <w:r w:rsidRPr="00CA3705">
        <w:rPr>
          <w:bCs/>
          <w:lang w:val="lv-LV"/>
        </w:rPr>
        <w:t>Eiropas Komisijas paziņojums Eiropas Parlamentam un Padomei „Ceļā uz padziļinātu un patiesu ekonomikas un monetāro savienību. Svarīgāko ekonomikas politikas reformu plānu iepriekšēja koordinēšana”, COM(2013)166.</w:t>
      </w:r>
    </w:p>
  </w:footnote>
  <w:footnote w:id="5">
    <w:p w:rsidR="00CA3705" w:rsidRPr="00A20FED" w:rsidRDefault="00CA3705" w:rsidP="00CA3705">
      <w:pPr>
        <w:autoSpaceDE w:val="0"/>
        <w:autoSpaceDN w:val="0"/>
        <w:adjustRightInd w:val="0"/>
        <w:jc w:val="both"/>
        <w:rPr>
          <w:b/>
          <w:bCs/>
          <w:sz w:val="24"/>
          <w:szCs w:val="24"/>
          <w:lang w:val="lv-LV"/>
        </w:rPr>
      </w:pPr>
      <w:r>
        <w:rPr>
          <w:rStyle w:val="FootnoteReference"/>
        </w:rPr>
        <w:footnoteRef/>
      </w:r>
      <w:r w:rsidRPr="00CA3705">
        <w:rPr>
          <w:lang w:val="lv-LV"/>
        </w:rPr>
        <w:t xml:space="preserve"> </w:t>
      </w:r>
      <w:r w:rsidRPr="00CA3705">
        <w:rPr>
          <w:bCs/>
          <w:lang w:val="lv-LV"/>
        </w:rPr>
        <w:t xml:space="preserve">Eiropas Komisijas paziņojums Eiropas Parlamentam un Padomei „Ceļā uz padziļinātu un patiesu ekonomisko un monetāro savienību. </w:t>
      </w:r>
      <w:r w:rsidRPr="00A20FED">
        <w:rPr>
          <w:bCs/>
          <w:lang w:val="lv-LV"/>
        </w:rPr>
        <w:t>Konverģences un konkurētspējas instrumenta ieviešana”, COM(2013)165.</w:t>
      </w:r>
    </w:p>
  </w:footnote>
  <w:footnote w:id="6">
    <w:p w:rsidR="002556AF" w:rsidRPr="002556AF" w:rsidRDefault="002556AF" w:rsidP="002556AF">
      <w:pPr>
        <w:pStyle w:val="FootnoteText"/>
        <w:jc w:val="both"/>
        <w:rPr>
          <w:rFonts w:ascii="Times New Roman" w:hAnsi="Times New Roman" w:cs="Times New Roman"/>
        </w:rPr>
      </w:pPr>
      <w:r w:rsidRPr="002556AF">
        <w:rPr>
          <w:rStyle w:val="FootnoteReference"/>
          <w:rFonts w:ascii="Times New Roman" w:hAnsi="Times New Roman" w:cs="Times New Roman"/>
        </w:rPr>
        <w:footnoteRef/>
      </w:r>
      <w:r w:rsidRPr="002556AF">
        <w:rPr>
          <w:rFonts w:ascii="Times New Roman" w:hAnsi="Times New Roman" w:cs="Times New Roman"/>
        </w:rPr>
        <w:t xml:space="preserve"> Eiropas semestris ir ekonomikas politiku koordinācijas ietvars, kas tika izveidots 2011.gadā. Tā ietvaros katru gadu jūnija Eiropadome, izvērtējot dalībvalstu Nacionālo reformu programmu, sniedz katrai dalībvalstij individuālas rekomendācijas, kas dalībvalstīm jāņem vērā (nesaistoši) nacionālo lēmumu pieņemšanā.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61861"/>
      <w:docPartObj>
        <w:docPartGallery w:val="Page Numbers (Top of Page)"/>
        <w:docPartUnique/>
      </w:docPartObj>
    </w:sdtPr>
    <w:sdtEndPr>
      <w:rPr>
        <w:noProof/>
      </w:rPr>
    </w:sdtEndPr>
    <w:sdtContent>
      <w:p w:rsidR="008C1171" w:rsidRDefault="008C1171">
        <w:pPr>
          <w:pStyle w:val="Header"/>
          <w:jc w:val="right"/>
        </w:pPr>
        <w:r>
          <w:fldChar w:fldCharType="begin"/>
        </w:r>
        <w:r>
          <w:instrText xml:space="preserve"> PAGE   \* MERGEFORMAT </w:instrText>
        </w:r>
        <w:r>
          <w:fldChar w:fldCharType="separate"/>
        </w:r>
        <w:r w:rsidR="00DE5136">
          <w:rPr>
            <w:noProof/>
          </w:rPr>
          <w:t>5</w:t>
        </w:r>
        <w:r>
          <w:rPr>
            <w:noProof/>
          </w:rPr>
          <w:fldChar w:fldCharType="end"/>
        </w:r>
      </w:p>
    </w:sdtContent>
  </w:sdt>
  <w:p w:rsidR="004C485E" w:rsidRDefault="004C485E" w:rsidP="005863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F00"/>
    <w:multiLevelType w:val="hybridMultilevel"/>
    <w:tmpl w:val="6EA88EE2"/>
    <w:lvl w:ilvl="0" w:tplc="C6F41E6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08D292F"/>
    <w:multiLevelType w:val="hybridMultilevel"/>
    <w:tmpl w:val="5978C0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4545778"/>
    <w:multiLevelType w:val="hybridMultilevel"/>
    <w:tmpl w:val="DBB2FB48"/>
    <w:lvl w:ilvl="0" w:tplc="F5D462E4">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3">
    <w:nsid w:val="2FEB7FE2"/>
    <w:multiLevelType w:val="hybridMultilevel"/>
    <w:tmpl w:val="BCE6620A"/>
    <w:lvl w:ilvl="0" w:tplc="C6F41E6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189038B"/>
    <w:multiLevelType w:val="hybridMultilevel"/>
    <w:tmpl w:val="B4D86CD6"/>
    <w:lvl w:ilvl="0" w:tplc="C6F41E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7840C9C"/>
    <w:multiLevelType w:val="hybridMultilevel"/>
    <w:tmpl w:val="D01C50B8"/>
    <w:lvl w:ilvl="0" w:tplc="C6F41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BD347AF"/>
    <w:multiLevelType w:val="hybridMultilevel"/>
    <w:tmpl w:val="ACA004E8"/>
    <w:lvl w:ilvl="0" w:tplc="EEF02E40">
      <w:start w:val="201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DB54EA"/>
    <w:multiLevelType w:val="hybridMultilevel"/>
    <w:tmpl w:val="BF48DC1C"/>
    <w:lvl w:ilvl="0" w:tplc="C6F41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CB07546"/>
    <w:multiLevelType w:val="hybridMultilevel"/>
    <w:tmpl w:val="B91A8886"/>
    <w:lvl w:ilvl="0" w:tplc="C6F41E66">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C"/>
    <w:rsid w:val="00002DB5"/>
    <w:rsid w:val="0000529F"/>
    <w:rsid w:val="00007C32"/>
    <w:rsid w:val="000128C6"/>
    <w:rsid w:val="00020CD2"/>
    <w:rsid w:val="00066660"/>
    <w:rsid w:val="0007250D"/>
    <w:rsid w:val="000878C4"/>
    <w:rsid w:val="00095A39"/>
    <w:rsid w:val="000A6C7E"/>
    <w:rsid w:val="000B6D00"/>
    <w:rsid w:val="000B7B59"/>
    <w:rsid w:val="000D7959"/>
    <w:rsid w:val="000E0334"/>
    <w:rsid w:val="000F1849"/>
    <w:rsid w:val="00100702"/>
    <w:rsid w:val="001635B1"/>
    <w:rsid w:val="001A7159"/>
    <w:rsid w:val="001B2A95"/>
    <w:rsid w:val="001C0CFD"/>
    <w:rsid w:val="00223D54"/>
    <w:rsid w:val="0022785C"/>
    <w:rsid w:val="00235F3E"/>
    <w:rsid w:val="0024113A"/>
    <w:rsid w:val="002533A7"/>
    <w:rsid w:val="002556AF"/>
    <w:rsid w:val="00273124"/>
    <w:rsid w:val="00274DC5"/>
    <w:rsid w:val="00277734"/>
    <w:rsid w:val="002A02C6"/>
    <w:rsid w:val="002D02CB"/>
    <w:rsid w:val="002D2A8E"/>
    <w:rsid w:val="002D42AB"/>
    <w:rsid w:val="002D4AE0"/>
    <w:rsid w:val="002E5306"/>
    <w:rsid w:val="002E6CE0"/>
    <w:rsid w:val="002F3FFE"/>
    <w:rsid w:val="00304CF9"/>
    <w:rsid w:val="00307E21"/>
    <w:rsid w:val="00315BAD"/>
    <w:rsid w:val="00337256"/>
    <w:rsid w:val="00347593"/>
    <w:rsid w:val="003572BD"/>
    <w:rsid w:val="0035781A"/>
    <w:rsid w:val="00365064"/>
    <w:rsid w:val="003720BC"/>
    <w:rsid w:val="00376B7A"/>
    <w:rsid w:val="003A7F28"/>
    <w:rsid w:val="003F1239"/>
    <w:rsid w:val="00410E43"/>
    <w:rsid w:val="00420E1E"/>
    <w:rsid w:val="004311B6"/>
    <w:rsid w:val="00451A93"/>
    <w:rsid w:val="00461687"/>
    <w:rsid w:val="00486075"/>
    <w:rsid w:val="004907A4"/>
    <w:rsid w:val="004B2EA3"/>
    <w:rsid w:val="004C485E"/>
    <w:rsid w:val="004C6E6D"/>
    <w:rsid w:val="004D3E09"/>
    <w:rsid w:val="004E388B"/>
    <w:rsid w:val="004F2463"/>
    <w:rsid w:val="00533957"/>
    <w:rsid w:val="00534A69"/>
    <w:rsid w:val="005560CA"/>
    <w:rsid w:val="0056667C"/>
    <w:rsid w:val="0057330E"/>
    <w:rsid w:val="0058361C"/>
    <w:rsid w:val="005863B5"/>
    <w:rsid w:val="00586566"/>
    <w:rsid w:val="005B36D2"/>
    <w:rsid w:val="005C1A63"/>
    <w:rsid w:val="005D3077"/>
    <w:rsid w:val="00611E81"/>
    <w:rsid w:val="00613447"/>
    <w:rsid w:val="00616D14"/>
    <w:rsid w:val="00645400"/>
    <w:rsid w:val="00650FF3"/>
    <w:rsid w:val="00662233"/>
    <w:rsid w:val="0067599D"/>
    <w:rsid w:val="006771E3"/>
    <w:rsid w:val="006849C0"/>
    <w:rsid w:val="006864F6"/>
    <w:rsid w:val="0068760A"/>
    <w:rsid w:val="006927AD"/>
    <w:rsid w:val="006A71DB"/>
    <w:rsid w:val="006C22A9"/>
    <w:rsid w:val="0070709A"/>
    <w:rsid w:val="00731AB8"/>
    <w:rsid w:val="007640F3"/>
    <w:rsid w:val="007665B1"/>
    <w:rsid w:val="007766B1"/>
    <w:rsid w:val="00780A0C"/>
    <w:rsid w:val="007875A2"/>
    <w:rsid w:val="00795243"/>
    <w:rsid w:val="00795520"/>
    <w:rsid w:val="0079622C"/>
    <w:rsid w:val="007C0623"/>
    <w:rsid w:val="007D0BB1"/>
    <w:rsid w:val="007E2249"/>
    <w:rsid w:val="007F0E7B"/>
    <w:rsid w:val="0080702B"/>
    <w:rsid w:val="00833C10"/>
    <w:rsid w:val="00845EE9"/>
    <w:rsid w:val="00863316"/>
    <w:rsid w:val="00867A19"/>
    <w:rsid w:val="00867D59"/>
    <w:rsid w:val="00876089"/>
    <w:rsid w:val="00880E92"/>
    <w:rsid w:val="00885212"/>
    <w:rsid w:val="008B03D6"/>
    <w:rsid w:val="008C1171"/>
    <w:rsid w:val="008C1B63"/>
    <w:rsid w:val="008D2B95"/>
    <w:rsid w:val="008D2FE2"/>
    <w:rsid w:val="008D4DEC"/>
    <w:rsid w:val="008F144C"/>
    <w:rsid w:val="008F23C0"/>
    <w:rsid w:val="008F2E83"/>
    <w:rsid w:val="009459F8"/>
    <w:rsid w:val="009A0013"/>
    <w:rsid w:val="009A5510"/>
    <w:rsid w:val="009B0CD9"/>
    <w:rsid w:val="009E0BAB"/>
    <w:rsid w:val="009F5473"/>
    <w:rsid w:val="00A20FED"/>
    <w:rsid w:val="00A47730"/>
    <w:rsid w:val="00A76287"/>
    <w:rsid w:val="00A77EE1"/>
    <w:rsid w:val="00A866C8"/>
    <w:rsid w:val="00A9610C"/>
    <w:rsid w:val="00AC0D50"/>
    <w:rsid w:val="00AF24B1"/>
    <w:rsid w:val="00AF26C9"/>
    <w:rsid w:val="00AF465A"/>
    <w:rsid w:val="00B014EC"/>
    <w:rsid w:val="00B06B63"/>
    <w:rsid w:val="00B11D40"/>
    <w:rsid w:val="00B36891"/>
    <w:rsid w:val="00B558EB"/>
    <w:rsid w:val="00BE6BE3"/>
    <w:rsid w:val="00C00652"/>
    <w:rsid w:val="00C11533"/>
    <w:rsid w:val="00C42BDC"/>
    <w:rsid w:val="00C657EC"/>
    <w:rsid w:val="00C67975"/>
    <w:rsid w:val="00C857C1"/>
    <w:rsid w:val="00C90230"/>
    <w:rsid w:val="00CA3705"/>
    <w:rsid w:val="00CA3DB2"/>
    <w:rsid w:val="00CA78DD"/>
    <w:rsid w:val="00CD4643"/>
    <w:rsid w:val="00CF469D"/>
    <w:rsid w:val="00D07496"/>
    <w:rsid w:val="00D17AD2"/>
    <w:rsid w:val="00D17C1C"/>
    <w:rsid w:val="00D535D5"/>
    <w:rsid w:val="00D61103"/>
    <w:rsid w:val="00D6597E"/>
    <w:rsid w:val="00D764A5"/>
    <w:rsid w:val="00DD04FA"/>
    <w:rsid w:val="00DD7F68"/>
    <w:rsid w:val="00DE5136"/>
    <w:rsid w:val="00E000C5"/>
    <w:rsid w:val="00E11EAF"/>
    <w:rsid w:val="00E14C5D"/>
    <w:rsid w:val="00E155BC"/>
    <w:rsid w:val="00E33787"/>
    <w:rsid w:val="00E5529F"/>
    <w:rsid w:val="00E9133E"/>
    <w:rsid w:val="00EA2B12"/>
    <w:rsid w:val="00EC2667"/>
    <w:rsid w:val="00EE5830"/>
    <w:rsid w:val="00EF0925"/>
    <w:rsid w:val="00EF2593"/>
    <w:rsid w:val="00EF2F65"/>
    <w:rsid w:val="00F223C6"/>
    <w:rsid w:val="00F26B08"/>
    <w:rsid w:val="00F36F2C"/>
    <w:rsid w:val="00F37616"/>
    <w:rsid w:val="00F44A32"/>
    <w:rsid w:val="00F82E46"/>
    <w:rsid w:val="00F870D4"/>
    <w:rsid w:val="00F920EE"/>
    <w:rsid w:val="00F94509"/>
    <w:rsid w:val="00F95386"/>
    <w:rsid w:val="00FA4351"/>
    <w:rsid w:val="00FA4BBA"/>
    <w:rsid w:val="00FC07BD"/>
    <w:rsid w:val="00FC1918"/>
    <w:rsid w:val="00FC53DC"/>
    <w:rsid w:val="00FD7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1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7A19"/>
    <w:pPr>
      <w:jc w:val="center"/>
    </w:pPr>
    <w:rPr>
      <w:b/>
      <w:sz w:val="24"/>
      <w:lang w:val="x-none" w:eastAsia="x-none"/>
    </w:rPr>
  </w:style>
  <w:style w:type="character" w:customStyle="1" w:styleId="BodyTextChar">
    <w:name w:val="Body Text Char"/>
    <w:basedOn w:val="DefaultParagraphFont"/>
    <w:link w:val="BodyText"/>
    <w:rsid w:val="00867A19"/>
    <w:rPr>
      <w:rFonts w:ascii="Times New Roman" w:eastAsia="Times New Roman" w:hAnsi="Times New Roman" w:cs="Times New Roman"/>
      <w:b/>
      <w:sz w:val="24"/>
      <w:szCs w:val="20"/>
      <w:lang w:val="x-none" w:eastAsia="x-none"/>
    </w:rPr>
  </w:style>
  <w:style w:type="paragraph" w:styleId="ListParagraph">
    <w:name w:val="List Paragraph"/>
    <w:basedOn w:val="Normal"/>
    <w:link w:val="ListParagraphChar"/>
    <w:uiPriority w:val="34"/>
    <w:qFormat/>
    <w:rsid w:val="00867A19"/>
    <w:pPr>
      <w:spacing w:after="200" w:line="276" w:lineRule="auto"/>
      <w:ind w:left="720"/>
      <w:contextualSpacing/>
    </w:pPr>
    <w:rPr>
      <w:rFonts w:asciiTheme="minorHAnsi" w:eastAsiaTheme="minorHAnsi" w:hAnsiTheme="minorHAnsi" w:cstheme="minorBidi"/>
      <w:sz w:val="22"/>
      <w:szCs w:val="22"/>
      <w:lang w:val="lv-LV" w:eastAsia="en-US"/>
    </w:rPr>
  </w:style>
  <w:style w:type="paragraph" w:styleId="FootnoteText">
    <w:name w:val="footnote text"/>
    <w:aliases w:val="Stinking Styles23"/>
    <w:basedOn w:val="Normal"/>
    <w:link w:val="FootnoteTextChar"/>
    <w:uiPriority w:val="99"/>
    <w:semiHidden/>
    <w:unhideWhenUsed/>
    <w:rsid w:val="00867A19"/>
    <w:rPr>
      <w:rFonts w:asciiTheme="minorHAnsi" w:eastAsiaTheme="minorHAnsi" w:hAnsiTheme="minorHAnsi" w:cstheme="minorBidi"/>
      <w:lang w:val="lv-LV" w:eastAsia="en-US"/>
    </w:rPr>
  </w:style>
  <w:style w:type="character" w:customStyle="1" w:styleId="FootnoteTextChar">
    <w:name w:val="Footnote Text Char"/>
    <w:aliases w:val="Stinking Styles23 Char"/>
    <w:basedOn w:val="DefaultParagraphFont"/>
    <w:link w:val="FootnoteText"/>
    <w:uiPriority w:val="99"/>
    <w:semiHidden/>
    <w:rsid w:val="00867A19"/>
    <w:rPr>
      <w:sz w:val="20"/>
      <w:szCs w:val="20"/>
    </w:rPr>
  </w:style>
  <w:style w:type="character" w:styleId="FootnoteReference">
    <w:name w:val="footnote reference"/>
    <w:aliases w:val="Footnote Reference Number,Footnote symbol,Stinking Styles22"/>
    <w:basedOn w:val="DefaultParagraphFont"/>
    <w:uiPriority w:val="99"/>
    <w:semiHidden/>
    <w:unhideWhenUsed/>
    <w:rsid w:val="00867A19"/>
    <w:rPr>
      <w:vertAlign w:val="superscript"/>
    </w:rPr>
  </w:style>
  <w:style w:type="character" w:customStyle="1" w:styleId="ListParagraphChar">
    <w:name w:val="List Paragraph Char"/>
    <w:link w:val="ListParagraph"/>
    <w:uiPriority w:val="34"/>
    <w:locked/>
    <w:rsid w:val="00867A19"/>
  </w:style>
  <w:style w:type="paragraph" w:styleId="EndnoteText">
    <w:name w:val="endnote text"/>
    <w:basedOn w:val="Normal"/>
    <w:link w:val="EndnoteTextChar"/>
    <w:uiPriority w:val="99"/>
    <w:semiHidden/>
    <w:unhideWhenUsed/>
    <w:rsid w:val="00F95386"/>
  </w:style>
  <w:style w:type="character" w:customStyle="1" w:styleId="EndnoteTextChar">
    <w:name w:val="Endnote Text Char"/>
    <w:basedOn w:val="DefaultParagraphFont"/>
    <w:link w:val="EndnoteText"/>
    <w:uiPriority w:val="99"/>
    <w:semiHidden/>
    <w:rsid w:val="00F95386"/>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F95386"/>
    <w:rPr>
      <w:vertAlign w:val="superscript"/>
    </w:rPr>
  </w:style>
  <w:style w:type="paragraph" w:styleId="Header">
    <w:name w:val="header"/>
    <w:basedOn w:val="Normal"/>
    <w:link w:val="HeaderChar"/>
    <w:uiPriority w:val="99"/>
    <w:unhideWhenUsed/>
    <w:rsid w:val="00EF2F65"/>
    <w:pPr>
      <w:tabs>
        <w:tab w:val="center" w:pos="4153"/>
        <w:tab w:val="right" w:pos="8306"/>
      </w:tabs>
    </w:pPr>
  </w:style>
  <w:style w:type="character" w:customStyle="1" w:styleId="HeaderChar">
    <w:name w:val="Header Char"/>
    <w:basedOn w:val="DefaultParagraphFont"/>
    <w:link w:val="Header"/>
    <w:uiPriority w:val="99"/>
    <w:rsid w:val="00EF2F65"/>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unhideWhenUsed/>
    <w:rsid w:val="00EF2F65"/>
    <w:pPr>
      <w:tabs>
        <w:tab w:val="center" w:pos="4153"/>
        <w:tab w:val="right" w:pos="8306"/>
      </w:tabs>
    </w:pPr>
  </w:style>
  <w:style w:type="character" w:customStyle="1" w:styleId="FooterChar">
    <w:name w:val="Footer Char"/>
    <w:basedOn w:val="DefaultParagraphFont"/>
    <w:link w:val="Footer"/>
    <w:uiPriority w:val="99"/>
    <w:rsid w:val="00EF2F65"/>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EF2F65"/>
    <w:rPr>
      <w:rFonts w:ascii="Tahoma" w:hAnsi="Tahoma" w:cs="Tahoma"/>
      <w:sz w:val="16"/>
      <w:szCs w:val="16"/>
    </w:rPr>
  </w:style>
  <w:style w:type="character" w:customStyle="1" w:styleId="BalloonTextChar">
    <w:name w:val="Balloon Text Char"/>
    <w:basedOn w:val="DefaultParagraphFont"/>
    <w:link w:val="BalloonText"/>
    <w:uiPriority w:val="99"/>
    <w:semiHidden/>
    <w:rsid w:val="00EF2F65"/>
    <w:rPr>
      <w:rFonts w:ascii="Tahoma" w:eastAsia="Times New Roman" w:hAnsi="Tahoma" w:cs="Tahoma"/>
      <w:sz w:val="16"/>
      <w:szCs w:val="16"/>
      <w:lang w:val="en-GB" w:eastAsia="lv-LV"/>
    </w:rPr>
  </w:style>
  <w:style w:type="character" w:styleId="CommentReference">
    <w:name w:val="annotation reference"/>
    <w:basedOn w:val="DefaultParagraphFont"/>
    <w:uiPriority w:val="99"/>
    <w:semiHidden/>
    <w:unhideWhenUsed/>
    <w:rsid w:val="00A76287"/>
    <w:rPr>
      <w:sz w:val="16"/>
      <w:szCs w:val="16"/>
    </w:rPr>
  </w:style>
  <w:style w:type="paragraph" w:styleId="CommentText">
    <w:name w:val="annotation text"/>
    <w:basedOn w:val="Normal"/>
    <w:link w:val="CommentTextChar"/>
    <w:uiPriority w:val="99"/>
    <w:semiHidden/>
    <w:unhideWhenUsed/>
    <w:rsid w:val="00A76287"/>
  </w:style>
  <w:style w:type="character" w:customStyle="1" w:styleId="CommentTextChar">
    <w:name w:val="Comment Text Char"/>
    <w:basedOn w:val="DefaultParagraphFont"/>
    <w:link w:val="CommentText"/>
    <w:uiPriority w:val="99"/>
    <w:semiHidden/>
    <w:rsid w:val="00A76287"/>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A76287"/>
    <w:rPr>
      <w:b/>
      <w:bCs/>
    </w:rPr>
  </w:style>
  <w:style w:type="character" w:customStyle="1" w:styleId="CommentSubjectChar">
    <w:name w:val="Comment Subject Char"/>
    <w:basedOn w:val="CommentTextChar"/>
    <w:link w:val="CommentSubject"/>
    <w:uiPriority w:val="99"/>
    <w:semiHidden/>
    <w:rsid w:val="00A76287"/>
    <w:rPr>
      <w:rFonts w:ascii="Times New Roman" w:eastAsia="Times New Roman" w:hAnsi="Times New Roman" w:cs="Times New Roman"/>
      <w:b/>
      <w:bCs/>
      <w:sz w:val="20"/>
      <w:szCs w:val="20"/>
      <w:lang w:val="en-GB" w:eastAsia="lv-LV"/>
    </w:rPr>
  </w:style>
  <w:style w:type="character" w:styleId="Hyperlink">
    <w:name w:val="Hyperlink"/>
    <w:rsid w:val="00C67975"/>
    <w:rPr>
      <w:color w:val="0000FF"/>
      <w:u w:val="single"/>
    </w:rPr>
  </w:style>
  <w:style w:type="character" w:customStyle="1" w:styleId="at1">
    <w:name w:val="a__t1"/>
    <w:rsid w:val="00CA3705"/>
  </w:style>
  <w:style w:type="character" w:customStyle="1" w:styleId="at31">
    <w:name w:val="a__t31"/>
    <w:rsid w:val="00CA37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1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7A19"/>
    <w:pPr>
      <w:jc w:val="center"/>
    </w:pPr>
    <w:rPr>
      <w:b/>
      <w:sz w:val="24"/>
      <w:lang w:val="x-none" w:eastAsia="x-none"/>
    </w:rPr>
  </w:style>
  <w:style w:type="character" w:customStyle="1" w:styleId="BodyTextChar">
    <w:name w:val="Body Text Char"/>
    <w:basedOn w:val="DefaultParagraphFont"/>
    <w:link w:val="BodyText"/>
    <w:rsid w:val="00867A19"/>
    <w:rPr>
      <w:rFonts w:ascii="Times New Roman" w:eastAsia="Times New Roman" w:hAnsi="Times New Roman" w:cs="Times New Roman"/>
      <w:b/>
      <w:sz w:val="24"/>
      <w:szCs w:val="20"/>
      <w:lang w:val="x-none" w:eastAsia="x-none"/>
    </w:rPr>
  </w:style>
  <w:style w:type="paragraph" w:styleId="ListParagraph">
    <w:name w:val="List Paragraph"/>
    <w:basedOn w:val="Normal"/>
    <w:link w:val="ListParagraphChar"/>
    <w:uiPriority w:val="34"/>
    <w:qFormat/>
    <w:rsid w:val="00867A19"/>
    <w:pPr>
      <w:spacing w:after="200" w:line="276" w:lineRule="auto"/>
      <w:ind w:left="720"/>
      <w:contextualSpacing/>
    </w:pPr>
    <w:rPr>
      <w:rFonts w:asciiTheme="minorHAnsi" w:eastAsiaTheme="minorHAnsi" w:hAnsiTheme="minorHAnsi" w:cstheme="minorBidi"/>
      <w:sz w:val="22"/>
      <w:szCs w:val="22"/>
      <w:lang w:val="lv-LV" w:eastAsia="en-US"/>
    </w:rPr>
  </w:style>
  <w:style w:type="paragraph" w:styleId="FootnoteText">
    <w:name w:val="footnote text"/>
    <w:aliases w:val="Stinking Styles23"/>
    <w:basedOn w:val="Normal"/>
    <w:link w:val="FootnoteTextChar"/>
    <w:uiPriority w:val="99"/>
    <w:semiHidden/>
    <w:unhideWhenUsed/>
    <w:rsid w:val="00867A19"/>
    <w:rPr>
      <w:rFonts w:asciiTheme="minorHAnsi" w:eastAsiaTheme="minorHAnsi" w:hAnsiTheme="minorHAnsi" w:cstheme="minorBidi"/>
      <w:lang w:val="lv-LV" w:eastAsia="en-US"/>
    </w:rPr>
  </w:style>
  <w:style w:type="character" w:customStyle="1" w:styleId="FootnoteTextChar">
    <w:name w:val="Footnote Text Char"/>
    <w:aliases w:val="Stinking Styles23 Char"/>
    <w:basedOn w:val="DefaultParagraphFont"/>
    <w:link w:val="FootnoteText"/>
    <w:uiPriority w:val="99"/>
    <w:semiHidden/>
    <w:rsid w:val="00867A19"/>
    <w:rPr>
      <w:sz w:val="20"/>
      <w:szCs w:val="20"/>
    </w:rPr>
  </w:style>
  <w:style w:type="character" w:styleId="FootnoteReference">
    <w:name w:val="footnote reference"/>
    <w:aliases w:val="Footnote Reference Number,Footnote symbol,Stinking Styles22"/>
    <w:basedOn w:val="DefaultParagraphFont"/>
    <w:uiPriority w:val="99"/>
    <w:semiHidden/>
    <w:unhideWhenUsed/>
    <w:rsid w:val="00867A19"/>
    <w:rPr>
      <w:vertAlign w:val="superscript"/>
    </w:rPr>
  </w:style>
  <w:style w:type="character" w:customStyle="1" w:styleId="ListParagraphChar">
    <w:name w:val="List Paragraph Char"/>
    <w:link w:val="ListParagraph"/>
    <w:uiPriority w:val="34"/>
    <w:locked/>
    <w:rsid w:val="00867A19"/>
  </w:style>
  <w:style w:type="paragraph" w:styleId="EndnoteText">
    <w:name w:val="endnote text"/>
    <w:basedOn w:val="Normal"/>
    <w:link w:val="EndnoteTextChar"/>
    <w:uiPriority w:val="99"/>
    <w:semiHidden/>
    <w:unhideWhenUsed/>
    <w:rsid w:val="00F95386"/>
  </w:style>
  <w:style w:type="character" w:customStyle="1" w:styleId="EndnoteTextChar">
    <w:name w:val="Endnote Text Char"/>
    <w:basedOn w:val="DefaultParagraphFont"/>
    <w:link w:val="EndnoteText"/>
    <w:uiPriority w:val="99"/>
    <w:semiHidden/>
    <w:rsid w:val="00F95386"/>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F95386"/>
    <w:rPr>
      <w:vertAlign w:val="superscript"/>
    </w:rPr>
  </w:style>
  <w:style w:type="paragraph" w:styleId="Header">
    <w:name w:val="header"/>
    <w:basedOn w:val="Normal"/>
    <w:link w:val="HeaderChar"/>
    <w:uiPriority w:val="99"/>
    <w:unhideWhenUsed/>
    <w:rsid w:val="00EF2F65"/>
    <w:pPr>
      <w:tabs>
        <w:tab w:val="center" w:pos="4153"/>
        <w:tab w:val="right" w:pos="8306"/>
      </w:tabs>
    </w:pPr>
  </w:style>
  <w:style w:type="character" w:customStyle="1" w:styleId="HeaderChar">
    <w:name w:val="Header Char"/>
    <w:basedOn w:val="DefaultParagraphFont"/>
    <w:link w:val="Header"/>
    <w:uiPriority w:val="99"/>
    <w:rsid w:val="00EF2F65"/>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unhideWhenUsed/>
    <w:rsid w:val="00EF2F65"/>
    <w:pPr>
      <w:tabs>
        <w:tab w:val="center" w:pos="4153"/>
        <w:tab w:val="right" w:pos="8306"/>
      </w:tabs>
    </w:pPr>
  </w:style>
  <w:style w:type="character" w:customStyle="1" w:styleId="FooterChar">
    <w:name w:val="Footer Char"/>
    <w:basedOn w:val="DefaultParagraphFont"/>
    <w:link w:val="Footer"/>
    <w:uiPriority w:val="99"/>
    <w:rsid w:val="00EF2F65"/>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EF2F65"/>
    <w:rPr>
      <w:rFonts w:ascii="Tahoma" w:hAnsi="Tahoma" w:cs="Tahoma"/>
      <w:sz w:val="16"/>
      <w:szCs w:val="16"/>
    </w:rPr>
  </w:style>
  <w:style w:type="character" w:customStyle="1" w:styleId="BalloonTextChar">
    <w:name w:val="Balloon Text Char"/>
    <w:basedOn w:val="DefaultParagraphFont"/>
    <w:link w:val="BalloonText"/>
    <w:uiPriority w:val="99"/>
    <w:semiHidden/>
    <w:rsid w:val="00EF2F65"/>
    <w:rPr>
      <w:rFonts w:ascii="Tahoma" w:eastAsia="Times New Roman" w:hAnsi="Tahoma" w:cs="Tahoma"/>
      <w:sz w:val="16"/>
      <w:szCs w:val="16"/>
      <w:lang w:val="en-GB" w:eastAsia="lv-LV"/>
    </w:rPr>
  </w:style>
  <w:style w:type="character" w:styleId="CommentReference">
    <w:name w:val="annotation reference"/>
    <w:basedOn w:val="DefaultParagraphFont"/>
    <w:uiPriority w:val="99"/>
    <w:semiHidden/>
    <w:unhideWhenUsed/>
    <w:rsid w:val="00A76287"/>
    <w:rPr>
      <w:sz w:val="16"/>
      <w:szCs w:val="16"/>
    </w:rPr>
  </w:style>
  <w:style w:type="paragraph" w:styleId="CommentText">
    <w:name w:val="annotation text"/>
    <w:basedOn w:val="Normal"/>
    <w:link w:val="CommentTextChar"/>
    <w:uiPriority w:val="99"/>
    <w:semiHidden/>
    <w:unhideWhenUsed/>
    <w:rsid w:val="00A76287"/>
  </w:style>
  <w:style w:type="character" w:customStyle="1" w:styleId="CommentTextChar">
    <w:name w:val="Comment Text Char"/>
    <w:basedOn w:val="DefaultParagraphFont"/>
    <w:link w:val="CommentText"/>
    <w:uiPriority w:val="99"/>
    <w:semiHidden/>
    <w:rsid w:val="00A76287"/>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A76287"/>
    <w:rPr>
      <w:b/>
      <w:bCs/>
    </w:rPr>
  </w:style>
  <w:style w:type="character" w:customStyle="1" w:styleId="CommentSubjectChar">
    <w:name w:val="Comment Subject Char"/>
    <w:basedOn w:val="CommentTextChar"/>
    <w:link w:val="CommentSubject"/>
    <w:uiPriority w:val="99"/>
    <w:semiHidden/>
    <w:rsid w:val="00A76287"/>
    <w:rPr>
      <w:rFonts w:ascii="Times New Roman" w:eastAsia="Times New Roman" w:hAnsi="Times New Roman" w:cs="Times New Roman"/>
      <w:b/>
      <w:bCs/>
      <w:sz w:val="20"/>
      <w:szCs w:val="20"/>
      <w:lang w:val="en-GB" w:eastAsia="lv-LV"/>
    </w:rPr>
  </w:style>
  <w:style w:type="character" w:styleId="Hyperlink">
    <w:name w:val="Hyperlink"/>
    <w:rsid w:val="00C67975"/>
    <w:rPr>
      <w:color w:val="0000FF"/>
      <w:u w:val="single"/>
    </w:rPr>
  </w:style>
  <w:style w:type="character" w:customStyle="1" w:styleId="at1">
    <w:name w:val="a__t1"/>
    <w:rsid w:val="00CA3705"/>
  </w:style>
  <w:style w:type="character" w:customStyle="1" w:styleId="at31">
    <w:name w:val="a__t31"/>
    <w:rsid w:val="00CA3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6714">
      <w:bodyDiv w:val="1"/>
      <w:marLeft w:val="0"/>
      <w:marRight w:val="0"/>
      <w:marTop w:val="0"/>
      <w:marBottom w:val="0"/>
      <w:divBdr>
        <w:top w:val="none" w:sz="0" w:space="0" w:color="auto"/>
        <w:left w:val="none" w:sz="0" w:space="0" w:color="auto"/>
        <w:bottom w:val="none" w:sz="0" w:space="0" w:color="auto"/>
        <w:right w:val="none" w:sz="0" w:space="0" w:color="auto"/>
      </w:divBdr>
    </w:div>
    <w:div w:id="21122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30C8-DAB8-4D17-A9BC-C637ED09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9930</Words>
  <Characters>5661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Kaleja</dc:creator>
  <cp:lastModifiedBy>Linda Kaleja</cp:lastModifiedBy>
  <cp:revision>17</cp:revision>
  <cp:lastPrinted>2013-02-25T13:21:00Z</cp:lastPrinted>
  <dcterms:created xsi:type="dcterms:W3CDTF">2013-04-19T06:25:00Z</dcterms:created>
  <dcterms:modified xsi:type="dcterms:W3CDTF">2013-04-19T08:09:00Z</dcterms:modified>
</cp:coreProperties>
</file>