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D7" w:rsidRPr="005741D7" w:rsidRDefault="005741D7" w:rsidP="005741D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41D7" w:rsidRPr="005741D7" w:rsidRDefault="005741D7" w:rsidP="005741D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41D7" w:rsidRPr="005741D7" w:rsidRDefault="005741D7" w:rsidP="005741D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41D7" w:rsidRPr="005741D7" w:rsidRDefault="005741D7" w:rsidP="005741D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41D7" w:rsidRPr="005741D7" w:rsidRDefault="005741D7" w:rsidP="005741D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41D7">
        <w:rPr>
          <w:rFonts w:ascii="Times New Roman" w:eastAsia="Times New Roman" w:hAnsi="Times New Roman" w:cs="Times New Roman"/>
          <w:b/>
          <w:sz w:val="24"/>
          <w:szCs w:val="20"/>
        </w:rPr>
        <w:t xml:space="preserve">Informatīvais ziņojums </w:t>
      </w:r>
    </w:p>
    <w:p w:rsidR="005741D7" w:rsidRPr="005741D7" w:rsidRDefault="005741D7" w:rsidP="005741D7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</w:rPr>
      </w:pPr>
      <w:r w:rsidRPr="005741D7">
        <w:rPr>
          <w:rFonts w:ascii="Times New Roman" w:eastAsia="Times New Roman" w:hAnsi="Times New Roman" w:cs="Times New Roman"/>
          <w:b/>
          <w:bCs/>
          <w:sz w:val="10"/>
          <w:szCs w:val="10"/>
        </w:rPr>
        <w:t xml:space="preserve"> </w:t>
      </w:r>
    </w:p>
    <w:p w:rsidR="005741D7" w:rsidRPr="005741D7" w:rsidRDefault="005741D7" w:rsidP="005741D7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41D7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2013. gada 16. aprīļa Ministru </w:t>
      </w:r>
      <w:r w:rsidRPr="005741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kabineta sēdes darba kārtības punktā </w:t>
      </w:r>
    </w:p>
    <w:p w:rsidR="005741D7" w:rsidRPr="005741D7" w:rsidRDefault="005741D7" w:rsidP="0057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41D7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Pr="005741D7">
        <w:rPr>
          <w:rFonts w:ascii="Times New Roman" w:eastAsia="Times New Roman" w:hAnsi="Times New Roman" w:cs="Times New Roman"/>
          <w:b/>
          <w:sz w:val="24"/>
          <w:szCs w:val="24"/>
        </w:rPr>
        <w:t>Par Latvijas Republikas nacionālās pozīcijas apstiprināšanu par ES kopējās nostājas projektu pievienošanās sarunu ar Melnkalni 2</w:t>
      </w:r>
      <w:r>
        <w:rPr>
          <w:rFonts w:ascii="Times New Roman Bold" w:eastAsia="Times New Roman" w:hAnsi="Times New Roman Bold" w:cs="Times New Roman"/>
          <w:b/>
          <w:spacing w:val="-2"/>
          <w:sz w:val="24"/>
          <w:szCs w:val="24"/>
        </w:rPr>
        <w:t>0</w:t>
      </w:r>
      <w:r w:rsidRPr="005741D7">
        <w:rPr>
          <w:rFonts w:ascii="Times New Roman Bold" w:eastAsia="Times New Roman" w:hAnsi="Times New Roman Bold" w:cs="Times New Roman"/>
          <w:b/>
          <w:spacing w:val="-2"/>
          <w:sz w:val="24"/>
          <w:szCs w:val="24"/>
        </w:rPr>
        <w:t xml:space="preserve">. sadaļā </w:t>
      </w:r>
      <w:r>
        <w:rPr>
          <w:rFonts w:ascii="Times New Roman Bold" w:eastAsia="Times New Roman" w:hAnsi="Times New Roman Bold" w:cs="Times New Roman"/>
          <w:b/>
          <w:spacing w:val="-2"/>
          <w:sz w:val="24"/>
          <w:szCs w:val="24"/>
        </w:rPr>
        <w:t>Uzņēmumu un rūpniecības politika</w:t>
      </w:r>
      <w:r w:rsidRPr="005741D7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5741D7" w:rsidRPr="005741D7" w:rsidRDefault="005741D7" w:rsidP="005741D7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1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1D7" w:rsidRPr="005741D7" w:rsidRDefault="005741D7" w:rsidP="005741D7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41D7" w:rsidRPr="005741D7" w:rsidRDefault="005741D7" w:rsidP="005741D7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1D7">
        <w:rPr>
          <w:rFonts w:ascii="Times New Roman" w:eastAsia="Times New Roman" w:hAnsi="Times New Roman" w:cs="Times New Roman"/>
          <w:sz w:val="24"/>
          <w:szCs w:val="24"/>
        </w:rPr>
        <w:t>Lai novērtētu Eiropas Savienības (ES) kandidātvalstu gatavību sākt sarunas konkrētās jomās, Eiropas Komisija (EK) veic kandidātvalstu nacionālās likumdošanas atbilstības ES prasībām izvērtēšanu</w:t>
      </w:r>
      <w:r w:rsidRPr="005741D7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5741D7">
        <w:rPr>
          <w:rFonts w:ascii="Times New Roman" w:eastAsia="Times New Roman" w:hAnsi="Times New Roman" w:cs="Times New Roman"/>
          <w:sz w:val="24"/>
          <w:szCs w:val="24"/>
        </w:rPr>
        <w:t xml:space="preserve"> Melnkalnes likumdošanas atbilstības ES prasībām izvēr</w:t>
      </w:r>
      <w:r>
        <w:rPr>
          <w:rFonts w:ascii="Times New Roman" w:eastAsia="Times New Roman" w:hAnsi="Times New Roman" w:cs="Times New Roman"/>
          <w:sz w:val="24"/>
          <w:szCs w:val="24"/>
        </w:rPr>
        <w:t>tēšana tika sākta 2012. gada jūn</w:t>
      </w:r>
      <w:r w:rsidRPr="005741D7">
        <w:rPr>
          <w:rFonts w:ascii="Times New Roman" w:eastAsia="Times New Roman" w:hAnsi="Times New Roman" w:cs="Times New Roman"/>
          <w:sz w:val="24"/>
          <w:szCs w:val="24"/>
        </w:rPr>
        <w:t>ijā. Tajās pievienošanās sarunu sadaļās, kur ES dalībvalstis ir noteikušas sarunu atvēršanas vai slēgšanas nosacījumus, EK uzrauga to izpildi. Melnkalnes ES pievienošanās sarunās i</w:t>
      </w:r>
      <w:r>
        <w:rPr>
          <w:rFonts w:ascii="Times New Roman" w:eastAsia="Times New Roman" w:hAnsi="Times New Roman" w:cs="Times New Roman"/>
          <w:sz w:val="24"/>
          <w:szCs w:val="24"/>
        </w:rPr>
        <w:t>r 35 sadaļas. Līdz 2013. gada 21. jūnijam</w:t>
      </w:r>
      <w:r w:rsidRPr="005741D7">
        <w:rPr>
          <w:rFonts w:ascii="Times New Roman" w:eastAsia="Times New Roman" w:hAnsi="Times New Roman" w:cs="Times New Roman"/>
          <w:sz w:val="24"/>
          <w:szCs w:val="24"/>
        </w:rPr>
        <w:t xml:space="preserve"> sarunās ar Melnkalni ir atvērta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741D7">
        <w:rPr>
          <w:rFonts w:ascii="Times New Roman" w:eastAsia="Times New Roman" w:hAnsi="Times New Roman" w:cs="Times New Roman"/>
          <w:sz w:val="24"/>
          <w:szCs w:val="24"/>
        </w:rPr>
        <w:t xml:space="preserve"> un provizoriski slēgta</w:t>
      </w:r>
      <w:r>
        <w:rPr>
          <w:rFonts w:ascii="Times New Roman" w:eastAsia="Times New Roman" w:hAnsi="Times New Roman" w:cs="Times New Roman"/>
          <w:sz w:val="24"/>
          <w:szCs w:val="24"/>
        </w:rPr>
        <w:t>s divas</w:t>
      </w:r>
      <w:r w:rsidRPr="005741D7">
        <w:rPr>
          <w:rFonts w:ascii="Times New Roman" w:eastAsia="Times New Roman" w:hAnsi="Times New Roman" w:cs="Times New Roman"/>
          <w:sz w:val="24"/>
          <w:szCs w:val="24"/>
        </w:rPr>
        <w:t xml:space="preserve"> sarunu sadaļa</w:t>
      </w:r>
      <w:r>
        <w:rPr>
          <w:rFonts w:ascii="Times New Roman" w:eastAsia="Times New Roman" w:hAnsi="Times New Roman" w:cs="Times New Roman"/>
          <w:sz w:val="24"/>
          <w:szCs w:val="24"/>
        </w:rPr>
        <w:t>s (25. sadaļa Zinātne un pētniecība un 26. sadaļa Izglītība un kultūra)</w:t>
      </w:r>
      <w:r w:rsidRPr="005741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6301A" w:rsidRPr="00C6301A" w:rsidRDefault="00C6301A" w:rsidP="00C630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proofErr w:type="spellStart"/>
      <w:r w:rsidRPr="00C6301A">
        <w:rPr>
          <w:rFonts w:ascii="Times New Roman" w:eastAsia="Times New Roman" w:hAnsi="Times New Roman" w:cs="Times New Roman"/>
          <w:i/>
          <w:iCs/>
          <w:sz w:val="24"/>
          <w:szCs w:val="24"/>
        </w:rPr>
        <w:t>Acquis</w:t>
      </w:r>
      <w:proofErr w:type="spellEnd"/>
      <w:r w:rsidRPr="00C630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6301A">
        <w:rPr>
          <w:rFonts w:ascii="Times New Roman" w:eastAsia="Times New Roman" w:hAnsi="Times New Roman" w:cs="Times New Roman"/>
          <w:sz w:val="24"/>
          <w:szCs w:val="24"/>
        </w:rPr>
        <w:t>uzņēmumu un rūpniecības politikas</w:t>
      </w:r>
      <w:r w:rsidRPr="00C6301A">
        <w:rPr>
          <w:rFonts w:ascii="Times New Roman" w:eastAsia="Times New Roman" w:hAnsi="Times New Roman" w:cs="Times New Roman"/>
          <w:sz w:val="24"/>
          <w:szCs w:val="20"/>
        </w:rPr>
        <w:t xml:space="preserve"> jomā sastāv no EK komunikācijās, rekomendācijās un ES Padomes secinājumos paustajiem politikas principiem. </w:t>
      </w:r>
    </w:p>
    <w:p w:rsidR="008E4166" w:rsidRDefault="00C6301A" w:rsidP="00C6301A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01A">
        <w:rPr>
          <w:rFonts w:ascii="Times New Roman" w:eastAsia="Times New Roman" w:hAnsi="Times New Roman" w:cs="Times New Roman"/>
          <w:sz w:val="24"/>
          <w:szCs w:val="20"/>
        </w:rPr>
        <w:t xml:space="preserve">Melnkalne ir apliecinājusi, ka ir gatava turpināt nacionālās stratēģijas uzņēmumu un rūpniecības politikas jomās </w:t>
      </w:r>
      <w:r w:rsidR="004B0C0A">
        <w:rPr>
          <w:rFonts w:ascii="Times New Roman" w:eastAsia="Times New Roman" w:hAnsi="Times New Roman" w:cs="Times New Roman"/>
          <w:sz w:val="24"/>
          <w:szCs w:val="20"/>
        </w:rPr>
        <w:t>saskaņošanu ar stratēģiju</w:t>
      </w:r>
      <w:r w:rsidRPr="00C630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01A">
        <w:rPr>
          <w:rFonts w:ascii="Times New Roman" w:eastAsia="Times New Roman" w:hAnsi="Times New Roman" w:cs="Times New Roman"/>
          <w:i/>
          <w:sz w:val="24"/>
          <w:szCs w:val="20"/>
        </w:rPr>
        <w:t>Eiropa 2020</w:t>
      </w:r>
      <w:r w:rsidRPr="00C6301A">
        <w:rPr>
          <w:rFonts w:ascii="Times New Roman" w:eastAsia="Times New Roman" w:hAnsi="Times New Roman" w:cs="Times New Roman"/>
          <w:sz w:val="24"/>
          <w:szCs w:val="20"/>
        </w:rPr>
        <w:t>, kā arī ar ES integrēto rūpniecības politiku. Melnkalnei jānodrošina rūpniecības politikas koordinācija ar citām ES dalībvalstīm, kā to paredz Līguma par Eiropas Savienības darbību 173. pants.</w:t>
      </w:r>
    </w:p>
    <w:p w:rsidR="00C6301A" w:rsidRPr="00C6301A" w:rsidRDefault="00C6301A" w:rsidP="005741D7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6301A">
        <w:rPr>
          <w:rFonts w:ascii="Times New Roman" w:eastAsia="Times New Roman" w:hAnsi="Times New Roman" w:cs="Times New Roman"/>
          <w:sz w:val="24"/>
          <w:szCs w:val="20"/>
        </w:rPr>
        <w:t>Ņem</w:t>
      </w:r>
      <w:r w:rsidR="004B0C0A">
        <w:rPr>
          <w:rFonts w:ascii="Times New Roman" w:eastAsia="Times New Roman" w:hAnsi="Times New Roman" w:cs="Times New Roman"/>
          <w:sz w:val="24"/>
          <w:szCs w:val="20"/>
        </w:rPr>
        <w:t xml:space="preserve">ot vērā šobrīd sasniegto pakāpi </w:t>
      </w:r>
      <w:r w:rsidRPr="00C6301A">
        <w:rPr>
          <w:rFonts w:ascii="Times New Roman" w:eastAsia="Times New Roman" w:hAnsi="Times New Roman" w:cs="Times New Roman"/>
          <w:sz w:val="24"/>
          <w:szCs w:val="20"/>
        </w:rPr>
        <w:t>uzņēmu</w:t>
      </w:r>
      <w:r w:rsidR="004B0C0A">
        <w:rPr>
          <w:rFonts w:ascii="Times New Roman" w:eastAsia="Times New Roman" w:hAnsi="Times New Roman" w:cs="Times New Roman"/>
          <w:sz w:val="24"/>
          <w:szCs w:val="20"/>
        </w:rPr>
        <w:t xml:space="preserve">mu un rūpniecības politikas jomas saskaņošanā ar </w:t>
      </w:r>
      <w:proofErr w:type="spellStart"/>
      <w:r w:rsidR="004B0C0A" w:rsidRPr="00215F80">
        <w:rPr>
          <w:rFonts w:ascii="Times New Roman" w:eastAsia="Times New Roman" w:hAnsi="Times New Roman" w:cs="Times New Roman"/>
          <w:i/>
          <w:sz w:val="24"/>
          <w:szCs w:val="20"/>
        </w:rPr>
        <w:t>acquis</w:t>
      </w:r>
      <w:proofErr w:type="spellEnd"/>
      <w:r w:rsidR="004B0C0A" w:rsidRPr="00215F80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proofErr w:type="spellStart"/>
      <w:r w:rsidR="004B0C0A" w:rsidRPr="00215F80">
        <w:rPr>
          <w:rFonts w:ascii="Times New Roman" w:eastAsia="Times New Roman" w:hAnsi="Times New Roman" w:cs="Times New Roman"/>
          <w:i/>
          <w:sz w:val="24"/>
          <w:szCs w:val="20"/>
        </w:rPr>
        <w:t>communautaire</w:t>
      </w:r>
      <w:proofErr w:type="spellEnd"/>
      <w:r w:rsidRPr="00C6301A">
        <w:rPr>
          <w:rFonts w:ascii="Times New Roman" w:eastAsia="Times New Roman" w:hAnsi="Times New Roman" w:cs="Times New Roman"/>
          <w:sz w:val="24"/>
          <w:szCs w:val="20"/>
        </w:rPr>
        <w:t>, Komisija rekomendē uzsākt sarunas par 20. sadaļu. Vienlaikus Komisija ierosina, ka sadaļu būs iespējams provizoriski slēgt pēc tam, kad tiks izpildīts slēgšanas nosacījums: Melnkalne apstiprinās visaptverošu stratēģiju konkurētspējas sekmēšanai rūpniecības jom</w:t>
      </w:r>
      <w:r w:rsidR="004B0C0A">
        <w:rPr>
          <w:rFonts w:ascii="Times New Roman" w:eastAsia="Times New Roman" w:hAnsi="Times New Roman" w:cs="Times New Roman"/>
          <w:sz w:val="24"/>
          <w:szCs w:val="20"/>
        </w:rPr>
        <w:t>ā, kā arī būs</w:t>
      </w:r>
      <w:r w:rsidRPr="00C6301A">
        <w:rPr>
          <w:rFonts w:ascii="Times New Roman" w:eastAsia="Times New Roman" w:hAnsi="Times New Roman" w:cs="Times New Roman"/>
          <w:sz w:val="24"/>
          <w:szCs w:val="20"/>
        </w:rPr>
        <w:t xml:space="preserve"> uzsāk</w:t>
      </w:r>
      <w:r w:rsidR="004B0C0A">
        <w:rPr>
          <w:rFonts w:ascii="Times New Roman" w:eastAsia="Times New Roman" w:hAnsi="Times New Roman" w:cs="Times New Roman"/>
          <w:sz w:val="24"/>
          <w:szCs w:val="20"/>
        </w:rPr>
        <w:t>usi</w:t>
      </w:r>
      <w:r w:rsidRPr="00C6301A">
        <w:rPr>
          <w:rFonts w:ascii="Times New Roman" w:eastAsia="Times New Roman" w:hAnsi="Times New Roman" w:cs="Times New Roman"/>
          <w:sz w:val="24"/>
          <w:szCs w:val="20"/>
        </w:rPr>
        <w:t xml:space="preserve"> tās ieviešanu.</w:t>
      </w:r>
    </w:p>
    <w:p w:rsidR="005741D7" w:rsidRPr="005741D7" w:rsidRDefault="005741D7" w:rsidP="005741D7">
      <w:pPr>
        <w:spacing w:before="160" w:after="16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741D7">
        <w:rPr>
          <w:rFonts w:ascii="Times New Roman" w:eastAsia="Times New Roman" w:hAnsi="Times New Roman" w:cs="Times New Roman"/>
          <w:sz w:val="24"/>
          <w:szCs w:val="24"/>
        </w:rPr>
        <w:t>Par ES kopējās nostājas projektu piev</w:t>
      </w:r>
      <w:r>
        <w:rPr>
          <w:rFonts w:ascii="Times New Roman" w:eastAsia="Times New Roman" w:hAnsi="Times New Roman" w:cs="Times New Roman"/>
          <w:sz w:val="24"/>
          <w:szCs w:val="24"/>
        </w:rPr>
        <w:t>ienošanās sarunu ar Melnkalni 20. sadaļā Uzņēmumu un rūpniecības politika</w:t>
      </w:r>
      <w:r w:rsidRPr="005741D7">
        <w:rPr>
          <w:rFonts w:ascii="Times New Roman" w:eastAsia="Times New Roman" w:hAnsi="Times New Roman" w:cs="Times New Roman"/>
          <w:sz w:val="24"/>
          <w:szCs w:val="24"/>
        </w:rPr>
        <w:t xml:space="preserve"> ir sagatavota Latvijas nacionālā pozīcija. Par</w:t>
      </w:r>
      <w:r w:rsidRPr="005741D7">
        <w:rPr>
          <w:rFonts w:ascii="Times New Roman" w:eastAsia="Arial Unicode MS" w:hAnsi="Times New Roman" w:cs="Times New Roman"/>
          <w:sz w:val="24"/>
          <w:szCs w:val="24"/>
        </w:rPr>
        <w:t xml:space="preserve"> ES pievienošanās sarunu ar Melnkalni </w:t>
      </w:r>
      <w:r>
        <w:rPr>
          <w:rFonts w:ascii="Times New Roman" w:eastAsia="Arial Unicode MS" w:hAnsi="Times New Roman" w:cs="Times New Roman"/>
          <w:sz w:val="24"/>
          <w:szCs w:val="24"/>
        </w:rPr>
        <w:t>atvēršanu 20</w:t>
      </w:r>
      <w:r w:rsidRPr="005741D7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sadaļā Uzņēmumu un rūpniecības politika lems </w:t>
      </w:r>
      <w:r w:rsidRPr="005741D7">
        <w:rPr>
          <w:rFonts w:ascii="Times New Roman" w:eastAsia="Arial Unicode MS" w:hAnsi="Times New Roman" w:cs="Times New Roman"/>
          <w:sz w:val="24"/>
          <w:szCs w:val="24"/>
        </w:rPr>
        <w:t>Starpvaldību konference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(plānota 2013. gada 26. jūnijā Briselē)</w:t>
      </w:r>
      <w:r w:rsidRPr="005741D7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:rsidR="005741D7" w:rsidRDefault="005741D7" w:rsidP="005741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u w:val="single"/>
        </w:rPr>
      </w:pPr>
    </w:p>
    <w:p w:rsidR="00BB150D" w:rsidRPr="005741D7" w:rsidRDefault="00BB150D" w:rsidP="005741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u w:val="single"/>
        </w:rPr>
      </w:pPr>
    </w:p>
    <w:p w:rsidR="005741D7" w:rsidRPr="005741D7" w:rsidRDefault="005741D7" w:rsidP="005741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5741D7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t>Latvijas pozīcija</w:t>
      </w:r>
      <w:r w:rsidRPr="005741D7">
        <w:rPr>
          <w:rFonts w:ascii="Times New Roman" w:eastAsia="Times New Roman" w:hAnsi="Times New Roman" w:cs="Times New Roman"/>
          <w:bCs/>
          <w:sz w:val="24"/>
          <w:szCs w:val="20"/>
        </w:rPr>
        <w:t>:</w:t>
      </w:r>
      <w:proofErr w:type="gramStart"/>
      <w:r w:rsidRPr="005741D7">
        <w:rPr>
          <w:rFonts w:ascii="Times New Roman" w:eastAsia="Times New Roman" w:hAnsi="Times New Roman" w:cs="Times New Roman"/>
          <w:bCs/>
          <w:sz w:val="24"/>
          <w:szCs w:val="20"/>
        </w:rPr>
        <w:t xml:space="preserve">  </w:t>
      </w:r>
      <w:proofErr w:type="gramEnd"/>
    </w:p>
    <w:p w:rsidR="005741D7" w:rsidRPr="005741D7" w:rsidRDefault="005741D7" w:rsidP="005741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8E4166" w:rsidRPr="008E4166" w:rsidRDefault="008E4166" w:rsidP="008E4166">
      <w:pPr>
        <w:numPr>
          <w:ilvl w:val="0"/>
          <w:numId w:val="2"/>
        </w:numPr>
        <w:spacing w:before="120" w:after="120" w:line="24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166">
        <w:rPr>
          <w:rFonts w:ascii="Times New Roman" w:eastAsia="Times New Roman" w:hAnsi="Times New Roman" w:cs="Times New Roman"/>
          <w:bCs/>
          <w:sz w:val="24"/>
          <w:szCs w:val="24"/>
        </w:rPr>
        <w:t xml:space="preserve">Latvija atbalsta Eiropas Komisijas rekomendāciju atvērt pievienošanās sarunas ar Melnkalni </w:t>
      </w:r>
      <w:r w:rsidRPr="008E4166">
        <w:rPr>
          <w:rFonts w:ascii="Times New Roman" w:eastAsia="Times New Roman" w:hAnsi="Times New Roman" w:cs="Times New Roman"/>
          <w:sz w:val="24"/>
          <w:szCs w:val="24"/>
        </w:rPr>
        <w:t>20. sadaļā Uzņēmumu un rūpniecības politika</w:t>
      </w:r>
      <w:r w:rsidRPr="008E416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741D7" w:rsidRDefault="005741D7" w:rsidP="005741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150D" w:rsidRPr="005741D7" w:rsidRDefault="00BB150D" w:rsidP="005741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41D7" w:rsidRPr="005741D7" w:rsidRDefault="005741D7" w:rsidP="005741D7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41D7">
        <w:rPr>
          <w:rFonts w:ascii="Times New Roman" w:eastAsia="Times New Roman" w:hAnsi="Times New Roman" w:cs="Times New Roman"/>
          <w:sz w:val="24"/>
          <w:szCs w:val="24"/>
        </w:rPr>
        <w:t xml:space="preserve">Pozīcija ir sagatavota saskaņā ar Ministru kabineta </w:t>
      </w:r>
      <w:r w:rsidRPr="005741D7">
        <w:rPr>
          <w:rFonts w:ascii="Times New Roman" w:eastAsia="Arial Unicode MS" w:hAnsi="Times New Roman" w:cs="Times New Roman"/>
          <w:bCs/>
          <w:sz w:val="24"/>
          <w:szCs w:val="20"/>
        </w:rPr>
        <w:t xml:space="preserve">2009. gada 3. februāra noteikumiem </w:t>
      </w:r>
      <w:proofErr w:type="spellStart"/>
      <w:r w:rsidRPr="005741D7">
        <w:rPr>
          <w:rFonts w:ascii="Times New Roman" w:eastAsia="Arial Unicode MS" w:hAnsi="Times New Roman" w:cs="Times New Roman"/>
          <w:bCs/>
          <w:sz w:val="24"/>
          <w:szCs w:val="20"/>
        </w:rPr>
        <w:t>Nr</w:t>
      </w:r>
      <w:proofErr w:type="spellEnd"/>
      <w:r w:rsidRPr="005741D7">
        <w:rPr>
          <w:rFonts w:ascii="Times New Roman" w:eastAsia="Arial Unicode MS" w:hAnsi="Times New Roman" w:cs="Times New Roman"/>
          <w:bCs/>
          <w:sz w:val="24"/>
          <w:szCs w:val="20"/>
        </w:rPr>
        <w:t>. 96 “Kārtība, kādā izstrādā, saskaņo, apstiprina un aktualizē Latvijas Republikas nacionālās pozīcijas Eiropas Savienības jautājumos”</w:t>
      </w:r>
      <w:r w:rsidRPr="005741D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5741D7" w:rsidRPr="005741D7" w:rsidRDefault="005741D7" w:rsidP="005741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5741D7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Tā kā ES paplašināšanās un Melnkalnes pievienošanās sarunas uzskatāmas par tādām, kas būtiski skar Latvijas intereses, saskaņā ar Ministru kabineta 2009. gada 3. februāra noteikumu </w:t>
      </w:r>
      <w:proofErr w:type="spellStart"/>
      <w:r w:rsidRPr="005741D7">
        <w:rPr>
          <w:rFonts w:ascii="Times New Roman" w:eastAsia="Times New Roman" w:hAnsi="Times New Roman" w:cs="Times New Roman"/>
          <w:sz w:val="24"/>
          <w:szCs w:val="20"/>
        </w:rPr>
        <w:t>Nr</w:t>
      </w:r>
      <w:proofErr w:type="spellEnd"/>
      <w:r w:rsidRPr="005741D7">
        <w:rPr>
          <w:rFonts w:ascii="Times New Roman" w:eastAsia="Times New Roman" w:hAnsi="Times New Roman" w:cs="Times New Roman"/>
          <w:sz w:val="24"/>
          <w:szCs w:val="20"/>
        </w:rPr>
        <w:t xml:space="preserve">. 96 </w:t>
      </w:r>
      <w:r w:rsidRPr="005741D7">
        <w:rPr>
          <w:rFonts w:ascii="Times New Roman" w:eastAsia="Times New Roman" w:hAnsi="Times New Roman" w:cs="Times New Roman"/>
          <w:bCs/>
          <w:sz w:val="24"/>
          <w:szCs w:val="20"/>
        </w:rPr>
        <w:t>21.1.1. punktu</w:t>
      </w:r>
      <w:r w:rsidRPr="005741D7">
        <w:rPr>
          <w:rFonts w:ascii="Times New Roman" w:eastAsia="Times New Roman" w:hAnsi="Times New Roman" w:cs="Times New Roman"/>
          <w:b/>
          <w:sz w:val="24"/>
          <w:szCs w:val="20"/>
        </w:rPr>
        <w:t> </w:t>
      </w:r>
      <w:r w:rsidRPr="005741D7">
        <w:rPr>
          <w:rFonts w:ascii="Times New Roman" w:eastAsia="Times New Roman" w:hAnsi="Times New Roman" w:cs="Times New Roman"/>
          <w:sz w:val="24"/>
          <w:szCs w:val="20"/>
        </w:rPr>
        <w:t>to apstiprināšanas kārtība paredz apstiprināšanu Ministru kabinetā.</w:t>
      </w:r>
    </w:p>
    <w:p w:rsidR="005741D7" w:rsidRPr="005741D7" w:rsidRDefault="005741D7" w:rsidP="005741D7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6"/>
        </w:rPr>
      </w:pPr>
    </w:p>
    <w:p w:rsidR="005741D7" w:rsidRPr="005741D7" w:rsidRDefault="005741D7" w:rsidP="005741D7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6"/>
        </w:rPr>
      </w:pPr>
    </w:p>
    <w:p w:rsidR="005741D7" w:rsidRPr="005741D7" w:rsidRDefault="005741D7" w:rsidP="005741D7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6"/>
          <w:highlight w:val="yellow"/>
        </w:rPr>
      </w:pPr>
      <w:r w:rsidRPr="005741D7">
        <w:rPr>
          <w:rFonts w:ascii="Times New Roman" w:eastAsia="Times New Roman" w:hAnsi="Times New Roman" w:cs="Times New Roman"/>
          <w:bCs/>
          <w:sz w:val="24"/>
          <w:szCs w:val="26"/>
        </w:rPr>
        <w:t>Iesniedzējs: ārlietu ministrs</w:t>
      </w:r>
      <w:r w:rsidRPr="005741D7">
        <w:rPr>
          <w:rFonts w:ascii="Times New Roman" w:eastAsia="Times New Roman" w:hAnsi="Times New Roman" w:cs="Times New Roman"/>
          <w:bCs/>
          <w:sz w:val="24"/>
          <w:szCs w:val="26"/>
        </w:rPr>
        <w:tab/>
      </w:r>
      <w:r w:rsidRPr="005741D7">
        <w:rPr>
          <w:rFonts w:ascii="Times New Roman" w:eastAsia="Times New Roman" w:hAnsi="Times New Roman" w:cs="Times New Roman"/>
          <w:bCs/>
          <w:sz w:val="24"/>
          <w:szCs w:val="26"/>
        </w:rPr>
        <w:tab/>
      </w:r>
      <w:r w:rsidRPr="005741D7">
        <w:rPr>
          <w:rFonts w:ascii="Times New Roman" w:eastAsia="Times New Roman" w:hAnsi="Times New Roman" w:cs="Times New Roman"/>
          <w:bCs/>
          <w:sz w:val="24"/>
          <w:szCs w:val="26"/>
        </w:rPr>
        <w:tab/>
      </w:r>
      <w:r w:rsidRPr="005741D7">
        <w:rPr>
          <w:rFonts w:ascii="Times New Roman" w:eastAsia="Times New Roman" w:hAnsi="Times New Roman" w:cs="Times New Roman"/>
          <w:bCs/>
          <w:sz w:val="24"/>
          <w:szCs w:val="26"/>
        </w:rPr>
        <w:tab/>
      </w:r>
      <w:r w:rsidRPr="005741D7">
        <w:rPr>
          <w:rFonts w:ascii="Times New Roman" w:eastAsia="Times New Roman" w:hAnsi="Times New Roman" w:cs="Times New Roman"/>
          <w:bCs/>
          <w:sz w:val="24"/>
          <w:szCs w:val="26"/>
        </w:rPr>
        <w:tab/>
      </w:r>
      <w:r w:rsidRPr="005741D7">
        <w:rPr>
          <w:rFonts w:ascii="Times New Roman" w:eastAsia="Times New Roman" w:hAnsi="Times New Roman" w:cs="Times New Roman"/>
          <w:bCs/>
          <w:sz w:val="24"/>
          <w:szCs w:val="26"/>
        </w:rPr>
        <w:tab/>
      </w:r>
      <w:proofErr w:type="gramStart"/>
      <w:r w:rsidRPr="005741D7">
        <w:rPr>
          <w:rFonts w:ascii="Times New Roman" w:eastAsia="Times New Roman" w:hAnsi="Times New Roman" w:cs="Times New Roman"/>
          <w:bCs/>
          <w:sz w:val="24"/>
          <w:szCs w:val="26"/>
        </w:rPr>
        <w:t xml:space="preserve">              </w:t>
      </w:r>
      <w:proofErr w:type="gramEnd"/>
      <w:r w:rsidRPr="005741D7">
        <w:rPr>
          <w:rFonts w:ascii="Times New Roman" w:eastAsia="Times New Roman" w:hAnsi="Times New Roman" w:cs="Times New Roman"/>
          <w:bCs/>
          <w:sz w:val="24"/>
          <w:szCs w:val="26"/>
        </w:rPr>
        <w:t xml:space="preserve">E. </w:t>
      </w:r>
      <w:proofErr w:type="spellStart"/>
      <w:r w:rsidRPr="005741D7">
        <w:rPr>
          <w:rFonts w:ascii="Times New Roman" w:eastAsia="Times New Roman" w:hAnsi="Times New Roman" w:cs="Times New Roman"/>
          <w:bCs/>
          <w:sz w:val="24"/>
          <w:szCs w:val="26"/>
        </w:rPr>
        <w:t>Rinkēvičs</w:t>
      </w:r>
      <w:proofErr w:type="spellEnd"/>
    </w:p>
    <w:p w:rsidR="005741D7" w:rsidRPr="005741D7" w:rsidRDefault="005741D7" w:rsidP="005741D7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6"/>
        </w:rPr>
      </w:pPr>
    </w:p>
    <w:p w:rsidR="005741D7" w:rsidRPr="005741D7" w:rsidRDefault="005741D7" w:rsidP="005741D7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6"/>
        </w:rPr>
      </w:pPr>
    </w:p>
    <w:p w:rsidR="005741D7" w:rsidRPr="005741D7" w:rsidRDefault="005741D7" w:rsidP="005741D7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18"/>
          <w:szCs w:val="24"/>
        </w:rPr>
      </w:pPr>
      <w:r w:rsidRPr="005741D7">
        <w:rPr>
          <w:rFonts w:ascii="Times New Roman" w:eastAsia="Times New Roman" w:hAnsi="Times New Roman" w:cs="Times New Roman"/>
          <w:bCs/>
          <w:sz w:val="24"/>
          <w:szCs w:val="26"/>
        </w:rPr>
        <w:t>Vīza: valsts sekretārs</w:t>
      </w:r>
      <w:r w:rsidRPr="005741D7">
        <w:rPr>
          <w:rFonts w:ascii="Times New Roman" w:eastAsia="Times New Roman" w:hAnsi="Times New Roman" w:cs="Times New Roman"/>
          <w:bCs/>
          <w:sz w:val="24"/>
          <w:szCs w:val="26"/>
        </w:rPr>
        <w:tab/>
      </w:r>
      <w:r w:rsidRPr="005741D7">
        <w:rPr>
          <w:rFonts w:ascii="Times New Roman" w:eastAsia="Times New Roman" w:hAnsi="Times New Roman" w:cs="Times New Roman"/>
          <w:bCs/>
          <w:sz w:val="24"/>
          <w:szCs w:val="26"/>
        </w:rPr>
        <w:tab/>
      </w:r>
      <w:r w:rsidRPr="005741D7">
        <w:rPr>
          <w:rFonts w:ascii="Times New Roman" w:eastAsia="Times New Roman" w:hAnsi="Times New Roman" w:cs="Times New Roman"/>
          <w:bCs/>
          <w:sz w:val="24"/>
          <w:szCs w:val="26"/>
        </w:rPr>
        <w:tab/>
      </w:r>
      <w:r w:rsidRPr="005741D7">
        <w:rPr>
          <w:rFonts w:ascii="Times New Roman" w:eastAsia="Times New Roman" w:hAnsi="Times New Roman" w:cs="Times New Roman"/>
          <w:bCs/>
          <w:sz w:val="24"/>
          <w:szCs w:val="26"/>
        </w:rPr>
        <w:tab/>
      </w:r>
      <w:r w:rsidRPr="005741D7">
        <w:rPr>
          <w:rFonts w:ascii="Times New Roman" w:eastAsia="Times New Roman" w:hAnsi="Times New Roman" w:cs="Times New Roman"/>
          <w:bCs/>
          <w:sz w:val="24"/>
          <w:szCs w:val="26"/>
        </w:rPr>
        <w:tab/>
      </w:r>
      <w:proofErr w:type="gramStart"/>
      <w:r w:rsidRPr="005741D7">
        <w:rPr>
          <w:rFonts w:ascii="Times New Roman" w:eastAsia="Times New Roman" w:hAnsi="Times New Roman" w:cs="Times New Roman"/>
          <w:bCs/>
          <w:sz w:val="24"/>
          <w:szCs w:val="26"/>
        </w:rPr>
        <w:t xml:space="preserve">             </w:t>
      </w:r>
      <w:proofErr w:type="gramEnd"/>
      <w:r w:rsidRPr="005741D7">
        <w:rPr>
          <w:rFonts w:ascii="Times New Roman" w:eastAsia="Times New Roman" w:hAnsi="Times New Roman" w:cs="Times New Roman"/>
          <w:bCs/>
          <w:sz w:val="24"/>
          <w:szCs w:val="26"/>
        </w:rPr>
        <w:tab/>
        <w:t xml:space="preserve">             A.</w:t>
      </w:r>
      <w:r w:rsidR="00EB5381">
        <w:rPr>
          <w:rFonts w:ascii="Times New Roman" w:eastAsia="Times New Roman" w:hAnsi="Times New Roman" w:cs="Times New Roman"/>
          <w:bCs/>
          <w:sz w:val="24"/>
          <w:szCs w:val="26"/>
        </w:rPr>
        <w:t>Pildegovičs</w:t>
      </w:r>
      <w:bookmarkStart w:id="0" w:name="_GoBack"/>
      <w:bookmarkEnd w:id="0"/>
    </w:p>
    <w:p w:rsidR="005741D7" w:rsidRPr="005741D7" w:rsidRDefault="005741D7" w:rsidP="005741D7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10"/>
          <w:szCs w:val="10"/>
        </w:rPr>
      </w:pPr>
    </w:p>
    <w:p w:rsidR="005741D7" w:rsidRPr="005741D7" w:rsidRDefault="005741D7" w:rsidP="005741D7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18"/>
          <w:szCs w:val="24"/>
        </w:rPr>
      </w:pPr>
    </w:p>
    <w:p w:rsidR="005741D7" w:rsidRPr="005741D7" w:rsidRDefault="005741D7" w:rsidP="005741D7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18"/>
          <w:szCs w:val="24"/>
        </w:rPr>
      </w:pPr>
    </w:p>
    <w:p w:rsidR="005741D7" w:rsidRPr="005741D7" w:rsidRDefault="005741D7" w:rsidP="005741D7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18"/>
          <w:szCs w:val="24"/>
        </w:rPr>
      </w:pPr>
    </w:p>
    <w:p w:rsidR="005741D7" w:rsidRPr="005741D7" w:rsidRDefault="005741D7" w:rsidP="005741D7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18"/>
          <w:szCs w:val="24"/>
        </w:rPr>
      </w:pPr>
    </w:p>
    <w:p w:rsidR="005741D7" w:rsidRPr="005741D7" w:rsidRDefault="005741D7" w:rsidP="005741D7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18"/>
          <w:szCs w:val="24"/>
        </w:rPr>
      </w:pPr>
    </w:p>
    <w:p w:rsidR="005741D7" w:rsidRPr="005741D7" w:rsidRDefault="005741D7" w:rsidP="005741D7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18"/>
          <w:szCs w:val="24"/>
        </w:rPr>
      </w:pPr>
      <w:r>
        <w:rPr>
          <w:rFonts w:ascii="Times New Roman" w:eastAsia="Times New Roman" w:hAnsi="Times New Roman" w:cs="Times New Roman"/>
          <w:bCs/>
          <w:sz w:val="18"/>
          <w:szCs w:val="24"/>
        </w:rPr>
        <w:t>21.06.2013.</w:t>
      </w:r>
      <w:proofErr w:type="gramStart"/>
      <w:r>
        <w:rPr>
          <w:rFonts w:ascii="Times New Roman" w:eastAsia="Times New Roman" w:hAnsi="Times New Roman" w:cs="Times New Roman"/>
          <w:bCs/>
          <w:sz w:val="18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Cs/>
          <w:sz w:val="18"/>
          <w:szCs w:val="24"/>
        </w:rPr>
        <w:t>15.10</w:t>
      </w:r>
    </w:p>
    <w:p w:rsidR="005741D7" w:rsidRPr="005741D7" w:rsidRDefault="00215F80" w:rsidP="005741D7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4"/>
        </w:rPr>
      </w:pPr>
      <w:r>
        <w:rPr>
          <w:rFonts w:ascii="Times New Roman" w:eastAsia="Times New Roman" w:hAnsi="Times New Roman" w:cs="Times New Roman"/>
          <w:bCs/>
          <w:sz w:val="18"/>
          <w:szCs w:val="24"/>
        </w:rPr>
        <w:t>372</w:t>
      </w:r>
    </w:p>
    <w:p w:rsidR="005741D7" w:rsidRPr="005741D7" w:rsidRDefault="005741D7" w:rsidP="005741D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5741D7">
        <w:rPr>
          <w:rFonts w:ascii="Times New Roman" w:eastAsia="Times New Roman" w:hAnsi="Times New Roman" w:cs="Times New Roman"/>
          <w:sz w:val="18"/>
          <w:szCs w:val="20"/>
        </w:rPr>
        <w:t>Kristīne Rigerte, 67015274</w:t>
      </w:r>
    </w:p>
    <w:p w:rsidR="005741D7" w:rsidRPr="005741D7" w:rsidRDefault="005741D7" w:rsidP="005741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741D7">
        <w:rPr>
          <w:rFonts w:ascii="Times New Roman" w:eastAsia="Times New Roman" w:hAnsi="Times New Roman" w:cs="Times New Roman"/>
          <w:sz w:val="18"/>
          <w:szCs w:val="18"/>
        </w:rPr>
        <w:t>kristine.rigerte@mfa.gov.lv</w:t>
      </w:r>
    </w:p>
    <w:p w:rsidR="005741D7" w:rsidRPr="005741D7" w:rsidRDefault="005741D7" w:rsidP="005741D7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4"/>
        </w:rPr>
      </w:pPr>
    </w:p>
    <w:p w:rsidR="005741D7" w:rsidRPr="005741D7" w:rsidRDefault="005741D7" w:rsidP="00574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A8E" w:rsidRDefault="00F13A8E"/>
    <w:sectPr w:rsidR="00F13A8E" w:rsidSect="00710B0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30" w:right="1080" w:bottom="899" w:left="1440" w:header="18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ED1" w:rsidRDefault="00E45ED1" w:rsidP="005741D7">
      <w:pPr>
        <w:spacing w:after="0" w:line="240" w:lineRule="auto"/>
      </w:pPr>
      <w:r>
        <w:separator/>
      </w:r>
    </w:p>
  </w:endnote>
  <w:endnote w:type="continuationSeparator" w:id="0">
    <w:p w:rsidR="00E45ED1" w:rsidRDefault="00E45ED1" w:rsidP="00574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B39" w:rsidRDefault="00BB15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756B39" w:rsidRDefault="00E45ED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B39" w:rsidRDefault="00E45ED1">
    <w:pPr>
      <w:pStyle w:val="Footer"/>
      <w:framePr w:wrap="around" w:vAnchor="text" w:hAnchor="page" w:x="11062" w:y="6"/>
      <w:rPr>
        <w:rStyle w:val="PageNumber"/>
      </w:rPr>
    </w:pPr>
  </w:p>
  <w:p w:rsidR="00C22564" w:rsidRPr="00710B02" w:rsidRDefault="005741D7" w:rsidP="00C22564">
    <w:pPr>
      <w:pStyle w:val="Footer"/>
      <w:jc w:val="both"/>
      <w:rPr>
        <w:i/>
        <w:iCs/>
        <w:sz w:val="16"/>
        <w:szCs w:val="16"/>
      </w:rPr>
    </w:pPr>
    <w:r>
      <w:rPr>
        <w:sz w:val="16"/>
        <w:szCs w:val="16"/>
      </w:rPr>
      <w:t>AMzino_210613</w:t>
    </w:r>
    <w:r w:rsidR="00BB150D">
      <w:rPr>
        <w:sz w:val="16"/>
        <w:szCs w:val="16"/>
      </w:rPr>
      <w:t>; 2013. gada 16. aprīļa</w:t>
    </w:r>
    <w:r w:rsidR="00BB150D" w:rsidRPr="00710B02">
      <w:rPr>
        <w:sz w:val="16"/>
        <w:szCs w:val="16"/>
      </w:rPr>
      <w:t xml:space="preserve"> Ministru kabineta sēdes darba kārtības punktā </w:t>
    </w:r>
    <w:r w:rsidR="00BB150D" w:rsidRPr="00710B02">
      <w:rPr>
        <w:i/>
        <w:iCs/>
        <w:sz w:val="16"/>
        <w:szCs w:val="16"/>
      </w:rPr>
      <w:t>“</w:t>
    </w:r>
    <w:r w:rsidR="00BB150D" w:rsidRPr="00710B02">
      <w:rPr>
        <w:i/>
        <w:iCs/>
        <w:color w:val="000000"/>
        <w:sz w:val="16"/>
        <w:szCs w:val="16"/>
        <w:lang w:eastAsia="lv-LV"/>
      </w:rPr>
      <w:t>Par</w:t>
    </w:r>
    <w:r w:rsidR="00BB150D">
      <w:rPr>
        <w:i/>
        <w:iCs/>
        <w:color w:val="000000"/>
        <w:sz w:val="16"/>
        <w:szCs w:val="16"/>
        <w:lang w:eastAsia="lv-LV"/>
      </w:rPr>
      <w:t xml:space="preserve"> Latvijas Republikas nacionālās pozīcijas</w:t>
    </w:r>
    <w:r w:rsidR="00BB150D" w:rsidRPr="00710B02">
      <w:rPr>
        <w:i/>
        <w:iCs/>
        <w:color w:val="000000"/>
        <w:sz w:val="16"/>
        <w:szCs w:val="16"/>
        <w:lang w:eastAsia="lv-LV"/>
      </w:rPr>
      <w:t xml:space="preserve"> apstiprināšanu pa</w:t>
    </w:r>
    <w:r w:rsidR="00BB150D">
      <w:rPr>
        <w:i/>
        <w:iCs/>
        <w:color w:val="000000"/>
        <w:sz w:val="16"/>
        <w:szCs w:val="16"/>
        <w:lang w:eastAsia="lv-LV"/>
      </w:rPr>
      <w:t>r ES kopējās nostājas projektu</w:t>
    </w:r>
    <w:r w:rsidR="00BB150D" w:rsidRPr="00710B02">
      <w:rPr>
        <w:i/>
        <w:iCs/>
        <w:color w:val="000000"/>
        <w:sz w:val="16"/>
        <w:szCs w:val="16"/>
        <w:lang w:eastAsia="lv-LV"/>
      </w:rPr>
      <w:t xml:space="preserve"> </w:t>
    </w:r>
    <w:r w:rsidR="00BB150D">
      <w:rPr>
        <w:i/>
        <w:iCs/>
        <w:color w:val="000000"/>
        <w:sz w:val="16"/>
        <w:szCs w:val="16"/>
        <w:lang w:eastAsia="lv-LV"/>
      </w:rPr>
      <w:t>pievienošanās sarunu ar Melnkalni 2</w:t>
    </w:r>
    <w:r>
      <w:rPr>
        <w:i/>
        <w:spacing w:val="-2"/>
        <w:sz w:val="16"/>
        <w:szCs w:val="16"/>
      </w:rPr>
      <w:t>0</w:t>
    </w:r>
    <w:r w:rsidR="00BB150D" w:rsidRPr="00710B02">
      <w:rPr>
        <w:i/>
        <w:spacing w:val="-2"/>
        <w:sz w:val="16"/>
        <w:szCs w:val="16"/>
      </w:rPr>
      <w:t xml:space="preserve">. sadaļā </w:t>
    </w:r>
    <w:r>
      <w:rPr>
        <w:i/>
        <w:spacing w:val="-2"/>
        <w:sz w:val="16"/>
        <w:szCs w:val="16"/>
      </w:rPr>
      <w:t>Uzņēmumu un rūpniecības politika</w:t>
    </w:r>
    <w:r w:rsidR="00BB150D" w:rsidRPr="00710B02">
      <w:rPr>
        <w:i/>
        <w:iCs/>
        <w:sz w:val="16"/>
        <w:szCs w:val="16"/>
      </w:rPr>
      <w:t>”</w:t>
    </w:r>
  </w:p>
  <w:p w:rsidR="00756B39" w:rsidRPr="0071258C" w:rsidRDefault="00E45ED1" w:rsidP="006468B2">
    <w:pPr>
      <w:pStyle w:val="Footer"/>
      <w:jc w:val="both"/>
      <w:rPr>
        <w:i/>
        <w:iCs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143" w:rsidRPr="00710B02" w:rsidRDefault="005741D7" w:rsidP="007E1143">
    <w:pPr>
      <w:pStyle w:val="Footer"/>
      <w:jc w:val="both"/>
      <w:rPr>
        <w:i/>
        <w:iCs/>
        <w:sz w:val="16"/>
        <w:szCs w:val="16"/>
      </w:rPr>
    </w:pPr>
    <w:r>
      <w:rPr>
        <w:sz w:val="16"/>
        <w:szCs w:val="16"/>
      </w:rPr>
      <w:t>AMzino_210613; 2013. gada 25. jūnija</w:t>
    </w:r>
    <w:r w:rsidR="00BB150D" w:rsidRPr="00710B02">
      <w:rPr>
        <w:sz w:val="16"/>
        <w:szCs w:val="16"/>
      </w:rPr>
      <w:t xml:space="preserve"> Ministru kabineta sēdes darba kārtības punktā </w:t>
    </w:r>
    <w:r w:rsidR="00BB150D" w:rsidRPr="00710B02">
      <w:rPr>
        <w:i/>
        <w:iCs/>
        <w:sz w:val="16"/>
        <w:szCs w:val="16"/>
      </w:rPr>
      <w:t>“</w:t>
    </w:r>
    <w:r w:rsidR="00BB150D" w:rsidRPr="00710B02">
      <w:rPr>
        <w:i/>
        <w:iCs/>
        <w:color w:val="000000"/>
        <w:sz w:val="16"/>
        <w:szCs w:val="16"/>
        <w:lang w:eastAsia="lv-LV"/>
      </w:rPr>
      <w:t>Par</w:t>
    </w:r>
    <w:r w:rsidR="00BB150D">
      <w:rPr>
        <w:i/>
        <w:iCs/>
        <w:color w:val="000000"/>
        <w:sz w:val="16"/>
        <w:szCs w:val="16"/>
        <w:lang w:eastAsia="lv-LV"/>
      </w:rPr>
      <w:t xml:space="preserve"> Latvijas Republikas nacionālās pozīcijas</w:t>
    </w:r>
    <w:r w:rsidR="00BB150D" w:rsidRPr="00710B02">
      <w:rPr>
        <w:i/>
        <w:iCs/>
        <w:color w:val="000000"/>
        <w:sz w:val="16"/>
        <w:szCs w:val="16"/>
        <w:lang w:eastAsia="lv-LV"/>
      </w:rPr>
      <w:t xml:space="preserve"> apstiprināšanu pa</w:t>
    </w:r>
    <w:r w:rsidR="00BB150D">
      <w:rPr>
        <w:i/>
        <w:iCs/>
        <w:color w:val="000000"/>
        <w:sz w:val="16"/>
        <w:szCs w:val="16"/>
        <w:lang w:eastAsia="lv-LV"/>
      </w:rPr>
      <w:t>r ES kopējās nostājas projektu</w:t>
    </w:r>
    <w:r w:rsidR="00BB150D" w:rsidRPr="00710B02">
      <w:rPr>
        <w:i/>
        <w:iCs/>
        <w:color w:val="000000"/>
        <w:sz w:val="16"/>
        <w:szCs w:val="16"/>
        <w:lang w:eastAsia="lv-LV"/>
      </w:rPr>
      <w:t xml:space="preserve"> </w:t>
    </w:r>
    <w:r w:rsidR="00BB150D">
      <w:rPr>
        <w:i/>
        <w:iCs/>
        <w:color w:val="000000"/>
        <w:sz w:val="16"/>
        <w:szCs w:val="16"/>
        <w:lang w:eastAsia="lv-LV"/>
      </w:rPr>
      <w:t>pievienošanās sarunu ar Melnkalni 2</w:t>
    </w:r>
    <w:r>
      <w:rPr>
        <w:i/>
        <w:spacing w:val="-2"/>
        <w:sz w:val="16"/>
        <w:szCs w:val="16"/>
      </w:rPr>
      <w:t>0</w:t>
    </w:r>
    <w:r w:rsidR="00BB150D" w:rsidRPr="00710B02">
      <w:rPr>
        <w:i/>
        <w:spacing w:val="-2"/>
        <w:sz w:val="16"/>
        <w:szCs w:val="16"/>
      </w:rPr>
      <w:t xml:space="preserve">. sadaļā </w:t>
    </w:r>
    <w:r>
      <w:rPr>
        <w:i/>
        <w:spacing w:val="-2"/>
        <w:sz w:val="16"/>
        <w:szCs w:val="16"/>
      </w:rPr>
      <w:t>Uzņēmumu un rūpniecības politika</w:t>
    </w:r>
    <w:r w:rsidR="00BB150D" w:rsidRPr="00710B02">
      <w:rPr>
        <w:i/>
        <w:iCs/>
        <w:sz w:val="16"/>
        <w:szCs w:val="16"/>
      </w:rPr>
      <w:t>”</w:t>
    </w:r>
  </w:p>
  <w:p w:rsidR="00756B39" w:rsidRPr="007E1143" w:rsidRDefault="00E45ED1" w:rsidP="007E11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ED1" w:rsidRDefault="00E45ED1" w:rsidP="005741D7">
      <w:pPr>
        <w:spacing w:after="0" w:line="240" w:lineRule="auto"/>
      </w:pPr>
      <w:r>
        <w:separator/>
      </w:r>
    </w:p>
  </w:footnote>
  <w:footnote w:type="continuationSeparator" w:id="0">
    <w:p w:rsidR="00E45ED1" w:rsidRDefault="00E45ED1" w:rsidP="00574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B39" w:rsidRDefault="00BB150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756B39" w:rsidRDefault="00E45ED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B39" w:rsidRDefault="00BB150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5381">
      <w:rPr>
        <w:rStyle w:val="PageNumber"/>
        <w:noProof/>
      </w:rPr>
      <w:t>2</w:t>
    </w:r>
    <w:r>
      <w:rPr>
        <w:rStyle w:val="PageNumber"/>
      </w:rPr>
      <w:fldChar w:fldCharType="end"/>
    </w:r>
  </w:p>
  <w:p w:rsidR="00756B39" w:rsidRDefault="00E45ED1">
    <w:pPr>
      <w:pStyle w:val="Header"/>
      <w:framePr w:wrap="around" w:vAnchor="text" w:hAnchor="margin" w:xAlign="center" w:y="1"/>
      <w:ind w:right="360"/>
      <w:rPr>
        <w:rStyle w:val="PageNumber"/>
      </w:rPr>
    </w:pPr>
  </w:p>
  <w:p w:rsidR="00756B39" w:rsidRDefault="00E45ED1">
    <w:pPr>
      <w:pStyle w:val="Header"/>
      <w:rPr>
        <w:b/>
        <w:bCs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C5B8C"/>
    <w:multiLevelType w:val="hybridMultilevel"/>
    <w:tmpl w:val="AF8ABBFE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39A4D68"/>
    <w:multiLevelType w:val="hybridMultilevel"/>
    <w:tmpl w:val="2F96E1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D7"/>
    <w:rsid w:val="00215F80"/>
    <w:rsid w:val="004B0C0A"/>
    <w:rsid w:val="005741D7"/>
    <w:rsid w:val="008E4166"/>
    <w:rsid w:val="00BB150D"/>
    <w:rsid w:val="00C6301A"/>
    <w:rsid w:val="00E45ED1"/>
    <w:rsid w:val="00EB5381"/>
    <w:rsid w:val="00F1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1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1D7"/>
  </w:style>
  <w:style w:type="paragraph" w:styleId="Footer">
    <w:name w:val="footer"/>
    <w:basedOn w:val="Normal"/>
    <w:link w:val="FooterChar"/>
    <w:uiPriority w:val="99"/>
    <w:semiHidden/>
    <w:unhideWhenUsed/>
    <w:rsid w:val="005741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1D7"/>
  </w:style>
  <w:style w:type="character" w:styleId="PageNumber">
    <w:name w:val="page number"/>
    <w:basedOn w:val="DefaultParagraphFont"/>
    <w:rsid w:val="00574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1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1D7"/>
  </w:style>
  <w:style w:type="paragraph" w:styleId="Footer">
    <w:name w:val="footer"/>
    <w:basedOn w:val="Normal"/>
    <w:link w:val="FooterChar"/>
    <w:uiPriority w:val="99"/>
    <w:semiHidden/>
    <w:unhideWhenUsed/>
    <w:rsid w:val="005741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1D7"/>
  </w:style>
  <w:style w:type="character" w:styleId="PageNumber">
    <w:name w:val="page number"/>
    <w:basedOn w:val="DefaultParagraphFont"/>
    <w:rsid w:val="0057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1929</Words>
  <Characters>1101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Rigerte</dc:creator>
  <cp:lastModifiedBy>Gita Upite</cp:lastModifiedBy>
  <cp:revision>5</cp:revision>
  <dcterms:created xsi:type="dcterms:W3CDTF">2013-06-19T12:08:00Z</dcterms:created>
  <dcterms:modified xsi:type="dcterms:W3CDTF">2013-06-20T13:26:00Z</dcterms:modified>
</cp:coreProperties>
</file>