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2012.gada 26. jūnija Ministru kabineta sēdes darba kārtības punktā</w:t>
      </w:r>
    </w:p>
    <w:p w:rsidR="00AA34BD" w:rsidRDefault="00AA34BD" w:rsidP="00AA34BD">
      <w:pPr>
        <w:spacing w:before="120" w:after="120"/>
        <w:jc w:val="center"/>
        <w:rPr>
          <w:b/>
          <w:sz w:val="28"/>
          <w:szCs w:val="28"/>
        </w:rPr>
      </w:pPr>
      <w:r>
        <w:rPr>
          <w:b/>
          <w:sz w:val="28"/>
          <w:szCs w:val="28"/>
        </w:rPr>
        <w:t>“Par Latvijas Republikas nacionālo pozīciju apstiprināšanu 2012.gada 28.-29. jūnija Eiropadomes sanāksmei”</w:t>
      </w:r>
    </w:p>
    <w:p w:rsidR="00AA34BD" w:rsidRDefault="00AA34BD" w:rsidP="00AA34BD">
      <w:pPr>
        <w:spacing w:before="120" w:after="120"/>
        <w:jc w:val="both"/>
        <w:rPr>
          <w:bCs/>
        </w:rPr>
      </w:pPr>
    </w:p>
    <w:p w:rsidR="00830120" w:rsidRDefault="00AA34BD" w:rsidP="00830120">
      <w:pPr>
        <w:spacing w:before="120" w:after="120"/>
        <w:jc w:val="both"/>
      </w:pPr>
      <w:r w:rsidRPr="00830120">
        <w:rPr>
          <w:bCs/>
        </w:rPr>
        <w:t xml:space="preserve">2012.gada 28.-29.jūnija Eiropadomē Eiropas Savienības (ES) valstu un valdību vadītāji diskutēs </w:t>
      </w:r>
      <w:r w:rsidRPr="00830120">
        <w:t xml:space="preserve">par </w:t>
      </w:r>
      <w:r w:rsidR="00830120" w:rsidRPr="00830120">
        <w:t xml:space="preserve">ekonomikas politikas jautājumiem – </w:t>
      </w:r>
      <w:r w:rsidR="00830120" w:rsidRPr="007757DA">
        <w:rPr>
          <w:b/>
        </w:rPr>
        <w:t>izaugsmi, investīcijām, nodarbinātību</w:t>
      </w:r>
      <w:r w:rsidR="00830120" w:rsidRPr="00830120">
        <w:t xml:space="preserve">, t.sk. par </w:t>
      </w:r>
      <w:r w:rsidR="00830120" w:rsidRPr="007757DA">
        <w:rPr>
          <w:b/>
        </w:rPr>
        <w:t>Paktu izaugsmes un nodarbinātības veicināšanai Eiropā</w:t>
      </w:r>
      <w:r w:rsidR="00830120" w:rsidRPr="00830120">
        <w:t xml:space="preserve">, </w:t>
      </w:r>
      <w:r w:rsidR="00830120" w:rsidRPr="007757DA">
        <w:rPr>
          <w:b/>
        </w:rPr>
        <w:t>ES daudzgadu budžetu</w:t>
      </w:r>
      <w:r w:rsidR="00830120" w:rsidRPr="00830120">
        <w:t xml:space="preserve">, kā </w:t>
      </w:r>
      <w:r w:rsidR="007757DA" w:rsidRPr="007757DA">
        <w:rPr>
          <w:b/>
        </w:rPr>
        <w:t xml:space="preserve">ES paplašināšanos </w:t>
      </w:r>
      <w:r w:rsidR="00D363C1">
        <w:rPr>
          <w:b/>
        </w:rPr>
        <w:t>–</w:t>
      </w:r>
      <w:r w:rsidR="007757DA" w:rsidRPr="007757DA">
        <w:rPr>
          <w:b/>
        </w:rPr>
        <w:t xml:space="preserve"> </w:t>
      </w:r>
      <w:r w:rsidR="00830120" w:rsidRPr="007757DA">
        <w:rPr>
          <w:b/>
        </w:rPr>
        <w:t>Melnkalni</w:t>
      </w:r>
      <w:r w:rsidR="00D363C1">
        <w:rPr>
          <w:b/>
        </w:rPr>
        <w:t xml:space="preserve">. </w:t>
      </w:r>
      <w:r w:rsidR="00D363C1" w:rsidRPr="00D363C1">
        <w:t>Darba</w:t>
      </w:r>
      <w:r w:rsidR="00D363C1">
        <w:rPr>
          <w:b/>
        </w:rPr>
        <w:t xml:space="preserve"> </w:t>
      </w:r>
      <w:r w:rsidR="00D363C1">
        <w:t>kārtībā ir arī</w:t>
      </w:r>
      <w:r w:rsidR="00830120" w:rsidRPr="00830120">
        <w:t xml:space="preserve"> </w:t>
      </w:r>
      <w:r w:rsidR="00830120" w:rsidRPr="00D363C1">
        <w:t>iekšlietu un tieslietu jautājumi, kodolenerģētik</w:t>
      </w:r>
      <w:r w:rsidR="00D363C1">
        <w:t>a</w:t>
      </w:r>
      <w:r w:rsidR="00830120" w:rsidRPr="00830120">
        <w:t>, kā arī aktuālie ārpolitikas jautājumi.</w:t>
      </w:r>
    </w:p>
    <w:p w:rsidR="00397FF6" w:rsidRDefault="00EB3655" w:rsidP="00495834">
      <w:pPr>
        <w:spacing w:before="120" w:after="120"/>
        <w:jc w:val="both"/>
        <w:rPr>
          <w:b/>
        </w:rPr>
      </w:pPr>
      <w:r>
        <w:t xml:space="preserve">Diskusijas </w:t>
      </w:r>
      <w:r w:rsidR="00397FF6">
        <w:t xml:space="preserve">Eiropadomē </w:t>
      </w:r>
      <w:r>
        <w:t xml:space="preserve">par </w:t>
      </w:r>
      <w:r w:rsidR="00495834">
        <w:t xml:space="preserve">izaugsmes </w:t>
      </w:r>
      <w:r w:rsidR="007757DA">
        <w:t xml:space="preserve">veicināšanu </w:t>
      </w:r>
      <w:r w:rsidR="00232682">
        <w:t xml:space="preserve">pamatā </w:t>
      </w:r>
      <w:r w:rsidR="00495834">
        <w:t>balstī</w:t>
      </w:r>
      <w:r w:rsidR="00397FF6">
        <w:t>sies</w:t>
      </w:r>
      <w:r w:rsidR="00495834">
        <w:t xml:space="preserve"> uz </w:t>
      </w:r>
      <w:r w:rsidR="00232682">
        <w:t xml:space="preserve">diviem dokumentiem </w:t>
      </w:r>
      <w:r>
        <w:t>–</w:t>
      </w:r>
      <w:r w:rsidR="00495834">
        <w:t xml:space="preserve"> </w:t>
      </w:r>
      <w:r w:rsidRPr="00397FF6">
        <w:rPr>
          <w:b/>
        </w:rPr>
        <w:t>Paktu izaugsmes un nodarbinātības veicināšanai Eiropā</w:t>
      </w:r>
      <w:r>
        <w:t xml:space="preserve"> </w:t>
      </w:r>
      <w:r w:rsidR="00495834">
        <w:t xml:space="preserve">un </w:t>
      </w:r>
      <w:r>
        <w:rPr>
          <w:b/>
        </w:rPr>
        <w:t xml:space="preserve">ziņojumu </w:t>
      </w:r>
      <w:r w:rsidR="00495834">
        <w:rPr>
          <w:b/>
        </w:rPr>
        <w:t xml:space="preserve">par Ekonomikas un monetārās savienības nākotni. </w:t>
      </w:r>
    </w:p>
    <w:p w:rsidR="008E3CFD" w:rsidRPr="002825C5" w:rsidRDefault="00397FF6" w:rsidP="008E3CFD">
      <w:pPr>
        <w:spacing w:before="120" w:after="120"/>
        <w:jc w:val="both"/>
        <w:rPr>
          <w:rFonts w:eastAsia="Calibri"/>
        </w:rPr>
      </w:pPr>
      <w:r w:rsidRPr="00A85D6E">
        <w:rPr>
          <w:rFonts w:eastAsia="Calibri"/>
        </w:rPr>
        <w:t>Eiropadom</w:t>
      </w:r>
      <w:r w:rsidR="006F5A10">
        <w:rPr>
          <w:rFonts w:eastAsia="Calibri"/>
        </w:rPr>
        <w:t>es dalībnieki</w:t>
      </w:r>
      <w:r w:rsidRPr="00A85D6E">
        <w:rPr>
          <w:rFonts w:eastAsia="Calibri"/>
        </w:rPr>
        <w:t xml:space="preserve"> tiks aicināti pieņemt </w:t>
      </w:r>
      <w:r w:rsidR="008E3CFD">
        <w:rPr>
          <w:rFonts w:eastAsia="Calibri"/>
          <w:b/>
        </w:rPr>
        <w:t>P</w:t>
      </w:r>
      <w:r w:rsidRPr="008E3CFD">
        <w:rPr>
          <w:rFonts w:eastAsia="Calibri"/>
          <w:b/>
        </w:rPr>
        <w:t>aktu</w:t>
      </w:r>
      <w:r w:rsidRPr="00A85D6E">
        <w:rPr>
          <w:rFonts w:eastAsia="Calibri"/>
        </w:rPr>
        <w:t xml:space="preserve"> </w:t>
      </w:r>
      <w:r w:rsidRPr="00A85D6E">
        <w:rPr>
          <w:rFonts w:eastAsia="Calibri"/>
          <w:b/>
        </w:rPr>
        <w:t>izaugsmes un nodarbinātības veicināšanai Eiropā</w:t>
      </w:r>
      <w:r>
        <w:rPr>
          <w:rFonts w:eastAsia="Calibri"/>
        </w:rPr>
        <w:t xml:space="preserve">. </w:t>
      </w:r>
      <w:r w:rsidR="008E3CFD" w:rsidRPr="002825C5">
        <w:rPr>
          <w:rFonts w:eastAsia="Calibri"/>
        </w:rPr>
        <w:t>Pakt</w:t>
      </w:r>
      <w:r w:rsidR="006F5A10">
        <w:rPr>
          <w:rFonts w:eastAsia="Calibri"/>
        </w:rPr>
        <w:t>ā</w:t>
      </w:r>
      <w:r w:rsidR="008E3CFD" w:rsidRPr="002825C5">
        <w:rPr>
          <w:rFonts w:eastAsia="Calibri"/>
        </w:rPr>
        <w:t xml:space="preserve"> ir </w:t>
      </w:r>
      <w:r w:rsidR="006F5A10">
        <w:rPr>
          <w:rFonts w:eastAsia="Calibri"/>
        </w:rPr>
        <w:t xml:space="preserve">paredzēti </w:t>
      </w:r>
      <w:r w:rsidR="008E3CFD" w:rsidRPr="002825C5">
        <w:rPr>
          <w:rFonts w:eastAsia="Calibri"/>
        </w:rPr>
        <w:t xml:space="preserve">šādi </w:t>
      </w:r>
      <w:r w:rsidR="008E3CFD" w:rsidRPr="00232682">
        <w:rPr>
          <w:rFonts w:eastAsia="Calibri"/>
        </w:rPr>
        <w:t>elementi</w:t>
      </w:r>
      <w:r w:rsidR="008E3CFD" w:rsidRPr="002825C5">
        <w:rPr>
          <w:rFonts w:eastAsia="Calibri"/>
        </w:rPr>
        <w:t>:</w:t>
      </w:r>
    </w:p>
    <w:p w:rsidR="008E3CFD" w:rsidRPr="002825C5" w:rsidRDefault="008E3CFD" w:rsidP="008E3CFD">
      <w:pPr>
        <w:spacing w:before="120" w:after="120"/>
        <w:jc w:val="both"/>
        <w:rPr>
          <w:rFonts w:eastAsia="Calibri"/>
        </w:rPr>
      </w:pPr>
      <w:r w:rsidRPr="002825C5">
        <w:rPr>
          <w:rFonts w:eastAsia="Calibri"/>
        </w:rPr>
        <w:t>1.</w:t>
      </w:r>
      <w:r w:rsidRPr="002825C5">
        <w:rPr>
          <w:rFonts w:eastAsia="Calibri"/>
        </w:rPr>
        <w:tab/>
      </w:r>
      <w:r w:rsidRPr="008E3CFD">
        <w:rPr>
          <w:rFonts w:eastAsia="Calibri"/>
        </w:rPr>
        <w:t>Dalībvalstu</w:t>
      </w:r>
      <w:r w:rsidRPr="00676623">
        <w:rPr>
          <w:rFonts w:eastAsia="Calibri"/>
        </w:rPr>
        <w:t xml:space="preserve"> </w:t>
      </w:r>
      <w:r w:rsidRPr="002825C5">
        <w:rPr>
          <w:rFonts w:eastAsia="Calibri"/>
          <w:u w:val="single"/>
        </w:rPr>
        <w:t>nacionālā līmenī</w:t>
      </w:r>
      <w:r>
        <w:rPr>
          <w:rFonts w:eastAsia="Calibri"/>
        </w:rPr>
        <w:t xml:space="preserve"> veicami</w:t>
      </w:r>
      <w:r w:rsidR="00232682">
        <w:rPr>
          <w:rFonts w:eastAsia="Calibri"/>
        </w:rPr>
        <w:t>e</w:t>
      </w:r>
      <w:r>
        <w:rPr>
          <w:rFonts w:eastAsia="Calibri"/>
        </w:rPr>
        <w:t xml:space="preserve"> pasākumi</w:t>
      </w:r>
      <w:r w:rsidRPr="002825C5">
        <w:rPr>
          <w:rFonts w:eastAsia="Calibri"/>
        </w:rPr>
        <w:t xml:space="preserve"> stratēģijas </w:t>
      </w:r>
      <w:r w:rsidR="00232682">
        <w:rPr>
          <w:rFonts w:eastAsia="Calibri"/>
        </w:rPr>
        <w:t>„Eiropa 2020” īstenošanai</w:t>
      </w:r>
      <w:r>
        <w:rPr>
          <w:rFonts w:eastAsia="Calibri"/>
        </w:rPr>
        <w:t>;</w:t>
      </w:r>
      <w:r w:rsidRPr="002825C5">
        <w:rPr>
          <w:rFonts w:eastAsia="Calibri"/>
        </w:rPr>
        <w:t xml:space="preserve"> </w:t>
      </w:r>
    </w:p>
    <w:p w:rsidR="008E3CFD" w:rsidRPr="002825C5" w:rsidRDefault="008E3CFD" w:rsidP="00232682">
      <w:pPr>
        <w:jc w:val="both"/>
        <w:rPr>
          <w:rFonts w:eastAsia="Calibri"/>
        </w:rPr>
      </w:pPr>
      <w:r w:rsidRPr="002825C5">
        <w:rPr>
          <w:rFonts w:eastAsia="Calibri"/>
        </w:rPr>
        <w:t>2.</w:t>
      </w:r>
      <w:r w:rsidRPr="002825C5">
        <w:rPr>
          <w:rFonts w:eastAsia="Calibri"/>
        </w:rPr>
        <w:tab/>
      </w:r>
      <w:r w:rsidRPr="002825C5">
        <w:rPr>
          <w:rFonts w:eastAsia="Calibri"/>
          <w:u w:val="single"/>
        </w:rPr>
        <w:t>ES līmenī veicamie pasākumi</w:t>
      </w:r>
      <w:r>
        <w:rPr>
          <w:rFonts w:eastAsia="Calibri"/>
        </w:rPr>
        <w:t xml:space="preserve"> (īstermiņā un vidējā termiņā)</w:t>
      </w:r>
      <w:r w:rsidR="00232682">
        <w:rPr>
          <w:rFonts w:eastAsia="Calibri"/>
        </w:rPr>
        <w:t xml:space="preserve"> – </w:t>
      </w:r>
      <w:r w:rsidR="00352AEE">
        <w:rPr>
          <w:rFonts w:eastAsia="Calibri"/>
        </w:rPr>
        <w:t xml:space="preserve">t.sk., </w:t>
      </w:r>
      <w:r w:rsidRPr="002825C5">
        <w:rPr>
          <w:rFonts w:eastAsia="Calibri"/>
        </w:rPr>
        <w:t>Vienot</w:t>
      </w:r>
      <w:r w:rsidR="00352AEE">
        <w:rPr>
          <w:rFonts w:eastAsia="Calibri"/>
        </w:rPr>
        <w:t>ā</w:t>
      </w:r>
      <w:r w:rsidRPr="002825C5">
        <w:rPr>
          <w:rFonts w:eastAsia="Calibri"/>
        </w:rPr>
        <w:t xml:space="preserve"> tirgus </w:t>
      </w:r>
      <w:r w:rsidR="00352AEE">
        <w:rPr>
          <w:rFonts w:eastAsia="Calibri"/>
        </w:rPr>
        <w:t>padziļināšana</w:t>
      </w:r>
      <w:r w:rsidR="00676623">
        <w:rPr>
          <w:rFonts w:eastAsia="Calibri"/>
        </w:rPr>
        <w:t>;</w:t>
      </w:r>
      <w:r w:rsidR="00232682">
        <w:rPr>
          <w:rFonts w:eastAsia="Calibri"/>
        </w:rPr>
        <w:t xml:space="preserve"> </w:t>
      </w:r>
      <w:r>
        <w:rPr>
          <w:rFonts w:eastAsia="Calibri"/>
        </w:rPr>
        <w:t>Horizonts 2020</w:t>
      </w:r>
      <w:r w:rsidR="00352AEE">
        <w:rPr>
          <w:rFonts w:eastAsia="Calibri"/>
        </w:rPr>
        <w:t>;</w:t>
      </w:r>
      <w:r>
        <w:rPr>
          <w:rFonts w:eastAsia="Calibri"/>
        </w:rPr>
        <w:t xml:space="preserve"> Eiropas savienojumu instruments (CEF)</w:t>
      </w:r>
      <w:r w:rsidR="00352AEE">
        <w:rPr>
          <w:rFonts w:eastAsia="Calibri"/>
        </w:rPr>
        <w:t>;</w:t>
      </w:r>
      <w:r w:rsidRPr="002825C5">
        <w:rPr>
          <w:rFonts w:eastAsia="Calibri"/>
        </w:rPr>
        <w:t xml:space="preserve"> energoefektivitātes direktīva</w:t>
      </w:r>
      <w:r w:rsidR="00676623">
        <w:rPr>
          <w:rFonts w:eastAsia="Calibri"/>
        </w:rPr>
        <w:t>;</w:t>
      </w:r>
      <w:r w:rsidR="00232682">
        <w:rPr>
          <w:rFonts w:eastAsia="Calibri"/>
        </w:rPr>
        <w:t xml:space="preserve"> </w:t>
      </w:r>
      <w:r w:rsidRPr="003F5750">
        <w:rPr>
          <w:rFonts w:eastAsia="Calibri"/>
        </w:rPr>
        <w:t>E</w:t>
      </w:r>
      <w:r>
        <w:rPr>
          <w:rFonts w:eastAsia="Calibri"/>
        </w:rPr>
        <w:t xml:space="preserve">iropas Investīciju </w:t>
      </w:r>
      <w:r w:rsidRPr="003F5750">
        <w:rPr>
          <w:rFonts w:eastAsia="Calibri"/>
        </w:rPr>
        <w:t xml:space="preserve">bankas </w:t>
      </w:r>
      <w:r>
        <w:rPr>
          <w:rFonts w:eastAsia="Calibri"/>
        </w:rPr>
        <w:t xml:space="preserve">(EIB) </w:t>
      </w:r>
      <w:r w:rsidRPr="003F5750">
        <w:rPr>
          <w:rFonts w:eastAsia="Calibri"/>
        </w:rPr>
        <w:t xml:space="preserve">kapitāla </w:t>
      </w:r>
      <w:r>
        <w:rPr>
          <w:rFonts w:eastAsia="Calibri"/>
        </w:rPr>
        <w:t>palielināšana</w:t>
      </w:r>
      <w:r w:rsidR="00232682">
        <w:rPr>
          <w:rFonts w:eastAsia="Calibri"/>
        </w:rPr>
        <w:t xml:space="preserve">; </w:t>
      </w:r>
      <w:r w:rsidR="00352AEE">
        <w:rPr>
          <w:rFonts w:eastAsia="Calibri"/>
        </w:rPr>
        <w:t>ā</w:t>
      </w:r>
      <w:r w:rsidRPr="001E4559">
        <w:rPr>
          <w:rFonts w:eastAsia="Calibri"/>
        </w:rPr>
        <w:t>rējās tirdzniecības nosacījumu uzlabošana ar trešajām valstīm</w:t>
      </w:r>
      <w:r w:rsidR="00676623">
        <w:t>;</w:t>
      </w:r>
      <w:r w:rsidR="00232682">
        <w:t xml:space="preserve"> </w:t>
      </w:r>
      <w:r w:rsidR="00352AEE">
        <w:t>p</w:t>
      </w:r>
      <w:r w:rsidRPr="002825C5">
        <w:rPr>
          <w:rFonts w:eastAsia="Calibri"/>
        </w:rPr>
        <w:t xml:space="preserve">rojektu obligāciju </w:t>
      </w:r>
      <w:r>
        <w:rPr>
          <w:rFonts w:eastAsia="Calibri"/>
        </w:rPr>
        <w:t>pilotfāzes</w:t>
      </w:r>
      <w:r w:rsidRPr="002825C5">
        <w:rPr>
          <w:rFonts w:eastAsia="Calibri"/>
        </w:rPr>
        <w:t xml:space="preserve"> </w:t>
      </w:r>
      <w:r w:rsidR="00352AEE">
        <w:rPr>
          <w:rFonts w:eastAsia="Calibri"/>
        </w:rPr>
        <w:t xml:space="preserve">īstenošana </w:t>
      </w:r>
      <w:r>
        <w:rPr>
          <w:rFonts w:eastAsia="Calibri"/>
        </w:rPr>
        <w:t xml:space="preserve">un </w:t>
      </w:r>
      <w:r w:rsidR="00232682">
        <w:rPr>
          <w:rFonts w:eastAsia="Calibri"/>
        </w:rPr>
        <w:t xml:space="preserve">iniciatīvas </w:t>
      </w:r>
      <w:r>
        <w:rPr>
          <w:rFonts w:eastAsia="Calibri"/>
        </w:rPr>
        <w:t>attīstīšana nākotnē</w:t>
      </w:r>
      <w:r w:rsidR="00676623">
        <w:rPr>
          <w:rFonts w:eastAsia="Calibri"/>
        </w:rPr>
        <w:t>;</w:t>
      </w:r>
      <w:r w:rsidR="00232682">
        <w:rPr>
          <w:rFonts w:eastAsia="Calibri"/>
        </w:rPr>
        <w:t xml:space="preserve"> s</w:t>
      </w:r>
      <w:r w:rsidRPr="002825C5">
        <w:rPr>
          <w:rFonts w:eastAsia="Calibri"/>
        </w:rPr>
        <w:t>truktūrfondu pārplānoš</w:t>
      </w:r>
      <w:r>
        <w:rPr>
          <w:rFonts w:eastAsia="Calibri"/>
        </w:rPr>
        <w:t xml:space="preserve">ana, </w:t>
      </w:r>
      <w:r w:rsidRPr="002825C5">
        <w:rPr>
          <w:rFonts w:eastAsia="Calibri"/>
        </w:rPr>
        <w:t xml:space="preserve">īpašu uzmanību veltot EIB aizdevumu </w:t>
      </w:r>
      <w:r>
        <w:rPr>
          <w:rFonts w:eastAsia="Calibri"/>
        </w:rPr>
        <w:t>pieejamībai</w:t>
      </w:r>
      <w:r w:rsidR="00676623">
        <w:rPr>
          <w:rFonts w:eastAsia="Calibri"/>
        </w:rPr>
        <w:t>;</w:t>
      </w:r>
      <w:r w:rsidR="00232682">
        <w:rPr>
          <w:rFonts w:eastAsia="Calibri"/>
        </w:rPr>
        <w:t xml:space="preserve"> </w:t>
      </w:r>
      <w:r w:rsidRPr="00756C9D">
        <w:rPr>
          <w:rFonts w:eastAsia="Calibri"/>
        </w:rPr>
        <w:t>ES daudzgadu budžets kā izaugsmi veicinošs instruments</w:t>
      </w:r>
      <w:r w:rsidR="00676623">
        <w:rPr>
          <w:rFonts w:eastAsia="Calibri"/>
        </w:rPr>
        <w:t>.</w:t>
      </w:r>
    </w:p>
    <w:p w:rsidR="008E3CFD" w:rsidRPr="002825C5" w:rsidRDefault="008E3CFD" w:rsidP="008E3CFD">
      <w:pPr>
        <w:ind w:left="720"/>
        <w:jc w:val="both"/>
        <w:rPr>
          <w:rFonts w:eastAsia="Calibri"/>
        </w:rPr>
      </w:pPr>
    </w:p>
    <w:p w:rsidR="008E3CFD" w:rsidRPr="002825C5" w:rsidRDefault="008E3CFD" w:rsidP="00352AEE">
      <w:pPr>
        <w:jc w:val="both"/>
        <w:rPr>
          <w:rFonts w:eastAsia="Calibri"/>
          <w:u w:val="single"/>
        </w:rPr>
      </w:pPr>
      <w:r w:rsidRPr="002825C5">
        <w:rPr>
          <w:rFonts w:eastAsia="Calibri"/>
        </w:rPr>
        <w:t>3.</w:t>
      </w:r>
      <w:r w:rsidRPr="002825C5">
        <w:rPr>
          <w:rFonts w:eastAsia="Calibri"/>
        </w:rPr>
        <w:tab/>
      </w:r>
      <w:r w:rsidRPr="002825C5">
        <w:rPr>
          <w:rFonts w:eastAsia="Calibri"/>
          <w:u w:val="single"/>
        </w:rPr>
        <w:t xml:space="preserve">Ar ekonomisko un monetāro savienību saistītie </w:t>
      </w:r>
      <w:r w:rsidRPr="00922735">
        <w:rPr>
          <w:rFonts w:eastAsia="Calibri"/>
          <w:u w:val="single"/>
        </w:rPr>
        <w:t>elementi</w:t>
      </w:r>
      <w:r w:rsidR="00922735">
        <w:rPr>
          <w:rFonts w:eastAsia="Calibri"/>
        </w:rPr>
        <w:t xml:space="preserve"> - </w:t>
      </w:r>
      <w:r w:rsidRPr="00922735">
        <w:rPr>
          <w:rFonts w:eastAsia="Calibri"/>
        </w:rPr>
        <w:t>Eiro</w:t>
      </w:r>
      <w:r w:rsidRPr="002825C5">
        <w:rPr>
          <w:rFonts w:eastAsia="Calibri"/>
        </w:rPr>
        <w:t xml:space="preserve"> plus pakta </w:t>
      </w:r>
      <w:r w:rsidR="00352AEE">
        <w:rPr>
          <w:rFonts w:eastAsia="Calibri"/>
        </w:rPr>
        <w:t>pilnveidošana, uzlabojot</w:t>
      </w:r>
      <w:r w:rsidRPr="002825C5">
        <w:rPr>
          <w:rFonts w:eastAsia="Calibri"/>
        </w:rPr>
        <w:t xml:space="preserve"> </w:t>
      </w:r>
      <w:r w:rsidR="00352AEE">
        <w:rPr>
          <w:rFonts w:eastAsia="Calibri"/>
        </w:rPr>
        <w:t>konkurētspēju un konverģenci</w:t>
      </w:r>
      <w:r w:rsidR="00922735">
        <w:rPr>
          <w:rFonts w:eastAsia="Calibri"/>
        </w:rPr>
        <w:t xml:space="preserve">; līdzās Līgumam par stabilitāti, koordināciju un pārvaldību </w:t>
      </w:r>
      <w:r w:rsidR="00922735" w:rsidRPr="002825C5">
        <w:rPr>
          <w:rFonts w:eastAsia="Calibri"/>
        </w:rPr>
        <w:t>ekonomisk</w:t>
      </w:r>
      <w:r w:rsidR="00922735">
        <w:rPr>
          <w:rFonts w:eastAsia="Calibri"/>
        </w:rPr>
        <w:t>ās</w:t>
      </w:r>
      <w:r w:rsidR="00922735" w:rsidRPr="002825C5">
        <w:rPr>
          <w:rFonts w:eastAsia="Calibri"/>
        </w:rPr>
        <w:t xml:space="preserve"> un fiskāl</w:t>
      </w:r>
      <w:r w:rsidR="00922735">
        <w:rPr>
          <w:rFonts w:eastAsia="Calibri"/>
        </w:rPr>
        <w:t>ās</w:t>
      </w:r>
      <w:r w:rsidR="00922735" w:rsidRPr="002825C5">
        <w:rPr>
          <w:rFonts w:eastAsia="Calibri"/>
        </w:rPr>
        <w:t xml:space="preserve"> koordinācij</w:t>
      </w:r>
      <w:r w:rsidR="00922735">
        <w:rPr>
          <w:rFonts w:eastAsia="Calibri"/>
        </w:rPr>
        <w:t>as stiprināšana.</w:t>
      </w:r>
    </w:p>
    <w:p w:rsidR="00495834" w:rsidRDefault="00495834" w:rsidP="00495834">
      <w:pPr>
        <w:spacing w:before="120" w:after="120"/>
        <w:jc w:val="both"/>
      </w:pPr>
      <w:r>
        <w:rPr>
          <w:rFonts w:eastAsia="Calibri"/>
        </w:rPr>
        <w:t>Eiropadomes prezidents H.</w:t>
      </w:r>
      <w:r w:rsidR="00922735">
        <w:rPr>
          <w:rFonts w:eastAsia="Calibri"/>
        </w:rPr>
        <w:t xml:space="preserve"> v</w:t>
      </w:r>
      <w:r>
        <w:rPr>
          <w:rFonts w:eastAsia="Calibri"/>
        </w:rPr>
        <w:t xml:space="preserve">an Rompejs, sadarbībā ar Eiropas Komisijas priekšsēdētāju Ž.M. Barozu, Eiropas Centrālās bankas priekšsēdētāju M. Draghi un Eirozonas prezidentu Ž.K. Junkeru </w:t>
      </w:r>
      <w:r w:rsidR="00EB3655">
        <w:rPr>
          <w:rFonts w:eastAsia="Calibri"/>
        </w:rPr>
        <w:t>Eiropadomē nāks klajā ar</w:t>
      </w:r>
      <w:r>
        <w:rPr>
          <w:rFonts w:eastAsia="Calibri"/>
        </w:rPr>
        <w:t xml:space="preserve"> </w:t>
      </w:r>
      <w:r w:rsidRPr="00495834">
        <w:rPr>
          <w:rFonts w:eastAsia="Calibri"/>
          <w:b/>
        </w:rPr>
        <w:t>ziņojumu par Ekonomisko un monetāro savienību</w:t>
      </w:r>
      <w:r>
        <w:rPr>
          <w:rFonts w:eastAsia="Calibri"/>
        </w:rPr>
        <w:t xml:space="preserve">. Ziņojumā ir izdalīti 3 elementi: </w:t>
      </w:r>
      <w:r>
        <w:rPr>
          <w:b/>
        </w:rPr>
        <w:t>banku integrācija</w:t>
      </w:r>
      <w:r>
        <w:t xml:space="preserve">, </w:t>
      </w:r>
      <w:r>
        <w:rPr>
          <w:b/>
        </w:rPr>
        <w:t>fiskālā integrācija</w:t>
      </w:r>
      <w:r>
        <w:t xml:space="preserve">, </w:t>
      </w:r>
      <w:r>
        <w:rPr>
          <w:b/>
        </w:rPr>
        <w:t>ekonomiskā integrācija</w:t>
      </w:r>
      <w:r>
        <w:t>.</w:t>
      </w:r>
      <w:r w:rsidRPr="00495834">
        <w:t xml:space="preserve"> </w:t>
      </w:r>
      <w:r w:rsidR="00EB3655">
        <w:t xml:space="preserve">Ir plānots, ka pēc diskusijām </w:t>
      </w:r>
      <w:r>
        <w:t xml:space="preserve">Eiropadomē </w:t>
      </w:r>
      <w:r w:rsidR="00EB3655">
        <w:t xml:space="preserve">līdz decembra sanāksmei turpināsies </w:t>
      </w:r>
      <w:r>
        <w:t>darbs pie ziņojuma</w:t>
      </w:r>
      <w:r w:rsidR="00EB3655">
        <w:t>, tai skaitā konsultējoties ar dalībvalstīm.</w:t>
      </w:r>
      <w:r>
        <w:t xml:space="preserve"> </w:t>
      </w:r>
    </w:p>
    <w:p w:rsidR="00FC11C2" w:rsidRPr="00BB54B2" w:rsidRDefault="00BB54B2" w:rsidP="00BB54B2">
      <w:pPr>
        <w:spacing w:before="120" w:after="120"/>
        <w:jc w:val="both"/>
        <w:rPr>
          <w:rFonts w:eastAsia="Calibri"/>
        </w:rPr>
      </w:pPr>
      <w:r>
        <w:t>Plānots, ka j</w:t>
      </w:r>
      <w:r w:rsidR="00FC11C2" w:rsidRPr="00FC11C2">
        <w:t>ūnija Eiropadomē tiks apsti</w:t>
      </w:r>
      <w:r w:rsidR="008E3CFD">
        <w:t xml:space="preserve">prinātas </w:t>
      </w:r>
      <w:r w:rsidR="008E3CFD" w:rsidRPr="008E3CFD">
        <w:rPr>
          <w:u w:val="single"/>
        </w:rPr>
        <w:t>dalībvalstu individuālās</w:t>
      </w:r>
      <w:r w:rsidR="00FC11C2" w:rsidRPr="008E3CFD">
        <w:rPr>
          <w:u w:val="single"/>
        </w:rPr>
        <w:t xml:space="preserve"> rekomendācijas</w:t>
      </w:r>
      <w:r w:rsidR="00FC11C2" w:rsidRPr="00FC11C2">
        <w:t xml:space="preserve">, kuras </w:t>
      </w:r>
      <w:r w:rsidR="00FC11C2" w:rsidRPr="00FC11C2">
        <w:rPr>
          <w:rFonts w:eastAsia="Calibri"/>
        </w:rPr>
        <w:t xml:space="preserve">ir sagatavotas, izvērtējot dalībvalstu iesniegtās Nacionālās reformu programmas un Stabilitātes un Konverģences programmas. Apstiprinot rekomendācijas, tiks noslēgts </w:t>
      </w:r>
      <w:r w:rsidR="00FC11C2" w:rsidRPr="008E3CFD">
        <w:rPr>
          <w:rFonts w:eastAsia="Calibri"/>
          <w:u w:val="single"/>
        </w:rPr>
        <w:t>Eiropas Semestris</w:t>
      </w:r>
      <w:r>
        <w:rPr>
          <w:rFonts w:eastAsia="Calibri"/>
        </w:rPr>
        <w:t xml:space="preserve">. </w:t>
      </w:r>
      <w:r w:rsidR="00FC11C2" w:rsidRPr="00FC11C2">
        <w:rPr>
          <w:b/>
          <w:bCs/>
        </w:rPr>
        <w:t>Latvija</w:t>
      </w:r>
      <w:r w:rsidR="00FC11C2" w:rsidRPr="00FC11C2">
        <w:rPr>
          <w:bCs/>
        </w:rPr>
        <w:t xml:space="preserve"> sagaida, ka jūnija </w:t>
      </w:r>
      <w:r w:rsidR="00FC11C2" w:rsidRPr="00FC11C2">
        <w:rPr>
          <w:bCs/>
        </w:rPr>
        <w:lastRenderedPageBreak/>
        <w:t xml:space="preserve">Eiropadomē apstiprinātās </w:t>
      </w:r>
      <w:r>
        <w:rPr>
          <w:b/>
          <w:bCs/>
        </w:rPr>
        <w:t>valstu individuālās</w:t>
      </w:r>
      <w:r w:rsidR="00FC11C2" w:rsidRPr="00FC11C2">
        <w:rPr>
          <w:b/>
          <w:bCs/>
        </w:rPr>
        <w:t xml:space="preserve"> rekomendācijas</w:t>
      </w:r>
      <w:r w:rsidR="00FC11C2" w:rsidRPr="00FC11C2">
        <w:rPr>
          <w:bCs/>
        </w:rPr>
        <w:t xml:space="preserve"> dos ieguldījumu reformu īstenošanā un virzīšanos uz „Eiropa 2020” stratēģijas mērķu sasniegšanu. </w:t>
      </w:r>
    </w:p>
    <w:p w:rsidR="00D363C1" w:rsidRPr="00BB54B2" w:rsidRDefault="00FC11C2" w:rsidP="00D363C1">
      <w:pPr>
        <w:spacing w:before="120" w:after="120"/>
        <w:jc w:val="both"/>
        <w:rPr>
          <w:rFonts w:eastAsia="Calibri"/>
        </w:rPr>
      </w:pPr>
      <w:r w:rsidRPr="005D45B4">
        <w:rPr>
          <w:rFonts w:eastAsia="Calibri"/>
        </w:rPr>
        <w:t xml:space="preserve">Balstoties uz Dānijas prezidentūras sagatavoto sarunu ietvaru, Eiropadomē notiks pirmā valstu un valdību vadītāju viedokļu apmaiņa par </w:t>
      </w:r>
      <w:r w:rsidRPr="005D45B4">
        <w:rPr>
          <w:rFonts w:eastAsia="Calibri"/>
          <w:b/>
        </w:rPr>
        <w:t>ES daudzgadu budžetu 2014.-2020.gadam</w:t>
      </w:r>
      <w:r w:rsidRPr="005D45B4">
        <w:rPr>
          <w:rFonts w:eastAsia="Calibri"/>
        </w:rPr>
        <w:t xml:space="preserve">, tai skaitā, pievēršot uzmanību tam, kā jaunais ES daudzgadu budžets var veiksmīgāk veicināt ekonomisko izaugsmi Eiropā. </w:t>
      </w:r>
    </w:p>
    <w:p w:rsidR="00E84E9E" w:rsidRDefault="00E84E9E" w:rsidP="00E84E9E">
      <w:pPr>
        <w:spacing w:before="120" w:after="120"/>
        <w:jc w:val="both"/>
      </w:pPr>
      <w:r>
        <w:t xml:space="preserve">Jūnija Eiropadomē plānots pārrunāt </w:t>
      </w:r>
      <w:r w:rsidR="00BB54B2">
        <w:t xml:space="preserve">arī </w:t>
      </w:r>
      <w:r>
        <w:rPr>
          <w:b/>
        </w:rPr>
        <w:t>ES paplašināšanās</w:t>
      </w:r>
      <w:r>
        <w:t xml:space="preserve"> jautājumu, konkrēti –apstiprināt š.g. 26.jūnija Vispārējo lietu padomes lēmumu par pievienošanās sarun</w:t>
      </w:r>
      <w:r w:rsidR="00922735">
        <w:t>ām</w:t>
      </w:r>
      <w:r>
        <w:t xml:space="preserve"> ar </w:t>
      </w:r>
      <w:r>
        <w:rPr>
          <w:b/>
        </w:rPr>
        <w:t>Melnkalni.</w:t>
      </w:r>
      <w:r>
        <w:t xml:space="preserve"> </w:t>
      </w:r>
    </w:p>
    <w:p w:rsidR="00E84E9E" w:rsidRPr="00BB54B2" w:rsidRDefault="00E84E9E" w:rsidP="00BB54B2">
      <w:pPr>
        <w:jc w:val="both"/>
      </w:pPr>
      <w:r>
        <w:rPr>
          <w:color w:val="000000"/>
        </w:rPr>
        <w:t>Tradicionāli jūnija E</w:t>
      </w:r>
      <w:r w:rsidR="00BB54B2">
        <w:rPr>
          <w:color w:val="000000"/>
        </w:rPr>
        <w:t xml:space="preserve">iropadomē </w:t>
      </w:r>
      <w:r w:rsidR="00922735">
        <w:rPr>
          <w:color w:val="000000"/>
        </w:rPr>
        <w:t xml:space="preserve">ir </w:t>
      </w:r>
      <w:r w:rsidR="00BB54B2">
        <w:rPr>
          <w:b/>
          <w:color w:val="000000"/>
        </w:rPr>
        <w:t>iekšlietu un tieslietu jautājumi</w:t>
      </w:r>
      <w:r w:rsidR="00922735">
        <w:rPr>
          <w:b/>
          <w:color w:val="000000"/>
        </w:rPr>
        <w:t xml:space="preserve"> </w:t>
      </w:r>
      <w:r w:rsidR="00922735">
        <w:rPr>
          <w:color w:val="000000"/>
        </w:rPr>
        <w:t>–</w:t>
      </w:r>
      <w:r w:rsidR="00B767DA">
        <w:rPr>
          <w:color w:val="000000"/>
        </w:rPr>
        <w:t xml:space="preserve"> </w:t>
      </w:r>
      <w:r w:rsidR="00B767DA">
        <w:t xml:space="preserve">sasniegtais </w:t>
      </w:r>
      <w:r w:rsidR="00BB54B2">
        <w:t>darb</w:t>
      </w:r>
      <w:r w:rsidR="00B767DA">
        <w:t>ā</w:t>
      </w:r>
      <w:r w:rsidR="00BB54B2">
        <w:t xml:space="preserve"> ar priekšlikumiem par Šengenas pārvaldību un Vīzu režīmu</w:t>
      </w:r>
      <w:r w:rsidR="00B767DA">
        <w:t xml:space="preserve">; paveiktais attiecībā uz </w:t>
      </w:r>
      <w:r w:rsidR="00BB54B2">
        <w:t>Dublinas regul</w:t>
      </w:r>
      <w:r w:rsidR="00B767DA">
        <w:t>u</w:t>
      </w:r>
      <w:r w:rsidR="00BB54B2">
        <w:t>, Uzņemšanas nosacījumu direktīv</w:t>
      </w:r>
      <w:r w:rsidR="00B767DA">
        <w:t>u un</w:t>
      </w:r>
      <w:r w:rsidR="00BB54B2">
        <w:t xml:space="preserve"> Patvēruma procedūru direktīv</w:t>
      </w:r>
      <w:r w:rsidR="00B767DA">
        <w:t xml:space="preserve">u; </w:t>
      </w:r>
      <w:r w:rsidR="00BB54B2">
        <w:t xml:space="preserve">Kipra, kā nākamā prezidentūra, </w:t>
      </w:r>
      <w:r w:rsidR="00922735">
        <w:t xml:space="preserve">tiks aicināta </w:t>
      </w:r>
      <w:r w:rsidR="00BB54B2">
        <w:t>nodrošināt savlaicīgu Eiropas kopējā patvēruma sistēmas atlikušo pasākumu pieņemšanu līdz š.</w:t>
      </w:r>
      <w:r w:rsidR="00676623">
        <w:t xml:space="preserve">g. beigām. </w:t>
      </w:r>
      <w:r>
        <w:rPr>
          <w:b/>
          <w:bCs/>
          <w:color w:val="000000"/>
        </w:rPr>
        <w:t>Latvija</w:t>
      </w:r>
      <w:r>
        <w:rPr>
          <w:color w:val="000000"/>
        </w:rPr>
        <w:t xml:space="preserve"> atbalsta sasniegt</w:t>
      </w:r>
      <w:r w:rsidR="00B767DA">
        <w:rPr>
          <w:color w:val="000000"/>
        </w:rPr>
        <w:t>o</w:t>
      </w:r>
      <w:r>
        <w:rPr>
          <w:color w:val="000000"/>
        </w:rPr>
        <w:t xml:space="preserve"> iekšlietu un tieslietu jautājumos, tai skaitā ierosinātos pasākumus Šengenas telpas stiprināšanā, kā arī solidaritāti cīņā ar nelegālo imigrāciju un sadarbību ārējo robežu pārvaldībā.</w:t>
      </w:r>
    </w:p>
    <w:p w:rsidR="002D0EE8" w:rsidRDefault="002D0EE8" w:rsidP="00F93618">
      <w:pPr>
        <w:pStyle w:val="Header"/>
        <w:spacing w:after="120"/>
        <w:ind w:right="-540"/>
        <w:rPr>
          <w:bCs/>
        </w:rPr>
      </w:pPr>
    </w:p>
    <w:p w:rsidR="00F93618" w:rsidRPr="00915E08" w:rsidRDefault="003E2C7B" w:rsidP="00F93618">
      <w:pPr>
        <w:pStyle w:val="Header"/>
        <w:spacing w:after="120"/>
        <w:ind w:right="-540"/>
        <w:rPr>
          <w:bCs/>
        </w:rPr>
      </w:pPr>
      <w:r>
        <w:rPr>
          <w:bCs/>
        </w:rPr>
        <w:t xml:space="preserve">Iesniedzējs: ārlietu ministra p.i. </w:t>
      </w:r>
      <w:r w:rsidR="00F93618">
        <w:rPr>
          <w:bCs/>
        </w:rPr>
        <w:tab/>
      </w:r>
      <w:r w:rsidR="00957291">
        <w:rPr>
          <w:bCs/>
        </w:rPr>
        <w:tab/>
        <w:t>A. Ronis</w:t>
      </w:r>
      <w:r w:rsidR="00F04D8C">
        <w:rPr>
          <w:bCs/>
        </w:rPr>
        <w:t xml:space="preserve"> </w:t>
      </w:r>
      <w:r w:rsidR="00F93618" w:rsidRPr="00915E08">
        <w:rPr>
          <w:bCs/>
        </w:rPr>
        <w:tab/>
      </w:r>
    </w:p>
    <w:p w:rsidR="00F93618" w:rsidRDefault="00F93618" w:rsidP="00F93618">
      <w:pPr>
        <w:pStyle w:val="Header"/>
        <w:spacing w:after="120"/>
        <w:ind w:right="-540"/>
        <w:rPr>
          <w:bCs/>
        </w:rPr>
      </w:pPr>
    </w:p>
    <w:p w:rsidR="00BB54B2" w:rsidRDefault="00BB54B2" w:rsidP="00F93618">
      <w:pPr>
        <w:pStyle w:val="Header"/>
        <w:spacing w:after="120"/>
        <w:ind w:right="-540"/>
        <w:rPr>
          <w:bCs/>
        </w:rPr>
      </w:pPr>
    </w:p>
    <w:p w:rsidR="00F93618" w:rsidRPr="00915E08" w:rsidRDefault="00F93618" w:rsidP="00F93618">
      <w:pPr>
        <w:pStyle w:val="Header"/>
        <w:spacing w:after="120"/>
        <w:ind w:right="-540"/>
        <w:rPr>
          <w:bCs/>
        </w:rPr>
      </w:pPr>
      <w:r w:rsidRPr="00915E08">
        <w:rPr>
          <w:bCs/>
        </w:rPr>
        <w:t>Vīza: valsts sekretārs</w:t>
      </w:r>
      <w:r w:rsidRPr="00915E08">
        <w:rPr>
          <w:bCs/>
        </w:rPr>
        <w:tab/>
      </w:r>
      <w:r w:rsidRPr="00915E08">
        <w:rPr>
          <w:bCs/>
        </w:rPr>
        <w:tab/>
        <w:t>A.Teikmanis</w:t>
      </w:r>
      <w:r w:rsidRPr="00915E08">
        <w:rPr>
          <w:bCs/>
        </w:rPr>
        <w:tab/>
        <w:t xml:space="preserve">                 </w:t>
      </w:r>
    </w:p>
    <w:p w:rsidR="00BF42AE" w:rsidRDefault="00BF42AE"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bookmarkStart w:id="0" w:name="_GoBack"/>
      <w:bookmarkEnd w:id="0"/>
    </w:p>
    <w:p w:rsidR="00F93618" w:rsidRDefault="00F93618" w:rsidP="00F93618">
      <w:pPr>
        <w:pStyle w:val="Header"/>
        <w:rPr>
          <w:bCs/>
          <w:highlight w:val="yellow"/>
        </w:rPr>
      </w:pPr>
    </w:p>
    <w:p w:rsidR="00F93618" w:rsidRPr="00F93618" w:rsidRDefault="00F04D8C" w:rsidP="00F93618">
      <w:pPr>
        <w:pStyle w:val="Header"/>
        <w:rPr>
          <w:bCs/>
          <w:sz w:val="20"/>
          <w:szCs w:val="20"/>
        </w:rPr>
      </w:pPr>
      <w:r>
        <w:rPr>
          <w:bCs/>
          <w:sz w:val="20"/>
          <w:szCs w:val="20"/>
        </w:rPr>
        <w:t>26.06</w:t>
      </w:r>
      <w:r w:rsidR="00F93618" w:rsidRPr="00F93618">
        <w:rPr>
          <w:bCs/>
          <w:sz w:val="20"/>
          <w:szCs w:val="20"/>
        </w:rPr>
        <w:t>.</w:t>
      </w:r>
      <w:r w:rsidR="0052792B">
        <w:rPr>
          <w:bCs/>
          <w:sz w:val="20"/>
          <w:szCs w:val="20"/>
        </w:rPr>
        <w:t>2012</w:t>
      </w:r>
      <w:r w:rsidR="00700E1D">
        <w:rPr>
          <w:bCs/>
          <w:sz w:val="20"/>
          <w:szCs w:val="20"/>
        </w:rPr>
        <w:t>. 10:3</w:t>
      </w:r>
      <w:r w:rsidR="00C75B47">
        <w:rPr>
          <w:bCs/>
          <w:sz w:val="20"/>
          <w:szCs w:val="20"/>
        </w:rPr>
        <w:t>0</w:t>
      </w:r>
    </w:p>
    <w:p w:rsidR="00F93618" w:rsidRPr="00F93618" w:rsidRDefault="007A5176" w:rsidP="00F93618">
      <w:pPr>
        <w:pStyle w:val="Header"/>
        <w:rPr>
          <w:sz w:val="20"/>
          <w:szCs w:val="20"/>
        </w:rPr>
      </w:pPr>
      <w:r>
        <w:rPr>
          <w:sz w:val="20"/>
          <w:szCs w:val="20"/>
        </w:rPr>
        <w:t>466</w:t>
      </w:r>
    </w:p>
    <w:p w:rsidR="00F93618" w:rsidRPr="00F93618" w:rsidRDefault="00F93618" w:rsidP="00F93618">
      <w:pPr>
        <w:pStyle w:val="Header"/>
        <w:rPr>
          <w:sz w:val="20"/>
          <w:szCs w:val="20"/>
        </w:rPr>
      </w:pPr>
      <w:r w:rsidRPr="00F93618">
        <w:rPr>
          <w:sz w:val="20"/>
          <w:szCs w:val="20"/>
        </w:rPr>
        <w:t>Laura Dzelzīte, 67016446</w:t>
      </w:r>
    </w:p>
    <w:p w:rsidR="003F564F" w:rsidRPr="00E75A5D" w:rsidRDefault="00D73701" w:rsidP="00E75A5D">
      <w:pPr>
        <w:pStyle w:val="Header"/>
        <w:rPr>
          <w:sz w:val="20"/>
          <w:szCs w:val="20"/>
        </w:rPr>
      </w:pPr>
      <w:hyperlink r:id="rId8" w:history="1">
        <w:r w:rsidR="00F93618" w:rsidRPr="00F93618">
          <w:rPr>
            <w:rStyle w:val="Hyperlink"/>
            <w:sz w:val="20"/>
            <w:szCs w:val="20"/>
          </w:rPr>
          <w:t>laura.dzelzite@mfa.gov.lv</w:t>
        </w:r>
      </w:hyperlink>
    </w:p>
    <w:sectPr w:rsidR="003F564F" w:rsidRPr="00E75A5D" w:rsidSect="00815C9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F2" w:rsidRDefault="00741CF2" w:rsidP="008A23D7">
      <w:r>
        <w:separator/>
      </w:r>
    </w:p>
  </w:endnote>
  <w:endnote w:type="continuationSeparator" w:id="0">
    <w:p w:rsidR="00741CF2" w:rsidRDefault="00741CF2"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85220"/>
      <w:docPartObj>
        <w:docPartGallery w:val="Page Numbers (Bottom of Page)"/>
        <w:docPartUnique/>
      </w:docPartObj>
    </w:sdtPr>
    <w:sdtEndPr>
      <w:rPr>
        <w:noProof/>
      </w:rPr>
    </w:sdtEndPr>
    <w:sdtContent>
      <w:p w:rsidR="00BB54B2" w:rsidRDefault="00BB54B2" w:rsidP="00F04D8C">
        <w:pPr>
          <w:pStyle w:val="Footer"/>
          <w:jc w:val="both"/>
        </w:pPr>
      </w:p>
      <w:p w:rsidR="00BB54B2" w:rsidRDefault="00BB54B2" w:rsidP="00F04D8C">
        <w:pPr>
          <w:pStyle w:val="Footer"/>
          <w:jc w:val="both"/>
        </w:pPr>
      </w:p>
      <w:p w:rsidR="008E3CFD" w:rsidRPr="00F56AB8" w:rsidRDefault="008E3CFD" w:rsidP="00F04D8C">
        <w:pPr>
          <w:pStyle w:val="Footer"/>
          <w:jc w:val="both"/>
          <w:rPr>
            <w:sz w:val="20"/>
            <w:szCs w:val="20"/>
          </w:rPr>
        </w:pPr>
        <w:r>
          <w:rPr>
            <w:sz w:val="20"/>
            <w:szCs w:val="20"/>
          </w:rPr>
          <w:t>AMzino_2606</w:t>
        </w:r>
        <w:r w:rsidRPr="00F56AB8">
          <w:rPr>
            <w:sz w:val="20"/>
            <w:szCs w:val="20"/>
          </w:rPr>
          <w:t xml:space="preserve">12;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par 2012.gada 28.-29.jūnija </w:t>
        </w:r>
        <w:r w:rsidRPr="00F56AB8">
          <w:rPr>
            <w:sz w:val="20"/>
            <w:szCs w:val="20"/>
          </w:rPr>
          <w:t>Eiropadomes darba kārtības jautājumiem</w:t>
        </w:r>
      </w:p>
      <w:p w:rsidR="008E3CFD" w:rsidRPr="00F56AB8" w:rsidRDefault="008E3CFD" w:rsidP="005B576B">
        <w:pPr>
          <w:pStyle w:val="Footer"/>
          <w:jc w:val="both"/>
          <w:rPr>
            <w:sz w:val="20"/>
            <w:szCs w:val="20"/>
          </w:rPr>
        </w:pPr>
      </w:p>
      <w:p w:rsidR="008E3CFD" w:rsidRDefault="008E3CFD">
        <w:pPr>
          <w:pStyle w:val="Footer"/>
          <w:jc w:val="right"/>
        </w:pPr>
        <w:r>
          <w:fldChar w:fldCharType="begin"/>
        </w:r>
        <w:r>
          <w:instrText xml:space="preserve"> PAGE   \* MERGEFORMAT </w:instrText>
        </w:r>
        <w:r>
          <w:fldChar w:fldCharType="separate"/>
        </w:r>
        <w:r w:rsidR="00D73701">
          <w:rPr>
            <w:noProof/>
          </w:rPr>
          <w:t>2</w:t>
        </w:r>
        <w:r>
          <w:rPr>
            <w:noProof/>
          </w:rPr>
          <w:fldChar w:fldCharType="end"/>
        </w:r>
      </w:p>
    </w:sdtContent>
  </w:sdt>
  <w:p w:rsidR="008E3CFD" w:rsidRDefault="008E3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F2" w:rsidRDefault="00741CF2" w:rsidP="008A23D7">
      <w:r>
        <w:separator/>
      </w:r>
    </w:p>
  </w:footnote>
  <w:footnote w:type="continuationSeparator" w:id="0">
    <w:p w:rsidR="00741CF2" w:rsidRDefault="00741CF2"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5">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398D"/>
    <w:rsid w:val="00084A7A"/>
    <w:rsid w:val="000859B1"/>
    <w:rsid w:val="00086E31"/>
    <w:rsid w:val="000942AB"/>
    <w:rsid w:val="00097F1E"/>
    <w:rsid w:val="000A68FB"/>
    <w:rsid w:val="000B041F"/>
    <w:rsid w:val="000B54A9"/>
    <w:rsid w:val="000B6585"/>
    <w:rsid w:val="000B6F64"/>
    <w:rsid w:val="000E1C6C"/>
    <w:rsid w:val="000F096D"/>
    <w:rsid w:val="000F0C4B"/>
    <w:rsid w:val="000F3787"/>
    <w:rsid w:val="00115B05"/>
    <w:rsid w:val="00120D76"/>
    <w:rsid w:val="00121BC2"/>
    <w:rsid w:val="00125F29"/>
    <w:rsid w:val="001629F4"/>
    <w:rsid w:val="001814A6"/>
    <w:rsid w:val="00191B4D"/>
    <w:rsid w:val="001B1DC0"/>
    <w:rsid w:val="001B3CE9"/>
    <w:rsid w:val="001C39FF"/>
    <w:rsid w:val="001E3CB6"/>
    <w:rsid w:val="001E3E5A"/>
    <w:rsid w:val="00220EB3"/>
    <w:rsid w:val="00226614"/>
    <w:rsid w:val="00230D78"/>
    <w:rsid w:val="00232682"/>
    <w:rsid w:val="00240457"/>
    <w:rsid w:val="00246BE1"/>
    <w:rsid w:val="002572BF"/>
    <w:rsid w:val="00260914"/>
    <w:rsid w:val="00261974"/>
    <w:rsid w:val="00262411"/>
    <w:rsid w:val="00286B51"/>
    <w:rsid w:val="00296658"/>
    <w:rsid w:val="00297EF9"/>
    <w:rsid w:val="002A10A2"/>
    <w:rsid w:val="002A63BF"/>
    <w:rsid w:val="002B4921"/>
    <w:rsid w:val="002D0EE8"/>
    <w:rsid w:val="002D3917"/>
    <w:rsid w:val="002E08CC"/>
    <w:rsid w:val="002E3E95"/>
    <w:rsid w:val="002E57C7"/>
    <w:rsid w:val="00303B40"/>
    <w:rsid w:val="003063C8"/>
    <w:rsid w:val="00314F32"/>
    <w:rsid w:val="003275CE"/>
    <w:rsid w:val="00341684"/>
    <w:rsid w:val="00352AEE"/>
    <w:rsid w:val="0036112E"/>
    <w:rsid w:val="00365AAF"/>
    <w:rsid w:val="00371E0A"/>
    <w:rsid w:val="00381ACC"/>
    <w:rsid w:val="003849AC"/>
    <w:rsid w:val="00397FF6"/>
    <w:rsid w:val="003A057A"/>
    <w:rsid w:val="003B2636"/>
    <w:rsid w:val="003B42F2"/>
    <w:rsid w:val="003C2455"/>
    <w:rsid w:val="003D0F75"/>
    <w:rsid w:val="003D163A"/>
    <w:rsid w:val="003E2C7B"/>
    <w:rsid w:val="003F0C1C"/>
    <w:rsid w:val="003F564F"/>
    <w:rsid w:val="00401E93"/>
    <w:rsid w:val="004068CF"/>
    <w:rsid w:val="00421F69"/>
    <w:rsid w:val="00422FE8"/>
    <w:rsid w:val="004258C5"/>
    <w:rsid w:val="004319C8"/>
    <w:rsid w:val="00450C8C"/>
    <w:rsid w:val="00463EE5"/>
    <w:rsid w:val="004902B3"/>
    <w:rsid w:val="00495834"/>
    <w:rsid w:val="00497D21"/>
    <w:rsid w:val="004A1AEC"/>
    <w:rsid w:val="004B2B1C"/>
    <w:rsid w:val="004C64E2"/>
    <w:rsid w:val="004D3FF6"/>
    <w:rsid w:val="004D6BCC"/>
    <w:rsid w:val="004E5776"/>
    <w:rsid w:val="004F701B"/>
    <w:rsid w:val="00501E69"/>
    <w:rsid w:val="00504855"/>
    <w:rsid w:val="00522CDC"/>
    <w:rsid w:val="005262BD"/>
    <w:rsid w:val="0052792B"/>
    <w:rsid w:val="00557760"/>
    <w:rsid w:val="00567012"/>
    <w:rsid w:val="00570DF8"/>
    <w:rsid w:val="005710B9"/>
    <w:rsid w:val="0057259D"/>
    <w:rsid w:val="00572ED6"/>
    <w:rsid w:val="0058320D"/>
    <w:rsid w:val="00593729"/>
    <w:rsid w:val="005A1F14"/>
    <w:rsid w:val="005B576B"/>
    <w:rsid w:val="005B7CFF"/>
    <w:rsid w:val="005D45B4"/>
    <w:rsid w:val="005E1395"/>
    <w:rsid w:val="005E7D80"/>
    <w:rsid w:val="0060159C"/>
    <w:rsid w:val="00602B7D"/>
    <w:rsid w:val="006063B9"/>
    <w:rsid w:val="00615BFE"/>
    <w:rsid w:val="00624B23"/>
    <w:rsid w:val="00631C14"/>
    <w:rsid w:val="00635684"/>
    <w:rsid w:val="0064089F"/>
    <w:rsid w:val="00655141"/>
    <w:rsid w:val="0065652B"/>
    <w:rsid w:val="00660DD2"/>
    <w:rsid w:val="0067032A"/>
    <w:rsid w:val="00672FD8"/>
    <w:rsid w:val="00674782"/>
    <w:rsid w:val="00675DAF"/>
    <w:rsid w:val="00676623"/>
    <w:rsid w:val="0068345F"/>
    <w:rsid w:val="00690F3E"/>
    <w:rsid w:val="00692956"/>
    <w:rsid w:val="006A2EB4"/>
    <w:rsid w:val="006A3696"/>
    <w:rsid w:val="006B0725"/>
    <w:rsid w:val="006D5BCB"/>
    <w:rsid w:val="006F5A10"/>
    <w:rsid w:val="00700E1D"/>
    <w:rsid w:val="00703672"/>
    <w:rsid w:val="00703A3E"/>
    <w:rsid w:val="00711D7C"/>
    <w:rsid w:val="007138C6"/>
    <w:rsid w:val="007302A6"/>
    <w:rsid w:val="00741CF2"/>
    <w:rsid w:val="007435E6"/>
    <w:rsid w:val="00753157"/>
    <w:rsid w:val="007543F6"/>
    <w:rsid w:val="00754AFA"/>
    <w:rsid w:val="007757DA"/>
    <w:rsid w:val="007817AC"/>
    <w:rsid w:val="007A5176"/>
    <w:rsid w:val="007B506A"/>
    <w:rsid w:val="007C2D56"/>
    <w:rsid w:val="007C794B"/>
    <w:rsid w:val="007E0DBE"/>
    <w:rsid w:val="007F4B6A"/>
    <w:rsid w:val="008008B5"/>
    <w:rsid w:val="00801652"/>
    <w:rsid w:val="00804C55"/>
    <w:rsid w:val="00815C90"/>
    <w:rsid w:val="008162A1"/>
    <w:rsid w:val="00830120"/>
    <w:rsid w:val="00842945"/>
    <w:rsid w:val="00847198"/>
    <w:rsid w:val="008505EF"/>
    <w:rsid w:val="008809B3"/>
    <w:rsid w:val="00891A37"/>
    <w:rsid w:val="008A23D7"/>
    <w:rsid w:val="008A2700"/>
    <w:rsid w:val="008B141A"/>
    <w:rsid w:val="008B431A"/>
    <w:rsid w:val="008C6DD5"/>
    <w:rsid w:val="008E3CFD"/>
    <w:rsid w:val="008E6415"/>
    <w:rsid w:val="008E6DFA"/>
    <w:rsid w:val="00900056"/>
    <w:rsid w:val="00902306"/>
    <w:rsid w:val="00905204"/>
    <w:rsid w:val="00905B44"/>
    <w:rsid w:val="0091129A"/>
    <w:rsid w:val="00922735"/>
    <w:rsid w:val="00923D65"/>
    <w:rsid w:val="0093246B"/>
    <w:rsid w:val="00934DBA"/>
    <w:rsid w:val="00943561"/>
    <w:rsid w:val="00947B16"/>
    <w:rsid w:val="00957291"/>
    <w:rsid w:val="00970CFA"/>
    <w:rsid w:val="00972C5B"/>
    <w:rsid w:val="00997898"/>
    <w:rsid w:val="009A3BF7"/>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72618"/>
    <w:rsid w:val="00A85D6E"/>
    <w:rsid w:val="00A92E29"/>
    <w:rsid w:val="00A94312"/>
    <w:rsid w:val="00AA1674"/>
    <w:rsid w:val="00AA34BD"/>
    <w:rsid w:val="00AA646D"/>
    <w:rsid w:val="00AA7758"/>
    <w:rsid w:val="00AB1F94"/>
    <w:rsid w:val="00AC0CA2"/>
    <w:rsid w:val="00AD3693"/>
    <w:rsid w:val="00AD3F88"/>
    <w:rsid w:val="00B157C9"/>
    <w:rsid w:val="00B21B34"/>
    <w:rsid w:val="00B34A68"/>
    <w:rsid w:val="00B4097D"/>
    <w:rsid w:val="00B47311"/>
    <w:rsid w:val="00B539BD"/>
    <w:rsid w:val="00B5746D"/>
    <w:rsid w:val="00B617EC"/>
    <w:rsid w:val="00B767DA"/>
    <w:rsid w:val="00B85FF4"/>
    <w:rsid w:val="00B9338D"/>
    <w:rsid w:val="00BB54B2"/>
    <w:rsid w:val="00BB6147"/>
    <w:rsid w:val="00BB6920"/>
    <w:rsid w:val="00BC6078"/>
    <w:rsid w:val="00BC7678"/>
    <w:rsid w:val="00BD0EA7"/>
    <w:rsid w:val="00BD21C1"/>
    <w:rsid w:val="00BF19E1"/>
    <w:rsid w:val="00BF42AE"/>
    <w:rsid w:val="00C1774C"/>
    <w:rsid w:val="00C21811"/>
    <w:rsid w:val="00C22108"/>
    <w:rsid w:val="00C222A0"/>
    <w:rsid w:val="00C267DC"/>
    <w:rsid w:val="00C31D3D"/>
    <w:rsid w:val="00C44D2C"/>
    <w:rsid w:val="00C56C68"/>
    <w:rsid w:val="00C61BFB"/>
    <w:rsid w:val="00C6402F"/>
    <w:rsid w:val="00C71CD2"/>
    <w:rsid w:val="00C73CCB"/>
    <w:rsid w:val="00C75B47"/>
    <w:rsid w:val="00C7797A"/>
    <w:rsid w:val="00CB3ADC"/>
    <w:rsid w:val="00CD43F8"/>
    <w:rsid w:val="00CE5962"/>
    <w:rsid w:val="00CF3460"/>
    <w:rsid w:val="00D07BED"/>
    <w:rsid w:val="00D12D50"/>
    <w:rsid w:val="00D16337"/>
    <w:rsid w:val="00D33461"/>
    <w:rsid w:val="00D363C1"/>
    <w:rsid w:val="00D36755"/>
    <w:rsid w:val="00D416A7"/>
    <w:rsid w:val="00D422A2"/>
    <w:rsid w:val="00D45ABF"/>
    <w:rsid w:val="00D53E68"/>
    <w:rsid w:val="00D679B3"/>
    <w:rsid w:val="00D73701"/>
    <w:rsid w:val="00D77538"/>
    <w:rsid w:val="00D8228D"/>
    <w:rsid w:val="00D87D2E"/>
    <w:rsid w:val="00D90159"/>
    <w:rsid w:val="00DB481D"/>
    <w:rsid w:val="00DB54B6"/>
    <w:rsid w:val="00DF0C0F"/>
    <w:rsid w:val="00E14EEC"/>
    <w:rsid w:val="00E178A6"/>
    <w:rsid w:val="00E46338"/>
    <w:rsid w:val="00E700C9"/>
    <w:rsid w:val="00E73001"/>
    <w:rsid w:val="00E75A5D"/>
    <w:rsid w:val="00E84811"/>
    <w:rsid w:val="00E84E9E"/>
    <w:rsid w:val="00E84FF0"/>
    <w:rsid w:val="00EB3655"/>
    <w:rsid w:val="00EC0CA4"/>
    <w:rsid w:val="00ED48F5"/>
    <w:rsid w:val="00ED5D3C"/>
    <w:rsid w:val="00EE43F8"/>
    <w:rsid w:val="00EF1F5D"/>
    <w:rsid w:val="00F02E77"/>
    <w:rsid w:val="00F04D8C"/>
    <w:rsid w:val="00F07E89"/>
    <w:rsid w:val="00F07EA5"/>
    <w:rsid w:val="00F10512"/>
    <w:rsid w:val="00F31563"/>
    <w:rsid w:val="00F37BCA"/>
    <w:rsid w:val="00F405C9"/>
    <w:rsid w:val="00F76A1B"/>
    <w:rsid w:val="00F81A99"/>
    <w:rsid w:val="00F876B7"/>
    <w:rsid w:val="00F8797F"/>
    <w:rsid w:val="00F87D2F"/>
    <w:rsid w:val="00F92A75"/>
    <w:rsid w:val="00F93618"/>
    <w:rsid w:val="00F95A32"/>
    <w:rsid w:val="00FA60DA"/>
    <w:rsid w:val="00FA7276"/>
    <w:rsid w:val="00FC11C2"/>
    <w:rsid w:val="00FC3469"/>
    <w:rsid w:val="00FD6998"/>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zelzit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2595</Words>
  <Characters>1480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Kaleja</dc:creator>
  <cp:lastModifiedBy>LATVIA</cp:lastModifiedBy>
  <cp:revision>12</cp:revision>
  <cp:lastPrinted>2012-06-26T07:22:00Z</cp:lastPrinted>
  <dcterms:created xsi:type="dcterms:W3CDTF">2012-06-25T18:22:00Z</dcterms:created>
  <dcterms:modified xsi:type="dcterms:W3CDTF">2012-06-26T07:33:00Z</dcterms:modified>
</cp:coreProperties>
</file>