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4" w:rsidRPr="0011480F" w:rsidRDefault="007F0224" w:rsidP="0079482A">
      <w:pPr>
        <w:jc w:val="center"/>
        <w:outlineLvl w:val="0"/>
        <w:rPr>
          <w:b/>
        </w:rPr>
      </w:pPr>
      <w:bookmarkStart w:id="0" w:name="OLE_LINK3"/>
      <w:bookmarkStart w:id="1" w:name="OLE_LINK4"/>
      <w:r w:rsidRPr="0011480F">
        <w:rPr>
          <w:b/>
        </w:rPr>
        <w:t>Ministru kabineta rīkojuma projekta</w:t>
      </w:r>
    </w:p>
    <w:p w:rsidR="00E2556C" w:rsidRPr="0011480F" w:rsidRDefault="007F0224" w:rsidP="007F0224">
      <w:pPr>
        <w:jc w:val="center"/>
        <w:rPr>
          <w:b/>
        </w:rPr>
      </w:pPr>
      <w:r w:rsidRPr="0011480F">
        <w:rPr>
          <w:b/>
        </w:rPr>
        <w:t xml:space="preserve">„Par finanšu līdzekļu piešķiršanu no valsts budžeta programmas </w:t>
      </w:r>
    </w:p>
    <w:p w:rsidR="00AD1E34" w:rsidRPr="0011480F" w:rsidRDefault="007F0224" w:rsidP="00E2556C">
      <w:pPr>
        <w:jc w:val="center"/>
        <w:rPr>
          <w:b/>
        </w:rPr>
      </w:pPr>
      <w:r w:rsidRPr="0011480F">
        <w:rPr>
          <w:b/>
        </w:rPr>
        <w:t xml:space="preserve">„Līdzekļi neparedzētiem gadījumiem”” sākotnējās ietekmes novērtējuma </w:t>
      </w:r>
    </w:p>
    <w:p w:rsidR="00AD1E34" w:rsidRPr="0011480F" w:rsidRDefault="007F0224" w:rsidP="005E4B11">
      <w:pPr>
        <w:jc w:val="center"/>
        <w:rPr>
          <w:b/>
        </w:rPr>
      </w:pPr>
      <w:r w:rsidRPr="0011480F">
        <w:rPr>
          <w:b/>
        </w:rPr>
        <w:t>ziņojums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2891"/>
        <w:gridCol w:w="5558"/>
      </w:tblGrid>
      <w:tr w:rsidR="00852042" w:rsidRPr="0011480F" w:rsidTr="00A8125C">
        <w:tc>
          <w:tcPr>
            <w:tcW w:w="5000" w:type="pct"/>
            <w:gridSpan w:val="3"/>
            <w:vAlign w:val="center"/>
          </w:tcPr>
          <w:p w:rsidR="00852042" w:rsidRPr="0011480F" w:rsidRDefault="00852042" w:rsidP="006C4607">
            <w:pPr>
              <w:pStyle w:val="naisnod"/>
              <w:spacing w:before="0" w:after="0"/>
            </w:pPr>
            <w:r w:rsidRPr="0011480F">
              <w:t>I</w:t>
            </w:r>
            <w:r w:rsidR="000941C5" w:rsidRPr="0011480F">
              <w:t>.</w:t>
            </w:r>
            <w:r w:rsidRPr="0011480F">
              <w:t xml:space="preserve"> Tiesību akta </w:t>
            </w:r>
            <w:r w:rsidR="002E3FF4" w:rsidRPr="0011480F">
              <w:t xml:space="preserve">projekta </w:t>
            </w:r>
            <w:r w:rsidRPr="0011480F">
              <w:t>izstrādes nepieciešamība</w:t>
            </w:r>
          </w:p>
        </w:tc>
      </w:tr>
      <w:tr w:rsidR="00262E2B" w:rsidRPr="0011480F" w:rsidTr="00A8125C">
        <w:trPr>
          <w:trHeight w:val="415"/>
        </w:trPr>
        <w:tc>
          <w:tcPr>
            <w:tcW w:w="348" w:type="pct"/>
          </w:tcPr>
          <w:p w:rsidR="00262E2B" w:rsidRPr="0011480F" w:rsidRDefault="00262E2B" w:rsidP="006C4607">
            <w:pPr>
              <w:pStyle w:val="naiskr"/>
              <w:spacing w:before="0" w:after="0"/>
            </w:pPr>
            <w:r w:rsidRPr="0011480F">
              <w:t>1.</w:t>
            </w:r>
          </w:p>
        </w:tc>
        <w:tc>
          <w:tcPr>
            <w:tcW w:w="1592" w:type="pct"/>
          </w:tcPr>
          <w:p w:rsidR="00262E2B" w:rsidRPr="0011480F" w:rsidRDefault="002D7F54" w:rsidP="006C4607">
            <w:pPr>
              <w:pStyle w:val="naiskr"/>
              <w:spacing w:before="0" w:after="0"/>
              <w:ind w:hanging="10"/>
            </w:pPr>
            <w:r w:rsidRPr="0011480F">
              <w:t>Pamatojums</w:t>
            </w:r>
          </w:p>
        </w:tc>
        <w:tc>
          <w:tcPr>
            <w:tcW w:w="3060" w:type="pct"/>
          </w:tcPr>
          <w:p w:rsidR="0011480F" w:rsidRPr="0011480F" w:rsidRDefault="00E2556C" w:rsidP="00331E6E">
            <w:pPr>
              <w:pStyle w:val="naiskr"/>
              <w:spacing w:before="0" w:after="0"/>
              <w:ind w:left="26" w:right="145"/>
              <w:jc w:val="both"/>
            </w:pPr>
            <w:r w:rsidRPr="0011480F">
              <w:t>Ministru kabineta rīkojuma projekts „Par finanšu līdzekļu piešķiršanu no valsts budžeta programmas „Līdzekļi neparedzētiem gadījumiem”” (turpmāk – rīkojuma projekts)</w:t>
            </w:r>
            <w:r w:rsidR="00065314" w:rsidRPr="0011480F">
              <w:t xml:space="preserve"> </w:t>
            </w:r>
            <w:r w:rsidRPr="0011480F">
              <w:t>izstrādāts saskaņā ar Ministru kabineta 2009.gada 22.decembra noteikumu Nr.1644 „</w:t>
            </w:r>
            <w:r w:rsidRPr="0011480F">
              <w:rPr>
                <w:bCs/>
              </w:rPr>
              <w:t xml:space="preserve">Kārtība, kādā pieprasa un izlieto budžeta programmas </w:t>
            </w:r>
            <w:r w:rsidR="0011480F" w:rsidRPr="0011480F">
              <w:t>„</w:t>
            </w:r>
            <w:r w:rsidRPr="0011480F">
              <w:rPr>
                <w:bCs/>
              </w:rPr>
              <w:t>Līdzekļi neparedzētiem gadījumiem</w:t>
            </w:r>
            <w:r w:rsidR="0011480F" w:rsidRPr="0011480F">
              <w:t>”</w:t>
            </w:r>
            <w:r w:rsidRPr="0011480F">
              <w:rPr>
                <w:bCs/>
              </w:rPr>
              <w:t xml:space="preserve"> līdzekļus</w:t>
            </w:r>
            <w:r w:rsidRPr="0011480F">
              <w:t>” 3.punktu</w:t>
            </w:r>
            <w:r w:rsidR="00F31E28" w:rsidRPr="0011480F">
              <w:t xml:space="preserve"> </w:t>
            </w:r>
            <w:r w:rsidR="001F54A6">
              <w:t xml:space="preserve">un </w:t>
            </w:r>
            <w:r w:rsidR="0027223F">
              <w:t xml:space="preserve"> Krīzes vadības padomes (turpmāk – KVP) 2013.gada 20.maija sēdes protokola Nr.25 5.§ „Priekšlikumi par veicamajiem pasākumiem, lai uzlabotu infrastruktūru un pilnveidotu valsts un pašvaldību institūciju spējas novērst vai mazināt iespējamos plūdu un palu draudus, kā arī likvidēt to sekas nākotnē” 4.1.punktu</w:t>
            </w:r>
            <w:r w:rsidR="006E3B5B">
              <w:t>.</w:t>
            </w:r>
          </w:p>
        </w:tc>
      </w:tr>
      <w:tr w:rsidR="00262E2B" w:rsidRPr="0011480F" w:rsidTr="00A8125C">
        <w:trPr>
          <w:trHeight w:val="472"/>
        </w:trPr>
        <w:tc>
          <w:tcPr>
            <w:tcW w:w="348" w:type="pct"/>
          </w:tcPr>
          <w:p w:rsidR="00262E2B" w:rsidRPr="0011480F" w:rsidRDefault="00262E2B" w:rsidP="006C4607">
            <w:pPr>
              <w:pStyle w:val="naiskr"/>
              <w:spacing w:before="0" w:after="0"/>
            </w:pPr>
            <w:r w:rsidRPr="0011480F">
              <w:t>2.</w:t>
            </w:r>
          </w:p>
        </w:tc>
        <w:tc>
          <w:tcPr>
            <w:tcW w:w="1592" w:type="pct"/>
          </w:tcPr>
          <w:p w:rsidR="00262E2B" w:rsidRPr="0011480F" w:rsidRDefault="00262E2B" w:rsidP="006C4607">
            <w:pPr>
              <w:pStyle w:val="naiskr"/>
              <w:tabs>
                <w:tab w:val="left" w:pos="170"/>
              </w:tabs>
              <w:spacing w:before="0" w:after="0"/>
            </w:pPr>
            <w:r w:rsidRPr="0011480F">
              <w:t>Pašreizējā situācija</w:t>
            </w:r>
            <w:r w:rsidR="001F5CD6" w:rsidRPr="0011480F">
              <w:t xml:space="preserve"> un problēmas</w:t>
            </w:r>
          </w:p>
        </w:tc>
        <w:tc>
          <w:tcPr>
            <w:tcW w:w="3060" w:type="pct"/>
          </w:tcPr>
          <w:p w:rsidR="0027223F" w:rsidRPr="008C1604" w:rsidRDefault="0027223F" w:rsidP="00331E6E">
            <w:pPr>
              <w:spacing w:after="120"/>
              <w:ind w:right="145"/>
              <w:jc w:val="both"/>
            </w:pPr>
            <w:r w:rsidRPr="008C1604">
              <w:t>Atbilstoši Ģeotelpiskās informācijas likuma (ĢIL) 4.panta otrajai daļai Latvijas Ģeotelpiskās informācijas aģentūra (LĢIA) ir Aizsardzības ministrijas pārraudzībā esoša vadošā iestāde valsts politikas īstenošanā ģeodēzijas, kartogrāfijas un ģeotelpiskās informācijas jomā. Ar ĢIL 17.panta trešās daļas pirmo punktu LĢIA ir noteikta kompetence iegūt, sagatavot un atjaunināt Zemes virsmas attēlus, tālizpētes (t.sk. aerolāzerskenēšanas) datus un ortofoto kartes datus mērogu rindas 1:50 000-1:2 000 ietvaros un būt par šo ģeotelpiskās informācijas pamatdatu turētāju.</w:t>
            </w:r>
          </w:p>
          <w:p w:rsidR="0027223F" w:rsidRPr="008C1604" w:rsidRDefault="0027223F" w:rsidP="002955A1">
            <w:pPr>
              <w:ind w:right="145"/>
              <w:jc w:val="both"/>
            </w:pPr>
            <w:r w:rsidRPr="008C1604">
              <w:t>Lai uzsāktu reljefa modeļa izgatavošanu plūdu riska modelēšanai atsevišķās teritorijās, kurās 2013.gada pavasara plūdos tika radīti lielākie postījumi (VARAM sniegtā informācija KVP 20.05.2013. sēdē) – Daugavas upei posmā no Kaplavas (Krāslavas novads) līdz Rīgas HES un Ogres upei posmā no Līčupes līdz grīvai, laika periodā līdz 2013.gada beigām iespējams veikt šādus darbus:</w:t>
            </w:r>
          </w:p>
          <w:p w:rsidR="0027223F" w:rsidRPr="008C1604" w:rsidRDefault="0027223F" w:rsidP="002955A1">
            <w:pPr>
              <w:ind w:right="147" w:firstLine="720"/>
              <w:jc w:val="both"/>
            </w:pPr>
            <w:r w:rsidRPr="008C1604">
              <w:t>1) aerolāzerskenēšanu teritorijā ar kopējo platību 3940 km</w:t>
            </w:r>
            <w:r w:rsidRPr="008C1604">
              <w:rPr>
                <w:vertAlign w:val="superscript"/>
              </w:rPr>
              <w:t xml:space="preserve">2 </w:t>
            </w:r>
            <w:r w:rsidRPr="008C1604">
              <w:t>ar mērķi iegūt precīzus reljefa datus;</w:t>
            </w:r>
          </w:p>
          <w:p w:rsidR="0027223F" w:rsidRPr="008C1604" w:rsidRDefault="0027223F" w:rsidP="002955A1">
            <w:pPr>
              <w:ind w:right="147" w:firstLine="720"/>
              <w:jc w:val="both"/>
            </w:pPr>
            <w:r w:rsidRPr="008C1604">
              <w:t>2)</w:t>
            </w:r>
            <w:r w:rsidRPr="008C1604">
              <w:tab/>
              <w:t>aerolāzerskenēšanas datu kontroli un pieņemšanu;</w:t>
            </w:r>
          </w:p>
          <w:p w:rsidR="0027223F" w:rsidRPr="008C1604" w:rsidRDefault="0027223F" w:rsidP="002955A1">
            <w:pPr>
              <w:ind w:right="147" w:firstLine="720"/>
              <w:jc w:val="both"/>
            </w:pPr>
            <w:r w:rsidRPr="008C1604">
              <w:t>3)</w:t>
            </w:r>
            <w:r w:rsidRPr="008C1604">
              <w:tab/>
              <w:t xml:space="preserve">LĢIA rīcībā esošo lāzerskenēšanas datu apstrādi un nodošanu plūdu modelēšanas vajadzībām (LĢIA rīcībā </w:t>
            </w:r>
            <w:r w:rsidR="006E3B5B" w:rsidRPr="008C1604">
              <w:t>esošie</w:t>
            </w:r>
            <w:r w:rsidRPr="008C1604">
              <w:t xml:space="preserve"> aerolāzerskenēšanas dat</w:t>
            </w:r>
            <w:r w:rsidR="006E3B5B" w:rsidRPr="008C1604">
              <w:t>i</w:t>
            </w:r>
            <w:r w:rsidRPr="008C1604">
              <w:t>, kas iegūti iepriekš laika posmā no 2006. līdz 2012.gadam ar 3000 km</w:t>
            </w:r>
            <w:r w:rsidRPr="008C1604">
              <w:rPr>
                <w:vertAlign w:val="superscript"/>
              </w:rPr>
              <w:t>2</w:t>
            </w:r>
            <w:r w:rsidRPr="008C1604">
              <w:t xml:space="preserve"> lielu teritoriālo noklājumu);</w:t>
            </w:r>
          </w:p>
          <w:p w:rsidR="0027223F" w:rsidRPr="008C1604" w:rsidRDefault="0027223F" w:rsidP="002955A1">
            <w:pPr>
              <w:ind w:right="147" w:firstLine="720"/>
              <w:jc w:val="both"/>
            </w:pPr>
            <w:r w:rsidRPr="008C1604">
              <w:t>4)</w:t>
            </w:r>
            <w:r w:rsidRPr="008C1604">
              <w:tab/>
              <w:t xml:space="preserve">2013.gadā veiktās </w:t>
            </w:r>
            <w:r w:rsidRPr="008C1604">
              <w:rPr>
                <w:u w:val="single"/>
              </w:rPr>
              <w:t xml:space="preserve">aerolāzerskenēšanas </w:t>
            </w:r>
            <w:r w:rsidRPr="008C1604">
              <w:rPr>
                <w:u w:val="single"/>
              </w:rPr>
              <w:lastRenderedPageBreak/>
              <w:t>datu apstrādi daļējā apjomā</w:t>
            </w:r>
            <w:r w:rsidRPr="008C1604">
              <w:t xml:space="preserve"> un nodošanu plūdu modelēšanas vajadzībām.</w:t>
            </w:r>
          </w:p>
          <w:p w:rsidR="0027223F" w:rsidRPr="008C1604" w:rsidRDefault="0027223F" w:rsidP="00331E6E">
            <w:pPr>
              <w:spacing w:after="120"/>
              <w:ind w:right="145"/>
              <w:jc w:val="both"/>
            </w:pPr>
            <w:r w:rsidRPr="008C1604">
              <w:t xml:space="preserve">2013.gadā iegūto aerolāzerskenēšanas datu apstrāde ietver procesus, kas nepieciešami, lai šos datus būtu iespējams izmantot plūdu riska modelēšanai. Apstrādes procesi ietver lāzerskenēšanas datu klasificēšanu pa līmeņiem: zemes virsma, veģetācija (augsta, zema), būves, eksportēšana uz gala formātu ASCII teksta datņu veidā. </w:t>
            </w:r>
          </w:p>
          <w:p w:rsidR="0027223F" w:rsidRPr="008C1604" w:rsidRDefault="0027223F" w:rsidP="00331E6E">
            <w:pPr>
              <w:spacing w:after="120"/>
              <w:ind w:right="145"/>
              <w:jc w:val="both"/>
            </w:pPr>
            <w:r w:rsidRPr="008C1604">
              <w:t>LĢIA rīcībā esošajiem datiem nav vajadzīga apstrāde pilnā apjomā, tā ir nepieciešama tik lielā mērā, lai dati būtu izmantojami plūdu riska modelēšanai.</w:t>
            </w:r>
          </w:p>
          <w:p w:rsidR="00D16F79" w:rsidRPr="00292BD8" w:rsidRDefault="00C921B7" w:rsidP="00331E6E">
            <w:pPr>
              <w:autoSpaceDE w:val="0"/>
              <w:autoSpaceDN w:val="0"/>
              <w:adjustRightInd w:val="0"/>
              <w:ind w:left="26" w:right="145"/>
              <w:jc w:val="both"/>
              <w:rPr>
                <w:bCs/>
              </w:rPr>
            </w:pPr>
            <w:r w:rsidRPr="008C1604">
              <w:t xml:space="preserve">Lai </w:t>
            </w:r>
            <w:r w:rsidR="002E6CAB" w:rsidRPr="008C1604">
              <w:t>nodrošinātu 2013</w:t>
            </w:r>
            <w:r w:rsidR="001C3439" w:rsidRPr="008C1604">
              <w:t xml:space="preserve">.gadā </w:t>
            </w:r>
            <w:r w:rsidR="0027223F" w:rsidRPr="008C1604">
              <w:t xml:space="preserve">aerolāzerskenēšanu un aerolāzerskenēšanas datu apstrādi </w:t>
            </w:r>
            <w:r w:rsidR="00D43F1B" w:rsidRPr="008C1604">
              <w:t>no valsts budžeta programmas „Līdzekļi neparedzētiem gadījumiem” kopā nepieciešami finanšu līdzekļi</w:t>
            </w:r>
            <w:r w:rsidRPr="008C1604">
              <w:t xml:space="preserve"> </w:t>
            </w:r>
            <w:r w:rsidR="00957399" w:rsidRPr="008C1604">
              <w:rPr>
                <w:b/>
              </w:rPr>
              <w:t>113 261</w:t>
            </w:r>
            <w:r w:rsidR="00606E9C" w:rsidRPr="008C1604">
              <w:rPr>
                <w:b/>
              </w:rPr>
              <w:t xml:space="preserve"> lat</w:t>
            </w:r>
            <w:r w:rsidR="00292BD8">
              <w:rPr>
                <w:b/>
              </w:rPr>
              <w:t>i</w:t>
            </w:r>
            <w:r w:rsidRPr="008C1604">
              <w:t>.</w:t>
            </w:r>
          </w:p>
          <w:p w:rsidR="00B47C62" w:rsidRPr="008C1604" w:rsidRDefault="00DF2C9F" w:rsidP="00331E6E">
            <w:pPr>
              <w:autoSpaceDE w:val="0"/>
              <w:autoSpaceDN w:val="0"/>
              <w:adjustRightInd w:val="0"/>
              <w:ind w:left="26" w:right="145"/>
              <w:jc w:val="both"/>
              <w:rPr>
                <w:rFonts w:ascii="TimesNewRomanPSMT" w:hAnsi="TimesNewRomanPSMT" w:cs="TimesNewRomanPSMT"/>
              </w:rPr>
            </w:pPr>
            <w:r w:rsidRPr="008C1604">
              <w:t xml:space="preserve">Ievērojot minēto, </w:t>
            </w:r>
            <w:r w:rsidR="00753D46" w:rsidRPr="008C1604">
              <w:t>Aizsardzības ministrija</w:t>
            </w:r>
            <w:r w:rsidR="00805EDB" w:rsidRPr="008C1604">
              <w:t xml:space="preserve">, </w:t>
            </w:r>
            <w:r w:rsidR="007F0224" w:rsidRPr="008C1604">
              <w:t>pamatojoties uz Ministru kabineta 2009</w:t>
            </w:r>
            <w:r w:rsidR="005D6031" w:rsidRPr="008C1604">
              <w:t>.gada 22.decembra noteikumu Nr.</w:t>
            </w:r>
            <w:r w:rsidR="007F0224" w:rsidRPr="008C1604">
              <w:t xml:space="preserve">1644 </w:t>
            </w:r>
            <w:r w:rsidR="00851D24" w:rsidRPr="008C1604">
              <w:t>„</w:t>
            </w:r>
            <w:r w:rsidR="007F0224" w:rsidRPr="008C1604">
              <w:t>Kārtība, kādā pieprasa un izlieto budžeta programmas „Līdzekļi neparedzētiem gadījumiem” līdzekļus” 3.punktu</w:t>
            </w:r>
            <w:r w:rsidRPr="008C1604">
              <w:t xml:space="preserve">, </w:t>
            </w:r>
            <w:r w:rsidR="007F0224" w:rsidRPr="008C1604">
              <w:t>ir izstrādājusi Ministru kabineta rīkojuma projektu „Par finanšu līdzekļu piešķiršanu no valsts budžeta programmas „Līdzekļi neparedzētiem gadījumiem</w:t>
            </w:r>
            <w:r w:rsidR="0058310B" w:rsidRPr="008C1604">
              <w:t>””</w:t>
            </w:r>
            <w:r w:rsidR="00851D24" w:rsidRPr="008C1604">
              <w:t>.</w:t>
            </w:r>
          </w:p>
        </w:tc>
      </w:tr>
      <w:tr w:rsidR="00262E2B" w:rsidRPr="0011480F" w:rsidTr="00A8125C">
        <w:trPr>
          <w:trHeight w:val="448"/>
        </w:trPr>
        <w:tc>
          <w:tcPr>
            <w:tcW w:w="348" w:type="pct"/>
          </w:tcPr>
          <w:p w:rsidR="00262E2B" w:rsidRPr="0011480F" w:rsidRDefault="00262E2B" w:rsidP="006C4607">
            <w:pPr>
              <w:pStyle w:val="naiskr"/>
              <w:spacing w:before="0" w:after="0"/>
            </w:pPr>
            <w:r w:rsidRPr="0011480F">
              <w:lastRenderedPageBreak/>
              <w:t>3.</w:t>
            </w:r>
          </w:p>
        </w:tc>
        <w:tc>
          <w:tcPr>
            <w:tcW w:w="1592" w:type="pct"/>
          </w:tcPr>
          <w:p w:rsidR="00262E2B" w:rsidRPr="0011480F" w:rsidRDefault="00420870" w:rsidP="006C4607">
            <w:pPr>
              <w:pStyle w:val="naiskr"/>
              <w:spacing w:before="0" w:after="0"/>
            </w:pPr>
            <w:r w:rsidRPr="0011480F">
              <w:t>S</w:t>
            </w:r>
            <w:r w:rsidR="000B69CF" w:rsidRPr="0011480F">
              <w:t xml:space="preserve">aistītie </w:t>
            </w:r>
            <w:r w:rsidR="001A6AE4" w:rsidRPr="0011480F">
              <w:t>politikas ietekmes novērtējumi</w:t>
            </w:r>
            <w:r w:rsidR="00CB0247" w:rsidRPr="0011480F">
              <w:t xml:space="preserve"> un</w:t>
            </w:r>
            <w:r w:rsidR="001A6AE4" w:rsidRPr="0011480F">
              <w:t xml:space="preserve"> </w:t>
            </w:r>
            <w:r w:rsidR="000B69CF" w:rsidRPr="0011480F">
              <w:t>pētījumi</w:t>
            </w:r>
          </w:p>
        </w:tc>
        <w:tc>
          <w:tcPr>
            <w:tcW w:w="3060" w:type="pct"/>
          </w:tcPr>
          <w:p w:rsidR="00D20FF4" w:rsidRPr="008C1604" w:rsidRDefault="00830CAA" w:rsidP="00331E6E">
            <w:pPr>
              <w:pStyle w:val="FootnoteText"/>
              <w:ind w:left="168" w:right="145" w:hanging="142"/>
              <w:rPr>
                <w:sz w:val="24"/>
                <w:szCs w:val="24"/>
              </w:rPr>
            </w:pPr>
            <w:r w:rsidRPr="008C1604">
              <w:rPr>
                <w:sz w:val="24"/>
                <w:szCs w:val="24"/>
              </w:rPr>
              <w:t>P</w:t>
            </w:r>
            <w:r w:rsidR="00BA6308" w:rsidRPr="008C1604">
              <w:rPr>
                <w:sz w:val="24"/>
                <w:szCs w:val="24"/>
              </w:rPr>
              <w:t>rojekts šo jomu neskar</w:t>
            </w:r>
          </w:p>
        </w:tc>
      </w:tr>
      <w:tr w:rsidR="00262E2B" w:rsidRPr="0011480F" w:rsidTr="00A8125C">
        <w:trPr>
          <w:trHeight w:val="384"/>
        </w:trPr>
        <w:tc>
          <w:tcPr>
            <w:tcW w:w="348" w:type="pct"/>
          </w:tcPr>
          <w:p w:rsidR="00262E2B" w:rsidRPr="0011480F" w:rsidRDefault="00262E2B" w:rsidP="006C4607">
            <w:pPr>
              <w:pStyle w:val="naiskr"/>
              <w:spacing w:before="0" w:after="0"/>
            </w:pPr>
            <w:r w:rsidRPr="0011480F">
              <w:t>4.</w:t>
            </w:r>
          </w:p>
        </w:tc>
        <w:tc>
          <w:tcPr>
            <w:tcW w:w="1592" w:type="pct"/>
          </w:tcPr>
          <w:p w:rsidR="00262E2B" w:rsidRPr="0011480F" w:rsidRDefault="000C790C" w:rsidP="006C4607">
            <w:pPr>
              <w:pStyle w:val="naiskr"/>
              <w:spacing w:before="0" w:after="0"/>
            </w:pPr>
            <w:r w:rsidRPr="0011480F">
              <w:t>Tiesiskā r</w:t>
            </w:r>
            <w:r w:rsidR="00400032" w:rsidRPr="0011480F">
              <w:t xml:space="preserve">egulējuma </w:t>
            </w:r>
            <w:r w:rsidR="00262E2B" w:rsidRPr="0011480F">
              <w:t>mērķis un būtība</w:t>
            </w:r>
          </w:p>
        </w:tc>
        <w:tc>
          <w:tcPr>
            <w:tcW w:w="3060" w:type="pct"/>
          </w:tcPr>
          <w:p w:rsidR="00262E2B" w:rsidRPr="008C1604" w:rsidRDefault="00DF2C9F" w:rsidP="00957399">
            <w:pPr>
              <w:pStyle w:val="BodyText"/>
              <w:tabs>
                <w:tab w:val="left" w:pos="0"/>
                <w:tab w:val="left" w:pos="851"/>
              </w:tabs>
              <w:spacing w:after="0"/>
              <w:ind w:right="145"/>
              <w:jc w:val="both"/>
              <w:rPr>
                <w:color w:val="000000"/>
              </w:rPr>
            </w:pPr>
            <w:r w:rsidRPr="008C1604">
              <w:rPr>
                <w:color w:val="000000"/>
              </w:rPr>
              <w:t>R</w:t>
            </w:r>
            <w:r w:rsidR="00D126EF" w:rsidRPr="008C1604">
              <w:rPr>
                <w:color w:val="000000"/>
              </w:rPr>
              <w:t xml:space="preserve">īkojuma projekts </w:t>
            </w:r>
            <w:r w:rsidR="00BE707A" w:rsidRPr="008C1604">
              <w:t>paredz</w:t>
            </w:r>
            <w:r w:rsidR="00D126EF" w:rsidRPr="008C1604">
              <w:t xml:space="preserve"> </w:t>
            </w:r>
            <w:r w:rsidR="00D126EF" w:rsidRPr="008C1604">
              <w:rPr>
                <w:color w:val="000000"/>
              </w:rPr>
              <w:t>uzdevumu</w:t>
            </w:r>
            <w:r w:rsidR="00D126EF" w:rsidRPr="008C1604">
              <w:t xml:space="preserve"> </w:t>
            </w:r>
            <w:r w:rsidR="002C3218" w:rsidRPr="008C1604">
              <w:rPr>
                <w:color w:val="000000"/>
              </w:rPr>
              <w:t xml:space="preserve">Finanšu ministrijai no valsts budžeta programmas 02.00.00 </w:t>
            </w:r>
            <w:r w:rsidR="00851D24" w:rsidRPr="008C1604">
              <w:t>„</w:t>
            </w:r>
            <w:r w:rsidR="002C3218" w:rsidRPr="008C1604">
              <w:rPr>
                <w:color w:val="000000"/>
              </w:rPr>
              <w:t>Līdzekļi neparedzētiem gadījumie</w:t>
            </w:r>
            <w:r w:rsidR="002B4998" w:rsidRPr="008C1604">
              <w:rPr>
                <w:color w:val="000000"/>
              </w:rPr>
              <w:t>m</w:t>
            </w:r>
            <w:r w:rsidR="00851D24" w:rsidRPr="008C1604">
              <w:rPr>
                <w:color w:val="000000"/>
              </w:rPr>
              <w:t>”</w:t>
            </w:r>
            <w:r w:rsidR="002B4998" w:rsidRPr="008C1604">
              <w:rPr>
                <w:color w:val="000000"/>
              </w:rPr>
              <w:t xml:space="preserve"> piešķirt </w:t>
            </w:r>
            <w:r w:rsidR="00753D46" w:rsidRPr="008C1604">
              <w:rPr>
                <w:rFonts w:eastAsia="Times New Roman"/>
                <w:bCs/>
                <w:szCs w:val="28"/>
              </w:rPr>
              <w:t xml:space="preserve"> Aizsardzības ministrijai (Latvijas Ģeotelpiskās informācijas aģentūrai) </w:t>
            </w:r>
            <w:r w:rsidR="00957399" w:rsidRPr="008C1604">
              <w:rPr>
                <w:rFonts w:eastAsia="Times New Roman"/>
              </w:rPr>
              <w:t>113 261</w:t>
            </w:r>
            <w:r w:rsidR="00753D46" w:rsidRPr="008C1604">
              <w:t xml:space="preserve"> </w:t>
            </w:r>
            <w:r w:rsidR="003A24F8" w:rsidRPr="008C1604">
              <w:t>latu</w:t>
            </w:r>
            <w:r w:rsidR="00A83BF5" w:rsidRPr="008C1604">
              <w:t>, lai no</w:t>
            </w:r>
            <w:bookmarkStart w:id="2" w:name="_GoBack"/>
            <w:bookmarkEnd w:id="2"/>
            <w:r w:rsidR="00A83BF5" w:rsidRPr="008C1604">
              <w:t xml:space="preserve">drošinātu </w:t>
            </w:r>
            <w:r w:rsidR="00753D46" w:rsidRPr="008C1604">
              <w:t xml:space="preserve"> aerolāzerskenēšanu un aerolāzerskenēšanas datu apstrādi.</w:t>
            </w:r>
          </w:p>
        </w:tc>
      </w:tr>
      <w:tr w:rsidR="00262E2B" w:rsidRPr="0011480F" w:rsidTr="00A8125C">
        <w:trPr>
          <w:trHeight w:val="476"/>
        </w:trPr>
        <w:tc>
          <w:tcPr>
            <w:tcW w:w="348" w:type="pct"/>
          </w:tcPr>
          <w:p w:rsidR="00262E2B" w:rsidRPr="0011480F" w:rsidRDefault="00262E2B" w:rsidP="006C4607">
            <w:pPr>
              <w:pStyle w:val="naiskr"/>
              <w:spacing w:before="0" w:after="0"/>
            </w:pPr>
            <w:r w:rsidRPr="0011480F">
              <w:t>5.</w:t>
            </w:r>
          </w:p>
        </w:tc>
        <w:tc>
          <w:tcPr>
            <w:tcW w:w="1592" w:type="pct"/>
          </w:tcPr>
          <w:p w:rsidR="00262E2B" w:rsidRPr="0011480F" w:rsidRDefault="001A4066" w:rsidP="006C4607">
            <w:pPr>
              <w:pStyle w:val="naiskr"/>
              <w:spacing w:before="0" w:after="0"/>
            </w:pPr>
            <w:r w:rsidRPr="0011480F">
              <w:t>Projekta i</w:t>
            </w:r>
            <w:r w:rsidR="00262E2B" w:rsidRPr="0011480F">
              <w:t>zstrād</w:t>
            </w:r>
            <w:r w:rsidR="00420870" w:rsidRPr="0011480F">
              <w:t xml:space="preserve">ē </w:t>
            </w:r>
            <w:r w:rsidR="00262E2B" w:rsidRPr="0011480F">
              <w:t>iesaistītās institūcijas</w:t>
            </w:r>
          </w:p>
        </w:tc>
        <w:tc>
          <w:tcPr>
            <w:tcW w:w="3060" w:type="pct"/>
          </w:tcPr>
          <w:p w:rsidR="00262E2B" w:rsidRPr="0011480F" w:rsidRDefault="006E3B5B" w:rsidP="00331E6E">
            <w:pPr>
              <w:pStyle w:val="naiskr"/>
              <w:spacing w:before="0" w:after="0"/>
              <w:ind w:right="145"/>
              <w:jc w:val="both"/>
            </w:pPr>
            <w:r>
              <w:t xml:space="preserve">Aizsardzības ministrija, </w:t>
            </w:r>
            <w:r w:rsidR="00197641" w:rsidRPr="00197641">
              <w:t>Latvijas Ģeotelpiskās informācijas aģentūra</w:t>
            </w:r>
          </w:p>
        </w:tc>
      </w:tr>
      <w:tr w:rsidR="00262E2B" w:rsidRPr="0011480F" w:rsidTr="00851D24">
        <w:trPr>
          <w:trHeight w:val="861"/>
        </w:trPr>
        <w:tc>
          <w:tcPr>
            <w:tcW w:w="348" w:type="pct"/>
          </w:tcPr>
          <w:p w:rsidR="00262E2B" w:rsidRPr="0011480F" w:rsidRDefault="00262E2B" w:rsidP="006C4607">
            <w:pPr>
              <w:pStyle w:val="naiskr"/>
              <w:spacing w:before="0" w:after="0"/>
            </w:pPr>
            <w:r w:rsidRPr="0011480F">
              <w:t>6.</w:t>
            </w:r>
          </w:p>
        </w:tc>
        <w:tc>
          <w:tcPr>
            <w:tcW w:w="1592" w:type="pct"/>
          </w:tcPr>
          <w:p w:rsidR="00262E2B" w:rsidRPr="0011480F" w:rsidRDefault="00BB7C94" w:rsidP="006C4607">
            <w:pPr>
              <w:pStyle w:val="naiskr"/>
              <w:spacing w:before="0" w:after="0"/>
              <w:rPr>
                <w:i/>
              </w:rPr>
            </w:pPr>
            <w:r w:rsidRPr="0011480F">
              <w:t xml:space="preserve">Iemesli, kādēļ netika nodrošināta </w:t>
            </w:r>
            <w:r w:rsidR="00262E2B" w:rsidRPr="0011480F">
              <w:t xml:space="preserve">sabiedrības </w:t>
            </w:r>
            <w:r w:rsidRPr="0011480F">
              <w:t>līdzdalība</w:t>
            </w:r>
          </w:p>
        </w:tc>
        <w:tc>
          <w:tcPr>
            <w:tcW w:w="3060" w:type="pct"/>
          </w:tcPr>
          <w:p w:rsidR="006F28C9" w:rsidRPr="00830CAA" w:rsidRDefault="003640E8" w:rsidP="00331E6E">
            <w:pPr>
              <w:pStyle w:val="FootnoteText"/>
              <w:ind w:left="26"/>
              <w:jc w:val="both"/>
              <w:rPr>
                <w:b/>
                <w:bCs/>
                <w:sz w:val="24"/>
                <w:szCs w:val="24"/>
                <w:highlight w:val="yellow"/>
              </w:rPr>
            </w:pPr>
            <w:r w:rsidRPr="00331E6E">
              <w:rPr>
                <w:sz w:val="24"/>
                <w:szCs w:val="24"/>
              </w:rPr>
              <w:t>Sabiedrības līdzdalība netika nodrošināta, jo rīkojuma projektā iekļautie jautājumi tieši neattiecas ne uz vienu sabiedrības mērķgrupu</w:t>
            </w:r>
          </w:p>
        </w:tc>
      </w:tr>
      <w:tr w:rsidR="00262E2B" w:rsidRPr="0011480F" w:rsidTr="00A8125C">
        <w:tc>
          <w:tcPr>
            <w:tcW w:w="348" w:type="pct"/>
          </w:tcPr>
          <w:p w:rsidR="00262E2B" w:rsidRPr="0011480F" w:rsidRDefault="00262E2B" w:rsidP="006C4607">
            <w:pPr>
              <w:pStyle w:val="naiskr"/>
              <w:spacing w:before="0" w:after="0"/>
            </w:pPr>
            <w:r w:rsidRPr="0011480F">
              <w:t>7.</w:t>
            </w:r>
          </w:p>
        </w:tc>
        <w:tc>
          <w:tcPr>
            <w:tcW w:w="1592" w:type="pct"/>
          </w:tcPr>
          <w:p w:rsidR="00262E2B" w:rsidRPr="0011480F" w:rsidRDefault="00262E2B" w:rsidP="006C4607">
            <w:pPr>
              <w:pStyle w:val="naiskr"/>
              <w:spacing w:before="0" w:after="0"/>
            </w:pPr>
            <w:r w:rsidRPr="0011480F">
              <w:t>Cita informācija</w:t>
            </w:r>
          </w:p>
        </w:tc>
        <w:tc>
          <w:tcPr>
            <w:tcW w:w="3060" w:type="pct"/>
          </w:tcPr>
          <w:p w:rsidR="00830CAA" w:rsidRPr="00704158" w:rsidRDefault="00830CAA" w:rsidP="00331E6E">
            <w:pPr>
              <w:jc w:val="both"/>
            </w:pPr>
            <w:r>
              <w:t>Saskaņā ar</w:t>
            </w:r>
            <w:r w:rsidRPr="00704158">
              <w:t xml:space="preserve"> Krīzes vadības padomes 2013.gada 20.maija sēdes protokola Nr.25 5.§ „Priekšlikumi par veicamajiem pasākumiem, lai uzlabotu infrastruktūru un pilnveidotu valsts un pašvaldību institūciju spējas novērst vai mazināt iespējamos plūdu un palu draudus, kā arī likvidēt to sekas nākotnē” </w:t>
            </w:r>
            <w:r>
              <w:t>4.punktu</w:t>
            </w:r>
            <w:r w:rsidRPr="00704158">
              <w:t xml:space="preserve"> Vides aizsardzības un reģionālās attīstības ministrijai sadarbībā ar Aizsardzības ministriju, Iekšlietu ministriju un Finanšu ministriju </w:t>
            </w:r>
            <w:r>
              <w:t xml:space="preserve">noteikts uzdevums </w:t>
            </w:r>
            <w:r w:rsidRPr="00704158">
              <w:t xml:space="preserve">sagatavot un noteiktā kārtībā līdz 2013.gada 12.jūlijam iesniegt Ministru kabinetā informatīvo ziņojumu par aerofotografēšanas un </w:t>
            </w:r>
            <w:r w:rsidRPr="00704158">
              <w:lastRenderedPageBreak/>
              <w:t>aerolāze</w:t>
            </w:r>
            <w:r>
              <w:t>rskenēšanas veicamajiem darbiem, ietverot priekšlikumus</w:t>
            </w:r>
            <w:r w:rsidRPr="00704158">
              <w:t xml:space="preserve"> par teritorijām, kurās nepieciešams veikt aerofotografēšanas un aerolāzerskenēšanas d</w:t>
            </w:r>
            <w:r>
              <w:t>arbus 2013.gadā un to pamatojumu</w:t>
            </w:r>
            <w:r w:rsidRPr="00704158">
              <w:t>, kā ar</w:t>
            </w:r>
            <w:r>
              <w:t>ī izmaksas un finansēšanas avotu</w:t>
            </w:r>
            <w:r w:rsidRPr="00704158">
              <w:t xml:space="preserve"> šo da</w:t>
            </w:r>
            <w:r>
              <w:t>rbu veikšanai.</w:t>
            </w:r>
          </w:p>
          <w:p w:rsidR="00262E2B" w:rsidRPr="0011480F" w:rsidRDefault="00830CAA" w:rsidP="002955A1">
            <w:pPr>
              <w:jc w:val="both"/>
            </w:pPr>
            <w:r>
              <w:t>Rīkojuma projekts izskatāms Ministru kabinetā vienlaikus ar i</w:t>
            </w:r>
            <w:r w:rsidRPr="00704158">
              <w:t>nformatīv</w:t>
            </w:r>
            <w:r>
              <w:t>ā ziņojuma projektu</w:t>
            </w:r>
            <w:r w:rsidRPr="00704158">
              <w:t xml:space="preserve"> „Par plānotājiem pasākumiem 2013.-2015.gadā, lai mazinātu palu un plūdu draudus, un priekšlikumiem turpmākai rīcībai</w:t>
            </w:r>
            <w:r>
              <w:t>”.</w:t>
            </w:r>
          </w:p>
        </w:tc>
      </w:tr>
    </w:tbl>
    <w:p w:rsidR="00AD1E34" w:rsidRDefault="00AD1E34" w:rsidP="00EA2A60">
      <w:pPr>
        <w:jc w:val="both"/>
        <w:rPr>
          <w:color w:val="000000"/>
        </w:rPr>
      </w:pPr>
    </w:p>
    <w:p w:rsidR="00830CAA" w:rsidRPr="0011480F" w:rsidRDefault="00830CAA" w:rsidP="00830CAA">
      <w:pPr>
        <w:spacing w:before="75" w:after="75"/>
        <w:outlineLvl w:val="0"/>
        <w:rPr>
          <w:i/>
          <w:iCs/>
        </w:rPr>
      </w:pPr>
      <w:r w:rsidRPr="0011480F">
        <w:rPr>
          <w:i/>
          <w:iCs/>
        </w:rPr>
        <w:t xml:space="preserve">Anotācijas II, IV, V un VI sadaļa – projekts šīs jomas neskar. </w:t>
      </w:r>
    </w:p>
    <w:p w:rsidR="00830CAA" w:rsidRPr="0011480F" w:rsidRDefault="00830CAA" w:rsidP="00EA2A60">
      <w:pPr>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6"/>
        <w:gridCol w:w="1306"/>
        <w:gridCol w:w="1306"/>
        <w:gridCol w:w="1302"/>
      </w:tblGrid>
      <w:tr w:rsidR="00124F12" w:rsidRPr="0011480F" w:rsidTr="00CC4263">
        <w:trPr>
          <w:trHeight w:val="652"/>
          <w:jc w:val="center"/>
        </w:trPr>
        <w:tc>
          <w:tcPr>
            <w:tcW w:w="5000" w:type="pct"/>
            <w:gridSpan w:val="6"/>
          </w:tcPr>
          <w:p w:rsidR="00124F12" w:rsidRPr="0011480F" w:rsidRDefault="00124F12" w:rsidP="006C4607">
            <w:pPr>
              <w:pStyle w:val="naisnod"/>
              <w:spacing w:before="0" w:after="0"/>
              <w:rPr>
                <w:i/>
              </w:rPr>
            </w:pPr>
            <w:r w:rsidRPr="0011480F">
              <w:br w:type="page"/>
              <w:t>III</w:t>
            </w:r>
            <w:r w:rsidR="000941C5" w:rsidRPr="0011480F">
              <w:t>.</w:t>
            </w:r>
            <w:r w:rsidRPr="0011480F">
              <w:t xml:space="preserve"> Tiesību akta projekta ietekme uz valsts budžetu un pašvaldību budžetiem</w:t>
            </w:r>
          </w:p>
        </w:tc>
      </w:tr>
      <w:tr w:rsidR="00124F12" w:rsidRPr="0011480F" w:rsidTr="00CC4263">
        <w:trPr>
          <w:jc w:val="center"/>
        </w:trPr>
        <w:tc>
          <w:tcPr>
            <w:tcW w:w="1546" w:type="pct"/>
            <w:vMerge w:val="restart"/>
            <w:vAlign w:val="center"/>
          </w:tcPr>
          <w:p w:rsidR="00124F12" w:rsidRPr="0011480F" w:rsidRDefault="00124F12" w:rsidP="0034795A">
            <w:pPr>
              <w:pStyle w:val="naisf"/>
              <w:spacing w:before="0" w:after="0"/>
              <w:ind w:firstLine="0"/>
              <w:jc w:val="center"/>
              <w:rPr>
                <w:b/>
              </w:rPr>
            </w:pPr>
            <w:r w:rsidRPr="0011480F">
              <w:rPr>
                <w:b/>
              </w:rPr>
              <w:t>Rādītāji</w:t>
            </w:r>
          </w:p>
        </w:tc>
        <w:tc>
          <w:tcPr>
            <w:tcW w:w="1347" w:type="pct"/>
            <w:gridSpan w:val="2"/>
            <w:vMerge w:val="restart"/>
            <w:vAlign w:val="center"/>
          </w:tcPr>
          <w:p w:rsidR="00124F12" w:rsidRPr="0011480F" w:rsidRDefault="008E117D" w:rsidP="006C4607">
            <w:pPr>
              <w:pStyle w:val="naisf"/>
              <w:spacing w:before="0" w:after="0"/>
              <w:ind w:firstLine="0"/>
              <w:jc w:val="center"/>
              <w:rPr>
                <w:b/>
              </w:rPr>
            </w:pPr>
            <w:r w:rsidRPr="0011480F">
              <w:rPr>
                <w:b/>
              </w:rPr>
              <w:t>2013</w:t>
            </w:r>
            <w:r w:rsidR="00797BEF" w:rsidRPr="0011480F">
              <w:rPr>
                <w:b/>
              </w:rPr>
              <w:t>.</w:t>
            </w:r>
            <w:r w:rsidR="00124F12" w:rsidRPr="0011480F">
              <w:rPr>
                <w:b/>
              </w:rPr>
              <w:t>gads</w:t>
            </w:r>
          </w:p>
        </w:tc>
        <w:tc>
          <w:tcPr>
            <w:tcW w:w="2108" w:type="pct"/>
            <w:gridSpan w:val="3"/>
            <w:vAlign w:val="center"/>
          </w:tcPr>
          <w:p w:rsidR="00124F12" w:rsidRPr="0011480F" w:rsidRDefault="00124F12" w:rsidP="006C4607">
            <w:pPr>
              <w:pStyle w:val="naisf"/>
              <w:spacing w:before="0" w:after="0"/>
              <w:ind w:firstLine="0"/>
              <w:jc w:val="center"/>
              <w:rPr>
                <w:b/>
                <w:i/>
              </w:rPr>
            </w:pPr>
            <w:r w:rsidRPr="0011480F">
              <w:t>Turpmākie trīs gadi</w:t>
            </w:r>
            <w:r w:rsidR="009E12D7" w:rsidRPr="0011480F">
              <w:t xml:space="preserve"> (tūkst. latu)</w:t>
            </w:r>
          </w:p>
        </w:tc>
      </w:tr>
      <w:tr w:rsidR="00124F12" w:rsidRPr="0011480F" w:rsidTr="00CC4263">
        <w:trPr>
          <w:jc w:val="center"/>
        </w:trPr>
        <w:tc>
          <w:tcPr>
            <w:tcW w:w="1546" w:type="pct"/>
            <w:vMerge/>
            <w:vAlign w:val="center"/>
          </w:tcPr>
          <w:p w:rsidR="00124F12" w:rsidRPr="0011480F" w:rsidRDefault="00124F12" w:rsidP="0034795A">
            <w:pPr>
              <w:pStyle w:val="naisf"/>
              <w:spacing w:before="0" w:after="0"/>
              <w:ind w:firstLine="0"/>
              <w:jc w:val="left"/>
              <w:rPr>
                <w:b/>
                <w:i/>
              </w:rPr>
            </w:pPr>
          </w:p>
        </w:tc>
        <w:tc>
          <w:tcPr>
            <w:tcW w:w="1347" w:type="pct"/>
            <w:gridSpan w:val="2"/>
            <w:vMerge/>
            <w:vAlign w:val="center"/>
          </w:tcPr>
          <w:p w:rsidR="00124F12" w:rsidRPr="0011480F" w:rsidRDefault="00124F12" w:rsidP="006C4607">
            <w:pPr>
              <w:pStyle w:val="naisf"/>
              <w:spacing w:before="0" w:after="0"/>
              <w:ind w:firstLine="0"/>
              <w:jc w:val="center"/>
              <w:rPr>
                <w:b/>
                <w:i/>
              </w:rPr>
            </w:pPr>
          </w:p>
        </w:tc>
        <w:tc>
          <w:tcPr>
            <w:tcW w:w="703" w:type="pct"/>
            <w:vAlign w:val="center"/>
          </w:tcPr>
          <w:p w:rsidR="00124F12" w:rsidRPr="0011480F" w:rsidRDefault="00797BEF" w:rsidP="006C4607">
            <w:pPr>
              <w:pStyle w:val="naisf"/>
              <w:spacing w:before="0" w:after="0"/>
              <w:ind w:firstLine="0"/>
              <w:jc w:val="center"/>
              <w:rPr>
                <w:b/>
                <w:i/>
              </w:rPr>
            </w:pPr>
            <w:r w:rsidRPr="0011480F">
              <w:rPr>
                <w:b/>
                <w:bCs/>
              </w:rPr>
              <w:t>20</w:t>
            </w:r>
            <w:r w:rsidR="00124F12" w:rsidRPr="0011480F">
              <w:rPr>
                <w:b/>
                <w:bCs/>
              </w:rPr>
              <w:t>1</w:t>
            </w:r>
            <w:r w:rsidR="008E117D" w:rsidRPr="0011480F">
              <w:rPr>
                <w:b/>
                <w:bCs/>
              </w:rPr>
              <w:t>4</w:t>
            </w:r>
            <w:r w:rsidRPr="0011480F">
              <w:rPr>
                <w:b/>
                <w:bCs/>
              </w:rPr>
              <w:t>.g</w:t>
            </w:r>
            <w:r w:rsidR="003E15BA">
              <w:rPr>
                <w:b/>
                <w:bCs/>
              </w:rPr>
              <w:t>ads</w:t>
            </w:r>
          </w:p>
        </w:tc>
        <w:tc>
          <w:tcPr>
            <w:tcW w:w="703" w:type="pct"/>
            <w:vAlign w:val="center"/>
          </w:tcPr>
          <w:p w:rsidR="00124F12" w:rsidRPr="0011480F" w:rsidRDefault="008E117D" w:rsidP="006C4607">
            <w:pPr>
              <w:pStyle w:val="naisf"/>
              <w:spacing w:before="0" w:after="0"/>
              <w:ind w:firstLine="0"/>
              <w:jc w:val="center"/>
              <w:rPr>
                <w:b/>
                <w:i/>
              </w:rPr>
            </w:pPr>
            <w:r w:rsidRPr="0011480F">
              <w:rPr>
                <w:b/>
                <w:bCs/>
              </w:rPr>
              <w:t>2015</w:t>
            </w:r>
            <w:r w:rsidR="00797BEF" w:rsidRPr="0011480F">
              <w:rPr>
                <w:b/>
                <w:bCs/>
              </w:rPr>
              <w:t>.g</w:t>
            </w:r>
            <w:r w:rsidR="003E15BA">
              <w:rPr>
                <w:b/>
                <w:bCs/>
              </w:rPr>
              <w:t>ads</w:t>
            </w:r>
          </w:p>
        </w:tc>
        <w:tc>
          <w:tcPr>
            <w:tcW w:w="703" w:type="pct"/>
            <w:vAlign w:val="center"/>
          </w:tcPr>
          <w:p w:rsidR="00124F12" w:rsidRPr="0011480F" w:rsidRDefault="008E117D" w:rsidP="006C4607">
            <w:pPr>
              <w:pStyle w:val="naisf"/>
              <w:spacing w:before="0" w:after="0"/>
              <w:ind w:firstLine="0"/>
              <w:jc w:val="center"/>
              <w:rPr>
                <w:b/>
                <w:i/>
              </w:rPr>
            </w:pPr>
            <w:r w:rsidRPr="0011480F">
              <w:rPr>
                <w:b/>
                <w:bCs/>
              </w:rPr>
              <w:t>2016</w:t>
            </w:r>
            <w:r w:rsidR="00797BEF" w:rsidRPr="0011480F">
              <w:rPr>
                <w:b/>
                <w:bCs/>
              </w:rPr>
              <w:t>.g</w:t>
            </w:r>
            <w:r w:rsidR="003E15BA">
              <w:rPr>
                <w:b/>
                <w:bCs/>
              </w:rPr>
              <w:t>ads</w:t>
            </w:r>
          </w:p>
        </w:tc>
      </w:tr>
      <w:tr w:rsidR="00124F12" w:rsidRPr="0011480F" w:rsidTr="00CC4263">
        <w:trPr>
          <w:jc w:val="center"/>
        </w:trPr>
        <w:tc>
          <w:tcPr>
            <w:tcW w:w="1546" w:type="pct"/>
            <w:vMerge/>
            <w:vAlign w:val="center"/>
          </w:tcPr>
          <w:p w:rsidR="00124F12" w:rsidRPr="0011480F" w:rsidRDefault="00124F12" w:rsidP="0034795A">
            <w:pPr>
              <w:pStyle w:val="naisf"/>
              <w:spacing w:before="0" w:after="0"/>
              <w:ind w:firstLine="0"/>
              <w:jc w:val="left"/>
              <w:rPr>
                <w:b/>
                <w:i/>
              </w:rPr>
            </w:pPr>
          </w:p>
        </w:tc>
        <w:tc>
          <w:tcPr>
            <w:tcW w:w="644" w:type="pct"/>
            <w:vAlign w:val="center"/>
          </w:tcPr>
          <w:p w:rsidR="00124F12" w:rsidRPr="0011480F" w:rsidRDefault="00124F12" w:rsidP="006C4607">
            <w:pPr>
              <w:pStyle w:val="naisf"/>
              <w:spacing w:before="0" w:after="0"/>
              <w:ind w:firstLine="0"/>
              <w:jc w:val="center"/>
              <w:rPr>
                <w:b/>
                <w:i/>
              </w:rPr>
            </w:pPr>
            <w:r w:rsidRPr="0011480F">
              <w:t>Saskaņā ar valsts budžetu kārtējam gadam</w:t>
            </w:r>
          </w:p>
        </w:tc>
        <w:tc>
          <w:tcPr>
            <w:tcW w:w="703" w:type="pct"/>
            <w:vAlign w:val="center"/>
          </w:tcPr>
          <w:p w:rsidR="00124F12" w:rsidRPr="0011480F" w:rsidRDefault="00124F12" w:rsidP="006C4607">
            <w:pPr>
              <w:pStyle w:val="naisf"/>
              <w:spacing w:before="0" w:after="0"/>
              <w:ind w:firstLine="0"/>
              <w:jc w:val="center"/>
              <w:rPr>
                <w:b/>
                <w:i/>
              </w:rPr>
            </w:pPr>
            <w:r w:rsidRPr="0011480F">
              <w:t>Izmaiņas kārtējā gadā</w:t>
            </w:r>
            <w:r w:rsidR="009E12D7" w:rsidRPr="0011480F">
              <w:t>,</w:t>
            </w:r>
            <w:r w:rsidRPr="0011480F">
              <w:t xml:space="preserve"> salīdzinot ar budžetu kārtējam gadam</w:t>
            </w:r>
          </w:p>
        </w:tc>
        <w:tc>
          <w:tcPr>
            <w:tcW w:w="703" w:type="pct"/>
            <w:vAlign w:val="center"/>
          </w:tcPr>
          <w:p w:rsidR="00124F12" w:rsidRPr="0011480F" w:rsidRDefault="00124F12" w:rsidP="006C4607">
            <w:pPr>
              <w:pStyle w:val="naisf"/>
              <w:spacing w:before="0" w:after="0"/>
              <w:ind w:firstLine="0"/>
              <w:jc w:val="center"/>
              <w:rPr>
                <w:b/>
                <w:i/>
              </w:rPr>
            </w:pPr>
            <w:r w:rsidRPr="0011480F">
              <w:t>Izmaiņas</w:t>
            </w:r>
            <w:r w:rsidR="00182C18" w:rsidRPr="0011480F">
              <w:t>,</w:t>
            </w:r>
            <w:r w:rsidR="00751353" w:rsidRPr="0011480F">
              <w:t xml:space="preserve"> salīdzinot ar kārtējo (2013.</w:t>
            </w:r>
            <w:r w:rsidRPr="0011480F">
              <w:t>) gadu</w:t>
            </w:r>
          </w:p>
        </w:tc>
        <w:tc>
          <w:tcPr>
            <w:tcW w:w="703" w:type="pct"/>
            <w:vAlign w:val="center"/>
          </w:tcPr>
          <w:p w:rsidR="00124F12" w:rsidRPr="0011480F" w:rsidRDefault="00124F12" w:rsidP="006C4607">
            <w:pPr>
              <w:pStyle w:val="naisf"/>
              <w:spacing w:before="0" w:after="0"/>
              <w:ind w:firstLine="0"/>
              <w:jc w:val="center"/>
              <w:rPr>
                <w:b/>
                <w:i/>
              </w:rPr>
            </w:pPr>
            <w:r w:rsidRPr="0011480F">
              <w:t>Izmaiņas</w:t>
            </w:r>
            <w:r w:rsidR="00182C18" w:rsidRPr="0011480F">
              <w:t>,</w:t>
            </w:r>
            <w:r w:rsidRPr="0011480F">
              <w:t xml:space="preserve"> salīdzinot </w:t>
            </w:r>
            <w:r w:rsidR="00751353" w:rsidRPr="0011480F">
              <w:t>ar kārtējo (2013.</w:t>
            </w:r>
            <w:r w:rsidRPr="0011480F">
              <w:t>) gadu</w:t>
            </w:r>
          </w:p>
        </w:tc>
        <w:tc>
          <w:tcPr>
            <w:tcW w:w="703" w:type="pct"/>
            <w:vAlign w:val="center"/>
          </w:tcPr>
          <w:p w:rsidR="00124F12" w:rsidRPr="0011480F" w:rsidRDefault="00124F12" w:rsidP="00797BEF">
            <w:pPr>
              <w:pStyle w:val="naisf"/>
              <w:spacing w:before="0" w:after="0"/>
              <w:ind w:firstLine="0"/>
              <w:jc w:val="center"/>
              <w:rPr>
                <w:b/>
                <w:i/>
              </w:rPr>
            </w:pPr>
            <w:r w:rsidRPr="0011480F">
              <w:t>Izmaiņas</w:t>
            </w:r>
            <w:r w:rsidR="00182C18" w:rsidRPr="0011480F">
              <w:t>,</w:t>
            </w:r>
            <w:r w:rsidRPr="0011480F">
              <w:t xml:space="preserve"> salīdzinot ar kārtējo (</w:t>
            </w:r>
            <w:r w:rsidR="00751353" w:rsidRPr="0011480F">
              <w:t>2013.</w:t>
            </w:r>
            <w:r w:rsidRPr="0011480F">
              <w:t>) gadu</w:t>
            </w:r>
          </w:p>
        </w:tc>
      </w:tr>
      <w:tr w:rsidR="00124F12" w:rsidRPr="0011480F" w:rsidTr="00CC4263">
        <w:trPr>
          <w:jc w:val="center"/>
        </w:trPr>
        <w:tc>
          <w:tcPr>
            <w:tcW w:w="1546" w:type="pct"/>
            <w:vAlign w:val="center"/>
          </w:tcPr>
          <w:p w:rsidR="00124F12" w:rsidRPr="0011480F" w:rsidRDefault="00124F12" w:rsidP="0034795A">
            <w:pPr>
              <w:pStyle w:val="naisf"/>
              <w:spacing w:before="0" w:after="0"/>
              <w:ind w:firstLine="0"/>
              <w:jc w:val="center"/>
              <w:rPr>
                <w:bCs/>
              </w:rPr>
            </w:pPr>
            <w:r w:rsidRPr="0011480F">
              <w:rPr>
                <w:bCs/>
              </w:rPr>
              <w:t>1</w:t>
            </w:r>
          </w:p>
        </w:tc>
        <w:tc>
          <w:tcPr>
            <w:tcW w:w="644" w:type="pct"/>
            <w:vAlign w:val="center"/>
          </w:tcPr>
          <w:p w:rsidR="00124F12" w:rsidRPr="0011480F" w:rsidRDefault="00124F12" w:rsidP="006C4607">
            <w:pPr>
              <w:pStyle w:val="naisf"/>
              <w:spacing w:before="0" w:after="0"/>
              <w:ind w:firstLine="0"/>
              <w:jc w:val="center"/>
              <w:rPr>
                <w:bCs/>
              </w:rPr>
            </w:pPr>
            <w:r w:rsidRPr="0011480F">
              <w:rPr>
                <w:bCs/>
              </w:rPr>
              <w:t>2</w:t>
            </w:r>
          </w:p>
        </w:tc>
        <w:tc>
          <w:tcPr>
            <w:tcW w:w="703" w:type="pct"/>
            <w:vAlign w:val="center"/>
          </w:tcPr>
          <w:p w:rsidR="00124F12" w:rsidRPr="0011480F" w:rsidRDefault="00124F12" w:rsidP="006C4607">
            <w:pPr>
              <w:pStyle w:val="naisf"/>
              <w:spacing w:before="0" w:after="0"/>
              <w:ind w:firstLine="0"/>
              <w:jc w:val="center"/>
              <w:rPr>
                <w:bCs/>
              </w:rPr>
            </w:pPr>
            <w:r w:rsidRPr="0011480F">
              <w:rPr>
                <w:bCs/>
              </w:rPr>
              <w:t>3</w:t>
            </w:r>
          </w:p>
        </w:tc>
        <w:tc>
          <w:tcPr>
            <w:tcW w:w="703" w:type="pct"/>
            <w:vAlign w:val="center"/>
          </w:tcPr>
          <w:p w:rsidR="00124F12" w:rsidRPr="0011480F" w:rsidRDefault="00124F12" w:rsidP="006C4607">
            <w:pPr>
              <w:pStyle w:val="naisf"/>
              <w:spacing w:before="0" w:after="0"/>
              <w:ind w:firstLine="0"/>
              <w:jc w:val="center"/>
              <w:rPr>
                <w:bCs/>
              </w:rPr>
            </w:pPr>
            <w:r w:rsidRPr="0011480F">
              <w:rPr>
                <w:bCs/>
              </w:rPr>
              <w:t>4</w:t>
            </w:r>
          </w:p>
        </w:tc>
        <w:tc>
          <w:tcPr>
            <w:tcW w:w="703" w:type="pct"/>
            <w:vAlign w:val="center"/>
          </w:tcPr>
          <w:p w:rsidR="00124F12" w:rsidRPr="0011480F" w:rsidRDefault="00124F12" w:rsidP="006C4607">
            <w:pPr>
              <w:pStyle w:val="naisf"/>
              <w:spacing w:before="0" w:after="0"/>
              <w:ind w:firstLine="0"/>
              <w:jc w:val="center"/>
              <w:rPr>
                <w:bCs/>
              </w:rPr>
            </w:pPr>
            <w:r w:rsidRPr="0011480F">
              <w:rPr>
                <w:bCs/>
              </w:rPr>
              <w:t>5</w:t>
            </w:r>
          </w:p>
        </w:tc>
        <w:tc>
          <w:tcPr>
            <w:tcW w:w="703" w:type="pct"/>
            <w:vAlign w:val="center"/>
          </w:tcPr>
          <w:p w:rsidR="00124F12" w:rsidRPr="0011480F" w:rsidRDefault="00124F12" w:rsidP="006C4607">
            <w:pPr>
              <w:pStyle w:val="naisf"/>
              <w:spacing w:before="0" w:after="0"/>
              <w:ind w:firstLine="0"/>
              <w:jc w:val="center"/>
              <w:rPr>
                <w:bCs/>
              </w:rPr>
            </w:pPr>
            <w:r w:rsidRPr="0011480F">
              <w:rPr>
                <w:bCs/>
              </w:rPr>
              <w:t>6</w:t>
            </w:r>
          </w:p>
        </w:tc>
      </w:tr>
      <w:tr w:rsidR="00124F12" w:rsidRPr="0011480F" w:rsidTr="00CC4263">
        <w:trPr>
          <w:jc w:val="center"/>
        </w:trPr>
        <w:tc>
          <w:tcPr>
            <w:tcW w:w="1546" w:type="pct"/>
          </w:tcPr>
          <w:p w:rsidR="00124F12" w:rsidRPr="0011480F" w:rsidRDefault="00124F12" w:rsidP="0034795A">
            <w:pPr>
              <w:pStyle w:val="naisf"/>
              <w:spacing w:before="0" w:after="0"/>
              <w:ind w:firstLine="0"/>
              <w:jc w:val="left"/>
              <w:rPr>
                <w:i/>
              </w:rPr>
            </w:pPr>
            <w:r w:rsidRPr="0011480F">
              <w:t>1. Budžeta ieņēmumi:</w:t>
            </w:r>
          </w:p>
        </w:tc>
        <w:tc>
          <w:tcPr>
            <w:tcW w:w="644" w:type="pct"/>
          </w:tcPr>
          <w:p w:rsidR="00124F12" w:rsidRPr="0011480F" w:rsidRDefault="00C50194" w:rsidP="005A53B8">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r>
      <w:tr w:rsidR="00CA24B4" w:rsidRPr="0011480F" w:rsidTr="00CC4263">
        <w:trPr>
          <w:jc w:val="center"/>
        </w:trPr>
        <w:tc>
          <w:tcPr>
            <w:tcW w:w="1546" w:type="pct"/>
          </w:tcPr>
          <w:p w:rsidR="00CA24B4" w:rsidRPr="0011480F" w:rsidRDefault="00CA24B4" w:rsidP="0034795A">
            <w:pPr>
              <w:pStyle w:val="naisf"/>
              <w:spacing w:before="0" w:after="0"/>
              <w:ind w:firstLine="0"/>
              <w:jc w:val="left"/>
              <w:rPr>
                <w:i/>
              </w:rPr>
            </w:pPr>
            <w:r w:rsidRPr="0011480F">
              <w:t>1.1. valsts pamatbudžets, tai sk</w:t>
            </w:r>
            <w:r w:rsidR="00E9693C" w:rsidRPr="0011480F">
              <w:t>aitā ieņēmumi no maksas pakalpo</w:t>
            </w:r>
            <w:r w:rsidRPr="0011480F">
              <w:t>jumiem un citi pašu ieņēmumi</w:t>
            </w:r>
          </w:p>
        </w:tc>
        <w:tc>
          <w:tcPr>
            <w:tcW w:w="644" w:type="pct"/>
          </w:tcPr>
          <w:p w:rsidR="005A53B8" w:rsidRPr="0011480F" w:rsidRDefault="005A53B8" w:rsidP="005A53B8">
            <w:pPr>
              <w:pStyle w:val="naisf"/>
              <w:spacing w:before="0" w:after="0"/>
              <w:ind w:firstLine="0"/>
              <w:jc w:val="center"/>
            </w:pPr>
          </w:p>
          <w:p w:rsidR="0025780E" w:rsidRPr="0011480F" w:rsidRDefault="0025780E" w:rsidP="005A53B8">
            <w:pPr>
              <w:pStyle w:val="naisf"/>
              <w:spacing w:before="0" w:after="0"/>
              <w:ind w:firstLine="0"/>
              <w:jc w:val="center"/>
            </w:pPr>
          </w:p>
          <w:p w:rsidR="005A53B8" w:rsidRPr="0011480F" w:rsidRDefault="00C50194" w:rsidP="005A53B8">
            <w:pPr>
              <w:pStyle w:val="naisf"/>
              <w:spacing w:before="0" w:after="0"/>
              <w:ind w:firstLine="0"/>
              <w:jc w:val="center"/>
            </w:pPr>
            <w:r w:rsidRPr="0011480F">
              <w:t>0</w:t>
            </w:r>
          </w:p>
          <w:p w:rsidR="00CA24B4" w:rsidRPr="0011480F" w:rsidRDefault="00CA24B4" w:rsidP="006C4607">
            <w:pPr>
              <w:pStyle w:val="naisf"/>
              <w:spacing w:before="0" w:after="0"/>
              <w:ind w:firstLine="0"/>
              <w:rPr>
                <w:b/>
              </w:rPr>
            </w:pPr>
          </w:p>
        </w:tc>
        <w:tc>
          <w:tcPr>
            <w:tcW w:w="703" w:type="pct"/>
            <w:vAlign w:val="center"/>
          </w:tcPr>
          <w:p w:rsidR="0025780E" w:rsidRPr="0011480F" w:rsidRDefault="0025780E" w:rsidP="005A53B8">
            <w:pPr>
              <w:pStyle w:val="naisf"/>
              <w:spacing w:before="0" w:after="0"/>
              <w:ind w:firstLine="0"/>
              <w:jc w:val="center"/>
            </w:pPr>
          </w:p>
          <w:p w:rsidR="00CA24B4" w:rsidRPr="0011480F" w:rsidRDefault="00DD2BEA" w:rsidP="005A53B8">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p w:rsidR="00CA24B4" w:rsidRPr="0011480F" w:rsidRDefault="00CA24B4" w:rsidP="005A53B8">
            <w:pPr>
              <w:pStyle w:val="naisf"/>
              <w:spacing w:before="0" w:after="0"/>
              <w:ind w:firstLine="0"/>
              <w:jc w:val="center"/>
              <w:rPr>
                <w:b/>
              </w:rPr>
            </w:pPr>
          </w:p>
        </w:tc>
        <w:tc>
          <w:tcPr>
            <w:tcW w:w="703" w:type="pct"/>
            <w:vAlign w:val="center"/>
          </w:tcPr>
          <w:p w:rsidR="00496DEA" w:rsidRPr="0011480F" w:rsidRDefault="00496DEA" w:rsidP="005A53B8">
            <w:pPr>
              <w:pStyle w:val="naisf"/>
              <w:spacing w:before="0" w:after="0"/>
              <w:ind w:firstLine="0"/>
              <w:jc w:val="center"/>
            </w:pPr>
          </w:p>
          <w:p w:rsidR="00CA24B4" w:rsidRPr="0011480F" w:rsidRDefault="00DD2BEA" w:rsidP="005A53B8">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tc>
        <w:tc>
          <w:tcPr>
            <w:tcW w:w="703" w:type="pct"/>
            <w:vAlign w:val="center"/>
          </w:tcPr>
          <w:p w:rsidR="00496DEA" w:rsidRPr="0011480F" w:rsidRDefault="00496DEA" w:rsidP="0025780E">
            <w:pPr>
              <w:pStyle w:val="naisf"/>
              <w:spacing w:before="0" w:after="0"/>
              <w:ind w:firstLine="0"/>
              <w:jc w:val="center"/>
            </w:pPr>
          </w:p>
          <w:p w:rsidR="00CA24B4" w:rsidRPr="0011480F" w:rsidRDefault="00DD2BEA" w:rsidP="0025780E">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tc>
        <w:tc>
          <w:tcPr>
            <w:tcW w:w="703" w:type="pct"/>
            <w:vAlign w:val="center"/>
          </w:tcPr>
          <w:p w:rsidR="00CA24B4" w:rsidRPr="0011480F" w:rsidRDefault="00CA24B4" w:rsidP="005A53B8">
            <w:pPr>
              <w:pStyle w:val="naisf"/>
              <w:spacing w:before="0" w:after="0"/>
              <w:ind w:firstLine="0"/>
              <w:jc w:val="center"/>
            </w:pPr>
          </w:p>
          <w:p w:rsidR="00CA24B4" w:rsidRPr="0011480F" w:rsidRDefault="00DD2BEA" w:rsidP="005A53B8">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p w:rsidR="00CA24B4" w:rsidRPr="0011480F" w:rsidRDefault="00CA24B4" w:rsidP="005A53B8">
            <w:pPr>
              <w:pStyle w:val="naisf"/>
              <w:spacing w:before="0" w:after="0"/>
              <w:ind w:firstLine="0"/>
              <w:jc w:val="center"/>
            </w:pPr>
          </w:p>
        </w:tc>
      </w:tr>
      <w:tr w:rsidR="00CA24B4" w:rsidRPr="008C1604" w:rsidTr="00CC4263">
        <w:trPr>
          <w:trHeight w:val="657"/>
          <w:jc w:val="center"/>
        </w:trPr>
        <w:tc>
          <w:tcPr>
            <w:tcW w:w="1546" w:type="pct"/>
          </w:tcPr>
          <w:p w:rsidR="00CA24B4" w:rsidRPr="008C1604" w:rsidRDefault="00CA24B4" w:rsidP="0034795A">
            <w:pPr>
              <w:pStyle w:val="naisf"/>
              <w:spacing w:before="0" w:after="0"/>
              <w:ind w:firstLine="0"/>
              <w:jc w:val="left"/>
              <w:rPr>
                <w:i/>
              </w:rPr>
            </w:pPr>
            <w:r w:rsidRPr="008C1604">
              <w:t>1.2. valsts speciālais budžets</w:t>
            </w:r>
          </w:p>
        </w:tc>
        <w:tc>
          <w:tcPr>
            <w:tcW w:w="644"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pPr>
              <w:pStyle w:val="naisf"/>
              <w:spacing w:before="0" w:after="0"/>
              <w:ind w:firstLine="0"/>
              <w:jc w:val="left"/>
              <w:rPr>
                <w:i/>
              </w:rPr>
            </w:pPr>
            <w:r w:rsidRPr="008C1604">
              <w:t>1.3. pašvaldību budžets</w:t>
            </w:r>
          </w:p>
        </w:tc>
        <w:tc>
          <w:tcPr>
            <w:tcW w:w="644"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124F12" w:rsidRPr="008C1604" w:rsidTr="00CC4263">
        <w:trPr>
          <w:jc w:val="center"/>
        </w:trPr>
        <w:tc>
          <w:tcPr>
            <w:tcW w:w="1546" w:type="pct"/>
          </w:tcPr>
          <w:p w:rsidR="00124F12" w:rsidRPr="008C1604" w:rsidRDefault="00124F12" w:rsidP="0034795A">
            <w:r w:rsidRPr="008C1604">
              <w:t>2. Budžeta izdevumi:</w:t>
            </w:r>
          </w:p>
        </w:tc>
        <w:tc>
          <w:tcPr>
            <w:tcW w:w="644" w:type="pct"/>
          </w:tcPr>
          <w:p w:rsidR="00124F12" w:rsidRPr="008C1604" w:rsidRDefault="00C50194" w:rsidP="005A53B8">
            <w:pPr>
              <w:pStyle w:val="naisf"/>
              <w:spacing w:before="0" w:after="0"/>
              <w:ind w:firstLine="0"/>
              <w:jc w:val="center"/>
              <w:rPr>
                <w:b/>
              </w:rPr>
            </w:pPr>
            <w:r w:rsidRPr="008C1604">
              <w:rPr>
                <w:b/>
              </w:rPr>
              <w:t>0</w:t>
            </w:r>
          </w:p>
        </w:tc>
        <w:tc>
          <w:tcPr>
            <w:tcW w:w="703" w:type="pct"/>
          </w:tcPr>
          <w:p w:rsidR="00124F12" w:rsidRPr="008C1604" w:rsidRDefault="00077BC1" w:rsidP="00957399">
            <w:pPr>
              <w:pStyle w:val="naisf"/>
              <w:spacing w:before="0" w:after="0"/>
              <w:ind w:firstLine="0"/>
              <w:jc w:val="center"/>
              <w:rPr>
                <w:b/>
              </w:rPr>
            </w:pPr>
            <w:r w:rsidRPr="008C1604">
              <w:rPr>
                <w:b/>
              </w:rPr>
              <w:t>+</w:t>
            </w:r>
            <w:r w:rsidR="00197641" w:rsidRPr="008C1604">
              <w:rPr>
                <w:b/>
              </w:rPr>
              <w:t>1</w:t>
            </w:r>
            <w:r w:rsidR="00957399" w:rsidRPr="008C1604">
              <w:rPr>
                <w:b/>
              </w:rPr>
              <w:t>13</w:t>
            </w:r>
            <w:r w:rsidR="00BA4CC0" w:rsidRPr="008C1604">
              <w:rPr>
                <w:b/>
              </w:rPr>
              <w:t>,</w:t>
            </w:r>
            <w:r w:rsidR="00957399" w:rsidRPr="008C1604">
              <w:rPr>
                <w:b/>
              </w:rPr>
              <w:t>3</w:t>
            </w:r>
          </w:p>
        </w:tc>
        <w:tc>
          <w:tcPr>
            <w:tcW w:w="703" w:type="pct"/>
          </w:tcPr>
          <w:p w:rsidR="00124F12" w:rsidRPr="008C1604" w:rsidRDefault="00CA24B4" w:rsidP="00CA24B4">
            <w:pPr>
              <w:pStyle w:val="naisf"/>
              <w:spacing w:before="0" w:after="0"/>
              <w:ind w:firstLine="0"/>
              <w:jc w:val="center"/>
              <w:rPr>
                <w:b/>
              </w:rPr>
            </w:pPr>
            <w:r w:rsidRPr="008C1604">
              <w:rPr>
                <w:b/>
              </w:rPr>
              <w:t>0</w:t>
            </w:r>
          </w:p>
        </w:tc>
        <w:tc>
          <w:tcPr>
            <w:tcW w:w="703" w:type="pct"/>
          </w:tcPr>
          <w:p w:rsidR="00124F12" w:rsidRPr="008C1604" w:rsidRDefault="00CA24B4" w:rsidP="00CA24B4">
            <w:pPr>
              <w:pStyle w:val="naisf"/>
              <w:spacing w:before="0" w:after="0"/>
              <w:ind w:firstLine="0"/>
              <w:jc w:val="center"/>
              <w:rPr>
                <w:b/>
              </w:rPr>
            </w:pPr>
            <w:r w:rsidRPr="008C1604">
              <w:rPr>
                <w:b/>
              </w:rPr>
              <w:t>0</w:t>
            </w:r>
          </w:p>
        </w:tc>
        <w:tc>
          <w:tcPr>
            <w:tcW w:w="703" w:type="pct"/>
          </w:tcPr>
          <w:p w:rsidR="00124F12" w:rsidRPr="008C1604" w:rsidRDefault="00CA24B4" w:rsidP="00CA24B4">
            <w:pPr>
              <w:pStyle w:val="naisf"/>
              <w:spacing w:before="0" w:after="0"/>
              <w:ind w:firstLine="0"/>
              <w:jc w:val="center"/>
              <w:rPr>
                <w:b/>
              </w:rPr>
            </w:pPr>
            <w:r w:rsidRPr="008C1604">
              <w:rPr>
                <w:b/>
              </w:rPr>
              <w:t>0</w:t>
            </w:r>
          </w:p>
        </w:tc>
      </w:tr>
      <w:tr w:rsidR="00CA24B4" w:rsidRPr="008C1604" w:rsidTr="00CC4263">
        <w:trPr>
          <w:trHeight w:val="414"/>
          <w:jc w:val="center"/>
        </w:trPr>
        <w:tc>
          <w:tcPr>
            <w:tcW w:w="1546" w:type="pct"/>
          </w:tcPr>
          <w:p w:rsidR="00CA24B4" w:rsidRPr="008C1604" w:rsidRDefault="00CA24B4" w:rsidP="0034795A">
            <w:r w:rsidRPr="008C1604">
              <w:t>2.1. valsts pamatbudžets</w:t>
            </w:r>
          </w:p>
        </w:tc>
        <w:tc>
          <w:tcPr>
            <w:tcW w:w="644" w:type="pct"/>
          </w:tcPr>
          <w:p w:rsidR="00CA24B4" w:rsidRPr="008C1604" w:rsidRDefault="00C50194" w:rsidP="00AE1FDB">
            <w:pPr>
              <w:pStyle w:val="naisf"/>
              <w:spacing w:before="0" w:after="0"/>
              <w:ind w:firstLine="0"/>
              <w:jc w:val="center"/>
            </w:pPr>
            <w:r w:rsidRPr="008C1604">
              <w:t>0</w:t>
            </w:r>
          </w:p>
        </w:tc>
        <w:tc>
          <w:tcPr>
            <w:tcW w:w="703" w:type="pct"/>
          </w:tcPr>
          <w:p w:rsidR="00CA24B4" w:rsidRPr="008C1604" w:rsidRDefault="00077BC1" w:rsidP="00957399">
            <w:pPr>
              <w:pStyle w:val="naisf"/>
              <w:spacing w:before="0" w:after="0"/>
              <w:ind w:firstLine="0"/>
              <w:jc w:val="center"/>
            </w:pPr>
            <w:r w:rsidRPr="008C1604">
              <w:t>+</w:t>
            </w:r>
            <w:r w:rsidR="00197641" w:rsidRPr="008C1604">
              <w:t>1</w:t>
            </w:r>
            <w:r w:rsidR="00957399" w:rsidRPr="008C1604">
              <w:t>13,3</w:t>
            </w:r>
          </w:p>
        </w:tc>
        <w:tc>
          <w:tcPr>
            <w:tcW w:w="703" w:type="pct"/>
          </w:tcPr>
          <w:p w:rsidR="00CA24B4" w:rsidRPr="008C1604" w:rsidRDefault="00DD2BEA" w:rsidP="00AE1FDB">
            <w:pPr>
              <w:pStyle w:val="naisf"/>
              <w:spacing w:before="0" w:after="0"/>
              <w:ind w:firstLine="0"/>
              <w:jc w:val="center"/>
            </w:pPr>
            <w:r w:rsidRPr="008C1604">
              <w:t>0</w:t>
            </w:r>
          </w:p>
          <w:p w:rsidR="00CA24B4" w:rsidRPr="008C1604" w:rsidRDefault="00CA24B4" w:rsidP="00AE1FDB">
            <w:pPr>
              <w:pStyle w:val="naisf"/>
              <w:spacing w:before="0" w:after="0"/>
              <w:ind w:firstLine="0"/>
              <w:jc w:val="center"/>
            </w:pPr>
          </w:p>
        </w:tc>
        <w:tc>
          <w:tcPr>
            <w:tcW w:w="703" w:type="pct"/>
          </w:tcPr>
          <w:p w:rsidR="00CA24B4" w:rsidRPr="008C1604" w:rsidRDefault="00DD2BEA" w:rsidP="00AE1FDB">
            <w:pPr>
              <w:pStyle w:val="naisf"/>
              <w:spacing w:before="0" w:after="0"/>
              <w:ind w:firstLine="0"/>
              <w:jc w:val="center"/>
            </w:pPr>
            <w:r w:rsidRPr="008C1604">
              <w:t>0</w:t>
            </w:r>
          </w:p>
          <w:p w:rsidR="00CA24B4" w:rsidRPr="008C1604" w:rsidRDefault="00CA24B4" w:rsidP="00AE1FDB">
            <w:pPr>
              <w:pStyle w:val="naisf"/>
              <w:spacing w:before="0" w:after="0"/>
              <w:ind w:firstLine="0"/>
              <w:jc w:val="center"/>
            </w:pPr>
          </w:p>
        </w:tc>
        <w:tc>
          <w:tcPr>
            <w:tcW w:w="703" w:type="pct"/>
          </w:tcPr>
          <w:p w:rsidR="00CA24B4" w:rsidRPr="008C1604" w:rsidRDefault="00DD2BEA" w:rsidP="00AE1FDB">
            <w:pPr>
              <w:pStyle w:val="naisf"/>
              <w:spacing w:before="0" w:after="0"/>
              <w:ind w:firstLine="0"/>
              <w:jc w:val="center"/>
            </w:pPr>
            <w:r w:rsidRPr="008C1604">
              <w:t>0</w:t>
            </w:r>
          </w:p>
          <w:p w:rsidR="00CA24B4" w:rsidRPr="008C1604" w:rsidRDefault="00CA24B4" w:rsidP="00AE1FDB">
            <w:pPr>
              <w:pStyle w:val="naisf"/>
              <w:spacing w:before="0" w:after="0"/>
              <w:ind w:firstLine="0"/>
              <w:jc w:val="center"/>
            </w:pPr>
          </w:p>
        </w:tc>
      </w:tr>
      <w:tr w:rsidR="00CA24B4" w:rsidRPr="008C1604" w:rsidTr="00CC4263">
        <w:trPr>
          <w:jc w:val="center"/>
        </w:trPr>
        <w:tc>
          <w:tcPr>
            <w:tcW w:w="1546" w:type="pct"/>
          </w:tcPr>
          <w:p w:rsidR="00CA24B4" w:rsidRPr="008C1604" w:rsidRDefault="00CA24B4" w:rsidP="0034795A">
            <w:r w:rsidRPr="008C1604">
              <w:t>2.2. valsts speciālais budžets</w:t>
            </w:r>
          </w:p>
        </w:tc>
        <w:tc>
          <w:tcPr>
            <w:tcW w:w="644"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 xml:space="preserve">2.3. pašvaldību budžets </w:t>
            </w:r>
          </w:p>
        </w:tc>
        <w:tc>
          <w:tcPr>
            <w:tcW w:w="644"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3. Finansiālā ietekme:</w:t>
            </w:r>
          </w:p>
        </w:tc>
        <w:tc>
          <w:tcPr>
            <w:tcW w:w="644" w:type="pct"/>
            <w:shd w:val="clear" w:color="auto" w:fill="auto"/>
            <w:vAlign w:val="center"/>
          </w:tcPr>
          <w:p w:rsidR="00CA24B4" w:rsidRPr="008C1604" w:rsidRDefault="005C795B" w:rsidP="005A53B8">
            <w:pPr>
              <w:pStyle w:val="naisf"/>
              <w:spacing w:before="0" w:after="0"/>
              <w:ind w:firstLine="0"/>
              <w:jc w:val="center"/>
              <w:rPr>
                <w:b/>
              </w:rPr>
            </w:pPr>
            <w:r w:rsidRPr="008C1604">
              <w:rPr>
                <w:b/>
              </w:rPr>
              <w:t>0</w:t>
            </w:r>
          </w:p>
        </w:tc>
        <w:tc>
          <w:tcPr>
            <w:tcW w:w="703" w:type="pct"/>
          </w:tcPr>
          <w:p w:rsidR="00CA24B4" w:rsidRPr="008C1604" w:rsidRDefault="00065314" w:rsidP="00957399">
            <w:pPr>
              <w:pStyle w:val="naisf"/>
              <w:spacing w:before="0" w:after="0"/>
              <w:ind w:firstLine="0"/>
              <w:jc w:val="center"/>
              <w:rPr>
                <w:b/>
              </w:rPr>
            </w:pPr>
            <w:r w:rsidRPr="008C1604">
              <w:rPr>
                <w:b/>
              </w:rPr>
              <w:t>-</w:t>
            </w:r>
            <w:r w:rsidR="00197641" w:rsidRPr="008C1604">
              <w:rPr>
                <w:b/>
              </w:rPr>
              <w:t>11</w:t>
            </w:r>
            <w:r w:rsidR="00957399" w:rsidRPr="008C1604">
              <w:rPr>
                <w:b/>
              </w:rPr>
              <w:t>3</w:t>
            </w:r>
            <w:r w:rsidR="00197641" w:rsidRPr="008C1604">
              <w:rPr>
                <w:b/>
              </w:rPr>
              <w:t>,</w:t>
            </w:r>
            <w:r w:rsidR="00957399" w:rsidRPr="008C1604">
              <w:rPr>
                <w:b/>
              </w:rPr>
              <w:t>3</w:t>
            </w:r>
          </w:p>
        </w:tc>
        <w:tc>
          <w:tcPr>
            <w:tcW w:w="703" w:type="pct"/>
            <w:vAlign w:val="center"/>
          </w:tcPr>
          <w:p w:rsidR="00CA24B4" w:rsidRPr="008C1604" w:rsidRDefault="005C795B" w:rsidP="005A53B8">
            <w:pPr>
              <w:pStyle w:val="naisf"/>
              <w:spacing w:before="0" w:after="0"/>
              <w:ind w:firstLine="0"/>
              <w:jc w:val="center"/>
              <w:rPr>
                <w:b/>
              </w:rPr>
            </w:pPr>
            <w:r w:rsidRPr="008C1604">
              <w:rPr>
                <w:b/>
              </w:rPr>
              <w:t>0</w:t>
            </w:r>
          </w:p>
        </w:tc>
        <w:tc>
          <w:tcPr>
            <w:tcW w:w="703" w:type="pct"/>
            <w:vAlign w:val="center"/>
          </w:tcPr>
          <w:p w:rsidR="00CA24B4" w:rsidRPr="008C1604" w:rsidRDefault="005C795B" w:rsidP="005A53B8">
            <w:pPr>
              <w:pStyle w:val="naisf"/>
              <w:spacing w:before="0" w:after="0"/>
              <w:ind w:firstLine="0"/>
              <w:jc w:val="center"/>
              <w:rPr>
                <w:b/>
              </w:rPr>
            </w:pPr>
            <w:r w:rsidRPr="008C1604">
              <w:rPr>
                <w:b/>
              </w:rPr>
              <w:t>0</w:t>
            </w:r>
          </w:p>
        </w:tc>
        <w:tc>
          <w:tcPr>
            <w:tcW w:w="703" w:type="pct"/>
            <w:vAlign w:val="center"/>
          </w:tcPr>
          <w:p w:rsidR="00CA24B4" w:rsidRPr="008C1604" w:rsidRDefault="005C795B" w:rsidP="005A53B8">
            <w:pPr>
              <w:pStyle w:val="naisf"/>
              <w:spacing w:before="0" w:after="0"/>
              <w:ind w:firstLine="0"/>
              <w:jc w:val="center"/>
              <w:rPr>
                <w:b/>
              </w:rPr>
            </w:pPr>
            <w:r w:rsidRPr="008C1604">
              <w:rPr>
                <w:b/>
              </w:rPr>
              <w:t>0</w:t>
            </w:r>
          </w:p>
        </w:tc>
      </w:tr>
      <w:tr w:rsidR="00CA24B4" w:rsidRPr="008C1604" w:rsidTr="00CC4263">
        <w:trPr>
          <w:jc w:val="center"/>
        </w:trPr>
        <w:tc>
          <w:tcPr>
            <w:tcW w:w="1546" w:type="pct"/>
          </w:tcPr>
          <w:p w:rsidR="00CA24B4" w:rsidRPr="008C1604" w:rsidRDefault="00CA24B4" w:rsidP="0034795A">
            <w:r w:rsidRPr="008C1604">
              <w:t>3.1. valsts pamatbudžets</w:t>
            </w:r>
          </w:p>
        </w:tc>
        <w:tc>
          <w:tcPr>
            <w:tcW w:w="644" w:type="pct"/>
            <w:shd w:val="clear" w:color="auto" w:fill="auto"/>
            <w:vAlign w:val="center"/>
          </w:tcPr>
          <w:p w:rsidR="00CA24B4" w:rsidRPr="008C1604" w:rsidRDefault="00DD2BEA" w:rsidP="005A53B8">
            <w:pPr>
              <w:pStyle w:val="naisf"/>
              <w:spacing w:before="0" w:after="0"/>
              <w:ind w:firstLine="0"/>
              <w:jc w:val="center"/>
            </w:pPr>
            <w:r w:rsidRPr="008C1604">
              <w:t>0</w:t>
            </w:r>
          </w:p>
        </w:tc>
        <w:tc>
          <w:tcPr>
            <w:tcW w:w="703" w:type="pct"/>
            <w:vAlign w:val="center"/>
          </w:tcPr>
          <w:p w:rsidR="00CA24B4" w:rsidRPr="008C1604" w:rsidRDefault="00DA34A8" w:rsidP="00957399">
            <w:pPr>
              <w:pStyle w:val="naisf"/>
              <w:spacing w:before="0" w:after="0"/>
              <w:ind w:firstLine="0"/>
              <w:jc w:val="center"/>
              <w:rPr>
                <w:b/>
              </w:rPr>
            </w:pPr>
            <w:r w:rsidRPr="008C1604">
              <w:t>-</w:t>
            </w:r>
            <w:r w:rsidR="00197641" w:rsidRPr="008C1604">
              <w:t>11</w:t>
            </w:r>
            <w:r w:rsidR="00957399" w:rsidRPr="008C1604">
              <w:t>3</w:t>
            </w:r>
            <w:r w:rsidR="00197641" w:rsidRPr="008C1604">
              <w:t>,</w:t>
            </w:r>
            <w:r w:rsidR="00957399" w:rsidRPr="008C1604">
              <w:t>3</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3.2. speciālais budžets</w:t>
            </w:r>
          </w:p>
        </w:tc>
        <w:tc>
          <w:tcPr>
            <w:tcW w:w="644" w:type="pct"/>
            <w:shd w:val="clear" w:color="auto" w:fill="auto"/>
            <w:vAlign w:val="center"/>
          </w:tcPr>
          <w:p w:rsidR="00CA24B4" w:rsidRPr="008C1604" w:rsidRDefault="00DD2BEA" w:rsidP="005A53B8">
            <w:pPr>
              <w:pStyle w:val="naisf"/>
              <w:spacing w:before="0" w:after="0"/>
              <w:ind w:firstLine="0"/>
              <w:jc w:val="cente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 xml:space="preserve">3.3. pašvaldību budžets </w:t>
            </w:r>
          </w:p>
        </w:tc>
        <w:tc>
          <w:tcPr>
            <w:tcW w:w="644" w:type="pct"/>
            <w:shd w:val="clear" w:color="auto" w:fill="auto"/>
            <w:vAlign w:val="center"/>
          </w:tcPr>
          <w:p w:rsidR="00CA24B4" w:rsidRPr="008C1604" w:rsidRDefault="00DD2BEA" w:rsidP="005A53B8">
            <w:pPr>
              <w:pStyle w:val="naisf"/>
              <w:spacing w:before="0" w:after="0"/>
              <w:ind w:firstLine="0"/>
              <w:jc w:val="cente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5C795B" w:rsidRPr="008C1604" w:rsidTr="00CC4263">
        <w:trPr>
          <w:jc w:val="center"/>
        </w:trPr>
        <w:tc>
          <w:tcPr>
            <w:tcW w:w="1546" w:type="pct"/>
            <w:vMerge w:val="restart"/>
          </w:tcPr>
          <w:p w:rsidR="005C795B" w:rsidRPr="008C1604" w:rsidRDefault="005C795B" w:rsidP="0034795A">
            <w:r w:rsidRPr="008C1604">
              <w:t>4. Finanšu līdzekļi pap</w:t>
            </w:r>
            <w:r w:rsidR="0034795A" w:rsidRPr="008C1604">
              <w:t>ildu izde</w:t>
            </w:r>
            <w:r w:rsidR="0034795A" w:rsidRPr="008C1604">
              <w:softHyphen/>
              <w:t xml:space="preserve">vumu </w:t>
            </w:r>
            <w:r w:rsidRPr="008C1604">
              <w:t>finansēšanai (kompensējošu izdevumu samazinājumu norāda ar "+" zīmi)</w:t>
            </w:r>
          </w:p>
        </w:tc>
        <w:tc>
          <w:tcPr>
            <w:tcW w:w="644" w:type="pct"/>
            <w:vMerge w:val="restart"/>
            <w:vAlign w:val="center"/>
          </w:tcPr>
          <w:p w:rsidR="005C795B" w:rsidRPr="008C1604" w:rsidRDefault="005C795B" w:rsidP="00C472EA">
            <w:pPr>
              <w:pStyle w:val="naisf"/>
              <w:spacing w:before="0" w:after="0"/>
              <w:ind w:firstLine="0"/>
              <w:jc w:val="center"/>
            </w:pPr>
            <w:r w:rsidRPr="008C1604">
              <w:t>X</w:t>
            </w:r>
          </w:p>
        </w:tc>
        <w:tc>
          <w:tcPr>
            <w:tcW w:w="703" w:type="pct"/>
            <w:vMerge w:val="restart"/>
            <w:vAlign w:val="center"/>
          </w:tcPr>
          <w:p w:rsidR="005C795B" w:rsidRPr="008C1604" w:rsidRDefault="00077BC1" w:rsidP="00957399">
            <w:pPr>
              <w:pStyle w:val="naisf"/>
              <w:spacing w:before="0" w:after="0"/>
              <w:ind w:firstLine="0"/>
              <w:jc w:val="center"/>
              <w:rPr>
                <w:b/>
              </w:rPr>
            </w:pPr>
            <w:r w:rsidRPr="008C1604">
              <w:rPr>
                <w:b/>
              </w:rPr>
              <w:t>+</w:t>
            </w:r>
            <w:r w:rsidR="00197641" w:rsidRPr="008C1604">
              <w:rPr>
                <w:b/>
              </w:rPr>
              <w:t>11</w:t>
            </w:r>
            <w:r w:rsidR="00957399" w:rsidRPr="008C1604">
              <w:rPr>
                <w:b/>
              </w:rPr>
              <w:t>3</w:t>
            </w:r>
            <w:r w:rsidR="00197641" w:rsidRPr="008C1604">
              <w:rPr>
                <w:b/>
              </w:rPr>
              <w:t>,</w:t>
            </w:r>
            <w:r w:rsidR="00957399" w:rsidRPr="008C1604">
              <w:rPr>
                <w:b/>
              </w:rPr>
              <w:t>3</w:t>
            </w:r>
          </w:p>
        </w:tc>
        <w:tc>
          <w:tcPr>
            <w:tcW w:w="703" w:type="pct"/>
            <w:vAlign w:val="center"/>
          </w:tcPr>
          <w:p w:rsidR="005C795B" w:rsidRPr="008C1604" w:rsidRDefault="00DD2BEA" w:rsidP="00DD2BEA">
            <w:pPr>
              <w:pStyle w:val="naisf"/>
              <w:spacing w:before="0" w:after="0"/>
              <w:ind w:firstLine="0"/>
              <w:jc w:val="center"/>
              <w:rPr>
                <w:b/>
              </w:rPr>
            </w:pPr>
            <w:r w:rsidRPr="008C1604">
              <w:t>0</w:t>
            </w:r>
          </w:p>
        </w:tc>
        <w:tc>
          <w:tcPr>
            <w:tcW w:w="703" w:type="pct"/>
            <w:vAlign w:val="center"/>
          </w:tcPr>
          <w:p w:rsidR="005C795B" w:rsidRPr="008C1604" w:rsidRDefault="00DD2BEA" w:rsidP="005A53B8">
            <w:pPr>
              <w:pStyle w:val="naisf"/>
              <w:spacing w:before="0" w:after="0"/>
              <w:ind w:firstLine="0"/>
              <w:jc w:val="center"/>
              <w:rPr>
                <w:b/>
              </w:rPr>
            </w:pPr>
            <w:r w:rsidRPr="008C1604">
              <w:t>0</w:t>
            </w:r>
          </w:p>
        </w:tc>
        <w:tc>
          <w:tcPr>
            <w:tcW w:w="703" w:type="pct"/>
            <w:vAlign w:val="center"/>
          </w:tcPr>
          <w:p w:rsidR="005C795B" w:rsidRPr="008C1604" w:rsidRDefault="00DD2BEA" w:rsidP="005A53B8">
            <w:pPr>
              <w:pStyle w:val="Header"/>
              <w:jc w:val="center"/>
              <w:rPr>
                <w:b/>
              </w:rPr>
            </w:pPr>
            <w:r w:rsidRPr="008C1604">
              <w:t>0</w:t>
            </w:r>
          </w:p>
        </w:tc>
      </w:tr>
      <w:tr w:rsidR="005C795B" w:rsidRPr="008C1604" w:rsidTr="00CC4263">
        <w:trPr>
          <w:jc w:val="center"/>
        </w:trPr>
        <w:tc>
          <w:tcPr>
            <w:tcW w:w="1546" w:type="pct"/>
            <w:vMerge/>
          </w:tcPr>
          <w:p w:rsidR="005C795B" w:rsidRPr="008C1604" w:rsidRDefault="005C795B" w:rsidP="0034795A"/>
        </w:tc>
        <w:tc>
          <w:tcPr>
            <w:tcW w:w="644" w:type="pct"/>
            <w:vMerge/>
          </w:tcPr>
          <w:p w:rsidR="005C795B" w:rsidRPr="008C1604" w:rsidRDefault="005C795B" w:rsidP="006C4607">
            <w:pPr>
              <w:pStyle w:val="Header"/>
              <w:jc w:val="center"/>
            </w:pPr>
          </w:p>
        </w:tc>
        <w:tc>
          <w:tcPr>
            <w:tcW w:w="703" w:type="pct"/>
            <w:vMerge/>
            <w:vAlign w:val="center"/>
          </w:tcPr>
          <w:p w:rsidR="005C795B" w:rsidRPr="008C1604" w:rsidRDefault="005C795B" w:rsidP="005A53B8">
            <w:pPr>
              <w:pStyle w:val="naisf"/>
              <w:jc w:val="center"/>
              <w:rPr>
                <w:b/>
              </w:rPr>
            </w:pPr>
          </w:p>
        </w:tc>
        <w:tc>
          <w:tcPr>
            <w:tcW w:w="703" w:type="pct"/>
            <w:vAlign w:val="center"/>
          </w:tcPr>
          <w:p w:rsidR="005C795B" w:rsidRPr="008C1604" w:rsidRDefault="00DD2BEA" w:rsidP="005A53B8">
            <w:pPr>
              <w:pStyle w:val="naisf"/>
              <w:spacing w:before="0" w:after="0"/>
              <w:ind w:firstLine="0"/>
              <w:jc w:val="center"/>
              <w:rPr>
                <w:b/>
              </w:rPr>
            </w:pPr>
            <w:r w:rsidRPr="008C1604">
              <w:t>0</w:t>
            </w:r>
          </w:p>
        </w:tc>
        <w:tc>
          <w:tcPr>
            <w:tcW w:w="703" w:type="pct"/>
            <w:vAlign w:val="center"/>
          </w:tcPr>
          <w:p w:rsidR="005C795B" w:rsidRPr="008C1604" w:rsidRDefault="00DD2BEA" w:rsidP="005A53B8">
            <w:pPr>
              <w:pStyle w:val="naisf"/>
              <w:spacing w:before="0" w:after="0"/>
              <w:ind w:firstLine="0"/>
              <w:jc w:val="center"/>
              <w:rPr>
                <w:b/>
              </w:rPr>
            </w:pPr>
            <w:r w:rsidRPr="008C1604">
              <w:t>0</w:t>
            </w:r>
          </w:p>
        </w:tc>
        <w:tc>
          <w:tcPr>
            <w:tcW w:w="703" w:type="pct"/>
            <w:vAlign w:val="center"/>
          </w:tcPr>
          <w:p w:rsidR="005C795B" w:rsidRPr="008C1604" w:rsidRDefault="00DD2BEA" w:rsidP="005A53B8">
            <w:pPr>
              <w:pStyle w:val="Header"/>
              <w:jc w:val="center"/>
              <w:rPr>
                <w:b/>
              </w:rPr>
            </w:pPr>
            <w:r w:rsidRPr="008C1604">
              <w:t>0</w:t>
            </w:r>
          </w:p>
        </w:tc>
      </w:tr>
      <w:tr w:rsidR="005C795B" w:rsidRPr="008C1604" w:rsidTr="00CC4263">
        <w:trPr>
          <w:jc w:val="center"/>
        </w:trPr>
        <w:tc>
          <w:tcPr>
            <w:tcW w:w="1546" w:type="pct"/>
            <w:vMerge/>
          </w:tcPr>
          <w:p w:rsidR="005C795B" w:rsidRPr="008C1604" w:rsidRDefault="005C795B" w:rsidP="0034795A"/>
        </w:tc>
        <w:tc>
          <w:tcPr>
            <w:tcW w:w="644" w:type="pct"/>
            <w:vMerge/>
          </w:tcPr>
          <w:p w:rsidR="005C795B" w:rsidRPr="008C1604" w:rsidRDefault="005C795B" w:rsidP="006C4607">
            <w:pPr>
              <w:pStyle w:val="Header"/>
              <w:jc w:val="center"/>
            </w:pPr>
          </w:p>
        </w:tc>
        <w:tc>
          <w:tcPr>
            <w:tcW w:w="703" w:type="pct"/>
            <w:vMerge/>
            <w:vAlign w:val="center"/>
          </w:tcPr>
          <w:p w:rsidR="005C795B" w:rsidRPr="008C1604" w:rsidRDefault="005C795B" w:rsidP="005A53B8">
            <w:pPr>
              <w:pStyle w:val="naisf"/>
              <w:spacing w:before="0" w:after="0"/>
              <w:ind w:firstLine="0"/>
              <w:jc w:val="center"/>
              <w:rPr>
                <w:b/>
              </w:rPr>
            </w:pPr>
          </w:p>
        </w:tc>
        <w:tc>
          <w:tcPr>
            <w:tcW w:w="703" w:type="pct"/>
            <w:vAlign w:val="center"/>
          </w:tcPr>
          <w:p w:rsidR="005C795B" w:rsidRPr="008C1604" w:rsidRDefault="00DD2BEA" w:rsidP="005A53B8">
            <w:pPr>
              <w:pStyle w:val="naislab"/>
              <w:spacing w:before="0" w:after="0"/>
              <w:jc w:val="center"/>
              <w:rPr>
                <w:b/>
              </w:rPr>
            </w:pPr>
            <w:r w:rsidRPr="008C1604">
              <w:t>0</w:t>
            </w:r>
          </w:p>
        </w:tc>
        <w:tc>
          <w:tcPr>
            <w:tcW w:w="703" w:type="pct"/>
            <w:vAlign w:val="center"/>
          </w:tcPr>
          <w:p w:rsidR="005C795B" w:rsidRPr="008C1604" w:rsidRDefault="00DD2BEA" w:rsidP="005A53B8">
            <w:pPr>
              <w:pStyle w:val="naislab"/>
              <w:spacing w:before="0" w:after="0"/>
              <w:jc w:val="center"/>
              <w:rPr>
                <w:b/>
              </w:rPr>
            </w:pPr>
            <w:r w:rsidRPr="008C1604">
              <w:t>0</w:t>
            </w:r>
          </w:p>
        </w:tc>
        <w:tc>
          <w:tcPr>
            <w:tcW w:w="703" w:type="pct"/>
            <w:vAlign w:val="center"/>
          </w:tcPr>
          <w:p w:rsidR="005C795B" w:rsidRPr="008C1604" w:rsidRDefault="00DD2BEA" w:rsidP="005A53B8">
            <w:pPr>
              <w:pStyle w:val="Header"/>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lastRenderedPageBreak/>
              <w:t>5. Precizēta finansiālā ietekme:</w:t>
            </w:r>
          </w:p>
        </w:tc>
        <w:tc>
          <w:tcPr>
            <w:tcW w:w="644" w:type="pct"/>
            <w:vMerge w:val="restart"/>
            <w:vAlign w:val="center"/>
          </w:tcPr>
          <w:p w:rsidR="00CA24B4" w:rsidRPr="008C1604" w:rsidRDefault="00CA24B4" w:rsidP="004617ED">
            <w:pPr>
              <w:pStyle w:val="Header"/>
              <w:jc w:val="center"/>
            </w:pPr>
            <w:r w:rsidRPr="008C1604">
              <w:t>X</w:t>
            </w:r>
          </w:p>
        </w:tc>
        <w:tc>
          <w:tcPr>
            <w:tcW w:w="703" w:type="pct"/>
            <w:vAlign w:val="center"/>
          </w:tcPr>
          <w:p w:rsidR="00CA24B4" w:rsidRPr="008C1604" w:rsidRDefault="005C795B" w:rsidP="005A53B8">
            <w:pPr>
              <w:pStyle w:val="naislab"/>
              <w:spacing w:before="0" w:after="0"/>
              <w:jc w:val="center"/>
              <w:rPr>
                <w:b/>
              </w:rPr>
            </w:pPr>
            <w:r w:rsidRPr="008C1604">
              <w:rPr>
                <w:b/>
              </w:rPr>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Header"/>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5.1. valsts pamatbudžets</w:t>
            </w:r>
          </w:p>
        </w:tc>
        <w:tc>
          <w:tcPr>
            <w:tcW w:w="644" w:type="pct"/>
            <w:vMerge/>
            <w:vAlign w:val="center"/>
          </w:tcPr>
          <w:p w:rsidR="00CA24B4" w:rsidRPr="008C1604" w:rsidRDefault="00CA24B4" w:rsidP="006C4607">
            <w:pPr>
              <w:pStyle w:val="naisf"/>
              <w:spacing w:before="0" w:after="0"/>
              <w:ind w:firstLine="0"/>
              <w:jc w:val="center"/>
            </w:pPr>
          </w:p>
        </w:tc>
        <w:tc>
          <w:tcPr>
            <w:tcW w:w="703" w:type="pct"/>
            <w:vAlign w:val="center"/>
          </w:tcPr>
          <w:p w:rsidR="00CA24B4" w:rsidRPr="008C1604" w:rsidRDefault="005C795B" w:rsidP="005A53B8">
            <w:pPr>
              <w:pStyle w:val="naislab"/>
              <w:spacing w:before="0" w:after="0"/>
              <w:jc w:val="center"/>
              <w:rPr>
                <w:b/>
              </w:rPr>
            </w:pPr>
            <w:r w:rsidRPr="008C1604">
              <w:rPr>
                <w:b/>
              </w:rPr>
              <w:t>0</w:t>
            </w:r>
          </w:p>
        </w:tc>
        <w:tc>
          <w:tcPr>
            <w:tcW w:w="703" w:type="pct"/>
            <w:vAlign w:val="center"/>
          </w:tcPr>
          <w:p w:rsidR="00CA24B4" w:rsidRPr="008C1604" w:rsidRDefault="00DD2BEA" w:rsidP="005A53B8">
            <w:pPr>
              <w:pStyle w:val="naislab"/>
              <w:spacing w:before="0" w:after="0"/>
              <w:jc w:val="center"/>
              <w:rPr>
                <w:b/>
              </w:rPr>
            </w:pPr>
            <w:r w:rsidRPr="008C1604">
              <w:t>0</w:t>
            </w:r>
          </w:p>
        </w:tc>
        <w:tc>
          <w:tcPr>
            <w:tcW w:w="703" w:type="pct"/>
            <w:vAlign w:val="center"/>
          </w:tcPr>
          <w:p w:rsidR="00CA24B4" w:rsidRPr="008C1604" w:rsidRDefault="00DD2BEA" w:rsidP="005A53B8">
            <w:pPr>
              <w:pStyle w:val="naislab"/>
              <w:spacing w:before="0" w:after="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5.2. speciālais budžets</w:t>
            </w:r>
          </w:p>
        </w:tc>
        <w:tc>
          <w:tcPr>
            <w:tcW w:w="644" w:type="pct"/>
            <w:vMerge/>
            <w:vAlign w:val="center"/>
          </w:tcPr>
          <w:p w:rsidR="00CA24B4" w:rsidRPr="008C1604" w:rsidRDefault="00CA24B4" w:rsidP="006C4607">
            <w:pPr>
              <w:pStyle w:val="naisf"/>
              <w:spacing w:before="0" w:after="0"/>
              <w:ind w:firstLine="0"/>
              <w:jc w:val="center"/>
            </w:pP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CA24B4" w:rsidRPr="008C1604" w:rsidTr="00CC4263">
        <w:trPr>
          <w:jc w:val="center"/>
        </w:trPr>
        <w:tc>
          <w:tcPr>
            <w:tcW w:w="1546" w:type="pct"/>
          </w:tcPr>
          <w:p w:rsidR="00CA24B4" w:rsidRPr="008C1604" w:rsidRDefault="00CA24B4" w:rsidP="0034795A">
            <w:r w:rsidRPr="008C1604">
              <w:t xml:space="preserve">5.3. pašvaldību budžets </w:t>
            </w:r>
          </w:p>
        </w:tc>
        <w:tc>
          <w:tcPr>
            <w:tcW w:w="644" w:type="pct"/>
            <w:vMerge/>
            <w:vAlign w:val="center"/>
          </w:tcPr>
          <w:p w:rsidR="00CA24B4" w:rsidRPr="008C1604" w:rsidRDefault="00CA24B4" w:rsidP="006C4607">
            <w:pPr>
              <w:pStyle w:val="naisf"/>
              <w:spacing w:before="0" w:after="0"/>
              <w:ind w:firstLine="0"/>
              <w:jc w:val="center"/>
            </w:pP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c>
          <w:tcPr>
            <w:tcW w:w="703" w:type="pct"/>
            <w:vAlign w:val="center"/>
          </w:tcPr>
          <w:p w:rsidR="00CA24B4" w:rsidRPr="008C1604" w:rsidRDefault="00DD2BEA" w:rsidP="005A53B8">
            <w:pPr>
              <w:pStyle w:val="naisf"/>
              <w:spacing w:before="0" w:after="0"/>
              <w:ind w:firstLine="0"/>
              <w:jc w:val="center"/>
              <w:rPr>
                <w:b/>
              </w:rPr>
            </w:pPr>
            <w:r w:rsidRPr="008C1604">
              <w:t>0</w:t>
            </w:r>
          </w:p>
        </w:tc>
      </w:tr>
      <w:tr w:rsidR="0095334F" w:rsidRPr="008C1604" w:rsidTr="00CC4263">
        <w:trPr>
          <w:jc w:val="center"/>
        </w:trPr>
        <w:tc>
          <w:tcPr>
            <w:tcW w:w="1546" w:type="pct"/>
          </w:tcPr>
          <w:p w:rsidR="0095334F" w:rsidRPr="008C1604" w:rsidRDefault="0095334F" w:rsidP="0034795A">
            <w:r w:rsidRPr="008C1604">
              <w:t>6.</w:t>
            </w:r>
            <w:r w:rsidR="00F5139D" w:rsidRPr="008C1604">
              <w:t> </w:t>
            </w:r>
            <w:r w:rsidRPr="008C1604">
              <w:t>Detalizēts ieņēmumu un izdevu</w:t>
            </w:r>
            <w:r w:rsidR="009E12D7" w:rsidRPr="008C1604">
              <w:softHyphen/>
            </w:r>
            <w:r w:rsidRPr="008C1604">
              <w:t>mu aprēķins (ja nepieciešams, detalizētu ieņēmumu un izdevumu aprēķinu var pievienot anotācijas pielikumā):</w:t>
            </w:r>
          </w:p>
        </w:tc>
        <w:tc>
          <w:tcPr>
            <w:tcW w:w="3454" w:type="pct"/>
            <w:gridSpan w:val="5"/>
            <w:vMerge w:val="restart"/>
          </w:tcPr>
          <w:p w:rsidR="00216F49" w:rsidRPr="008C1604" w:rsidRDefault="00197641" w:rsidP="00197641">
            <w:pPr>
              <w:pStyle w:val="naisf"/>
              <w:spacing w:before="0" w:after="0"/>
              <w:ind w:firstLine="0"/>
            </w:pPr>
            <w:r w:rsidRPr="008C1604">
              <w:t>LĢIA</w:t>
            </w:r>
            <w:r w:rsidR="00B50E24" w:rsidRPr="008C1604">
              <w:t xml:space="preserve"> papildu nepieciešamā </w:t>
            </w:r>
            <w:r w:rsidR="006E3B5B" w:rsidRPr="008C1604">
              <w:t xml:space="preserve">finansējuma </w:t>
            </w:r>
            <w:r w:rsidRPr="008C1604">
              <w:t>detalizēts aprēķins</w:t>
            </w:r>
            <w:r w:rsidR="00820BDB" w:rsidRPr="008C1604">
              <w:t>:</w:t>
            </w:r>
          </w:p>
          <w:p w:rsidR="00820BDB" w:rsidRPr="008C1604" w:rsidRDefault="00820BDB" w:rsidP="00820BDB">
            <w:pPr>
              <w:rPr>
                <w:b/>
                <w:bCs/>
                <w:i/>
                <w:iCs/>
              </w:rPr>
            </w:pPr>
            <w:r w:rsidRPr="008C1604">
              <w:rPr>
                <w:b/>
                <w:bCs/>
                <w:i/>
                <w:iCs/>
              </w:rPr>
              <w:t>Atlīdzība kopā</w:t>
            </w:r>
            <w:r w:rsidR="00FB7D72" w:rsidRPr="008C1604">
              <w:rPr>
                <w:b/>
                <w:bCs/>
                <w:i/>
                <w:iCs/>
              </w:rPr>
              <w:t xml:space="preserve"> Ls 21</w:t>
            </w:r>
            <w:r w:rsidR="004F032F" w:rsidRPr="008C1604">
              <w:rPr>
                <w:b/>
                <w:bCs/>
                <w:i/>
                <w:iCs/>
              </w:rPr>
              <w:t xml:space="preserve"> </w:t>
            </w:r>
            <w:r w:rsidR="00FB7D72" w:rsidRPr="008C1604">
              <w:rPr>
                <w:b/>
                <w:bCs/>
                <w:i/>
                <w:iCs/>
              </w:rPr>
              <w:t>504</w:t>
            </w:r>
            <w:r w:rsidR="004F032F" w:rsidRPr="008C1604">
              <w:rPr>
                <w:b/>
                <w:bCs/>
                <w:i/>
                <w:iCs/>
              </w:rPr>
              <w:t xml:space="preserve"> (EKK 1000)</w:t>
            </w:r>
          </w:p>
          <w:p w:rsidR="00FB7D72" w:rsidRPr="008C1604" w:rsidRDefault="00FB7D72" w:rsidP="00820BDB">
            <w:pPr>
              <w:rPr>
                <w:b/>
                <w:bCs/>
                <w:i/>
                <w:iCs/>
              </w:rPr>
            </w:pPr>
            <w:r w:rsidRPr="008C1604">
              <w:rPr>
                <w:b/>
                <w:bCs/>
                <w:i/>
                <w:iCs/>
              </w:rPr>
              <w:t>tai skaitā atalgojums Ls 17</w:t>
            </w:r>
            <w:r w:rsidR="004F032F" w:rsidRPr="008C1604">
              <w:rPr>
                <w:b/>
                <w:bCs/>
                <w:i/>
                <w:iCs/>
              </w:rPr>
              <w:t xml:space="preserve"> </w:t>
            </w:r>
            <w:r w:rsidRPr="008C1604">
              <w:rPr>
                <w:b/>
                <w:bCs/>
                <w:i/>
                <w:iCs/>
              </w:rPr>
              <w:t>329</w:t>
            </w:r>
            <w:r w:rsidR="004F032F" w:rsidRPr="008C1604">
              <w:rPr>
                <w:b/>
                <w:bCs/>
                <w:i/>
                <w:iCs/>
              </w:rPr>
              <w:t xml:space="preserve"> (EKK 1100)</w:t>
            </w:r>
          </w:p>
          <w:p w:rsidR="00B02C82" w:rsidRPr="008C1604" w:rsidRDefault="00B02C82" w:rsidP="00B02C82">
            <w:pPr>
              <w:pStyle w:val="naisf"/>
              <w:spacing w:before="0" w:after="0"/>
              <w:ind w:firstLine="0"/>
            </w:pPr>
            <w:r w:rsidRPr="008C1604">
              <w:t>Darbu izpildei LĢIA piesaistīs savus darbiniekus. Lai nodrošinātu visu plānoto darbu veikšanu, papildus jau esošajiem uz laiku tiks piesaistīti vēl 5 darbinieki</w:t>
            </w:r>
            <w:r w:rsidR="00887F60" w:rsidRPr="008C1604">
              <w:t xml:space="preserve"> uz līguma pamata</w:t>
            </w:r>
            <w:r w:rsidRPr="008C1604">
              <w:t>.</w:t>
            </w:r>
          </w:p>
          <w:p w:rsidR="00B02C82" w:rsidRPr="008C1604" w:rsidRDefault="00B02C82" w:rsidP="00B02C82">
            <w:pPr>
              <w:pStyle w:val="naisf"/>
              <w:spacing w:before="0" w:after="0"/>
              <w:ind w:firstLine="0"/>
            </w:pPr>
            <w:r w:rsidRPr="008C1604">
              <w:rPr>
                <w:bCs/>
              </w:rPr>
              <w:t xml:space="preserve">Atalgojumam nepieciešamo līdzekļu apjoms aprēķināts 80% apmērā no amatam atbilstošās mēnešalgu grupas 4.kvalifikācijas pakāpes maksimālās mēnešalgas </w:t>
            </w:r>
            <w:r w:rsidRPr="008C1604">
              <w:t>10. algu grupai (fotogrammetrijas inženieri un eksperti)</w:t>
            </w:r>
          </w:p>
          <w:p w:rsidR="0002267B" w:rsidRPr="008C1604" w:rsidRDefault="0002267B" w:rsidP="00820BDB">
            <w:pPr>
              <w:rPr>
                <w:bCs/>
                <w:iCs/>
              </w:rPr>
            </w:pPr>
            <w:r w:rsidRPr="008C1604">
              <w:rPr>
                <w:bCs/>
                <w:iCs/>
              </w:rPr>
              <w:t>Plānoti šādi darbi:</w:t>
            </w:r>
          </w:p>
          <w:p w:rsidR="00820BDB" w:rsidRPr="008C1604" w:rsidRDefault="00FB7D72" w:rsidP="0002267B">
            <w:pPr>
              <w:pStyle w:val="naisf"/>
              <w:numPr>
                <w:ilvl w:val="0"/>
                <w:numId w:val="25"/>
              </w:numPr>
              <w:spacing w:before="0" w:after="0"/>
            </w:pPr>
            <w:r w:rsidRPr="008C1604">
              <w:t>2013.gadā lāzerskenēto  datu kontrole un pieņemšana</w:t>
            </w:r>
            <w:r w:rsidR="0002267B" w:rsidRPr="008C1604">
              <w:t>;</w:t>
            </w:r>
          </w:p>
          <w:p w:rsidR="00B02C82" w:rsidRPr="008C1604" w:rsidRDefault="00B02C82" w:rsidP="00B02C82">
            <w:pPr>
              <w:pStyle w:val="naisf"/>
              <w:spacing w:before="0" w:after="0"/>
              <w:ind w:left="720" w:firstLine="0"/>
            </w:pPr>
            <w:r w:rsidRPr="008C1604">
              <w:t>577,60 x 4 darbinieki x 2 mēneši =4621 lati;</w:t>
            </w:r>
          </w:p>
          <w:p w:rsidR="00FB7D72" w:rsidRPr="008C1604" w:rsidRDefault="0002267B" w:rsidP="0002267B">
            <w:pPr>
              <w:pStyle w:val="naisf"/>
              <w:numPr>
                <w:ilvl w:val="0"/>
                <w:numId w:val="25"/>
              </w:numPr>
              <w:spacing w:before="0" w:after="0"/>
              <w:ind w:left="390" w:firstLine="0"/>
            </w:pPr>
            <w:r w:rsidRPr="008C1604">
              <w:t>E</w:t>
            </w:r>
            <w:r w:rsidR="00FB7D72" w:rsidRPr="008C1604">
              <w:t>sošo datu (līdz 2013.gadam skenēto) papildu klasificēšana pa līmeņiem plūdu modelēšanas vajadzībām, eksportēšana uz ASCII</w:t>
            </w:r>
            <w:r w:rsidRPr="008C1604">
              <w:t>;</w:t>
            </w:r>
          </w:p>
          <w:p w:rsidR="00B02C82" w:rsidRPr="008C1604" w:rsidRDefault="00B02C82" w:rsidP="00B02C82">
            <w:pPr>
              <w:pStyle w:val="naisf"/>
              <w:spacing w:before="0" w:after="0"/>
              <w:ind w:left="720" w:firstLine="0"/>
            </w:pPr>
            <w:r w:rsidRPr="008C1604">
              <w:t>577,60 x 3 darbinieki x 2 mēneši =3466 lati;</w:t>
            </w:r>
          </w:p>
          <w:p w:rsidR="00FB7D72" w:rsidRPr="008C1604" w:rsidRDefault="0002267B" w:rsidP="00197641">
            <w:pPr>
              <w:pStyle w:val="naisf"/>
              <w:numPr>
                <w:ilvl w:val="0"/>
                <w:numId w:val="25"/>
              </w:numPr>
              <w:spacing w:before="0" w:after="0"/>
              <w:ind w:left="390" w:firstLine="0"/>
            </w:pPr>
            <w:r w:rsidRPr="008C1604">
              <w:t>2</w:t>
            </w:r>
            <w:r w:rsidR="00FB7D72" w:rsidRPr="008C1604">
              <w:t>013.gadā lāzerskenēto  datu (daļējā apjomā) klasificēšana pa līmeņiem, eksportēšana uz ASCII</w:t>
            </w:r>
          </w:p>
          <w:p w:rsidR="00B02C82" w:rsidRPr="008C1604" w:rsidRDefault="00B02C82" w:rsidP="00B02C82">
            <w:pPr>
              <w:pStyle w:val="naisf"/>
              <w:spacing w:before="0" w:after="0"/>
              <w:ind w:left="720" w:firstLine="0"/>
            </w:pPr>
            <w:r w:rsidRPr="008C1604">
              <w:t>577,60 x 8 darbinieki x 2 mēneši =9242 lati;</w:t>
            </w:r>
          </w:p>
          <w:p w:rsidR="0002267B" w:rsidRPr="008C1604" w:rsidRDefault="004F032F" w:rsidP="00197641">
            <w:pPr>
              <w:pStyle w:val="naisf"/>
              <w:spacing w:before="0" w:after="0"/>
              <w:ind w:firstLine="0"/>
            </w:pPr>
            <w:r w:rsidRPr="008C1604">
              <w:t> Darba devēja valsts sociālās apdrošināšanas obligātās iemaksas 24,09% = 4175 lati.</w:t>
            </w:r>
          </w:p>
          <w:p w:rsidR="0002267B" w:rsidRPr="008C1604" w:rsidRDefault="0002267B" w:rsidP="00B02C82">
            <w:pPr>
              <w:pStyle w:val="naisf"/>
              <w:spacing w:before="0" w:after="0"/>
              <w:ind w:firstLine="0"/>
            </w:pPr>
          </w:p>
          <w:p w:rsidR="004F032F" w:rsidRPr="008C1604" w:rsidRDefault="004F032F" w:rsidP="004F032F">
            <w:pPr>
              <w:rPr>
                <w:b/>
                <w:i/>
              </w:rPr>
            </w:pPr>
            <w:r w:rsidRPr="008C1604">
              <w:rPr>
                <w:b/>
                <w:i/>
              </w:rPr>
              <w:t>Preces un pakalpojumi Ls  118 216 (EKK 2000)</w:t>
            </w:r>
          </w:p>
          <w:p w:rsidR="004F032F" w:rsidRPr="008C1604" w:rsidRDefault="004F032F" w:rsidP="00B02C82">
            <w:pPr>
              <w:pStyle w:val="naisf"/>
              <w:spacing w:before="0" w:after="0"/>
              <w:ind w:firstLine="0"/>
            </w:pPr>
            <w:r w:rsidRPr="008C1604">
              <w:t xml:space="preserve">tai skaitā </w:t>
            </w:r>
          </w:p>
          <w:p w:rsidR="004F032F" w:rsidRPr="008C1604" w:rsidRDefault="004F032F" w:rsidP="004F032F">
            <w:pPr>
              <w:pStyle w:val="naisf"/>
              <w:numPr>
                <w:ilvl w:val="0"/>
                <w:numId w:val="26"/>
              </w:numPr>
              <w:spacing w:before="0" w:after="0"/>
            </w:pPr>
            <w:r w:rsidRPr="008C1604">
              <w:t>Dienesta un mācību komandējumi Ls 2 110 (EKK 2100)</w:t>
            </w:r>
          </w:p>
          <w:p w:rsidR="004F032F" w:rsidRPr="008C1604" w:rsidRDefault="004F032F" w:rsidP="004F032F">
            <w:pPr>
              <w:pStyle w:val="naisf"/>
              <w:spacing w:before="0" w:after="0"/>
              <w:ind w:left="720" w:firstLine="0"/>
            </w:pPr>
            <w:r w:rsidRPr="008C1604">
              <w:t xml:space="preserve">Lauku apsekošanai- datu pārbaudei dabā un apmācības braucieni uz Somiju 3 darbinieki (2 dienas katram) par lāzerskenēto datu apstrādi. </w:t>
            </w:r>
          </w:p>
          <w:p w:rsidR="004F032F" w:rsidRPr="008C1604" w:rsidRDefault="004F032F" w:rsidP="004F032F">
            <w:pPr>
              <w:pStyle w:val="naisf"/>
              <w:numPr>
                <w:ilvl w:val="0"/>
                <w:numId w:val="26"/>
              </w:numPr>
              <w:spacing w:before="0" w:after="0"/>
            </w:pPr>
            <w:r w:rsidRPr="008C1604">
              <w:t>Sakaru pakalpojumi Ls 50 (EKK 2219) – sarunu limits 5 lati/mēn.</w:t>
            </w:r>
          </w:p>
          <w:p w:rsidR="004F032F" w:rsidRPr="008C1604" w:rsidRDefault="004F032F" w:rsidP="009507FB">
            <w:pPr>
              <w:pStyle w:val="naisf"/>
              <w:numPr>
                <w:ilvl w:val="0"/>
                <w:numId w:val="26"/>
              </w:numPr>
              <w:spacing w:before="0" w:after="0"/>
            </w:pPr>
            <w:r w:rsidRPr="008C1604">
              <w:t>Programmatūras atjaunošana</w:t>
            </w:r>
            <w:r w:rsidR="00363C26" w:rsidRPr="008C1604">
              <w:t xml:space="preserve"> Ls 2689 (EKK 2251)</w:t>
            </w:r>
            <w:r w:rsidR="009507FB" w:rsidRPr="008C1604">
              <w:t xml:space="preserve"> </w:t>
            </w:r>
            <w:r w:rsidR="00E36357" w:rsidRPr="008C1604">
              <w:t xml:space="preserve">Esošo </w:t>
            </w:r>
            <w:r w:rsidR="009507FB" w:rsidRPr="008C1604">
              <w:t xml:space="preserve">datu apstrādes </w:t>
            </w:r>
            <w:r w:rsidR="00456B63" w:rsidRPr="008C1604">
              <w:t xml:space="preserve">programmatūras licenču </w:t>
            </w:r>
            <w:r w:rsidR="009507FB" w:rsidRPr="008C1604">
              <w:t>atjaunināšana</w:t>
            </w:r>
          </w:p>
          <w:p w:rsidR="00363C26" w:rsidRPr="008C1604" w:rsidRDefault="009507FB" w:rsidP="009507FB">
            <w:pPr>
              <w:pStyle w:val="naisf"/>
              <w:numPr>
                <w:ilvl w:val="0"/>
                <w:numId w:val="26"/>
              </w:numPr>
              <w:spacing w:before="0" w:after="0"/>
            </w:pPr>
            <w:r w:rsidRPr="008C1604">
              <w:t>Terrasolid programmatūras apmācības kurss 3 darbiniekiem Ls 1307 (EKK 2279)</w:t>
            </w:r>
          </w:p>
          <w:p w:rsidR="009507FB" w:rsidRPr="008C1604" w:rsidRDefault="009507FB" w:rsidP="009507FB">
            <w:pPr>
              <w:pStyle w:val="naisf"/>
              <w:numPr>
                <w:ilvl w:val="0"/>
                <w:numId w:val="26"/>
              </w:numPr>
              <w:spacing w:before="0" w:after="0"/>
            </w:pPr>
            <w:r w:rsidRPr="008C1604">
              <w:t>Inventārs darba vietu aprīkošanai Ls 760 (EKK 2312)</w:t>
            </w:r>
          </w:p>
          <w:p w:rsidR="009507FB" w:rsidRPr="008C1604" w:rsidRDefault="009507FB" w:rsidP="009507FB">
            <w:pPr>
              <w:pStyle w:val="naisf"/>
              <w:spacing w:before="0" w:after="0"/>
              <w:ind w:left="720" w:firstLine="0"/>
            </w:pPr>
            <w:r w:rsidRPr="008C1604">
              <w:t>nepārtrauktās barošanas avots 5 gab x 82 Ls = 410 lati, krēsls 5 x50 Ls= 250 lati , mobilais telefons 2 x 50 Ls= 100 lati.</w:t>
            </w:r>
          </w:p>
          <w:p w:rsidR="009507FB" w:rsidRPr="008C1604" w:rsidRDefault="00AC6D62" w:rsidP="007B1308">
            <w:pPr>
              <w:pStyle w:val="naisf"/>
              <w:numPr>
                <w:ilvl w:val="0"/>
                <w:numId w:val="26"/>
              </w:numPr>
              <w:spacing w:before="0" w:after="0"/>
            </w:pPr>
            <w:r w:rsidRPr="008C1604">
              <w:t xml:space="preserve">Materiāli </w:t>
            </w:r>
            <w:r w:rsidR="007B1308" w:rsidRPr="008C1604">
              <w:t xml:space="preserve">serveru cietajiem diskiem </w:t>
            </w:r>
            <w:r w:rsidR="009507FB" w:rsidRPr="008C1604">
              <w:t xml:space="preserve">lāzerskenēto </w:t>
            </w:r>
            <w:r w:rsidR="007B1308" w:rsidRPr="008C1604">
              <w:t>datu glabāšanai un apstrādei</w:t>
            </w:r>
            <w:r w:rsidR="009507FB" w:rsidRPr="008C1604">
              <w:t xml:space="preserve">, </w:t>
            </w:r>
            <w:r w:rsidR="007B1308" w:rsidRPr="008C1604">
              <w:t>apstrādāto datu nodošanai datu nesējiem</w:t>
            </w:r>
            <w:r w:rsidR="009507FB" w:rsidRPr="008C1604">
              <w:t xml:space="preserve"> Ls 980 (EKK 2350)</w:t>
            </w:r>
          </w:p>
          <w:p w:rsidR="009507FB" w:rsidRPr="008C1604" w:rsidRDefault="003D7947" w:rsidP="009507FB">
            <w:pPr>
              <w:pStyle w:val="naisf"/>
              <w:numPr>
                <w:ilvl w:val="0"/>
                <w:numId w:val="26"/>
              </w:numPr>
              <w:spacing w:before="0" w:after="0"/>
            </w:pPr>
            <w:r w:rsidRPr="008C1604">
              <w:t xml:space="preserve">Aerolāzerskenēšanas </w:t>
            </w:r>
            <w:r w:rsidR="009507FB" w:rsidRPr="008C1604">
              <w:t>pakalpojums Latvijas teritorijai 3940 km</w:t>
            </w:r>
            <w:r w:rsidR="009507FB" w:rsidRPr="008C1604">
              <w:rPr>
                <w:vertAlign w:val="superscript"/>
              </w:rPr>
              <w:t xml:space="preserve">2 </w:t>
            </w:r>
            <w:r w:rsidRPr="008C1604">
              <w:t xml:space="preserve">platībā </w:t>
            </w:r>
            <w:r w:rsidR="009507FB" w:rsidRPr="008C1604">
              <w:t>Ls 110320 (EKK2800).</w:t>
            </w:r>
          </w:p>
          <w:p w:rsidR="009507FB" w:rsidRPr="008C1604" w:rsidRDefault="009507FB" w:rsidP="009507FB">
            <w:pPr>
              <w:pStyle w:val="naisf"/>
              <w:spacing w:before="0" w:after="0"/>
              <w:ind w:left="720" w:firstLine="0"/>
            </w:pPr>
          </w:p>
          <w:p w:rsidR="009507FB" w:rsidRPr="008C1604" w:rsidRDefault="009507FB" w:rsidP="009507FB">
            <w:pPr>
              <w:pStyle w:val="naisf"/>
              <w:spacing w:before="0" w:after="0"/>
              <w:ind w:firstLine="0"/>
            </w:pPr>
            <w:r w:rsidRPr="008C1604">
              <w:rPr>
                <w:b/>
              </w:rPr>
              <w:t>Kapitālie izdevumi Ls 22198 (EKK 5000) -i</w:t>
            </w:r>
            <w:r w:rsidRPr="008C1604">
              <w:t>zdevumi darba vietu ierīkošanai:</w:t>
            </w:r>
          </w:p>
          <w:p w:rsidR="009507FB" w:rsidRPr="008C1604" w:rsidRDefault="009507FB" w:rsidP="009507FB">
            <w:pPr>
              <w:pStyle w:val="naisf"/>
              <w:spacing w:before="0" w:after="0"/>
              <w:ind w:firstLine="0"/>
            </w:pPr>
            <w:r w:rsidRPr="008C1604">
              <w:t>Dators ar 24” monitoru: 5 komplekti x 970 Ls = 4850 lati</w:t>
            </w:r>
          </w:p>
          <w:p w:rsidR="009507FB" w:rsidRPr="008C1604" w:rsidRDefault="007B1308" w:rsidP="007B1308">
            <w:pPr>
              <w:pStyle w:val="naisf"/>
              <w:spacing w:before="0" w:after="0"/>
              <w:ind w:firstLine="0"/>
            </w:pPr>
            <w:r w:rsidRPr="008C1604">
              <w:t xml:space="preserve">Datu apstrādes </w:t>
            </w:r>
            <w:r w:rsidR="009507FB" w:rsidRPr="008C1604">
              <w:t>programmatūras licences</w:t>
            </w:r>
            <w:r w:rsidRPr="008C1604">
              <w:t>:</w:t>
            </w:r>
            <w:r w:rsidR="009507FB" w:rsidRPr="008C1604">
              <w:t xml:space="preserve"> 4 licences x 4337 Ls = 17348 lati</w:t>
            </w:r>
          </w:p>
        </w:tc>
      </w:tr>
      <w:tr w:rsidR="0095334F" w:rsidRPr="008C1604" w:rsidTr="00CC4263">
        <w:trPr>
          <w:jc w:val="center"/>
        </w:trPr>
        <w:tc>
          <w:tcPr>
            <w:tcW w:w="1546" w:type="pct"/>
          </w:tcPr>
          <w:p w:rsidR="0095334F" w:rsidRPr="008C1604" w:rsidRDefault="0095334F" w:rsidP="0034795A">
            <w:r w:rsidRPr="008C1604">
              <w:t>6.1.</w:t>
            </w:r>
            <w:r w:rsidR="00F5139D" w:rsidRPr="008C1604">
              <w:t> </w:t>
            </w:r>
            <w:r w:rsidR="00D00059" w:rsidRPr="008C1604">
              <w:t>d</w:t>
            </w:r>
            <w:r w:rsidRPr="008C1604">
              <w:t>etalizēts ieņēmumu aprēķins</w:t>
            </w:r>
          </w:p>
        </w:tc>
        <w:tc>
          <w:tcPr>
            <w:tcW w:w="3454" w:type="pct"/>
            <w:gridSpan w:val="5"/>
            <w:vMerge/>
          </w:tcPr>
          <w:p w:rsidR="0095334F" w:rsidRPr="008C1604" w:rsidRDefault="0095334F" w:rsidP="006C4607">
            <w:pPr>
              <w:pStyle w:val="naisf"/>
              <w:spacing w:before="0" w:after="0"/>
              <w:ind w:firstLine="0"/>
              <w:rPr>
                <w:b/>
                <w:i/>
              </w:rPr>
            </w:pPr>
          </w:p>
        </w:tc>
      </w:tr>
      <w:tr w:rsidR="0095334F" w:rsidRPr="008C1604" w:rsidTr="00CC4263">
        <w:trPr>
          <w:jc w:val="center"/>
        </w:trPr>
        <w:tc>
          <w:tcPr>
            <w:tcW w:w="1546" w:type="pct"/>
          </w:tcPr>
          <w:p w:rsidR="0095334F" w:rsidRPr="008C1604" w:rsidRDefault="0095334F" w:rsidP="0034795A">
            <w:r w:rsidRPr="008C1604">
              <w:t xml:space="preserve">6.2. </w:t>
            </w:r>
            <w:r w:rsidR="00D00059" w:rsidRPr="008C1604">
              <w:t>d</w:t>
            </w:r>
            <w:r w:rsidRPr="008C1604">
              <w:t>etalizēts izdevumu aprēķins</w:t>
            </w:r>
          </w:p>
        </w:tc>
        <w:tc>
          <w:tcPr>
            <w:tcW w:w="3454" w:type="pct"/>
            <w:gridSpan w:val="5"/>
            <w:vMerge/>
          </w:tcPr>
          <w:p w:rsidR="0095334F" w:rsidRPr="008C1604" w:rsidRDefault="0095334F" w:rsidP="006C4607">
            <w:pPr>
              <w:pStyle w:val="naisf"/>
              <w:spacing w:before="0" w:after="0"/>
              <w:ind w:firstLine="0"/>
              <w:rPr>
                <w:b/>
                <w:i/>
              </w:rPr>
            </w:pPr>
          </w:p>
        </w:tc>
      </w:tr>
      <w:tr w:rsidR="00124F12" w:rsidRPr="008C1604" w:rsidTr="00CC4263">
        <w:trPr>
          <w:jc w:val="center"/>
        </w:trPr>
        <w:tc>
          <w:tcPr>
            <w:tcW w:w="1546" w:type="pct"/>
          </w:tcPr>
          <w:p w:rsidR="00124F12" w:rsidRPr="008C1604" w:rsidRDefault="00124F12" w:rsidP="0034795A">
            <w:r w:rsidRPr="008C1604">
              <w:lastRenderedPageBreak/>
              <w:t>7. Cita informācija</w:t>
            </w:r>
          </w:p>
        </w:tc>
        <w:tc>
          <w:tcPr>
            <w:tcW w:w="3454" w:type="pct"/>
            <w:gridSpan w:val="5"/>
          </w:tcPr>
          <w:p w:rsidR="00124F12" w:rsidRPr="008C1604" w:rsidRDefault="00957399" w:rsidP="000A77C5">
            <w:pPr>
              <w:pStyle w:val="naisf"/>
              <w:tabs>
                <w:tab w:val="left" w:pos="4644"/>
              </w:tabs>
              <w:spacing w:before="0" w:after="0"/>
              <w:ind w:firstLine="0"/>
            </w:pPr>
            <w:r w:rsidRPr="008C1604">
              <w:t>Izdevumus 113 261 latu apmērā sedz no</w:t>
            </w:r>
            <w:r w:rsidR="0052105F" w:rsidRPr="008C1604">
              <w:t xml:space="preserve"> valsts budžeta programmas 02.00.00 „Līdzekļi neparedzētiem gadījumiem”.</w:t>
            </w:r>
            <w:r w:rsidRPr="008C1604">
              <w:t xml:space="preserve"> </w:t>
            </w:r>
            <w:r w:rsidR="0052105F" w:rsidRPr="008C1604">
              <w:t xml:space="preserve"> </w:t>
            </w:r>
            <w:r w:rsidRPr="008C1604">
              <w:t xml:space="preserve">Savukārt, 48 657 latu tiek segti no </w:t>
            </w:r>
            <w:r w:rsidRPr="008C1604">
              <w:rPr>
                <w:szCs w:val="28"/>
              </w:rPr>
              <w:t>budžeta programmā 28.00.00 „Ģeodēzija un kartogrāfija” ilgtermiņa pasākumam „Latvijas Republikas un Krievijas Federācijas valsts robežas demarkācija” plānotā finansējuma samazinājum</w:t>
            </w:r>
            <w:r w:rsidR="005C4674" w:rsidRPr="008C1604">
              <w:rPr>
                <w:szCs w:val="28"/>
              </w:rPr>
              <w:t xml:space="preserve">a </w:t>
            </w:r>
            <w:r w:rsidR="005C4674" w:rsidRPr="008C1604">
              <w:t>saskaņā ar Ministru kabineta protokoll</w:t>
            </w:r>
            <w:r w:rsidR="00A46141" w:rsidRPr="008C1604">
              <w:t>ēmuma projektu</w:t>
            </w:r>
            <w:r w:rsidR="005C4674" w:rsidRPr="008C1604">
              <w:t xml:space="preserve"> </w:t>
            </w:r>
            <w:r w:rsidR="005839DD" w:rsidRPr="008C1604">
              <w:t xml:space="preserve">„Par informatīvo ziņojumu </w:t>
            </w:r>
            <w:r w:rsidR="005C4674" w:rsidRPr="008C1604">
              <w:t>„Par Latvijas un Krievijas kopīgās demarkācijas komisijas darba un tās lēmumu īstenošanas finansējumu 2013.-2015.gadam”</w:t>
            </w:r>
            <w:r w:rsidR="005839DD" w:rsidRPr="008C1604">
              <w:t>”</w:t>
            </w:r>
            <w:r w:rsidR="005C4674" w:rsidRPr="008C1604">
              <w:t>.</w:t>
            </w:r>
          </w:p>
          <w:p w:rsidR="00197641" w:rsidRPr="008C1604" w:rsidRDefault="00792EA8" w:rsidP="00792EA8">
            <w:pPr>
              <w:pStyle w:val="naisf"/>
              <w:tabs>
                <w:tab w:val="left" w:pos="4644"/>
              </w:tabs>
              <w:spacing w:before="0" w:after="0"/>
              <w:ind w:firstLine="0"/>
              <w:rPr>
                <w:b/>
                <w:i/>
              </w:rPr>
            </w:pPr>
            <w:r w:rsidRPr="008C1604">
              <w:rPr>
                <w:sz w:val="26"/>
                <w:szCs w:val="26"/>
              </w:rPr>
              <w:t>Aizsardzības ministrija apliecina, ka apropriācijas pārdale atlīdzības palielināšanai neietekmēs Aizsardzības ministrijai 2014.gadam un turpmākajiem gadiem noteikto atlīdzībai paredzēto izdevumu maksimāli pieļaujamo apjomu un kopējo izdevumu apjomu.</w:t>
            </w:r>
          </w:p>
        </w:tc>
      </w:tr>
    </w:tbl>
    <w:p w:rsidR="00706257" w:rsidRPr="008C1604" w:rsidRDefault="00706257" w:rsidP="00473CEF">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5"/>
        <w:gridCol w:w="3983"/>
        <w:gridCol w:w="4689"/>
      </w:tblGrid>
      <w:tr w:rsidR="0023436E" w:rsidRPr="008C1604" w:rsidTr="00E2556C">
        <w:tc>
          <w:tcPr>
            <w:tcW w:w="5000" w:type="pct"/>
            <w:gridSpan w:val="3"/>
            <w:tcBorders>
              <w:top w:val="single" w:sz="4" w:space="0" w:color="auto"/>
            </w:tcBorders>
          </w:tcPr>
          <w:p w:rsidR="0023436E" w:rsidRPr="008C1604" w:rsidRDefault="0023436E" w:rsidP="007D099D">
            <w:pPr>
              <w:pStyle w:val="naisnod"/>
              <w:spacing w:before="0" w:after="0"/>
              <w:ind w:left="57" w:right="57"/>
            </w:pPr>
            <w:r w:rsidRPr="008C1604">
              <w:t>VII</w:t>
            </w:r>
            <w:r w:rsidR="000941C5" w:rsidRPr="008C1604">
              <w:t>.</w:t>
            </w:r>
            <w:r w:rsidRPr="008C1604">
              <w:t xml:space="preserve"> Tiesību akta projekta izpildes nodrošināšana un tās ietekme uz institūcijām</w:t>
            </w:r>
          </w:p>
        </w:tc>
      </w:tr>
      <w:tr w:rsidR="0023436E" w:rsidRPr="008C1604" w:rsidTr="00E2556C">
        <w:trPr>
          <w:trHeight w:val="427"/>
        </w:trPr>
        <w:tc>
          <w:tcPr>
            <w:tcW w:w="249" w:type="pct"/>
          </w:tcPr>
          <w:p w:rsidR="0023436E" w:rsidRPr="008C1604" w:rsidRDefault="0023436E" w:rsidP="007D099D">
            <w:pPr>
              <w:pStyle w:val="naisnod"/>
              <w:spacing w:before="0" w:after="0"/>
              <w:ind w:left="57" w:right="57"/>
              <w:jc w:val="left"/>
              <w:rPr>
                <w:b w:val="0"/>
              </w:rPr>
            </w:pPr>
            <w:r w:rsidRPr="008C1604">
              <w:rPr>
                <w:b w:val="0"/>
              </w:rPr>
              <w:t>1.</w:t>
            </w:r>
          </w:p>
        </w:tc>
        <w:tc>
          <w:tcPr>
            <w:tcW w:w="2182" w:type="pct"/>
          </w:tcPr>
          <w:p w:rsidR="0023436E" w:rsidRPr="008C1604" w:rsidRDefault="001A4066" w:rsidP="007D099D">
            <w:pPr>
              <w:pStyle w:val="naisf"/>
              <w:spacing w:before="0" w:after="0"/>
              <w:ind w:left="57" w:right="57" w:firstLine="0"/>
              <w:jc w:val="left"/>
            </w:pPr>
            <w:r w:rsidRPr="008C1604">
              <w:t>P</w:t>
            </w:r>
            <w:r w:rsidR="0023436E" w:rsidRPr="008C1604">
              <w:t xml:space="preserve">rojekta izpildē iesaistītās institūcijas </w:t>
            </w:r>
          </w:p>
        </w:tc>
        <w:tc>
          <w:tcPr>
            <w:tcW w:w="2569" w:type="pct"/>
          </w:tcPr>
          <w:p w:rsidR="0023436E" w:rsidRPr="008C1604" w:rsidRDefault="00F05E72" w:rsidP="00792EA8">
            <w:pPr>
              <w:pStyle w:val="naisnod"/>
              <w:spacing w:before="0" w:after="0"/>
              <w:ind w:left="-43" w:right="-1"/>
              <w:jc w:val="both"/>
              <w:rPr>
                <w:b w:val="0"/>
              </w:rPr>
            </w:pPr>
            <w:r w:rsidRPr="008C1604">
              <w:rPr>
                <w:b w:val="0"/>
                <w:color w:val="000000"/>
              </w:rPr>
              <w:t xml:space="preserve"> </w:t>
            </w:r>
            <w:r w:rsidR="00792EA8" w:rsidRPr="008C1604">
              <w:rPr>
                <w:b w:val="0"/>
                <w:color w:val="000000"/>
              </w:rPr>
              <w:t>LĢIA</w:t>
            </w:r>
          </w:p>
        </w:tc>
      </w:tr>
      <w:tr w:rsidR="0023436E" w:rsidRPr="008C1604" w:rsidTr="00E2556C">
        <w:trPr>
          <w:trHeight w:val="463"/>
        </w:trPr>
        <w:tc>
          <w:tcPr>
            <w:tcW w:w="249" w:type="pct"/>
          </w:tcPr>
          <w:p w:rsidR="0023436E" w:rsidRPr="008C1604" w:rsidRDefault="0023436E" w:rsidP="007D099D">
            <w:pPr>
              <w:pStyle w:val="naisnod"/>
              <w:spacing w:before="0" w:after="0"/>
              <w:ind w:left="57" w:right="57"/>
              <w:jc w:val="left"/>
              <w:rPr>
                <w:b w:val="0"/>
              </w:rPr>
            </w:pPr>
            <w:r w:rsidRPr="008C1604">
              <w:rPr>
                <w:b w:val="0"/>
              </w:rPr>
              <w:t>2.</w:t>
            </w:r>
          </w:p>
        </w:tc>
        <w:tc>
          <w:tcPr>
            <w:tcW w:w="2182" w:type="pct"/>
          </w:tcPr>
          <w:p w:rsidR="0023436E" w:rsidRPr="008C1604" w:rsidRDefault="001A4066" w:rsidP="007D099D">
            <w:pPr>
              <w:pStyle w:val="naisf"/>
              <w:spacing w:before="0" w:after="0"/>
              <w:ind w:left="57" w:right="57" w:firstLine="0"/>
              <w:jc w:val="left"/>
            </w:pPr>
            <w:r w:rsidRPr="008C1604">
              <w:t>Projekta i</w:t>
            </w:r>
            <w:r w:rsidR="0023436E" w:rsidRPr="008C1604">
              <w:t xml:space="preserve">zpildes ietekme uz pārvaldes funkcijām </w:t>
            </w:r>
          </w:p>
        </w:tc>
        <w:tc>
          <w:tcPr>
            <w:tcW w:w="2569" w:type="pct"/>
          </w:tcPr>
          <w:p w:rsidR="0023436E" w:rsidRPr="008C1604" w:rsidRDefault="00830CAA" w:rsidP="00F82109">
            <w:pPr>
              <w:pStyle w:val="BodyTextIndent2"/>
              <w:spacing w:after="0" w:line="240" w:lineRule="auto"/>
              <w:ind w:left="0"/>
              <w:jc w:val="both"/>
              <w:rPr>
                <w:b/>
              </w:rPr>
            </w:pPr>
            <w:r w:rsidRPr="002955A1">
              <w:t>P</w:t>
            </w:r>
            <w:r w:rsidRPr="008C1604">
              <w:t>rojekts šo jomu neskar</w:t>
            </w:r>
          </w:p>
        </w:tc>
      </w:tr>
      <w:tr w:rsidR="0023436E" w:rsidRPr="008C1604" w:rsidTr="00E2556C">
        <w:trPr>
          <w:trHeight w:val="725"/>
        </w:trPr>
        <w:tc>
          <w:tcPr>
            <w:tcW w:w="249" w:type="pct"/>
          </w:tcPr>
          <w:p w:rsidR="0023436E" w:rsidRPr="008C1604" w:rsidRDefault="0023436E" w:rsidP="007D099D">
            <w:pPr>
              <w:pStyle w:val="naisnod"/>
              <w:spacing w:before="0" w:after="0"/>
              <w:ind w:left="57" w:right="57"/>
              <w:jc w:val="left"/>
              <w:rPr>
                <w:b w:val="0"/>
              </w:rPr>
            </w:pPr>
            <w:r w:rsidRPr="008C1604">
              <w:rPr>
                <w:b w:val="0"/>
              </w:rPr>
              <w:t>3.</w:t>
            </w:r>
          </w:p>
        </w:tc>
        <w:tc>
          <w:tcPr>
            <w:tcW w:w="2182" w:type="pct"/>
          </w:tcPr>
          <w:p w:rsidR="0023436E" w:rsidRPr="008C1604" w:rsidRDefault="001A4066" w:rsidP="007D099D">
            <w:pPr>
              <w:pStyle w:val="naisf"/>
              <w:spacing w:before="0" w:after="0"/>
              <w:ind w:left="57" w:right="57" w:firstLine="0"/>
              <w:jc w:val="left"/>
            </w:pPr>
            <w:r w:rsidRPr="008C1604">
              <w:t>Projekta iz</w:t>
            </w:r>
            <w:r w:rsidR="0023436E" w:rsidRPr="008C1604">
              <w:t>pildes ietekme uz pārvaldes institucionālo struktūru.</w:t>
            </w:r>
          </w:p>
          <w:p w:rsidR="0023436E" w:rsidRPr="008C1604" w:rsidRDefault="006C4607" w:rsidP="007D099D">
            <w:pPr>
              <w:pStyle w:val="naisf"/>
              <w:spacing w:before="0" w:after="0"/>
              <w:ind w:left="57" w:right="57" w:firstLine="0"/>
              <w:jc w:val="left"/>
            </w:pPr>
            <w:r w:rsidRPr="008C1604">
              <w:t>Jaunu institūciju izveide</w:t>
            </w:r>
          </w:p>
        </w:tc>
        <w:tc>
          <w:tcPr>
            <w:tcW w:w="2569" w:type="pct"/>
          </w:tcPr>
          <w:p w:rsidR="0023436E" w:rsidRPr="008C1604" w:rsidRDefault="00830CAA" w:rsidP="00F05E72">
            <w:pPr>
              <w:pStyle w:val="naisnod"/>
              <w:spacing w:before="0" w:after="0"/>
              <w:ind w:right="57"/>
              <w:jc w:val="left"/>
              <w:rPr>
                <w:b w:val="0"/>
              </w:rPr>
            </w:pPr>
            <w:r w:rsidRPr="008C1604">
              <w:rPr>
                <w:b w:val="0"/>
              </w:rPr>
              <w:t>P</w:t>
            </w:r>
            <w:r w:rsidR="00F25EC3" w:rsidRPr="008C1604">
              <w:rPr>
                <w:b w:val="0"/>
              </w:rPr>
              <w:t>rojekts šo jomu neskar</w:t>
            </w:r>
          </w:p>
        </w:tc>
      </w:tr>
      <w:tr w:rsidR="0023436E" w:rsidRPr="008C1604" w:rsidTr="00E2556C">
        <w:trPr>
          <w:trHeight w:val="780"/>
        </w:trPr>
        <w:tc>
          <w:tcPr>
            <w:tcW w:w="249" w:type="pct"/>
          </w:tcPr>
          <w:p w:rsidR="0023436E" w:rsidRPr="008C1604" w:rsidRDefault="0023436E" w:rsidP="007D099D">
            <w:pPr>
              <w:pStyle w:val="naisnod"/>
              <w:spacing w:before="0" w:after="0"/>
              <w:ind w:left="57" w:right="57"/>
              <w:jc w:val="left"/>
              <w:rPr>
                <w:b w:val="0"/>
              </w:rPr>
            </w:pPr>
            <w:r w:rsidRPr="008C1604">
              <w:rPr>
                <w:b w:val="0"/>
              </w:rPr>
              <w:t>4.</w:t>
            </w:r>
          </w:p>
        </w:tc>
        <w:tc>
          <w:tcPr>
            <w:tcW w:w="2182" w:type="pct"/>
          </w:tcPr>
          <w:p w:rsidR="0023436E" w:rsidRPr="008C1604" w:rsidRDefault="001A4066" w:rsidP="007D099D">
            <w:pPr>
              <w:pStyle w:val="naisf"/>
              <w:spacing w:before="0" w:after="0"/>
              <w:ind w:left="57" w:right="57" w:firstLine="0"/>
              <w:jc w:val="left"/>
            </w:pPr>
            <w:r w:rsidRPr="008C1604">
              <w:t>Projekta i</w:t>
            </w:r>
            <w:r w:rsidR="0023436E" w:rsidRPr="008C1604">
              <w:t>zpildes ietekme uz pārvaldes institucionālo struktūru.</w:t>
            </w:r>
          </w:p>
          <w:p w:rsidR="0023436E" w:rsidRPr="008C1604" w:rsidRDefault="006C4607" w:rsidP="007D099D">
            <w:pPr>
              <w:pStyle w:val="naisf"/>
              <w:spacing w:before="0" w:after="0"/>
              <w:ind w:left="57" w:right="57" w:firstLine="0"/>
              <w:jc w:val="left"/>
            </w:pPr>
            <w:r w:rsidRPr="008C1604">
              <w:t>Esošu institūciju likvidācija</w:t>
            </w:r>
          </w:p>
        </w:tc>
        <w:tc>
          <w:tcPr>
            <w:tcW w:w="2569" w:type="pct"/>
          </w:tcPr>
          <w:p w:rsidR="0023436E" w:rsidRPr="008C1604" w:rsidRDefault="00830CAA" w:rsidP="00F25EC3">
            <w:pPr>
              <w:pStyle w:val="naisnod"/>
              <w:spacing w:before="0" w:after="0"/>
              <w:ind w:right="57"/>
              <w:jc w:val="left"/>
              <w:rPr>
                <w:b w:val="0"/>
              </w:rPr>
            </w:pPr>
            <w:r w:rsidRPr="008C1604">
              <w:rPr>
                <w:b w:val="0"/>
              </w:rPr>
              <w:t>P</w:t>
            </w:r>
            <w:r w:rsidR="008D4DEC" w:rsidRPr="008C1604">
              <w:rPr>
                <w:b w:val="0"/>
              </w:rPr>
              <w:t>rojekts šo jomu neskar</w:t>
            </w:r>
          </w:p>
        </w:tc>
      </w:tr>
      <w:tr w:rsidR="0023436E" w:rsidRPr="008C1604" w:rsidTr="00E2556C">
        <w:trPr>
          <w:trHeight w:val="703"/>
        </w:trPr>
        <w:tc>
          <w:tcPr>
            <w:tcW w:w="249" w:type="pct"/>
          </w:tcPr>
          <w:p w:rsidR="0023436E" w:rsidRPr="008C1604" w:rsidRDefault="0023436E" w:rsidP="007D099D">
            <w:pPr>
              <w:pStyle w:val="naisnod"/>
              <w:spacing w:before="0" w:after="0"/>
              <w:ind w:left="57" w:right="57"/>
              <w:jc w:val="left"/>
              <w:rPr>
                <w:b w:val="0"/>
              </w:rPr>
            </w:pPr>
            <w:r w:rsidRPr="008C1604">
              <w:rPr>
                <w:b w:val="0"/>
              </w:rPr>
              <w:t>5.</w:t>
            </w:r>
          </w:p>
        </w:tc>
        <w:tc>
          <w:tcPr>
            <w:tcW w:w="2182" w:type="pct"/>
          </w:tcPr>
          <w:p w:rsidR="0023436E" w:rsidRPr="008C1604" w:rsidRDefault="001A4066" w:rsidP="007D099D">
            <w:pPr>
              <w:pStyle w:val="naisf"/>
              <w:spacing w:before="0" w:after="0"/>
              <w:ind w:left="57" w:right="57" w:firstLine="0"/>
              <w:jc w:val="left"/>
            </w:pPr>
            <w:r w:rsidRPr="008C1604">
              <w:t>Projekta i</w:t>
            </w:r>
            <w:r w:rsidR="0023436E" w:rsidRPr="008C1604">
              <w:t>zpildes ietekme uz pārvaldes institucionālo struktūru.</w:t>
            </w:r>
          </w:p>
          <w:p w:rsidR="0023436E" w:rsidRPr="008C1604" w:rsidRDefault="0023436E" w:rsidP="007D099D">
            <w:pPr>
              <w:pStyle w:val="naisf"/>
              <w:spacing w:before="0" w:after="0"/>
              <w:ind w:left="57" w:right="57" w:firstLine="0"/>
              <w:jc w:val="left"/>
            </w:pPr>
            <w:r w:rsidRPr="008C1604">
              <w:t>Esošu institūciju reorganizācija</w:t>
            </w:r>
          </w:p>
        </w:tc>
        <w:tc>
          <w:tcPr>
            <w:tcW w:w="2569" w:type="pct"/>
          </w:tcPr>
          <w:p w:rsidR="0023436E" w:rsidRPr="008C1604" w:rsidRDefault="00830CAA" w:rsidP="00F25EC3">
            <w:pPr>
              <w:pStyle w:val="naisnod"/>
              <w:spacing w:before="0" w:after="0"/>
              <w:ind w:right="57"/>
              <w:jc w:val="left"/>
              <w:rPr>
                <w:b w:val="0"/>
              </w:rPr>
            </w:pPr>
            <w:r w:rsidRPr="008C1604">
              <w:rPr>
                <w:b w:val="0"/>
              </w:rPr>
              <w:t>P</w:t>
            </w:r>
            <w:r w:rsidR="008D4DEC" w:rsidRPr="008C1604">
              <w:rPr>
                <w:b w:val="0"/>
              </w:rPr>
              <w:t>rojekts šo jomu neskar</w:t>
            </w:r>
          </w:p>
        </w:tc>
      </w:tr>
      <w:tr w:rsidR="0023436E" w:rsidRPr="0011480F" w:rsidTr="00E2556C">
        <w:trPr>
          <w:trHeight w:val="476"/>
        </w:trPr>
        <w:tc>
          <w:tcPr>
            <w:tcW w:w="249" w:type="pct"/>
          </w:tcPr>
          <w:p w:rsidR="0023436E" w:rsidRPr="008C1604" w:rsidRDefault="00F63DAC" w:rsidP="007D099D">
            <w:pPr>
              <w:pStyle w:val="naiskr"/>
              <w:spacing w:before="0" w:after="0"/>
              <w:ind w:left="57" w:right="57"/>
            </w:pPr>
            <w:r w:rsidRPr="008C1604">
              <w:t>6</w:t>
            </w:r>
            <w:r w:rsidR="0023436E" w:rsidRPr="008C1604">
              <w:t>.</w:t>
            </w:r>
          </w:p>
        </w:tc>
        <w:tc>
          <w:tcPr>
            <w:tcW w:w="2182" w:type="pct"/>
          </w:tcPr>
          <w:p w:rsidR="0023436E" w:rsidRPr="008C1604" w:rsidRDefault="006C4607" w:rsidP="007D099D">
            <w:pPr>
              <w:pStyle w:val="naiskr"/>
              <w:spacing w:before="0" w:after="0"/>
              <w:ind w:left="57" w:right="57"/>
            </w:pPr>
            <w:r w:rsidRPr="008C1604">
              <w:t>Cita informācija</w:t>
            </w:r>
          </w:p>
        </w:tc>
        <w:tc>
          <w:tcPr>
            <w:tcW w:w="2569" w:type="pct"/>
          </w:tcPr>
          <w:p w:rsidR="0023436E" w:rsidRPr="0011480F" w:rsidRDefault="00794411" w:rsidP="00331E6E">
            <w:pPr>
              <w:pStyle w:val="naiskr"/>
              <w:spacing w:before="0" w:after="0"/>
              <w:ind w:right="57"/>
            </w:pPr>
            <w:r w:rsidRPr="008C1604">
              <w:t>Nav</w:t>
            </w:r>
          </w:p>
        </w:tc>
      </w:tr>
    </w:tbl>
    <w:p w:rsidR="00AA41A2" w:rsidRPr="0011480F" w:rsidRDefault="00AA41A2" w:rsidP="002955A1"/>
    <w:p w:rsidR="0011480F" w:rsidRDefault="0011480F" w:rsidP="001F3C26">
      <w:pPr>
        <w:jc w:val="both"/>
      </w:pPr>
    </w:p>
    <w:p w:rsidR="003F12F6" w:rsidRPr="0011480F" w:rsidRDefault="003F12F6" w:rsidP="001F3C26">
      <w:pPr>
        <w:jc w:val="both"/>
      </w:pPr>
      <w:r>
        <w:t>Iesniedzējs:</w:t>
      </w:r>
    </w:p>
    <w:p w:rsidR="001F3C26" w:rsidRPr="0011480F" w:rsidRDefault="0096248B" w:rsidP="00953D94">
      <w:pPr>
        <w:jc w:val="both"/>
      </w:pPr>
      <w:r>
        <w:t>Aizsardzības</w:t>
      </w:r>
      <w:r w:rsidR="000507B5">
        <w:t xml:space="preserve"> ministr</w:t>
      </w:r>
      <w:r w:rsidR="00953D94">
        <w:t>s</w:t>
      </w:r>
      <w:r w:rsidR="00953D94">
        <w:tab/>
      </w:r>
      <w:r w:rsidR="00953D94">
        <w:tab/>
      </w:r>
      <w:r w:rsidR="00953D94">
        <w:tab/>
      </w:r>
      <w:r w:rsidR="00953D94">
        <w:tab/>
      </w:r>
      <w:r w:rsidR="00953D94">
        <w:tab/>
      </w:r>
      <w:r w:rsidR="00953D94">
        <w:tab/>
      </w:r>
      <w:r w:rsidR="00953D94">
        <w:tab/>
      </w:r>
      <w:r w:rsidR="00953D94">
        <w:tab/>
        <w:t>A.Pabriks</w:t>
      </w:r>
    </w:p>
    <w:p w:rsidR="001F3C26" w:rsidRDefault="001F3C26" w:rsidP="001F3C26">
      <w:pPr>
        <w:jc w:val="both"/>
      </w:pPr>
    </w:p>
    <w:p w:rsidR="00953D94" w:rsidRPr="002955A1" w:rsidRDefault="00953D94" w:rsidP="001F3C26">
      <w:pPr>
        <w:jc w:val="both"/>
      </w:pPr>
    </w:p>
    <w:p w:rsidR="009716C6" w:rsidRPr="002955A1" w:rsidRDefault="009716C6" w:rsidP="009716C6">
      <w:pPr>
        <w:autoSpaceDE w:val="0"/>
        <w:autoSpaceDN w:val="0"/>
        <w:adjustRightInd w:val="0"/>
        <w:jc w:val="both"/>
      </w:pPr>
      <w:r w:rsidRPr="002955A1">
        <w:t xml:space="preserve">Valsts sekretāra p.i. – </w:t>
      </w:r>
    </w:p>
    <w:p w:rsidR="009716C6" w:rsidRPr="002955A1" w:rsidRDefault="009716C6" w:rsidP="009716C6">
      <w:pPr>
        <w:autoSpaceDE w:val="0"/>
        <w:autoSpaceDN w:val="0"/>
        <w:adjustRightInd w:val="0"/>
        <w:jc w:val="both"/>
        <w:rPr>
          <w:rFonts w:eastAsia="Calibri"/>
          <w:color w:val="000000"/>
          <w:lang w:eastAsia="en-US"/>
        </w:rPr>
      </w:pPr>
      <w:r w:rsidRPr="002955A1">
        <w:rPr>
          <w:rFonts w:eastAsia="Calibri"/>
          <w:color w:val="000000"/>
          <w:lang w:eastAsia="en-US"/>
        </w:rPr>
        <w:t>valsts sekretāra vietniece</w:t>
      </w:r>
    </w:p>
    <w:p w:rsidR="009716C6" w:rsidRPr="002955A1" w:rsidRDefault="009716C6" w:rsidP="009716C6">
      <w:pPr>
        <w:autoSpaceDE w:val="0"/>
        <w:autoSpaceDN w:val="0"/>
        <w:adjustRightInd w:val="0"/>
        <w:jc w:val="both"/>
        <w:rPr>
          <w:rFonts w:eastAsia="Calibri"/>
          <w:bCs/>
          <w:color w:val="000000"/>
          <w:lang w:eastAsia="en-US"/>
        </w:rPr>
      </w:pPr>
      <w:r w:rsidRPr="002955A1">
        <w:rPr>
          <w:rFonts w:eastAsia="Calibri"/>
          <w:color w:val="000000"/>
          <w:lang w:eastAsia="en-US"/>
        </w:rPr>
        <w:t xml:space="preserve">administratīvos un juridiskos jautājumos </w:t>
      </w:r>
      <w:r w:rsidRPr="002955A1">
        <w:rPr>
          <w:rFonts w:eastAsia="Calibri"/>
          <w:color w:val="000000"/>
          <w:lang w:eastAsia="en-US"/>
        </w:rPr>
        <w:tab/>
      </w:r>
      <w:r w:rsidRPr="002955A1">
        <w:rPr>
          <w:rFonts w:eastAsia="Calibri"/>
          <w:color w:val="000000"/>
          <w:lang w:eastAsia="en-US"/>
        </w:rPr>
        <w:tab/>
      </w:r>
      <w:r w:rsidRPr="002955A1">
        <w:rPr>
          <w:rFonts w:eastAsia="Calibri"/>
          <w:color w:val="000000"/>
          <w:lang w:eastAsia="en-US"/>
        </w:rPr>
        <w:tab/>
      </w:r>
      <w:r w:rsidRPr="002955A1">
        <w:rPr>
          <w:rFonts w:eastAsia="Calibri"/>
          <w:color w:val="000000"/>
          <w:lang w:eastAsia="en-US"/>
        </w:rPr>
        <w:tab/>
      </w:r>
      <w:r w:rsidRPr="002955A1">
        <w:rPr>
          <w:rFonts w:eastAsia="Calibri"/>
          <w:color w:val="000000"/>
          <w:lang w:eastAsia="en-US"/>
        </w:rPr>
        <w:tab/>
      </w:r>
      <w:r w:rsidRPr="002955A1">
        <w:rPr>
          <w:rFonts w:eastAsia="Calibri"/>
          <w:bCs/>
          <w:color w:val="000000"/>
          <w:lang w:eastAsia="en-US"/>
        </w:rPr>
        <w:t>I.Dreģe</w:t>
      </w:r>
    </w:p>
    <w:p w:rsidR="00953D94" w:rsidRPr="0011480F" w:rsidRDefault="00953D94" w:rsidP="001F3C26">
      <w:pPr>
        <w:jc w:val="both"/>
      </w:pPr>
    </w:p>
    <w:p w:rsidR="00851D24" w:rsidRDefault="00851D24" w:rsidP="001F3C26">
      <w:pPr>
        <w:pStyle w:val="Header"/>
        <w:tabs>
          <w:tab w:val="clear" w:pos="4153"/>
          <w:tab w:val="clear" w:pos="8306"/>
        </w:tabs>
      </w:pPr>
    </w:p>
    <w:p w:rsidR="00953D94" w:rsidRDefault="00953D94" w:rsidP="006E3B5B">
      <w:r>
        <w:lastRenderedPageBreak/>
        <w:fldChar w:fldCharType="begin"/>
      </w:r>
      <w:r>
        <w:instrText xml:space="preserve"> TIME \@ "dd.MM.yyyy H:mm" </w:instrText>
      </w:r>
      <w:r>
        <w:fldChar w:fldCharType="separate"/>
      </w:r>
      <w:r w:rsidR="00292BD8">
        <w:rPr>
          <w:noProof/>
        </w:rPr>
        <w:t>01.08.2013 14:23</w:t>
      </w:r>
      <w:r>
        <w:fldChar w:fldCharType="end"/>
      </w:r>
    </w:p>
    <w:p w:rsidR="006E3B5B" w:rsidRPr="006E4162" w:rsidRDefault="003531A3" w:rsidP="006E3B5B">
      <w:r>
        <w:t>1</w:t>
      </w:r>
      <w:r w:rsidR="008C1604">
        <w:t>398</w:t>
      </w:r>
    </w:p>
    <w:p w:rsidR="006E3B5B" w:rsidRPr="006E4162" w:rsidRDefault="006E3B5B" w:rsidP="006E3B5B">
      <w:r w:rsidRPr="006E4162">
        <w:t>M.Celmiņa 26450705</w:t>
      </w:r>
      <w:r w:rsidR="00953D94">
        <w:t>, fakss 29370505</w:t>
      </w:r>
    </w:p>
    <w:p w:rsidR="006E3B5B" w:rsidRPr="006E4162" w:rsidRDefault="00292BD8" w:rsidP="006E3B5B">
      <w:hyperlink r:id="rId9" w:history="1">
        <w:r w:rsidR="006E3B5B" w:rsidRPr="006E4162">
          <w:rPr>
            <w:rStyle w:val="Hyperlink"/>
          </w:rPr>
          <w:t>Maija.Celmina@lgia.gov.lv</w:t>
        </w:r>
      </w:hyperlink>
    </w:p>
    <w:p w:rsidR="004B2E32" w:rsidRPr="0011480F" w:rsidRDefault="004B2E32" w:rsidP="001F3C26">
      <w:pPr>
        <w:pStyle w:val="Header"/>
        <w:tabs>
          <w:tab w:val="clear" w:pos="4153"/>
          <w:tab w:val="clear" w:pos="8306"/>
        </w:tabs>
      </w:pPr>
    </w:p>
    <w:sectPr w:rsidR="004B2E32" w:rsidRPr="0011480F" w:rsidSect="00FB470E">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A3" w:rsidRDefault="007909A3">
      <w:r>
        <w:separator/>
      </w:r>
    </w:p>
    <w:p w:rsidR="007909A3" w:rsidRDefault="007909A3"/>
  </w:endnote>
  <w:endnote w:type="continuationSeparator" w:id="0">
    <w:p w:rsidR="007909A3" w:rsidRDefault="007909A3">
      <w:r>
        <w:continuationSeparator/>
      </w:r>
    </w:p>
    <w:p w:rsidR="007909A3" w:rsidRDefault="00790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Pr="0015024A" w:rsidRDefault="006E3B5B" w:rsidP="0015024A">
    <w:pPr>
      <w:pStyle w:val="Footer"/>
      <w:jc w:val="both"/>
    </w:pPr>
    <w:r>
      <w:rPr>
        <w:sz w:val="20"/>
        <w:szCs w:val="20"/>
      </w:rPr>
      <w:t>A</w:t>
    </w:r>
    <w:r w:rsidR="002955A1">
      <w:rPr>
        <w:sz w:val="20"/>
        <w:szCs w:val="20"/>
      </w:rPr>
      <w:t>iMAnot_0108</w:t>
    </w:r>
    <w:r>
      <w:rPr>
        <w:sz w:val="20"/>
        <w:szCs w:val="20"/>
      </w:rPr>
      <w:t xml:space="preserve">13_lazer; </w:t>
    </w:r>
    <w:r w:rsidRPr="00574B05">
      <w:rPr>
        <w:sz w:val="20"/>
        <w:szCs w:val="20"/>
      </w:rPr>
      <w:t>Min</w:t>
    </w:r>
    <w:r>
      <w:rPr>
        <w:sz w:val="20"/>
        <w:szCs w:val="20"/>
      </w:rPr>
      <w:t>istru kabineta rīkojuma projekta</w:t>
    </w:r>
    <w:r w:rsidRPr="00574B05">
      <w:rPr>
        <w:sz w:val="20"/>
        <w:szCs w:val="20"/>
      </w:rPr>
      <w:t xml:space="preserve"> „Par finanšu līdzekļu piešķiršanu no valsts budžeta programmas „Līdz</w:t>
    </w:r>
    <w:r>
      <w:rPr>
        <w:sz w:val="20"/>
        <w:szCs w:val="20"/>
      </w:rPr>
      <w:t>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5B" w:rsidRPr="0015024A" w:rsidRDefault="006E3B5B" w:rsidP="006E3B5B">
    <w:pPr>
      <w:pStyle w:val="Footer"/>
      <w:jc w:val="both"/>
    </w:pPr>
    <w:r>
      <w:rPr>
        <w:sz w:val="20"/>
        <w:szCs w:val="20"/>
      </w:rPr>
      <w:t>A</w:t>
    </w:r>
    <w:r w:rsidR="002955A1">
      <w:rPr>
        <w:sz w:val="20"/>
        <w:szCs w:val="20"/>
      </w:rPr>
      <w:t>iMAnot_0108</w:t>
    </w:r>
    <w:r>
      <w:rPr>
        <w:sz w:val="20"/>
        <w:szCs w:val="20"/>
      </w:rPr>
      <w:t xml:space="preserve">13_lazer; </w:t>
    </w:r>
    <w:r w:rsidRPr="00574B05">
      <w:rPr>
        <w:sz w:val="20"/>
        <w:szCs w:val="20"/>
      </w:rPr>
      <w:t>Min</w:t>
    </w:r>
    <w:r>
      <w:rPr>
        <w:sz w:val="20"/>
        <w:szCs w:val="20"/>
      </w:rPr>
      <w:t>istru kabineta rīkojuma projekta</w:t>
    </w:r>
    <w:r w:rsidRPr="00574B05">
      <w:rPr>
        <w:sz w:val="20"/>
        <w:szCs w:val="20"/>
      </w:rPr>
      <w:t xml:space="preserve"> „Par finanšu līdzekļu piešķiršanu no valsts budžeta programmas „Līdz</w:t>
    </w:r>
    <w:r>
      <w:rPr>
        <w:sz w:val="20"/>
        <w:szCs w:val="20"/>
      </w:rPr>
      <w:t>ekļi neparedzētiem gadījumiem”” sākotnējās ietekmes novērtējuma ziņojums (anotācija)</w:t>
    </w:r>
  </w:p>
  <w:p w:rsidR="002C3A2A" w:rsidRPr="0011480F" w:rsidRDefault="002C3A2A" w:rsidP="00E2556C">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A3" w:rsidRDefault="007909A3">
      <w:r>
        <w:separator/>
      </w:r>
    </w:p>
    <w:p w:rsidR="007909A3" w:rsidRDefault="007909A3"/>
  </w:footnote>
  <w:footnote w:type="continuationSeparator" w:id="0">
    <w:p w:rsidR="007909A3" w:rsidRDefault="007909A3">
      <w:r>
        <w:continuationSeparator/>
      </w:r>
    </w:p>
    <w:p w:rsidR="007909A3" w:rsidRDefault="00790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Default="002C3A2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A2A" w:rsidRDefault="002C3A2A">
    <w:pPr>
      <w:pStyle w:val="Header"/>
    </w:pPr>
  </w:p>
  <w:p w:rsidR="002C3A2A" w:rsidRDefault="002C3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Pr="00E2556C" w:rsidRDefault="002C3A2A" w:rsidP="003C449B">
    <w:pPr>
      <w:pStyle w:val="Header"/>
      <w:framePr w:wrap="around" w:vAnchor="text" w:hAnchor="margin" w:xAlign="center" w:y="1"/>
      <w:rPr>
        <w:rStyle w:val="PageNumber"/>
        <w:sz w:val="22"/>
        <w:szCs w:val="22"/>
      </w:rPr>
    </w:pPr>
    <w:r w:rsidRPr="00E2556C">
      <w:rPr>
        <w:rStyle w:val="PageNumber"/>
        <w:sz w:val="22"/>
        <w:szCs w:val="22"/>
      </w:rPr>
      <w:fldChar w:fldCharType="begin"/>
    </w:r>
    <w:r w:rsidRPr="00E2556C">
      <w:rPr>
        <w:rStyle w:val="PageNumber"/>
        <w:sz w:val="22"/>
        <w:szCs w:val="22"/>
      </w:rPr>
      <w:instrText xml:space="preserve">PAGE  </w:instrText>
    </w:r>
    <w:r w:rsidRPr="00E2556C">
      <w:rPr>
        <w:rStyle w:val="PageNumber"/>
        <w:sz w:val="22"/>
        <w:szCs w:val="22"/>
      </w:rPr>
      <w:fldChar w:fldCharType="separate"/>
    </w:r>
    <w:r w:rsidR="00292BD8">
      <w:rPr>
        <w:rStyle w:val="PageNumber"/>
        <w:noProof/>
        <w:sz w:val="22"/>
        <w:szCs w:val="22"/>
      </w:rPr>
      <w:t>5</w:t>
    </w:r>
    <w:r w:rsidRPr="00E2556C">
      <w:rPr>
        <w:rStyle w:val="PageNumber"/>
        <w:sz w:val="22"/>
        <w:szCs w:val="22"/>
      </w:rPr>
      <w:fldChar w:fldCharType="end"/>
    </w:r>
  </w:p>
  <w:p w:rsidR="002C3A2A" w:rsidRPr="002955A1" w:rsidRDefault="002C3A2A" w:rsidP="002955A1">
    <w:pPr>
      <w:pStyle w:val="Header"/>
      <w:tabs>
        <w:tab w:val="clear" w:pos="4153"/>
        <w:tab w:val="clear" w:pos="8306"/>
        <w:tab w:val="left" w:pos="31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02662D1"/>
    <w:multiLevelType w:val="hybridMultilevel"/>
    <w:tmpl w:val="EFE0F2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E1A0BF7"/>
    <w:multiLevelType w:val="hybridMultilevel"/>
    <w:tmpl w:val="65B0897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9B6C25"/>
    <w:multiLevelType w:val="hybridMultilevel"/>
    <w:tmpl w:val="6472C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5">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8"/>
  </w:num>
  <w:num w:numId="2">
    <w:abstractNumId w:val="20"/>
  </w:num>
  <w:num w:numId="3">
    <w:abstractNumId w:val="6"/>
  </w:num>
  <w:num w:numId="4">
    <w:abstractNumId w:val="3"/>
  </w:num>
  <w:num w:numId="5">
    <w:abstractNumId w:val="1"/>
  </w:num>
  <w:num w:numId="6">
    <w:abstractNumId w:val="17"/>
  </w:num>
  <w:num w:numId="7">
    <w:abstractNumId w:val="22"/>
  </w:num>
  <w:num w:numId="8">
    <w:abstractNumId w:val="13"/>
  </w:num>
  <w:num w:numId="9">
    <w:abstractNumId w:val="4"/>
  </w:num>
  <w:num w:numId="10">
    <w:abstractNumId w:val="14"/>
  </w:num>
  <w:num w:numId="11">
    <w:abstractNumId w:val="15"/>
  </w:num>
  <w:num w:numId="12">
    <w:abstractNumId w:val="18"/>
  </w:num>
  <w:num w:numId="13">
    <w:abstractNumId w:val="19"/>
  </w:num>
  <w:num w:numId="14">
    <w:abstractNumId w:val="2"/>
  </w:num>
  <w:num w:numId="15">
    <w:abstractNumId w:val="21"/>
  </w:num>
  <w:num w:numId="16">
    <w:abstractNumId w:val="25"/>
  </w:num>
  <w:num w:numId="17">
    <w:abstractNumId w:val="24"/>
  </w:num>
  <w:num w:numId="18">
    <w:abstractNumId w:val="5"/>
  </w:num>
  <w:num w:numId="19">
    <w:abstractNumId w:val="10"/>
  </w:num>
  <w:num w:numId="20">
    <w:abstractNumId w:val="12"/>
  </w:num>
  <w:num w:numId="21">
    <w:abstractNumId w:val="0"/>
  </w:num>
  <w:num w:numId="22">
    <w:abstractNumId w:val="11"/>
  </w:num>
  <w:num w:numId="23">
    <w:abstractNumId w:val="7"/>
  </w:num>
  <w:num w:numId="24">
    <w:abstractNumId w:val="16"/>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C09"/>
    <w:rsid w:val="00011D24"/>
    <w:rsid w:val="00013FF4"/>
    <w:rsid w:val="00020FE1"/>
    <w:rsid w:val="000214DB"/>
    <w:rsid w:val="0002267B"/>
    <w:rsid w:val="00022E13"/>
    <w:rsid w:val="00023C23"/>
    <w:rsid w:val="00027D88"/>
    <w:rsid w:val="00032388"/>
    <w:rsid w:val="00034C8A"/>
    <w:rsid w:val="00035013"/>
    <w:rsid w:val="00035CE2"/>
    <w:rsid w:val="00037FD3"/>
    <w:rsid w:val="00043D65"/>
    <w:rsid w:val="000459AF"/>
    <w:rsid w:val="00046D14"/>
    <w:rsid w:val="00046E60"/>
    <w:rsid w:val="000507B5"/>
    <w:rsid w:val="000508F8"/>
    <w:rsid w:val="0005553B"/>
    <w:rsid w:val="0005576D"/>
    <w:rsid w:val="000604D2"/>
    <w:rsid w:val="000629F3"/>
    <w:rsid w:val="00065314"/>
    <w:rsid w:val="00071885"/>
    <w:rsid w:val="00077BC1"/>
    <w:rsid w:val="0008382C"/>
    <w:rsid w:val="0009005E"/>
    <w:rsid w:val="00090A7B"/>
    <w:rsid w:val="00090B3A"/>
    <w:rsid w:val="000937C6"/>
    <w:rsid w:val="000941C5"/>
    <w:rsid w:val="00095E74"/>
    <w:rsid w:val="0009746B"/>
    <w:rsid w:val="000A04B4"/>
    <w:rsid w:val="000A26EC"/>
    <w:rsid w:val="000A4853"/>
    <w:rsid w:val="000A6451"/>
    <w:rsid w:val="000A77C5"/>
    <w:rsid w:val="000A7876"/>
    <w:rsid w:val="000B0649"/>
    <w:rsid w:val="000B064E"/>
    <w:rsid w:val="000B47AB"/>
    <w:rsid w:val="000B69CF"/>
    <w:rsid w:val="000C04C0"/>
    <w:rsid w:val="000C169B"/>
    <w:rsid w:val="000C45A4"/>
    <w:rsid w:val="000C790C"/>
    <w:rsid w:val="000D04C8"/>
    <w:rsid w:val="000D1A41"/>
    <w:rsid w:val="000D1D50"/>
    <w:rsid w:val="000D20AB"/>
    <w:rsid w:val="000E01B7"/>
    <w:rsid w:val="000E1F44"/>
    <w:rsid w:val="000E4C63"/>
    <w:rsid w:val="000F061D"/>
    <w:rsid w:val="000F4794"/>
    <w:rsid w:val="000F5D2A"/>
    <w:rsid w:val="000F622E"/>
    <w:rsid w:val="00101947"/>
    <w:rsid w:val="00104953"/>
    <w:rsid w:val="001059C3"/>
    <w:rsid w:val="00110B04"/>
    <w:rsid w:val="001110C6"/>
    <w:rsid w:val="001121C1"/>
    <w:rsid w:val="00112A15"/>
    <w:rsid w:val="00113D2D"/>
    <w:rsid w:val="0011480F"/>
    <w:rsid w:val="00120079"/>
    <w:rsid w:val="00124F12"/>
    <w:rsid w:val="00127FA9"/>
    <w:rsid w:val="0013052A"/>
    <w:rsid w:val="001344F6"/>
    <w:rsid w:val="00135B14"/>
    <w:rsid w:val="0014123A"/>
    <w:rsid w:val="00142EB5"/>
    <w:rsid w:val="00144E3A"/>
    <w:rsid w:val="0015024A"/>
    <w:rsid w:val="0015060C"/>
    <w:rsid w:val="0015224D"/>
    <w:rsid w:val="001522B9"/>
    <w:rsid w:val="001522D1"/>
    <w:rsid w:val="00152EDE"/>
    <w:rsid w:val="001554B6"/>
    <w:rsid w:val="0016018A"/>
    <w:rsid w:val="00160B5B"/>
    <w:rsid w:val="00161CD1"/>
    <w:rsid w:val="00161F0E"/>
    <w:rsid w:val="001646D8"/>
    <w:rsid w:val="00164F6E"/>
    <w:rsid w:val="00170E2A"/>
    <w:rsid w:val="00170E4E"/>
    <w:rsid w:val="00173780"/>
    <w:rsid w:val="00176A47"/>
    <w:rsid w:val="00177394"/>
    <w:rsid w:val="00182C18"/>
    <w:rsid w:val="0018328E"/>
    <w:rsid w:val="001837F8"/>
    <w:rsid w:val="00183CC2"/>
    <w:rsid w:val="001866EE"/>
    <w:rsid w:val="00187DFA"/>
    <w:rsid w:val="001900E4"/>
    <w:rsid w:val="00190F88"/>
    <w:rsid w:val="0019339A"/>
    <w:rsid w:val="00197641"/>
    <w:rsid w:val="001A4066"/>
    <w:rsid w:val="001A6AE4"/>
    <w:rsid w:val="001A7FE4"/>
    <w:rsid w:val="001B01FD"/>
    <w:rsid w:val="001B1854"/>
    <w:rsid w:val="001B3421"/>
    <w:rsid w:val="001B3B79"/>
    <w:rsid w:val="001B3DBB"/>
    <w:rsid w:val="001B4A71"/>
    <w:rsid w:val="001C2654"/>
    <w:rsid w:val="001C3439"/>
    <w:rsid w:val="001C4B6E"/>
    <w:rsid w:val="001D5B54"/>
    <w:rsid w:val="001D5BA3"/>
    <w:rsid w:val="001E0B2F"/>
    <w:rsid w:val="001E1DBF"/>
    <w:rsid w:val="001E4639"/>
    <w:rsid w:val="001E4A7D"/>
    <w:rsid w:val="001E71CA"/>
    <w:rsid w:val="001F060B"/>
    <w:rsid w:val="001F39A2"/>
    <w:rsid w:val="001F3C26"/>
    <w:rsid w:val="001F4209"/>
    <w:rsid w:val="001F43A8"/>
    <w:rsid w:val="001F54A6"/>
    <w:rsid w:val="001F5CD6"/>
    <w:rsid w:val="0020042B"/>
    <w:rsid w:val="002029D8"/>
    <w:rsid w:val="0021263D"/>
    <w:rsid w:val="00213F0C"/>
    <w:rsid w:val="00214094"/>
    <w:rsid w:val="00214FA9"/>
    <w:rsid w:val="0021592D"/>
    <w:rsid w:val="00216F49"/>
    <w:rsid w:val="00222D76"/>
    <w:rsid w:val="00223227"/>
    <w:rsid w:val="00223EB1"/>
    <w:rsid w:val="00224B09"/>
    <w:rsid w:val="00224BBF"/>
    <w:rsid w:val="002265B9"/>
    <w:rsid w:val="00231344"/>
    <w:rsid w:val="0023436E"/>
    <w:rsid w:val="002347C0"/>
    <w:rsid w:val="00241A6C"/>
    <w:rsid w:val="00242D2B"/>
    <w:rsid w:val="0024308C"/>
    <w:rsid w:val="00243F1A"/>
    <w:rsid w:val="00250D16"/>
    <w:rsid w:val="00253797"/>
    <w:rsid w:val="0025780E"/>
    <w:rsid w:val="00261703"/>
    <w:rsid w:val="00262E2B"/>
    <w:rsid w:val="002637EF"/>
    <w:rsid w:val="00264968"/>
    <w:rsid w:val="002676A6"/>
    <w:rsid w:val="00267C4B"/>
    <w:rsid w:val="00267C87"/>
    <w:rsid w:val="00270429"/>
    <w:rsid w:val="0027223F"/>
    <w:rsid w:val="002723E9"/>
    <w:rsid w:val="00274537"/>
    <w:rsid w:val="00277929"/>
    <w:rsid w:val="00277AD3"/>
    <w:rsid w:val="00283B82"/>
    <w:rsid w:val="002846E9"/>
    <w:rsid w:val="00284C34"/>
    <w:rsid w:val="00287D1D"/>
    <w:rsid w:val="0029066C"/>
    <w:rsid w:val="002907FE"/>
    <w:rsid w:val="00292BD8"/>
    <w:rsid w:val="002955A1"/>
    <w:rsid w:val="00296930"/>
    <w:rsid w:val="002A32A0"/>
    <w:rsid w:val="002B08D1"/>
    <w:rsid w:val="002B469C"/>
    <w:rsid w:val="002B4998"/>
    <w:rsid w:val="002B50DB"/>
    <w:rsid w:val="002C0532"/>
    <w:rsid w:val="002C12AB"/>
    <w:rsid w:val="002C3218"/>
    <w:rsid w:val="002C3A2A"/>
    <w:rsid w:val="002C59E1"/>
    <w:rsid w:val="002C65C1"/>
    <w:rsid w:val="002C7CAC"/>
    <w:rsid w:val="002C7F41"/>
    <w:rsid w:val="002D1AAF"/>
    <w:rsid w:val="002D3197"/>
    <w:rsid w:val="002D3306"/>
    <w:rsid w:val="002D47B8"/>
    <w:rsid w:val="002D48AA"/>
    <w:rsid w:val="002D7BAA"/>
    <w:rsid w:val="002D7F54"/>
    <w:rsid w:val="002E2570"/>
    <w:rsid w:val="002E394B"/>
    <w:rsid w:val="002E3FF4"/>
    <w:rsid w:val="002E6CAB"/>
    <w:rsid w:val="002F3BE4"/>
    <w:rsid w:val="002F451B"/>
    <w:rsid w:val="002F78C8"/>
    <w:rsid w:val="00301CF3"/>
    <w:rsid w:val="00305CD4"/>
    <w:rsid w:val="00313AC2"/>
    <w:rsid w:val="00313BDE"/>
    <w:rsid w:val="003144DF"/>
    <w:rsid w:val="003155F1"/>
    <w:rsid w:val="0032715C"/>
    <w:rsid w:val="00331E6E"/>
    <w:rsid w:val="00336EB7"/>
    <w:rsid w:val="003374CE"/>
    <w:rsid w:val="00337CA5"/>
    <w:rsid w:val="003404D1"/>
    <w:rsid w:val="00342952"/>
    <w:rsid w:val="0034795A"/>
    <w:rsid w:val="003531A3"/>
    <w:rsid w:val="00362478"/>
    <w:rsid w:val="00363C26"/>
    <w:rsid w:val="003640E8"/>
    <w:rsid w:val="00365E7F"/>
    <w:rsid w:val="00373121"/>
    <w:rsid w:val="00375B25"/>
    <w:rsid w:val="0037756E"/>
    <w:rsid w:val="0038132C"/>
    <w:rsid w:val="00390AAA"/>
    <w:rsid w:val="00396542"/>
    <w:rsid w:val="0039685B"/>
    <w:rsid w:val="003A24F8"/>
    <w:rsid w:val="003A31A6"/>
    <w:rsid w:val="003A43BB"/>
    <w:rsid w:val="003A7F0C"/>
    <w:rsid w:val="003A7F79"/>
    <w:rsid w:val="003B2124"/>
    <w:rsid w:val="003B6404"/>
    <w:rsid w:val="003C3568"/>
    <w:rsid w:val="003C3CB5"/>
    <w:rsid w:val="003C449B"/>
    <w:rsid w:val="003C7874"/>
    <w:rsid w:val="003D21FF"/>
    <w:rsid w:val="003D3B4A"/>
    <w:rsid w:val="003D3BB2"/>
    <w:rsid w:val="003D468F"/>
    <w:rsid w:val="003D5E1F"/>
    <w:rsid w:val="003D7947"/>
    <w:rsid w:val="003E15BA"/>
    <w:rsid w:val="003E3966"/>
    <w:rsid w:val="003F0112"/>
    <w:rsid w:val="003F071A"/>
    <w:rsid w:val="003F12F6"/>
    <w:rsid w:val="003F160B"/>
    <w:rsid w:val="003F5075"/>
    <w:rsid w:val="003F55BC"/>
    <w:rsid w:val="00400032"/>
    <w:rsid w:val="004004CD"/>
    <w:rsid w:val="00400B43"/>
    <w:rsid w:val="00400B5B"/>
    <w:rsid w:val="00401A48"/>
    <w:rsid w:val="00405A00"/>
    <w:rsid w:val="004066C0"/>
    <w:rsid w:val="004070D7"/>
    <w:rsid w:val="00411A9E"/>
    <w:rsid w:val="0041349E"/>
    <w:rsid w:val="00416904"/>
    <w:rsid w:val="00416FF4"/>
    <w:rsid w:val="00420870"/>
    <w:rsid w:val="004211AA"/>
    <w:rsid w:val="00422063"/>
    <w:rsid w:val="00432D0C"/>
    <w:rsid w:val="0043791B"/>
    <w:rsid w:val="004405CA"/>
    <w:rsid w:val="00441483"/>
    <w:rsid w:val="00441BCB"/>
    <w:rsid w:val="0044531E"/>
    <w:rsid w:val="00446C27"/>
    <w:rsid w:val="004503BE"/>
    <w:rsid w:val="00450816"/>
    <w:rsid w:val="0045176A"/>
    <w:rsid w:val="00453E60"/>
    <w:rsid w:val="00456332"/>
    <w:rsid w:val="00456B63"/>
    <w:rsid w:val="004617ED"/>
    <w:rsid w:val="00461826"/>
    <w:rsid w:val="00461B3C"/>
    <w:rsid w:val="00462646"/>
    <w:rsid w:val="004639C3"/>
    <w:rsid w:val="00473CEF"/>
    <w:rsid w:val="00475F99"/>
    <w:rsid w:val="00477559"/>
    <w:rsid w:val="004800F9"/>
    <w:rsid w:val="004816B2"/>
    <w:rsid w:val="0049134A"/>
    <w:rsid w:val="0049261C"/>
    <w:rsid w:val="00496DEA"/>
    <w:rsid w:val="004A18FC"/>
    <w:rsid w:val="004A58CB"/>
    <w:rsid w:val="004A7004"/>
    <w:rsid w:val="004B1795"/>
    <w:rsid w:val="004B2E32"/>
    <w:rsid w:val="004B56DD"/>
    <w:rsid w:val="004B65AB"/>
    <w:rsid w:val="004B7AE3"/>
    <w:rsid w:val="004C020F"/>
    <w:rsid w:val="004C1AFD"/>
    <w:rsid w:val="004C558B"/>
    <w:rsid w:val="004C74BC"/>
    <w:rsid w:val="004D04DE"/>
    <w:rsid w:val="004D0A76"/>
    <w:rsid w:val="004D46C2"/>
    <w:rsid w:val="004D716A"/>
    <w:rsid w:val="004E4B1C"/>
    <w:rsid w:val="004E6641"/>
    <w:rsid w:val="004F032F"/>
    <w:rsid w:val="004F117E"/>
    <w:rsid w:val="004F1F88"/>
    <w:rsid w:val="004F5F1B"/>
    <w:rsid w:val="00501A67"/>
    <w:rsid w:val="00502374"/>
    <w:rsid w:val="00502565"/>
    <w:rsid w:val="00502850"/>
    <w:rsid w:val="0050584F"/>
    <w:rsid w:val="005060A1"/>
    <w:rsid w:val="00511843"/>
    <w:rsid w:val="00512ACA"/>
    <w:rsid w:val="00516072"/>
    <w:rsid w:val="0052105F"/>
    <w:rsid w:val="005256C1"/>
    <w:rsid w:val="00526327"/>
    <w:rsid w:val="005332EC"/>
    <w:rsid w:val="00534418"/>
    <w:rsid w:val="005353AB"/>
    <w:rsid w:val="005426FC"/>
    <w:rsid w:val="00544B71"/>
    <w:rsid w:val="00551818"/>
    <w:rsid w:val="00551E2E"/>
    <w:rsid w:val="005560BC"/>
    <w:rsid w:val="005573BE"/>
    <w:rsid w:val="0056757A"/>
    <w:rsid w:val="00572700"/>
    <w:rsid w:val="00577AC1"/>
    <w:rsid w:val="00580468"/>
    <w:rsid w:val="00581BBE"/>
    <w:rsid w:val="00582231"/>
    <w:rsid w:val="0058310B"/>
    <w:rsid w:val="005839DD"/>
    <w:rsid w:val="0058603B"/>
    <w:rsid w:val="00590604"/>
    <w:rsid w:val="0059431B"/>
    <w:rsid w:val="005947C5"/>
    <w:rsid w:val="00594B6F"/>
    <w:rsid w:val="00596C27"/>
    <w:rsid w:val="005A39CC"/>
    <w:rsid w:val="005A3B94"/>
    <w:rsid w:val="005A4CBB"/>
    <w:rsid w:val="005A4EE7"/>
    <w:rsid w:val="005A53B8"/>
    <w:rsid w:val="005B4730"/>
    <w:rsid w:val="005C28BD"/>
    <w:rsid w:val="005C4674"/>
    <w:rsid w:val="005C62AD"/>
    <w:rsid w:val="005C7000"/>
    <w:rsid w:val="005C795B"/>
    <w:rsid w:val="005D0F0A"/>
    <w:rsid w:val="005D2DEC"/>
    <w:rsid w:val="005D4A6E"/>
    <w:rsid w:val="005D6031"/>
    <w:rsid w:val="005E05D7"/>
    <w:rsid w:val="005E1FE5"/>
    <w:rsid w:val="005E2788"/>
    <w:rsid w:val="005E29B4"/>
    <w:rsid w:val="005E4116"/>
    <w:rsid w:val="005E41E7"/>
    <w:rsid w:val="005E450F"/>
    <w:rsid w:val="005E4B11"/>
    <w:rsid w:val="005E523E"/>
    <w:rsid w:val="005E6B01"/>
    <w:rsid w:val="005F267D"/>
    <w:rsid w:val="005F7935"/>
    <w:rsid w:val="0060130B"/>
    <w:rsid w:val="00603FAD"/>
    <w:rsid w:val="00606E9C"/>
    <w:rsid w:val="00621612"/>
    <w:rsid w:val="00621650"/>
    <w:rsid w:val="0062298A"/>
    <w:rsid w:val="00626514"/>
    <w:rsid w:val="00626589"/>
    <w:rsid w:val="006305BC"/>
    <w:rsid w:val="006339A0"/>
    <w:rsid w:val="00634C89"/>
    <w:rsid w:val="006413A8"/>
    <w:rsid w:val="00642E56"/>
    <w:rsid w:val="00647FBF"/>
    <w:rsid w:val="00651E00"/>
    <w:rsid w:val="0066452B"/>
    <w:rsid w:val="00665C50"/>
    <w:rsid w:val="006715E9"/>
    <w:rsid w:val="00674572"/>
    <w:rsid w:val="00681ED2"/>
    <w:rsid w:val="0068434B"/>
    <w:rsid w:val="00687763"/>
    <w:rsid w:val="00692B0D"/>
    <w:rsid w:val="00693E0E"/>
    <w:rsid w:val="00694DFF"/>
    <w:rsid w:val="00697C6E"/>
    <w:rsid w:val="006A1AE3"/>
    <w:rsid w:val="006A1F2B"/>
    <w:rsid w:val="006B382C"/>
    <w:rsid w:val="006B7527"/>
    <w:rsid w:val="006C30E1"/>
    <w:rsid w:val="006C4607"/>
    <w:rsid w:val="006D0181"/>
    <w:rsid w:val="006D48F1"/>
    <w:rsid w:val="006D496A"/>
    <w:rsid w:val="006E3B5B"/>
    <w:rsid w:val="006E42C0"/>
    <w:rsid w:val="006E612C"/>
    <w:rsid w:val="006E6A7B"/>
    <w:rsid w:val="006E7EFC"/>
    <w:rsid w:val="006F28C9"/>
    <w:rsid w:val="006F45BE"/>
    <w:rsid w:val="006F5F3E"/>
    <w:rsid w:val="007004FC"/>
    <w:rsid w:val="0070221E"/>
    <w:rsid w:val="00703630"/>
    <w:rsid w:val="00704267"/>
    <w:rsid w:val="00706257"/>
    <w:rsid w:val="00706670"/>
    <w:rsid w:val="00706A1A"/>
    <w:rsid w:val="007072D6"/>
    <w:rsid w:val="007104DB"/>
    <w:rsid w:val="00711F59"/>
    <w:rsid w:val="00712204"/>
    <w:rsid w:val="00715166"/>
    <w:rsid w:val="007233E0"/>
    <w:rsid w:val="0072417C"/>
    <w:rsid w:val="0072583C"/>
    <w:rsid w:val="00727043"/>
    <w:rsid w:val="007338FC"/>
    <w:rsid w:val="00734450"/>
    <w:rsid w:val="00737BE9"/>
    <w:rsid w:val="0074171F"/>
    <w:rsid w:val="00745F67"/>
    <w:rsid w:val="0075039E"/>
    <w:rsid w:val="00751353"/>
    <w:rsid w:val="00752D9D"/>
    <w:rsid w:val="00753D46"/>
    <w:rsid w:val="00753F13"/>
    <w:rsid w:val="00754784"/>
    <w:rsid w:val="00757C6E"/>
    <w:rsid w:val="00762BDA"/>
    <w:rsid w:val="007650C7"/>
    <w:rsid w:val="007701DE"/>
    <w:rsid w:val="00771C00"/>
    <w:rsid w:val="00774021"/>
    <w:rsid w:val="007805FD"/>
    <w:rsid w:val="00784422"/>
    <w:rsid w:val="00787D46"/>
    <w:rsid w:val="007909A3"/>
    <w:rsid w:val="00792EA8"/>
    <w:rsid w:val="007939BD"/>
    <w:rsid w:val="00794411"/>
    <w:rsid w:val="0079482A"/>
    <w:rsid w:val="0079527F"/>
    <w:rsid w:val="00797BEF"/>
    <w:rsid w:val="007A0762"/>
    <w:rsid w:val="007A20E3"/>
    <w:rsid w:val="007A5E80"/>
    <w:rsid w:val="007B1308"/>
    <w:rsid w:val="007B32DF"/>
    <w:rsid w:val="007B391A"/>
    <w:rsid w:val="007B3B54"/>
    <w:rsid w:val="007B3FA0"/>
    <w:rsid w:val="007C07D9"/>
    <w:rsid w:val="007C0F2C"/>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084D"/>
    <w:rsid w:val="00802A27"/>
    <w:rsid w:val="008059B5"/>
    <w:rsid w:val="00805EDB"/>
    <w:rsid w:val="00806166"/>
    <w:rsid w:val="00810040"/>
    <w:rsid w:val="00810404"/>
    <w:rsid w:val="00811DD4"/>
    <w:rsid w:val="0081277F"/>
    <w:rsid w:val="008139FD"/>
    <w:rsid w:val="00815230"/>
    <w:rsid w:val="0081578A"/>
    <w:rsid w:val="0082023A"/>
    <w:rsid w:val="00820BDB"/>
    <w:rsid w:val="00821A7A"/>
    <w:rsid w:val="008225EE"/>
    <w:rsid w:val="008253F8"/>
    <w:rsid w:val="0082626E"/>
    <w:rsid w:val="00830CAA"/>
    <w:rsid w:val="00831170"/>
    <w:rsid w:val="00831438"/>
    <w:rsid w:val="00832084"/>
    <w:rsid w:val="008325E4"/>
    <w:rsid w:val="00832720"/>
    <w:rsid w:val="00832A2B"/>
    <w:rsid w:val="0083311D"/>
    <w:rsid w:val="00843277"/>
    <w:rsid w:val="008457A4"/>
    <w:rsid w:val="00845811"/>
    <w:rsid w:val="008458A6"/>
    <w:rsid w:val="00846994"/>
    <w:rsid w:val="00850451"/>
    <w:rsid w:val="00851D24"/>
    <w:rsid w:val="00852042"/>
    <w:rsid w:val="008534C9"/>
    <w:rsid w:val="0085599D"/>
    <w:rsid w:val="008608A6"/>
    <w:rsid w:val="00861E40"/>
    <w:rsid w:val="00871D1A"/>
    <w:rsid w:val="0087328C"/>
    <w:rsid w:val="00873485"/>
    <w:rsid w:val="00873C8E"/>
    <w:rsid w:val="0087510C"/>
    <w:rsid w:val="008843CE"/>
    <w:rsid w:val="00885CEA"/>
    <w:rsid w:val="00887F60"/>
    <w:rsid w:val="008968D2"/>
    <w:rsid w:val="0089738E"/>
    <w:rsid w:val="008A10CB"/>
    <w:rsid w:val="008A2157"/>
    <w:rsid w:val="008A32FF"/>
    <w:rsid w:val="008A5C4B"/>
    <w:rsid w:val="008A6561"/>
    <w:rsid w:val="008B3C09"/>
    <w:rsid w:val="008B5FDB"/>
    <w:rsid w:val="008C1604"/>
    <w:rsid w:val="008C50F4"/>
    <w:rsid w:val="008C5649"/>
    <w:rsid w:val="008C697B"/>
    <w:rsid w:val="008D276A"/>
    <w:rsid w:val="008D379C"/>
    <w:rsid w:val="008D4DEC"/>
    <w:rsid w:val="008D601B"/>
    <w:rsid w:val="008E117D"/>
    <w:rsid w:val="008E44A2"/>
    <w:rsid w:val="008E50A8"/>
    <w:rsid w:val="008E697D"/>
    <w:rsid w:val="008E6FBE"/>
    <w:rsid w:val="008F32F5"/>
    <w:rsid w:val="00903263"/>
    <w:rsid w:val="00906A21"/>
    <w:rsid w:val="009079C3"/>
    <w:rsid w:val="00910462"/>
    <w:rsid w:val="0091161B"/>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507FB"/>
    <w:rsid w:val="00950977"/>
    <w:rsid w:val="0095334F"/>
    <w:rsid w:val="00953D94"/>
    <w:rsid w:val="009543EC"/>
    <w:rsid w:val="00957399"/>
    <w:rsid w:val="0096248B"/>
    <w:rsid w:val="00965897"/>
    <w:rsid w:val="0096765C"/>
    <w:rsid w:val="00967762"/>
    <w:rsid w:val="009677ED"/>
    <w:rsid w:val="009716C6"/>
    <w:rsid w:val="0097238D"/>
    <w:rsid w:val="009727E4"/>
    <w:rsid w:val="0097297B"/>
    <w:rsid w:val="00977270"/>
    <w:rsid w:val="009802DD"/>
    <w:rsid w:val="0098742E"/>
    <w:rsid w:val="009926AD"/>
    <w:rsid w:val="009934C5"/>
    <w:rsid w:val="00994C0F"/>
    <w:rsid w:val="009A0353"/>
    <w:rsid w:val="009A067E"/>
    <w:rsid w:val="009A1B85"/>
    <w:rsid w:val="009A5A45"/>
    <w:rsid w:val="009A6361"/>
    <w:rsid w:val="009B1BF6"/>
    <w:rsid w:val="009B22D7"/>
    <w:rsid w:val="009B2745"/>
    <w:rsid w:val="009B5ADC"/>
    <w:rsid w:val="009B72ED"/>
    <w:rsid w:val="009C20B6"/>
    <w:rsid w:val="009C53DB"/>
    <w:rsid w:val="009C6DEB"/>
    <w:rsid w:val="009D6504"/>
    <w:rsid w:val="009E12D7"/>
    <w:rsid w:val="009E661A"/>
    <w:rsid w:val="009E6A86"/>
    <w:rsid w:val="009E7437"/>
    <w:rsid w:val="009F7769"/>
    <w:rsid w:val="00A06781"/>
    <w:rsid w:val="00A071B2"/>
    <w:rsid w:val="00A074C3"/>
    <w:rsid w:val="00A11062"/>
    <w:rsid w:val="00A12935"/>
    <w:rsid w:val="00A14E70"/>
    <w:rsid w:val="00A1509C"/>
    <w:rsid w:val="00A16F4B"/>
    <w:rsid w:val="00A20B20"/>
    <w:rsid w:val="00A21C8A"/>
    <w:rsid w:val="00A22230"/>
    <w:rsid w:val="00A249B9"/>
    <w:rsid w:val="00A30577"/>
    <w:rsid w:val="00A34260"/>
    <w:rsid w:val="00A36F16"/>
    <w:rsid w:val="00A4190A"/>
    <w:rsid w:val="00A460E6"/>
    <w:rsid w:val="00A46141"/>
    <w:rsid w:val="00A46336"/>
    <w:rsid w:val="00A46D3C"/>
    <w:rsid w:val="00A54D0A"/>
    <w:rsid w:val="00A5522E"/>
    <w:rsid w:val="00A5581F"/>
    <w:rsid w:val="00A63268"/>
    <w:rsid w:val="00A70CFD"/>
    <w:rsid w:val="00A70F16"/>
    <w:rsid w:val="00A714E9"/>
    <w:rsid w:val="00A72A0B"/>
    <w:rsid w:val="00A74E07"/>
    <w:rsid w:val="00A80518"/>
    <w:rsid w:val="00A8125C"/>
    <w:rsid w:val="00A81E42"/>
    <w:rsid w:val="00A83BF5"/>
    <w:rsid w:val="00A864FE"/>
    <w:rsid w:val="00A86F41"/>
    <w:rsid w:val="00A87D04"/>
    <w:rsid w:val="00A9014A"/>
    <w:rsid w:val="00A94E4B"/>
    <w:rsid w:val="00A950C5"/>
    <w:rsid w:val="00A953A6"/>
    <w:rsid w:val="00A95F38"/>
    <w:rsid w:val="00A96C60"/>
    <w:rsid w:val="00AA19F9"/>
    <w:rsid w:val="00AA1D25"/>
    <w:rsid w:val="00AA31BB"/>
    <w:rsid w:val="00AA41A2"/>
    <w:rsid w:val="00AA52A9"/>
    <w:rsid w:val="00AA5AA2"/>
    <w:rsid w:val="00AA5F5C"/>
    <w:rsid w:val="00AB015A"/>
    <w:rsid w:val="00AB028F"/>
    <w:rsid w:val="00AB2B1A"/>
    <w:rsid w:val="00AB397F"/>
    <w:rsid w:val="00AB5832"/>
    <w:rsid w:val="00AC51F2"/>
    <w:rsid w:val="00AC6D62"/>
    <w:rsid w:val="00AC7B48"/>
    <w:rsid w:val="00AD1E34"/>
    <w:rsid w:val="00AD3269"/>
    <w:rsid w:val="00AD43AC"/>
    <w:rsid w:val="00AD44CB"/>
    <w:rsid w:val="00AD62A1"/>
    <w:rsid w:val="00AD6528"/>
    <w:rsid w:val="00AE0726"/>
    <w:rsid w:val="00AE1FDB"/>
    <w:rsid w:val="00AE4599"/>
    <w:rsid w:val="00AE5066"/>
    <w:rsid w:val="00AE5E24"/>
    <w:rsid w:val="00AE61B7"/>
    <w:rsid w:val="00AE6CBA"/>
    <w:rsid w:val="00AE79AD"/>
    <w:rsid w:val="00AE7C40"/>
    <w:rsid w:val="00AF35E4"/>
    <w:rsid w:val="00AF4F1F"/>
    <w:rsid w:val="00AF50C3"/>
    <w:rsid w:val="00AF5CDE"/>
    <w:rsid w:val="00B02C82"/>
    <w:rsid w:val="00B0626C"/>
    <w:rsid w:val="00B069D7"/>
    <w:rsid w:val="00B07682"/>
    <w:rsid w:val="00B11A57"/>
    <w:rsid w:val="00B13208"/>
    <w:rsid w:val="00B171A4"/>
    <w:rsid w:val="00B17C99"/>
    <w:rsid w:val="00B211C3"/>
    <w:rsid w:val="00B2317D"/>
    <w:rsid w:val="00B23F47"/>
    <w:rsid w:val="00B244D1"/>
    <w:rsid w:val="00B24CC9"/>
    <w:rsid w:val="00B25597"/>
    <w:rsid w:val="00B25B36"/>
    <w:rsid w:val="00B267B9"/>
    <w:rsid w:val="00B2698D"/>
    <w:rsid w:val="00B302BF"/>
    <w:rsid w:val="00B32DBB"/>
    <w:rsid w:val="00B33E09"/>
    <w:rsid w:val="00B34D14"/>
    <w:rsid w:val="00B4627B"/>
    <w:rsid w:val="00B47C62"/>
    <w:rsid w:val="00B50708"/>
    <w:rsid w:val="00B50C68"/>
    <w:rsid w:val="00B50E24"/>
    <w:rsid w:val="00B51293"/>
    <w:rsid w:val="00B51B35"/>
    <w:rsid w:val="00B52B1E"/>
    <w:rsid w:val="00B55481"/>
    <w:rsid w:val="00B56C32"/>
    <w:rsid w:val="00B57ACF"/>
    <w:rsid w:val="00B60770"/>
    <w:rsid w:val="00B64BB1"/>
    <w:rsid w:val="00B71F6E"/>
    <w:rsid w:val="00B73166"/>
    <w:rsid w:val="00B73573"/>
    <w:rsid w:val="00B77676"/>
    <w:rsid w:val="00B8426C"/>
    <w:rsid w:val="00B87B6D"/>
    <w:rsid w:val="00B915CF"/>
    <w:rsid w:val="00B91B8D"/>
    <w:rsid w:val="00B9346C"/>
    <w:rsid w:val="00B9481A"/>
    <w:rsid w:val="00B94E90"/>
    <w:rsid w:val="00B9580D"/>
    <w:rsid w:val="00B96E07"/>
    <w:rsid w:val="00BA3134"/>
    <w:rsid w:val="00BA3A03"/>
    <w:rsid w:val="00BA4296"/>
    <w:rsid w:val="00BA4CC0"/>
    <w:rsid w:val="00BA5400"/>
    <w:rsid w:val="00BA6308"/>
    <w:rsid w:val="00BA63A7"/>
    <w:rsid w:val="00BA7FB2"/>
    <w:rsid w:val="00BB0A82"/>
    <w:rsid w:val="00BB1850"/>
    <w:rsid w:val="00BB405A"/>
    <w:rsid w:val="00BB66FA"/>
    <w:rsid w:val="00BB7930"/>
    <w:rsid w:val="00BB7C94"/>
    <w:rsid w:val="00BC0A9D"/>
    <w:rsid w:val="00BC5588"/>
    <w:rsid w:val="00BD447A"/>
    <w:rsid w:val="00BD5E24"/>
    <w:rsid w:val="00BE09EA"/>
    <w:rsid w:val="00BE1B4A"/>
    <w:rsid w:val="00BE3315"/>
    <w:rsid w:val="00BE4AE2"/>
    <w:rsid w:val="00BE707A"/>
    <w:rsid w:val="00BF01DB"/>
    <w:rsid w:val="00BF0C5D"/>
    <w:rsid w:val="00BF37BD"/>
    <w:rsid w:val="00BF40ED"/>
    <w:rsid w:val="00BF5BC2"/>
    <w:rsid w:val="00C1133D"/>
    <w:rsid w:val="00C15032"/>
    <w:rsid w:val="00C15E18"/>
    <w:rsid w:val="00C2127F"/>
    <w:rsid w:val="00C21977"/>
    <w:rsid w:val="00C27A08"/>
    <w:rsid w:val="00C31312"/>
    <w:rsid w:val="00C31E36"/>
    <w:rsid w:val="00C3227B"/>
    <w:rsid w:val="00C326C6"/>
    <w:rsid w:val="00C35295"/>
    <w:rsid w:val="00C36ADD"/>
    <w:rsid w:val="00C36E74"/>
    <w:rsid w:val="00C401C7"/>
    <w:rsid w:val="00C40595"/>
    <w:rsid w:val="00C40F32"/>
    <w:rsid w:val="00C41621"/>
    <w:rsid w:val="00C41861"/>
    <w:rsid w:val="00C43476"/>
    <w:rsid w:val="00C449FA"/>
    <w:rsid w:val="00C472EA"/>
    <w:rsid w:val="00C50194"/>
    <w:rsid w:val="00C52F74"/>
    <w:rsid w:val="00C5384F"/>
    <w:rsid w:val="00C55CF3"/>
    <w:rsid w:val="00C56964"/>
    <w:rsid w:val="00C627F0"/>
    <w:rsid w:val="00C639D4"/>
    <w:rsid w:val="00C656D5"/>
    <w:rsid w:val="00C67103"/>
    <w:rsid w:val="00C679B7"/>
    <w:rsid w:val="00C71BB9"/>
    <w:rsid w:val="00C74058"/>
    <w:rsid w:val="00C85DD7"/>
    <w:rsid w:val="00C90BBC"/>
    <w:rsid w:val="00C921B7"/>
    <w:rsid w:val="00C93F0D"/>
    <w:rsid w:val="00C93FA7"/>
    <w:rsid w:val="00C94C28"/>
    <w:rsid w:val="00C97853"/>
    <w:rsid w:val="00CA24B4"/>
    <w:rsid w:val="00CB0247"/>
    <w:rsid w:val="00CB3440"/>
    <w:rsid w:val="00CB3994"/>
    <w:rsid w:val="00CB47C7"/>
    <w:rsid w:val="00CC1692"/>
    <w:rsid w:val="00CC16B6"/>
    <w:rsid w:val="00CC1E0A"/>
    <w:rsid w:val="00CC391A"/>
    <w:rsid w:val="00CC4263"/>
    <w:rsid w:val="00CC5236"/>
    <w:rsid w:val="00CC637B"/>
    <w:rsid w:val="00CD1346"/>
    <w:rsid w:val="00CD138B"/>
    <w:rsid w:val="00CD3E31"/>
    <w:rsid w:val="00CD74A3"/>
    <w:rsid w:val="00CD76EE"/>
    <w:rsid w:val="00CE0527"/>
    <w:rsid w:val="00CE2BE6"/>
    <w:rsid w:val="00CE4665"/>
    <w:rsid w:val="00CE570D"/>
    <w:rsid w:val="00CE5B23"/>
    <w:rsid w:val="00CE5EF3"/>
    <w:rsid w:val="00CE671C"/>
    <w:rsid w:val="00CF0725"/>
    <w:rsid w:val="00CF3BF7"/>
    <w:rsid w:val="00CF5BD1"/>
    <w:rsid w:val="00CF5D42"/>
    <w:rsid w:val="00CF70AD"/>
    <w:rsid w:val="00CF7729"/>
    <w:rsid w:val="00CF7D97"/>
    <w:rsid w:val="00D00059"/>
    <w:rsid w:val="00D0040A"/>
    <w:rsid w:val="00D02283"/>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20FF4"/>
    <w:rsid w:val="00D2417D"/>
    <w:rsid w:val="00D24C1C"/>
    <w:rsid w:val="00D24D2C"/>
    <w:rsid w:val="00D35881"/>
    <w:rsid w:val="00D36317"/>
    <w:rsid w:val="00D43F1B"/>
    <w:rsid w:val="00D4784F"/>
    <w:rsid w:val="00D519B2"/>
    <w:rsid w:val="00D54BCE"/>
    <w:rsid w:val="00D62374"/>
    <w:rsid w:val="00D65367"/>
    <w:rsid w:val="00D657D7"/>
    <w:rsid w:val="00D667C2"/>
    <w:rsid w:val="00D76C6A"/>
    <w:rsid w:val="00D82DB6"/>
    <w:rsid w:val="00D83B61"/>
    <w:rsid w:val="00D84B7F"/>
    <w:rsid w:val="00D92E5E"/>
    <w:rsid w:val="00D948BC"/>
    <w:rsid w:val="00D97B62"/>
    <w:rsid w:val="00DA0E01"/>
    <w:rsid w:val="00DA34A8"/>
    <w:rsid w:val="00DA6846"/>
    <w:rsid w:val="00DA6AF4"/>
    <w:rsid w:val="00DA7DA5"/>
    <w:rsid w:val="00DB073B"/>
    <w:rsid w:val="00DB0BC2"/>
    <w:rsid w:val="00DB78F0"/>
    <w:rsid w:val="00DC0234"/>
    <w:rsid w:val="00DC0CEA"/>
    <w:rsid w:val="00DC2E43"/>
    <w:rsid w:val="00DC5426"/>
    <w:rsid w:val="00DD095C"/>
    <w:rsid w:val="00DD1020"/>
    <w:rsid w:val="00DD1330"/>
    <w:rsid w:val="00DD2805"/>
    <w:rsid w:val="00DD2BEA"/>
    <w:rsid w:val="00DE0B83"/>
    <w:rsid w:val="00DE1A81"/>
    <w:rsid w:val="00DE1C13"/>
    <w:rsid w:val="00DE4E10"/>
    <w:rsid w:val="00DE6D36"/>
    <w:rsid w:val="00DF2C9F"/>
    <w:rsid w:val="00E02ABF"/>
    <w:rsid w:val="00E04AE0"/>
    <w:rsid w:val="00E07E54"/>
    <w:rsid w:val="00E14995"/>
    <w:rsid w:val="00E179CD"/>
    <w:rsid w:val="00E23D82"/>
    <w:rsid w:val="00E23E8D"/>
    <w:rsid w:val="00E2556C"/>
    <w:rsid w:val="00E27AFF"/>
    <w:rsid w:val="00E317CE"/>
    <w:rsid w:val="00E35755"/>
    <w:rsid w:val="00E35AC3"/>
    <w:rsid w:val="00E36357"/>
    <w:rsid w:val="00E37F98"/>
    <w:rsid w:val="00E46559"/>
    <w:rsid w:val="00E503DC"/>
    <w:rsid w:val="00E55F9E"/>
    <w:rsid w:val="00E5700C"/>
    <w:rsid w:val="00E5736A"/>
    <w:rsid w:val="00E61116"/>
    <w:rsid w:val="00E6670C"/>
    <w:rsid w:val="00E667F2"/>
    <w:rsid w:val="00E72EDB"/>
    <w:rsid w:val="00E776E8"/>
    <w:rsid w:val="00E9069A"/>
    <w:rsid w:val="00E916F3"/>
    <w:rsid w:val="00E92C1F"/>
    <w:rsid w:val="00E946E7"/>
    <w:rsid w:val="00E95D4B"/>
    <w:rsid w:val="00E9693C"/>
    <w:rsid w:val="00EA2A60"/>
    <w:rsid w:val="00EA3DAA"/>
    <w:rsid w:val="00EB199F"/>
    <w:rsid w:val="00EB1E78"/>
    <w:rsid w:val="00EB6EA4"/>
    <w:rsid w:val="00EC23F7"/>
    <w:rsid w:val="00EC48A5"/>
    <w:rsid w:val="00EC4BD8"/>
    <w:rsid w:val="00EC4FC6"/>
    <w:rsid w:val="00EC58D2"/>
    <w:rsid w:val="00EC63EB"/>
    <w:rsid w:val="00EC74EF"/>
    <w:rsid w:val="00ED412F"/>
    <w:rsid w:val="00EE0879"/>
    <w:rsid w:val="00EE30BE"/>
    <w:rsid w:val="00EE46E6"/>
    <w:rsid w:val="00EF148B"/>
    <w:rsid w:val="00EF36B2"/>
    <w:rsid w:val="00EF6727"/>
    <w:rsid w:val="00F018F4"/>
    <w:rsid w:val="00F05E72"/>
    <w:rsid w:val="00F1246B"/>
    <w:rsid w:val="00F12AF2"/>
    <w:rsid w:val="00F13273"/>
    <w:rsid w:val="00F201EC"/>
    <w:rsid w:val="00F208A9"/>
    <w:rsid w:val="00F22FE5"/>
    <w:rsid w:val="00F2552A"/>
    <w:rsid w:val="00F25EC3"/>
    <w:rsid w:val="00F30A4D"/>
    <w:rsid w:val="00F31E28"/>
    <w:rsid w:val="00F41D75"/>
    <w:rsid w:val="00F42BDA"/>
    <w:rsid w:val="00F45A52"/>
    <w:rsid w:val="00F45B3B"/>
    <w:rsid w:val="00F511E9"/>
    <w:rsid w:val="00F5139D"/>
    <w:rsid w:val="00F53ABD"/>
    <w:rsid w:val="00F55E53"/>
    <w:rsid w:val="00F566AD"/>
    <w:rsid w:val="00F613F1"/>
    <w:rsid w:val="00F63DAC"/>
    <w:rsid w:val="00F66191"/>
    <w:rsid w:val="00F66798"/>
    <w:rsid w:val="00F735E4"/>
    <w:rsid w:val="00F7454F"/>
    <w:rsid w:val="00F77988"/>
    <w:rsid w:val="00F77F48"/>
    <w:rsid w:val="00F82109"/>
    <w:rsid w:val="00F83E34"/>
    <w:rsid w:val="00F846C7"/>
    <w:rsid w:val="00F8731A"/>
    <w:rsid w:val="00F9132F"/>
    <w:rsid w:val="00F91838"/>
    <w:rsid w:val="00F929BF"/>
    <w:rsid w:val="00F96372"/>
    <w:rsid w:val="00F97C00"/>
    <w:rsid w:val="00FA7930"/>
    <w:rsid w:val="00FB2199"/>
    <w:rsid w:val="00FB30F1"/>
    <w:rsid w:val="00FB470E"/>
    <w:rsid w:val="00FB53E7"/>
    <w:rsid w:val="00FB7D72"/>
    <w:rsid w:val="00FD2672"/>
    <w:rsid w:val="00FD2A8A"/>
    <w:rsid w:val="00FD4389"/>
    <w:rsid w:val="00FD78E1"/>
    <w:rsid w:val="00FE429D"/>
    <w:rsid w:val="00FE7BE7"/>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rsid w:val="00B069D7"/>
    <w:rPr>
      <w:sz w:val="24"/>
      <w:szCs w:val="24"/>
    </w:rPr>
  </w:style>
  <w:style w:type="character" w:styleId="Strong">
    <w:name w:val="Strong"/>
    <w:basedOn w:val="DefaultParagraphFont"/>
    <w:uiPriority w:val="22"/>
    <w:qFormat/>
    <w:rsid w:val="00224BBF"/>
    <w:rPr>
      <w:b/>
      <w:bCs/>
    </w:rPr>
  </w:style>
  <w:style w:type="character" w:customStyle="1" w:styleId="Bodytext6">
    <w:name w:val="Body text (6)_"/>
    <w:basedOn w:val="DefaultParagraphFont"/>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Normal"/>
    <w:link w:val="Bodytext6"/>
    <w:rsid w:val="00810404"/>
    <w:pPr>
      <w:shd w:val="clear" w:color="auto" w:fill="FFFFFF"/>
      <w:spacing w:before="900" w:after="60" w:line="259" w:lineRule="exact"/>
      <w:jc w:val="both"/>
    </w:pPr>
    <w:rPr>
      <w:sz w:val="20"/>
      <w:szCs w:val="20"/>
    </w:rPr>
  </w:style>
  <w:style w:type="paragraph" w:styleId="ListParagraph">
    <w:name w:val="List Paragraph"/>
    <w:basedOn w:val="Normal"/>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Emphasis">
    <w:name w:val="Emphasis"/>
    <w:basedOn w:val="DefaultParagraphFont"/>
    <w:uiPriority w:val="20"/>
    <w:qFormat/>
    <w:rsid w:val="00CC16B6"/>
    <w:rPr>
      <w:b/>
      <w:bCs/>
      <w:i w:val="0"/>
      <w:iCs w:val="0"/>
    </w:rPr>
  </w:style>
  <w:style w:type="paragraph" w:customStyle="1" w:styleId="tv213">
    <w:name w:val="tv213"/>
    <w:basedOn w:val="Normal"/>
    <w:rsid w:val="00BF0C5D"/>
    <w:pPr>
      <w:spacing w:before="100" w:beforeAutospacing="1" w:after="100" w:afterAutospacing="1"/>
      <w:jc w:val="both"/>
    </w:pPr>
    <w:rPr>
      <w:lang w:val="en-US" w:eastAsia="en-US"/>
    </w:rPr>
  </w:style>
  <w:style w:type="paragraph" w:styleId="Title">
    <w:name w:val="Title"/>
    <w:basedOn w:val="Normal"/>
    <w:link w:val="TitleChar"/>
    <w:qFormat/>
    <w:rsid w:val="005E4116"/>
    <w:pPr>
      <w:jc w:val="center"/>
    </w:pPr>
    <w:rPr>
      <w:rFonts w:ascii="Arial" w:hAnsi="Arial" w:cs="Arial"/>
      <w:sz w:val="28"/>
      <w:szCs w:val="28"/>
      <w:lang w:eastAsia="en-US"/>
    </w:rPr>
  </w:style>
  <w:style w:type="character" w:customStyle="1" w:styleId="TitleChar">
    <w:name w:val="Title Char"/>
    <w:basedOn w:val="DefaultParagraphFont"/>
    <w:link w:val="Title"/>
    <w:rsid w:val="005E4116"/>
    <w:rPr>
      <w:rFonts w:ascii="Arial" w:hAnsi="Arial" w:cs="Arial"/>
      <w:sz w:val="28"/>
      <w:szCs w:val="28"/>
      <w:lang w:eastAsia="en-US"/>
    </w:rPr>
  </w:style>
  <w:style w:type="paragraph" w:styleId="BodyText">
    <w:name w:val="Body Text"/>
    <w:basedOn w:val="Normal"/>
    <w:link w:val="BodyTextChar"/>
    <w:rsid w:val="003A24F8"/>
    <w:pPr>
      <w:spacing w:after="120"/>
    </w:pPr>
    <w:rPr>
      <w:rFonts w:eastAsia="Calibri"/>
    </w:rPr>
  </w:style>
  <w:style w:type="character" w:customStyle="1" w:styleId="BodyTextChar">
    <w:name w:val="Body Text Char"/>
    <w:basedOn w:val="DefaultParagraphFont"/>
    <w:link w:val="BodyText"/>
    <w:rsid w:val="003A24F8"/>
    <w:rPr>
      <w:rFonts w:eastAsia="Calibri"/>
      <w:sz w:val="24"/>
      <w:szCs w:val="24"/>
    </w:rPr>
  </w:style>
  <w:style w:type="paragraph" w:customStyle="1" w:styleId="RakstzCharChar">
    <w:name w:val="Rakstz. Char Char"/>
    <w:basedOn w:val="Normal"/>
    <w:rsid w:val="00957399"/>
    <w:pPr>
      <w:spacing w:before="40"/>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rsid w:val="00B069D7"/>
    <w:rPr>
      <w:sz w:val="24"/>
      <w:szCs w:val="24"/>
    </w:rPr>
  </w:style>
  <w:style w:type="character" w:styleId="Strong">
    <w:name w:val="Strong"/>
    <w:basedOn w:val="DefaultParagraphFont"/>
    <w:uiPriority w:val="22"/>
    <w:qFormat/>
    <w:rsid w:val="00224BBF"/>
    <w:rPr>
      <w:b/>
      <w:bCs/>
    </w:rPr>
  </w:style>
  <w:style w:type="character" w:customStyle="1" w:styleId="Bodytext6">
    <w:name w:val="Body text (6)_"/>
    <w:basedOn w:val="DefaultParagraphFont"/>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Normal"/>
    <w:link w:val="Bodytext6"/>
    <w:rsid w:val="00810404"/>
    <w:pPr>
      <w:shd w:val="clear" w:color="auto" w:fill="FFFFFF"/>
      <w:spacing w:before="900" w:after="60" w:line="259" w:lineRule="exact"/>
      <w:jc w:val="both"/>
    </w:pPr>
    <w:rPr>
      <w:sz w:val="20"/>
      <w:szCs w:val="20"/>
    </w:rPr>
  </w:style>
  <w:style w:type="paragraph" w:styleId="ListParagraph">
    <w:name w:val="List Paragraph"/>
    <w:basedOn w:val="Normal"/>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Emphasis">
    <w:name w:val="Emphasis"/>
    <w:basedOn w:val="DefaultParagraphFont"/>
    <w:uiPriority w:val="20"/>
    <w:qFormat/>
    <w:rsid w:val="00CC16B6"/>
    <w:rPr>
      <w:b/>
      <w:bCs/>
      <w:i w:val="0"/>
      <w:iCs w:val="0"/>
    </w:rPr>
  </w:style>
  <w:style w:type="paragraph" w:customStyle="1" w:styleId="tv213">
    <w:name w:val="tv213"/>
    <w:basedOn w:val="Normal"/>
    <w:rsid w:val="00BF0C5D"/>
    <w:pPr>
      <w:spacing w:before="100" w:beforeAutospacing="1" w:after="100" w:afterAutospacing="1"/>
      <w:jc w:val="both"/>
    </w:pPr>
    <w:rPr>
      <w:lang w:val="en-US" w:eastAsia="en-US"/>
    </w:rPr>
  </w:style>
  <w:style w:type="paragraph" w:styleId="Title">
    <w:name w:val="Title"/>
    <w:basedOn w:val="Normal"/>
    <w:link w:val="TitleChar"/>
    <w:qFormat/>
    <w:rsid w:val="005E4116"/>
    <w:pPr>
      <w:jc w:val="center"/>
    </w:pPr>
    <w:rPr>
      <w:rFonts w:ascii="Arial" w:hAnsi="Arial" w:cs="Arial"/>
      <w:sz w:val="28"/>
      <w:szCs w:val="28"/>
      <w:lang w:eastAsia="en-US"/>
    </w:rPr>
  </w:style>
  <w:style w:type="character" w:customStyle="1" w:styleId="TitleChar">
    <w:name w:val="Title Char"/>
    <w:basedOn w:val="DefaultParagraphFont"/>
    <w:link w:val="Title"/>
    <w:rsid w:val="005E4116"/>
    <w:rPr>
      <w:rFonts w:ascii="Arial" w:hAnsi="Arial" w:cs="Arial"/>
      <w:sz w:val="28"/>
      <w:szCs w:val="28"/>
      <w:lang w:eastAsia="en-US"/>
    </w:rPr>
  </w:style>
  <w:style w:type="paragraph" w:styleId="BodyText">
    <w:name w:val="Body Text"/>
    <w:basedOn w:val="Normal"/>
    <w:link w:val="BodyTextChar"/>
    <w:rsid w:val="003A24F8"/>
    <w:pPr>
      <w:spacing w:after="120"/>
    </w:pPr>
    <w:rPr>
      <w:rFonts w:eastAsia="Calibri"/>
    </w:rPr>
  </w:style>
  <w:style w:type="character" w:customStyle="1" w:styleId="BodyTextChar">
    <w:name w:val="Body Text Char"/>
    <w:basedOn w:val="DefaultParagraphFont"/>
    <w:link w:val="BodyText"/>
    <w:rsid w:val="003A24F8"/>
    <w:rPr>
      <w:rFonts w:eastAsia="Calibri"/>
      <w:sz w:val="24"/>
      <w:szCs w:val="24"/>
    </w:rPr>
  </w:style>
  <w:style w:type="paragraph" w:customStyle="1" w:styleId="RakstzCharChar">
    <w:name w:val="Rakstz. Char Char"/>
    <w:basedOn w:val="Normal"/>
    <w:rsid w:val="00957399"/>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805">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1022124189">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496796079">
      <w:bodyDiv w:val="1"/>
      <w:marLeft w:val="0"/>
      <w:marRight w:val="0"/>
      <w:marTop w:val="0"/>
      <w:marBottom w:val="0"/>
      <w:divBdr>
        <w:top w:val="none" w:sz="0" w:space="0" w:color="auto"/>
        <w:left w:val="none" w:sz="0" w:space="0" w:color="auto"/>
        <w:bottom w:val="none" w:sz="0" w:space="0" w:color="auto"/>
        <w:right w:val="none" w:sz="0" w:space="0" w:color="auto"/>
      </w:divBdr>
    </w:div>
    <w:div w:id="157990185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986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ja.Celmina@lgi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E2AF-04E4-4BEC-B3B2-B6246489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7BFB3D59.dotm</Template>
  <TotalTime>18</TotalTime>
  <Pages>6</Pages>
  <Words>1398</Words>
  <Characters>9244</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Latvijas Ģeotelpiskās informācijas aģēntūra</Manager>
  <Company>Aizsardzības ministrija</Company>
  <LinksUpToDate>false</LinksUpToDate>
  <CharactersWithSpaces>10621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Maija Celmiņa</dc:creator>
  <cp:keywords>lazer</cp:keywords>
  <dc:description>26450705, fakss 29370505_x000d_
Maija.Celmina@lgia.gov.lv</dc:description>
  <cp:lastModifiedBy>Vera Solovjova</cp:lastModifiedBy>
  <cp:revision>11</cp:revision>
  <cp:lastPrinted>2013-08-01T11:23:00Z</cp:lastPrinted>
  <dcterms:created xsi:type="dcterms:W3CDTF">2013-07-31T12:21:00Z</dcterms:created>
  <dcterms:modified xsi:type="dcterms:W3CDTF">2013-08-01T11:23:00Z</dcterms:modified>
</cp:coreProperties>
</file>