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EE57C3" w:rsidRDefault="00EA6CD3" w:rsidP="00EA6CD3">
      <w:pPr>
        <w:jc w:val="center"/>
        <w:rPr>
          <w:rFonts w:eastAsia="Times New Roman"/>
          <w:b/>
          <w:sz w:val="28"/>
          <w:szCs w:val="28"/>
          <w:lang w:val="lv-LV" w:eastAsia="lv-LV"/>
        </w:rPr>
      </w:pPr>
      <w:bookmarkStart w:id="0" w:name="OLE_LINK3"/>
      <w:bookmarkStart w:id="1" w:name="OLE_LINK1"/>
      <w:bookmarkStart w:id="2" w:name="OLE_LINK2"/>
      <w:r w:rsidRPr="00EE57C3">
        <w:rPr>
          <w:b/>
          <w:sz w:val="28"/>
          <w:szCs w:val="28"/>
          <w:lang w:val="lv-LV"/>
        </w:rPr>
        <w:t xml:space="preserve">Ministru kabineta noteikumu projekta ,,Grozījumi </w:t>
      </w:r>
      <w:bookmarkStart w:id="3" w:name="OLE_LINK7"/>
      <w:bookmarkStart w:id="4" w:name="OLE_LINK8"/>
      <w:r w:rsidRPr="00EE57C3">
        <w:rPr>
          <w:b/>
          <w:sz w:val="28"/>
          <w:szCs w:val="28"/>
          <w:lang w:val="lv-LV"/>
        </w:rPr>
        <w:t>Ministru kabineta 2011.gada 2.augusta noteikumos Nr.613 „Noteikumi par mezanīna aizdevumiem saimnieciskās darbības veicēju konkurētspējas uzlabošanai”</w:t>
      </w:r>
      <w:bookmarkEnd w:id="3"/>
      <w:bookmarkEnd w:id="4"/>
      <w:r w:rsidRPr="00EE57C3">
        <w:rPr>
          <w:b/>
          <w:sz w:val="28"/>
          <w:szCs w:val="28"/>
          <w:lang w:val="lv-LV"/>
        </w:rPr>
        <w:t>”</w:t>
      </w:r>
    </w:p>
    <w:p w:rsidR="00EA6CD3" w:rsidRPr="00EE57C3" w:rsidRDefault="00EA6CD3" w:rsidP="00EA6CD3">
      <w:pPr>
        <w:pStyle w:val="BodyText"/>
        <w:jc w:val="center"/>
        <w:rPr>
          <w:b/>
          <w:szCs w:val="28"/>
        </w:rPr>
      </w:pPr>
      <w:r w:rsidRPr="00EE57C3">
        <w:rPr>
          <w:b/>
          <w:szCs w:val="28"/>
        </w:rPr>
        <w:t>sākotnējās ietekmes novērtējuma ziņojums (anotācija)</w:t>
      </w:r>
    </w:p>
    <w:p w:rsidR="00EA6CD3" w:rsidRPr="00EE57C3" w:rsidRDefault="00EA6CD3" w:rsidP="00EA6CD3">
      <w:pPr>
        <w:pStyle w:val="BodyText"/>
        <w:jc w:val="center"/>
        <w:rPr>
          <w:b/>
          <w:sz w:val="26"/>
          <w:szCs w:val="26"/>
        </w:rPr>
      </w:pPr>
    </w:p>
    <w:p w:rsidR="00EA6CD3" w:rsidRPr="00EE57C3" w:rsidRDefault="00EA6CD3" w:rsidP="00EA6CD3">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EE57C3"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EE57C3" w:rsidRDefault="00EA6CD3" w:rsidP="00CB6AC4">
            <w:pPr>
              <w:ind w:firstLine="720"/>
              <w:jc w:val="center"/>
              <w:rPr>
                <w:rFonts w:eastAsia="Times New Roman"/>
                <w:b/>
                <w:sz w:val="26"/>
                <w:szCs w:val="26"/>
                <w:lang w:val="lv-LV" w:eastAsia="lv-LV"/>
              </w:rPr>
            </w:pPr>
            <w:r w:rsidRPr="00EE57C3">
              <w:rPr>
                <w:rFonts w:eastAsia="Times New Roman"/>
                <w:b/>
                <w:sz w:val="26"/>
                <w:szCs w:val="26"/>
                <w:lang w:val="lv-LV" w:eastAsia="lv-LV"/>
              </w:rPr>
              <w:t>I.Tiesību akta projekta izstrādes nepieciešamība</w:t>
            </w:r>
          </w:p>
        </w:tc>
      </w:tr>
      <w:tr w:rsidR="00EA6CD3" w:rsidRPr="00EE57C3"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09"/>
              <w:jc w:val="both"/>
              <w:rPr>
                <w:sz w:val="26"/>
                <w:szCs w:val="26"/>
                <w:lang w:val="lv-LV"/>
              </w:rPr>
            </w:pPr>
            <w:r w:rsidRPr="00EE57C3">
              <w:rPr>
                <w:sz w:val="26"/>
                <w:szCs w:val="26"/>
                <w:lang w:val="lv-LV"/>
              </w:rPr>
              <w:t>Noteikumu projekts sagatavots, pamatojoties šādiem tiesību aktiem:</w:t>
            </w:r>
          </w:p>
          <w:p w:rsidR="00EA6CD3" w:rsidRPr="00EE57C3" w:rsidRDefault="00EA6CD3" w:rsidP="00CB6AC4">
            <w:pPr>
              <w:ind w:firstLine="709"/>
              <w:jc w:val="both"/>
              <w:rPr>
                <w:sz w:val="26"/>
                <w:szCs w:val="26"/>
                <w:lang w:val="lv-LV"/>
              </w:rPr>
            </w:pPr>
            <w:r w:rsidRPr="00EE57C3">
              <w:rPr>
                <w:sz w:val="26"/>
                <w:szCs w:val="26"/>
                <w:lang w:val="lv-LV"/>
              </w:rPr>
              <w:t xml:space="preserve">1) </w:t>
            </w:r>
            <w:r w:rsidRPr="00EE57C3">
              <w:rPr>
                <w:i/>
                <w:sz w:val="26"/>
                <w:szCs w:val="26"/>
                <w:lang w:val="lv-LV"/>
              </w:rPr>
              <w:t>Euro</w:t>
            </w:r>
            <w:r w:rsidRPr="00EE57C3">
              <w:rPr>
                <w:sz w:val="26"/>
                <w:szCs w:val="26"/>
                <w:lang w:val="lv-LV"/>
              </w:rPr>
              <w:t xml:space="preserve"> ieviešanas kārtības likuma 30.panta pirmo daļu;</w:t>
            </w:r>
          </w:p>
          <w:p w:rsidR="00EA6CD3" w:rsidRPr="00EE57C3" w:rsidRDefault="00EA6CD3" w:rsidP="00CB6AC4">
            <w:pPr>
              <w:ind w:firstLine="709"/>
              <w:jc w:val="both"/>
              <w:rPr>
                <w:sz w:val="26"/>
                <w:szCs w:val="26"/>
                <w:lang w:val="lv-LV"/>
              </w:rPr>
            </w:pPr>
            <w:r w:rsidRPr="00EE57C3">
              <w:rPr>
                <w:sz w:val="26"/>
                <w:szCs w:val="26"/>
                <w:lang w:val="lv-LV"/>
              </w:rPr>
              <w:t xml:space="preserve">2) Ministru kabineta 2012.gada 27.jūnija rīkojuma Nr.282 „Par „Koncepciju par normatīvo aktu sakārtošanu saistībā ar </w:t>
            </w:r>
            <w:r w:rsidRPr="00EE57C3">
              <w:rPr>
                <w:i/>
                <w:sz w:val="26"/>
                <w:szCs w:val="26"/>
                <w:lang w:val="lv-LV"/>
              </w:rPr>
              <w:t>eiro</w:t>
            </w:r>
            <w:r w:rsidRPr="00EE57C3">
              <w:rPr>
                <w:sz w:val="26"/>
                <w:szCs w:val="26"/>
                <w:lang w:val="lv-LV"/>
              </w:rPr>
              <w:t xml:space="preserve"> ieviešanu Latvijā”” 7.1.apakšpunktu;</w:t>
            </w:r>
          </w:p>
          <w:p w:rsidR="00EA6CD3" w:rsidRPr="00EE57C3" w:rsidRDefault="00EA6CD3" w:rsidP="00CB6AC4">
            <w:pPr>
              <w:ind w:firstLine="709"/>
              <w:jc w:val="both"/>
              <w:rPr>
                <w:sz w:val="26"/>
                <w:szCs w:val="26"/>
                <w:lang w:val="lv-LV"/>
              </w:rPr>
            </w:pPr>
            <w:r w:rsidRPr="00EE57C3">
              <w:rPr>
                <w:sz w:val="26"/>
                <w:szCs w:val="26"/>
                <w:lang w:val="lv-LV"/>
              </w:rPr>
              <w:t>3) Komisijas 2008.gada 6.augusta Regulas (EK) Nr.800/2008, kas atzīst noteiktas atbalsta kategorijas par saderīgām ar kopējo tirgu, piemērojot Līguma 87. un 88.pantu (vispārējā grupu atbrīvojuma regula) (turpmāk – Regula Nr.800/2008)  44.panta 3.punktu.</w:t>
            </w:r>
          </w:p>
          <w:p w:rsidR="00EA6CD3" w:rsidRPr="00EE57C3" w:rsidRDefault="00EA6CD3" w:rsidP="00CB6AC4">
            <w:pPr>
              <w:ind w:firstLine="709"/>
              <w:jc w:val="both"/>
              <w:rPr>
                <w:sz w:val="26"/>
                <w:szCs w:val="26"/>
                <w:lang w:val="lv-LV"/>
              </w:rPr>
            </w:pPr>
          </w:p>
        </w:tc>
      </w:tr>
      <w:tr w:rsidR="00EA6CD3" w:rsidRPr="00EE57C3"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62E09" w:rsidRDefault="00EA6CD3" w:rsidP="003C3D3D">
            <w:pPr>
              <w:ind w:firstLine="709"/>
              <w:jc w:val="both"/>
              <w:rPr>
                <w:sz w:val="26"/>
                <w:szCs w:val="26"/>
                <w:lang w:val="lv-LV"/>
              </w:rPr>
            </w:pPr>
            <w:r w:rsidRPr="00EE57C3">
              <w:rPr>
                <w:sz w:val="26"/>
                <w:szCs w:val="26"/>
                <w:lang w:val="lv-LV"/>
              </w:rPr>
              <w:t xml:space="preserve">Ministru kabineta 2011.gada 2.augusta noteikumos Nr.613 „Noteikumi par mezanīna aizdevumiem saimnieciskās darbības veicēju konkurētspējas uzlabošanai” (turpmāk - MK noteikumi Nr.613) pieejamais kopējais aizdevumu apmērs, kā arī viena aizdevuma maksimālais apmērs noteikts latu valūtā. Ņemot vērā pāreju uz </w:t>
            </w:r>
            <w:r w:rsidR="006B2FEF">
              <w:rPr>
                <w:i/>
                <w:sz w:val="26"/>
                <w:szCs w:val="26"/>
                <w:lang w:val="lv-LV"/>
              </w:rPr>
              <w:t>euro</w:t>
            </w:r>
            <w:r w:rsidR="006B2FEF" w:rsidRPr="00EE57C3">
              <w:rPr>
                <w:sz w:val="26"/>
                <w:szCs w:val="26"/>
                <w:lang w:val="lv-LV"/>
              </w:rPr>
              <w:t xml:space="preserve"> </w:t>
            </w:r>
            <w:r w:rsidRPr="00EE57C3">
              <w:rPr>
                <w:sz w:val="26"/>
                <w:szCs w:val="26"/>
                <w:lang w:val="lv-LV"/>
              </w:rPr>
              <w:t xml:space="preserve">valūtu līdz ar 2014.gada 1.janvāri, nepieciešami grozījumi MK noteikumos Nr.613, norādot aizdevumu apmēru </w:t>
            </w:r>
            <w:r w:rsidR="006B2FEF">
              <w:rPr>
                <w:i/>
                <w:sz w:val="26"/>
                <w:szCs w:val="26"/>
                <w:lang w:val="lv-LV"/>
              </w:rPr>
              <w:t>euro</w:t>
            </w:r>
            <w:r w:rsidR="006B2FEF" w:rsidRPr="00EE57C3">
              <w:rPr>
                <w:sz w:val="26"/>
                <w:szCs w:val="26"/>
                <w:lang w:val="lv-LV"/>
              </w:rPr>
              <w:t xml:space="preserve"> </w:t>
            </w:r>
            <w:r w:rsidRPr="00EE57C3">
              <w:rPr>
                <w:sz w:val="26"/>
                <w:szCs w:val="26"/>
                <w:lang w:val="lv-LV"/>
              </w:rPr>
              <w:t xml:space="preserve">valūtā atbilstoši </w:t>
            </w:r>
            <w:r w:rsidRPr="00EE57C3">
              <w:rPr>
                <w:i/>
                <w:sz w:val="26"/>
                <w:szCs w:val="26"/>
                <w:lang w:val="lv-LV"/>
              </w:rPr>
              <w:t>Euro</w:t>
            </w:r>
            <w:r w:rsidRPr="00EE57C3">
              <w:rPr>
                <w:sz w:val="26"/>
                <w:szCs w:val="26"/>
                <w:lang w:val="lv-LV"/>
              </w:rPr>
              <w:t xml:space="preserve"> ieviešanas kārtības likuma 32.panta otrās daļas 2.punktam. Tāpat arī jāsvītro atsauce par subsīdijas ekvivalenta uzskaiti latos</w:t>
            </w:r>
            <w:r w:rsidR="00D62E09">
              <w:rPr>
                <w:sz w:val="26"/>
                <w:szCs w:val="26"/>
                <w:lang w:val="lv-LV"/>
              </w:rPr>
              <w:t xml:space="preserve">. </w:t>
            </w:r>
          </w:p>
          <w:p w:rsidR="00EA6CD3" w:rsidRPr="00380AC5" w:rsidRDefault="00D62E09" w:rsidP="00CB6AC4">
            <w:pPr>
              <w:spacing w:after="240"/>
              <w:ind w:firstLine="709"/>
              <w:jc w:val="both"/>
              <w:rPr>
                <w:sz w:val="26"/>
                <w:szCs w:val="26"/>
                <w:lang w:val="lv-LV"/>
              </w:rPr>
            </w:pPr>
            <w:r>
              <w:rPr>
                <w:sz w:val="26"/>
                <w:szCs w:val="26"/>
                <w:lang w:val="lv-LV"/>
              </w:rPr>
              <w:t xml:space="preserve">Līdzšinēji MK noteikumos Nr.613 kopējais pieejamais aizdevumu apmērs ir noteikts </w:t>
            </w:r>
            <w:r w:rsidRPr="00D62E09">
              <w:rPr>
                <w:sz w:val="26"/>
                <w:szCs w:val="26"/>
                <w:lang w:val="lv-LV"/>
              </w:rPr>
              <w:t>13 117 324 lati</w:t>
            </w:r>
            <w:r w:rsidR="00CE5541">
              <w:rPr>
                <w:sz w:val="26"/>
                <w:szCs w:val="26"/>
                <w:lang w:val="lv-LV"/>
              </w:rPr>
              <w:t xml:space="preserve"> (MK noteikumu Nr.613 5.punkts)</w:t>
            </w:r>
            <w:r w:rsidR="00C12CF8">
              <w:rPr>
                <w:sz w:val="26"/>
                <w:szCs w:val="26"/>
                <w:lang w:val="lv-LV"/>
              </w:rPr>
              <w:t>, savukārt viena aizdevu</w:t>
            </w:r>
            <w:r w:rsidR="00CE5541">
              <w:rPr>
                <w:sz w:val="26"/>
                <w:szCs w:val="26"/>
                <w:lang w:val="lv-LV"/>
              </w:rPr>
              <w:t>ma</w:t>
            </w:r>
            <w:r w:rsidR="00C12CF8">
              <w:rPr>
                <w:sz w:val="26"/>
                <w:szCs w:val="26"/>
                <w:lang w:val="lv-LV"/>
              </w:rPr>
              <w:t xml:space="preserve"> maksimālais apmērs noteikts 700 000 lati</w:t>
            </w:r>
            <w:r w:rsidR="00CE5541">
              <w:rPr>
                <w:sz w:val="26"/>
                <w:szCs w:val="26"/>
                <w:lang w:val="lv-LV"/>
              </w:rPr>
              <w:t xml:space="preserve"> (MK noteikumu Nr.613 17.punkts)</w:t>
            </w:r>
            <w:r w:rsidR="00EA6CD3" w:rsidRPr="00EE57C3">
              <w:rPr>
                <w:sz w:val="26"/>
                <w:szCs w:val="26"/>
                <w:lang w:val="lv-LV"/>
              </w:rPr>
              <w:t>.</w:t>
            </w:r>
            <w:r>
              <w:t xml:space="preserve"> </w:t>
            </w:r>
            <w:r w:rsidRPr="003C3D3D">
              <w:rPr>
                <w:sz w:val="26"/>
                <w:szCs w:val="26"/>
                <w:lang w:val="lv-LV"/>
              </w:rPr>
              <w:t xml:space="preserve">Konvertējot </w:t>
            </w:r>
            <w:r w:rsidR="00C12CF8">
              <w:rPr>
                <w:sz w:val="26"/>
                <w:szCs w:val="26"/>
                <w:lang w:val="lv-LV"/>
              </w:rPr>
              <w:t>augstāk minētās</w:t>
            </w:r>
            <w:r w:rsidRPr="003C3D3D">
              <w:rPr>
                <w:sz w:val="26"/>
                <w:szCs w:val="26"/>
                <w:lang w:val="lv-LV"/>
              </w:rPr>
              <w:t xml:space="preserve"> </w:t>
            </w:r>
            <w:r w:rsidR="00C12CF8">
              <w:rPr>
                <w:sz w:val="26"/>
                <w:szCs w:val="26"/>
                <w:lang w:val="lv-LV"/>
              </w:rPr>
              <w:t>summas</w:t>
            </w:r>
            <w:r w:rsidRPr="003C3D3D">
              <w:rPr>
                <w:sz w:val="26"/>
                <w:szCs w:val="26"/>
                <w:lang w:val="lv-LV"/>
              </w:rPr>
              <w:t xml:space="preserve"> ir piemēroti </w:t>
            </w:r>
            <w:r w:rsidRPr="006D2F0C">
              <w:rPr>
                <w:i/>
                <w:sz w:val="26"/>
                <w:szCs w:val="26"/>
                <w:lang w:val="lv-LV"/>
              </w:rPr>
              <w:t>Euro</w:t>
            </w:r>
            <w:r w:rsidRPr="003C3D3D">
              <w:rPr>
                <w:sz w:val="26"/>
                <w:szCs w:val="26"/>
                <w:lang w:val="lv-LV"/>
              </w:rPr>
              <w:t xml:space="preserve"> ieviešanas kārtības liku</w:t>
            </w:r>
            <w:r w:rsidR="00C12CF8" w:rsidRPr="00C12CF8">
              <w:rPr>
                <w:sz w:val="26"/>
                <w:szCs w:val="26"/>
                <w:lang w:val="lv-LV"/>
              </w:rPr>
              <w:t>ma 32.pantā noteiktie principi</w:t>
            </w:r>
            <w:r w:rsidR="00C12CF8">
              <w:rPr>
                <w:sz w:val="26"/>
                <w:szCs w:val="26"/>
                <w:lang w:val="lv-LV"/>
              </w:rPr>
              <w:t xml:space="preserve">, vienlaikus saglabājot MK noteikumos Nr.613 esošo principu finansējuma apmēru norādīt </w:t>
            </w:r>
            <w:r w:rsidRPr="003C3D3D">
              <w:rPr>
                <w:sz w:val="26"/>
                <w:szCs w:val="26"/>
                <w:lang w:val="lv-LV"/>
              </w:rPr>
              <w:t xml:space="preserve">veselos skaitļos. </w:t>
            </w:r>
            <w:r w:rsidR="00380AC5">
              <w:rPr>
                <w:sz w:val="26"/>
                <w:szCs w:val="26"/>
                <w:lang w:val="lv-LV"/>
              </w:rPr>
              <w:t xml:space="preserve">Tādejādi noteikumu projekts paredz kopējā pieejamā aizdevumu apmēra noteikšanu 18 664 271 </w:t>
            </w:r>
            <w:r w:rsidR="00380AC5" w:rsidRPr="003C3D3D">
              <w:rPr>
                <w:i/>
                <w:sz w:val="26"/>
                <w:szCs w:val="26"/>
                <w:lang w:val="lv-LV"/>
              </w:rPr>
              <w:t>euro</w:t>
            </w:r>
            <w:r w:rsidR="00380AC5">
              <w:rPr>
                <w:i/>
                <w:sz w:val="26"/>
                <w:szCs w:val="26"/>
                <w:lang w:val="lv-LV"/>
              </w:rPr>
              <w:t xml:space="preserve"> </w:t>
            </w:r>
            <w:r w:rsidR="00CE5541" w:rsidRPr="00CE5541">
              <w:rPr>
                <w:sz w:val="26"/>
                <w:szCs w:val="26"/>
                <w:lang w:val="lv-LV"/>
              </w:rPr>
              <w:t>(M</w:t>
            </w:r>
            <w:r w:rsidR="00CE5541">
              <w:rPr>
                <w:sz w:val="26"/>
                <w:szCs w:val="26"/>
                <w:lang w:val="lv-LV"/>
              </w:rPr>
              <w:t>K</w:t>
            </w:r>
            <w:r w:rsidR="00CE5541" w:rsidRPr="003C3D3D">
              <w:rPr>
                <w:sz w:val="26"/>
                <w:szCs w:val="26"/>
                <w:lang w:val="lv-LV"/>
              </w:rPr>
              <w:t xml:space="preserve"> noteikumu Nr.613 5.punkts)</w:t>
            </w:r>
            <w:r w:rsidR="00CE5541">
              <w:rPr>
                <w:i/>
                <w:sz w:val="26"/>
                <w:szCs w:val="26"/>
                <w:lang w:val="lv-LV"/>
              </w:rPr>
              <w:t xml:space="preserve"> </w:t>
            </w:r>
            <w:r w:rsidR="00380AC5">
              <w:rPr>
                <w:sz w:val="26"/>
                <w:szCs w:val="26"/>
                <w:lang w:val="lv-LV"/>
              </w:rPr>
              <w:t xml:space="preserve">un </w:t>
            </w:r>
            <w:r w:rsidR="00CE5541">
              <w:rPr>
                <w:sz w:val="26"/>
                <w:szCs w:val="26"/>
                <w:lang w:val="lv-LV"/>
              </w:rPr>
              <w:t xml:space="preserve">viena aizdevuma maksimālā apmēra norādīšanu </w:t>
            </w:r>
            <w:r w:rsidR="00B837AE" w:rsidRPr="006D2F0C">
              <w:rPr>
                <w:sz w:val="26"/>
                <w:szCs w:val="26"/>
                <w:lang w:val="lv-LV"/>
              </w:rPr>
              <w:t>996 011</w:t>
            </w:r>
            <w:r w:rsidR="00CE5541">
              <w:rPr>
                <w:sz w:val="26"/>
                <w:szCs w:val="26"/>
                <w:lang w:val="lv-LV"/>
              </w:rPr>
              <w:t xml:space="preserve"> </w:t>
            </w:r>
            <w:r w:rsidR="00CE5541" w:rsidRPr="003C3D3D">
              <w:rPr>
                <w:i/>
                <w:sz w:val="26"/>
                <w:szCs w:val="26"/>
                <w:lang w:val="lv-LV"/>
              </w:rPr>
              <w:t>euro</w:t>
            </w:r>
            <w:r w:rsidR="00CE5541">
              <w:rPr>
                <w:sz w:val="26"/>
                <w:szCs w:val="26"/>
                <w:lang w:val="lv-LV"/>
              </w:rPr>
              <w:t xml:space="preserve"> (MK noteikumu Nr.613 17.punkts).</w:t>
            </w:r>
          </w:p>
          <w:p w:rsidR="00EA6CD3" w:rsidRPr="00EE57C3" w:rsidRDefault="00EA6CD3" w:rsidP="00CB6AC4">
            <w:pPr>
              <w:pStyle w:val="tv2131"/>
              <w:spacing w:after="240" w:line="240" w:lineRule="auto"/>
              <w:ind w:firstLine="708"/>
              <w:jc w:val="both"/>
              <w:rPr>
                <w:rFonts w:eastAsia="Calibri"/>
                <w:color w:val="auto"/>
                <w:sz w:val="26"/>
                <w:szCs w:val="26"/>
                <w:lang w:val="lv-LV"/>
              </w:rPr>
            </w:pPr>
            <w:r w:rsidRPr="00EE57C3">
              <w:rPr>
                <w:rFonts w:eastAsia="Calibri"/>
                <w:color w:val="auto"/>
                <w:sz w:val="26"/>
                <w:szCs w:val="26"/>
                <w:lang w:val="lv-LV"/>
              </w:rPr>
              <w:t xml:space="preserve">MK noteikumi Nr.613 nosaka atbalsta sniegšanas termiņu 2013.gada 31.decembri atbilstoši Regulas Nr.800/2008 45.pantam, kas nosaka, ka Regulu Nr.800/2008 piemēro līdz </w:t>
            </w:r>
            <w:r w:rsidRPr="00EE57C3">
              <w:rPr>
                <w:rFonts w:eastAsia="Calibri"/>
                <w:color w:val="auto"/>
                <w:sz w:val="26"/>
                <w:szCs w:val="26"/>
                <w:lang w:val="lv-LV"/>
              </w:rPr>
              <w:lastRenderedPageBreak/>
              <w:t>2013.gada 31.decembrim. Lai nodrošinātu programmas nepārtrauktību un atbalsta pieejamību pēc 2013.gada 31.decembra, nepieciešams pagarināt atbalsta sniegšanas termiņu. Regulas Nr.800/2008 44.panta 3.punkts nosaka, ka, beidzoties Regulas Nr.800/2008 spēkā esamības termiņam, visas atbalsta shēmas (izņemot reģionālā atbalsta shēmas), kurām saskaņā Regulu Nr.800/2008 ir piešķirts atbrīvojums, izmanto šo atbrīvojumu sešus mēnešus ilgā pielāgošanās periodā. Atbrīvojums reģionālā atbalsta shēmām ir spēkā līdz apstiprināto reģionālā atbalsta karšu termiņa beigām. Ņemot vērā, ka 2013.gada 30.oktobrī Eiropas Komisija ir apstiprinājusi Latvijas Republikas reģionālā atbalsta kartes 2007.–2013.gadam pagarinājumu līdz 2014.gada 30.jūnijam, Ekonomikas ministrijai (turpmāk – EM) ir tiesiskais pamats pagarināt atbalsta sniegšanu MK noteikumu Nr.613 ietvaros līdz 2014.gada 30.jūnijam.</w:t>
            </w:r>
          </w:p>
          <w:p w:rsidR="00EA6CD3" w:rsidRPr="00EE57C3" w:rsidRDefault="00EA6CD3" w:rsidP="00CB6AC4">
            <w:pPr>
              <w:ind w:firstLine="709"/>
              <w:jc w:val="both"/>
              <w:rPr>
                <w:sz w:val="26"/>
                <w:szCs w:val="26"/>
                <w:lang w:val="lv-LV"/>
              </w:rPr>
            </w:pPr>
            <w:r w:rsidRPr="00EE57C3">
              <w:rPr>
                <w:sz w:val="26"/>
                <w:szCs w:val="26"/>
                <w:lang w:val="lv-LV"/>
              </w:rPr>
              <w:t>Noteikumu projekts paredz arī ierobežot atbalsta, kas sniegts no Eiropas Savienības fondu līdzekļiem par vienām un tām pašām attiecināmajām izmaksām, savienošanu, ņemot vērā:</w:t>
            </w:r>
          </w:p>
          <w:p w:rsidR="00EA6CD3" w:rsidRPr="00EE57C3" w:rsidRDefault="00EA6CD3" w:rsidP="00CB6AC4">
            <w:pPr>
              <w:ind w:firstLine="709"/>
              <w:jc w:val="both"/>
              <w:rPr>
                <w:sz w:val="26"/>
                <w:szCs w:val="26"/>
                <w:lang w:val="lv-LV"/>
              </w:rPr>
            </w:pPr>
            <w:r w:rsidRPr="00EE57C3">
              <w:rPr>
                <w:sz w:val="26"/>
                <w:szCs w:val="26"/>
                <w:lang w:val="lv-LV"/>
              </w:rPr>
              <w:t>1) Eiropas Komisijas pausto viedokli (Eiropas Komisijas 2012.gada 29.marta vēstule „</w:t>
            </w:r>
            <w:proofErr w:type="spellStart"/>
            <w:r w:rsidRPr="00EE57C3">
              <w:rPr>
                <w:sz w:val="26"/>
                <w:szCs w:val="26"/>
                <w:lang w:val="lv-LV"/>
              </w:rPr>
              <w:t>Irregularly</w:t>
            </w:r>
            <w:proofErr w:type="spellEnd"/>
            <w:r w:rsidRPr="00EE57C3">
              <w:rPr>
                <w:sz w:val="26"/>
                <w:szCs w:val="26"/>
                <w:lang w:val="lv-LV"/>
              </w:rPr>
              <w:t xml:space="preserve"> </w:t>
            </w:r>
            <w:proofErr w:type="spellStart"/>
            <w:r w:rsidRPr="00EE57C3">
              <w:rPr>
                <w:sz w:val="26"/>
                <w:szCs w:val="26"/>
                <w:lang w:val="lv-LV"/>
              </w:rPr>
              <w:t>issued</w:t>
            </w:r>
            <w:proofErr w:type="spellEnd"/>
            <w:r w:rsidRPr="00EE57C3">
              <w:rPr>
                <w:sz w:val="26"/>
                <w:szCs w:val="26"/>
                <w:lang w:val="lv-LV"/>
              </w:rPr>
              <w:t xml:space="preserve"> </w:t>
            </w:r>
            <w:proofErr w:type="spellStart"/>
            <w:r w:rsidRPr="00EE57C3">
              <w:rPr>
                <w:sz w:val="26"/>
                <w:szCs w:val="26"/>
                <w:lang w:val="lv-LV"/>
              </w:rPr>
              <w:t>loan</w:t>
            </w:r>
            <w:proofErr w:type="spellEnd"/>
            <w:r w:rsidRPr="00EE57C3">
              <w:rPr>
                <w:sz w:val="26"/>
                <w:szCs w:val="26"/>
                <w:lang w:val="lv-LV"/>
              </w:rPr>
              <w:t xml:space="preserve"> </w:t>
            </w:r>
            <w:proofErr w:type="spellStart"/>
            <w:r w:rsidRPr="00EE57C3">
              <w:rPr>
                <w:sz w:val="26"/>
                <w:szCs w:val="26"/>
                <w:lang w:val="lv-LV"/>
              </w:rPr>
              <w:t>and</w:t>
            </w:r>
            <w:proofErr w:type="spellEnd"/>
            <w:r w:rsidRPr="00EE57C3">
              <w:rPr>
                <w:sz w:val="26"/>
                <w:szCs w:val="26"/>
                <w:lang w:val="lv-LV"/>
              </w:rPr>
              <w:t xml:space="preserve"> </w:t>
            </w:r>
            <w:proofErr w:type="spellStart"/>
            <w:r w:rsidRPr="00EE57C3">
              <w:rPr>
                <w:sz w:val="26"/>
                <w:szCs w:val="26"/>
                <w:lang w:val="lv-LV"/>
              </w:rPr>
              <w:t>guarantee</w:t>
            </w:r>
            <w:proofErr w:type="spellEnd"/>
            <w:r w:rsidRPr="00EE57C3">
              <w:rPr>
                <w:sz w:val="26"/>
                <w:szCs w:val="26"/>
                <w:lang w:val="lv-LV"/>
              </w:rPr>
              <w:t xml:space="preserve"> </w:t>
            </w:r>
            <w:proofErr w:type="spellStart"/>
            <w:r w:rsidRPr="00EE57C3">
              <w:rPr>
                <w:sz w:val="26"/>
                <w:szCs w:val="26"/>
                <w:lang w:val="lv-LV"/>
              </w:rPr>
              <w:t>return</w:t>
            </w:r>
            <w:proofErr w:type="spellEnd"/>
            <w:r w:rsidRPr="00EE57C3">
              <w:rPr>
                <w:sz w:val="26"/>
                <w:szCs w:val="26"/>
                <w:lang w:val="lv-LV"/>
              </w:rPr>
              <w:t xml:space="preserve"> to </w:t>
            </w:r>
            <w:proofErr w:type="spellStart"/>
            <w:r w:rsidRPr="00EE57C3">
              <w:rPr>
                <w:sz w:val="26"/>
                <w:szCs w:val="26"/>
                <w:lang w:val="lv-LV"/>
              </w:rPr>
              <w:t>European</w:t>
            </w:r>
            <w:proofErr w:type="spellEnd"/>
            <w:r w:rsidRPr="00EE57C3">
              <w:rPr>
                <w:sz w:val="26"/>
                <w:szCs w:val="26"/>
                <w:lang w:val="lv-LV"/>
              </w:rPr>
              <w:t xml:space="preserve"> </w:t>
            </w:r>
            <w:proofErr w:type="spellStart"/>
            <w:r w:rsidRPr="00EE57C3">
              <w:rPr>
                <w:sz w:val="26"/>
                <w:szCs w:val="26"/>
                <w:lang w:val="lv-LV"/>
              </w:rPr>
              <w:t>Regional</w:t>
            </w:r>
            <w:proofErr w:type="spellEnd"/>
            <w:r w:rsidRPr="00EE57C3">
              <w:rPr>
                <w:sz w:val="26"/>
                <w:szCs w:val="26"/>
                <w:lang w:val="lv-LV"/>
              </w:rPr>
              <w:t xml:space="preserve"> </w:t>
            </w:r>
            <w:proofErr w:type="spellStart"/>
            <w:r w:rsidRPr="00EE57C3">
              <w:rPr>
                <w:sz w:val="26"/>
                <w:szCs w:val="26"/>
                <w:lang w:val="lv-LV"/>
              </w:rPr>
              <w:t>Development</w:t>
            </w:r>
            <w:proofErr w:type="spellEnd"/>
            <w:r w:rsidRPr="00EE57C3">
              <w:rPr>
                <w:sz w:val="26"/>
                <w:szCs w:val="26"/>
                <w:lang w:val="lv-LV"/>
              </w:rPr>
              <w:t xml:space="preserve"> </w:t>
            </w:r>
            <w:proofErr w:type="spellStart"/>
            <w:r w:rsidRPr="00EE57C3">
              <w:rPr>
                <w:sz w:val="26"/>
                <w:szCs w:val="26"/>
                <w:lang w:val="lv-LV"/>
              </w:rPr>
              <w:t>Fund</w:t>
            </w:r>
            <w:proofErr w:type="spellEnd"/>
            <w:r w:rsidRPr="00EE57C3">
              <w:rPr>
                <w:sz w:val="26"/>
                <w:szCs w:val="26"/>
                <w:lang w:val="lv-LV"/>
              </w:rPr>
              <w:t xml:space="preserve"> (ERDF) / </w:t>
            </w:r>
            <w:proofErr w:type="spellStart"/>
            <w:r w:rsidRPr="00EE57C3">
              <w:rPr>
                <w:sz w:val="26"/>
                <w:szCs w:val="26"/>
                <w:lang w:val="lv-LV"/>
              </w:rPr>
              <w:t>Combination</w:t>
            </w:r>
            <w:proofErr w:type="spellEnd"/>
            <w:r w:rsidRPr="00EE57C3">
              <w:rPr>
                <w:sz w:val="26"/>
                <w:szCs w:val="26"/>
                <w:lang w:val="lv-LV"/>
              </w:rPr>
              <w:t xml:space="preserve"> </w:t>
            </w:r>
            <w:proofErr w:type="spellStart"/>
            <w:r w:rsidRPr="00EE57C3">
              <w:rPr>
                <w:sz w:val="26"/>
                <w:szCs w:val="26"/>
                <w:lang w:val="lv-LV"/>
              </w:rPr>
              <w:t>of</w:t>
            </w:r>
            <w:proofErr w:type="spellEnd"/>
            <w:r w:rsidRPr="00EE57C3">
              <w:rPr>
                <w:sz w:val="26"/>
                <w:szCs w:val="26"/>
                <w:lang w:val="lv-LV"/>
              </w:rPr>
              <w:t xml:space="preserve"> grants </w:t>
            </w:r>
            <w:proofErr w:type="spellStart"/>
            <w:r w:rsidRPr="00EE57C3">
              <w:rPr>
                <w:sz w:val="26"/>
                <w:szCs w:val="26"/>
                <w:lang w:val="lv-LV"/>
              </w:rPr>
              <w:t>with</w:t>
            </w:r>
            <w:proofErr w:type="spellEnd"/>
            <w:r w:rsidRPr="00EE57C3">
              <w:rPr>
                <w:sz w:val="26"/>
                <w:szCs w:val="26"/>
                <w:lang w:val="lv-LV"/>
              </w:rPr>
              <w:t xml:space="preserve"> </w:t>
            </w:r>
            <w:proofErr w:type="spellStart"/>
            <w:r w:rsidRPr="00EE57C3">
              <w:rPr>
                <w:sz w:val="26"/>
                <w:szCs w:val="26"/>
                <w:lang w:val="lv-LV"/>
              </w:rPr>
              <w:t>financial</w:t>
            </w:r>
            <w:proofErr w:type="spellEnd"/>
            <w:r w:rsidRPr="00EE57C3">
              <w:rPr>
                <w:sz w:val="26"/>
                <w:szCs w:val="26"/>
                <w:lang w:val="lv-LV"/>
              </w:rPr>
              <w:t xml:space="preserve"> </w:t>
            </w:r>
            <w:proofErr w:type="spellStart"/>
            <w:r w:rsidRPr="00EE57C3">
              <w:rPr>
                <w:sz w:val="26"/>
                <w:szCs w:val="26"/>
                <w:lang w:val="lv-LV"/>
              </w:rPr>
              <w:t>engineering</w:t>
            </w:r>
            <w:proofErr w:type="spellEnd"/>
            <w:r w:rsidRPr="00EE57C3">
              <w:rPr>
                <w:sz w:val="26"/>
                <w:szCs w:val="26"/>
                <w:lang w:val="lv-LV"/>
              </w:rPr>
              <w:t xml:space="preserve"> instruments”) par Eiropas Savienības fondu līdzfinansēto aktivitāšu ieviešanu, norādot, ka nav atbalstāma atbalsta apvienošana, kas sniegta dažādu Eiropas Savienības fondu atbalsta programmu ietvaros par vienām un tām pašām attiecināmajām izmaksām;</w:t>
            </w:r>
          </w:p>
          <w:p w:rsidR="00EA6CD3" w:rsidRPr="00EE57C3" w:rsidRDefault="00EA6CD3" w:rsidP="00CB6AC4">
            <w:pPr>
              <w:ind w:firstLine="709"/>
              <w:jc w:val="both"/>
              <w:rPr>
                <w:sz w:val="26"/>
                <w:szCs w:val="26"/>
                <w:lang w:val="lv-LV"/>
              </w:rPr>
            </w:pPr>
            <w:r w:rsidRPr="00EE57C3">
              <w:rPr>
                <w:sz w:val="26"/>
                <w:szCs w:val="26"/>
                <w:lang w:val="lv-LV"/>
              </w:rPr>
              <w:t>2)  Eiropas Komisijas pausto viedokli (Eiropas Komisijas 2013.gada 24.jūnija vēstule „</w:t>
            </w:r>
            <w:proofErr w:type="spellStart"/>
            <w:r w:rsidRPr="00EE57C3">
              <w:rPr>
                <w:sz w:val="26"/>
                <w:szCs w:val="26"/>
                <w:lang w:val="lv-LV"/>
              </w:rPr>
              <w:t>National</w:t>
            </w:r>
            <w:proofErr w:type="spellEnd"/>
            <w:r w:rsidRPr="00EE57C3">
              <w:rPr>
                <w:sz w:val="26"/>
                <w:szCs w:val="26"/>
                <w:lang w:val="lv-LV"/>
              </w:rPr>
              <w:t xml:space="preserve"> </w:t>
            </w:r>
            <w:proofErr w:type="spellStart"/>
            <w:r w:rsidRPr="00EE57C3">
              <w:rPr>
                <w:sz w:val="26"/>
                <w:szCs w:val="26"/>
                <w:lang w:val="lv-LV"/>
              </w:rPr>
              <w:t>system</w:t>
            </w:r>
            <w:proofErr w:type="spellEnd"/>
            <w:r w:rsidRPr="00EE57C3">
              <w:rPr>
                <w:sz w:val="26"/>
                <w:szCs w:val="26"/>
                <w:lang w:val="lv-LV"/>
              </w:rPr>
              <w:t xml:space="preserve"> </w:t>
            </w:r>
            <w:proofErr w:type="spellStart"/>
            <w:r w:rsidRPr="00EE57C3">
              <w:rPr>
                <w:sz w:val="26"/>
                <w:szCs w:val="26"/>
                <w:lang w:val="lv-LV"/>
              </w:rPr>
              <w:t>audit</w:t>
            </w:r>
            <w:proofErr w:type="spellEnd"/>
            <w:r w:rsidRPr="00EE57C3">
              <w:rPr>
                <w:sz w:val="26"/>
                <w:szCs w:val="26"/>
                <w:lang w:val="lv-LV"/>
              </w:rPr>
              <w:t xml:space="preserve"> </w:t>
            </w:r>
            <w:proofErr w:type="spellStart"/>
            <w:r w:rsidRPr="00EE57C3">
              <w:rPr>
                <w:sz w:val="26"/>
                <w:szCs w:val="26"/>
                <w:lang w:val="lv-LV"/>
              </w:rPr>
              <w:t>report</w:t>
            </w:r>
            <w:proofErr w:type="spellEnd"/>
            <w:r w:rsidRPr="00EE57C3">
              <w:rPr>
                <w:sz w:val="26"/>
                <w:szCs w:val="26"/>
                <w:lang w:val="lv-LV"/>
              </w:rPr>
              <w:t xml:space="preserve"> </w:t>
            </w:r>
            <w:proofErr w:type="spellStart"/>
            <w:r w:rsidRPr="00EE57C3">
              <w:rPr>
                <w:sz w:val="26"/>
                <w:szCs w:val="26"/>
                <w:lang w:val="lv-LV"/>
              </w:rPr>
              <w:t>submitted</w:t>
            </w:r>
            <w:proofErr w:type="spellEnd"/>
            <w:r w:rsidRPr="00EE57C3">
              <w:rPr>
                <w:sz w:val="26"/>
                <w:szCs w:val="26"/>
                <w:lang w:val="lv-LV"/>
              </w:rPr>
              <w:t xml:space="preserve"> </w:t>
            </w:r>
            <w:proofErr w:type="spellStart"/>
            <w:r w:rsidRPr="00EE57C3">
              <w:rPr>
                <w:sz w:val="26"/>
                <w:szCs w:val="26"/>
                <w:lang w:val="lv-LV"/>
              </w:rPr>
              <w:t>under</w:t>
            </w:r>
            <w:proofErr w:type="spellEnd"/>
            <w:r w:rsidRPr="00EE57C3">
              <w:rPr>
                <w:sz w:val="26"/>
                <w:szCs w:val="26"/>
                <w:lang w:val="lv-LV"/>
              </w:rPr>
              <w:t xml:space="preserve"> </w:t>
            </w:r>
            <w:proofErr w:type="spellStart"/>
            <w:r w:rsidRPr="00EE57C3">
              <w:rPr>
                <w:sz w:val="26"/>
                <w:szCs w:val="26"/>
                <w:lang w:val="lv-LV"/>
              </w:rPr>
              <w:t>Article</w:t>
            </w:r>
            <w:proofErr w:type="spellEnd"/>
            <w:r w:rsidRPr="00EE57C3">
              <w:rPr>
                <w:sz w:val="26"/>
                <w:szCs w:val="26"/>
                <w:lang w:val="lv-LV"/>
              </w:rPr>
              <w:t xml:space="preserve"> 73 </w:t>
            </w:r>
            <w:proofErr w:type="spellStart"/>
            <w:r w:rsidRPr="00EE57C3">
              <w:rPr>
                <w:sz w:val="26"/>
                <w:szCs w:val="26"/>
                <w:lang w:val="lv-LV"/>
              </w:rPr>
              <w:t>of</w:t>
            </w:r>
            <w:proofErr w:type="spellEnd"/>
            <w:r w:rsidRPr="00EE57C3">
              <w:rPr>
                <w:sz w:val="26"/>
                <w:szCs w:val="26"/>
                <w:lang w:val="lv-LV"/>
              </w:rPr>
              <w:t xml:space="preserve"> </w:t>
            </w:r>
            <w:proofErr w:type="spellStart"/>
            <w:r w:rsidRPr="00EE57C3">
              <w:rPr>
                <w:sz w:val="26"/>
                <w:szCs w:val="26"/>
                <w:lang w:val="lv-LV"/>
              </w:rPr>
              <w:t>Regulation</w:t>
            </w:r>
            <w:proofErr w:type="spellEnd"/>
            <w:r w:rsidRPr="00EE57C3">
              <w:rPr>
                <w:sz w:val="26"/>
                <w:szCs w:val="26"/>
                <w:lang w:val="lv-LV"/>
              </w:rPr>
              <w:t xml:space="preserve"> (EC) No 1083/2006 </w:t>
            </w:r>
            <w:proofErr w:type="spellStart"/>
            <w:r w:rsidRPr="00EE57C3">
              <w:rPr>
                <w:sz w:val="26"/>
                <w:szCs w:val="26"/>
                <w:lang w:val="lv-LV"/>
              </w:rPr>
              <w:t>in</w:t>
            </w:r>
            <w:proofErr w:type="spellEnd"/>
            <w:r w:rsidRPr="00EE57C3">
              <w:rPr>
                <w:sz w:val="26"/>
                <w:szCs w:val="26"/>
                <w:lang w:val="lv-LV"/>
              </w:rPr>
              <w:t xml:space="preserve"> </w:t>
            </w:r>
            <w:proofErr w:type="spellStart"/>
            <w:r w:rsidRPr="00EE57C3">
              <w:rPr>
                <w:sz w:val="26"/>
                <w:szCs w:val="26"/>
                <w:lang w:val="lv-LV"/>
              </w:rPr>
              <w:t>relation</w:t>
            </w:r>
            <w:proofErr w:type="spellEnd"/>
            <w:r w:rsidRPr="00EE57C3">
              <w:rPr>
                <w:sz w:val="26"/>
                <w:szCs w:val="26"/>
                <w:lang w:val="lv-LV"/>
              </w:rPr>
              <w:t xml:space="preserve"> to </w:t>
            </w:r>
            <w:proofErr w:type="spellStart"/>
            <w:r w:rsidRPr="00EE57C3">
              <w:rPr>
                <w:sz w:val="26"/>
                <w:szCs w:val="26"/>
                <w:lang w:val="lv-LV"/>
              </w:rPr>
              <w:t>Financial</w:t>
            </w:r>
            <w:proofErr w:type="spellEnd"/>
            <w:r w:rsidRPr="00EE57C3">
              <w:rPr>
                <w:sz w:val="26"/>
                <w:szCs w:val="26"/>
                <w:lang w:val="lv-LV"/>
              </w:rPr>
              <w:t xml:space="preserve"> </w:t>
            </w:r>
            <w:proofErr w:type="spellStart"/>
            <w:r w:rsidRPr="00EE57C3">
              <w:rPr>
                <w:sz w:val="26"/>
                <w:szCs w:val="26"/>
                <w:lang w:val="lv-LV"/>
              </w:rPr>
              <w:t>Engineering</w:t>
            </w:r>
            <w:proofErr w:type="spellEnd"/>
            <w:r w:rsidRPr="00EE57C3">
              <w:rPr>
                <w:sz w:val="26"/>
                <w:szCs w:val="26"/>
                <w:lang w:val="lv-LV"/>
              </w:rPr>
              <w:t xml:space="preserve"> Instruments – </w:t>
            </w:r>
            <w:proofErr w:type="spellStart"/>
            <w:r w:rsidRPr="00EE57C3">
              <w:rPr>
                <w:sz w:val="26"/>
                <w:szCs w:val="26"/>
                <w:lang w:val="lv-LV"/>
              </w:rPr>
              <w:t>Clarification</w:t>
            </w:r>
            <w:proofErr w:type="spellEnd"/>
            <w:r w:rsidRPr="00EE57C3">
              <w:rPr>
                <w:sz w:val="26"/>
                <w:szCs w:val="26"/>
                <w:lang w:val="lv-LV"/>
              </w:rPr>
              <w:t xml:space="preserve"> </w:t>
            </w:r>
            <w:proofErr w:type="spellStart"/>
            <w:r w:rsidRPr="00EE57C3">
              <w:rPr>
                <w:sz w:val="26"/>
                <w:szCs w:val="26"/>
                <w:lang w:val="lv-LV"/>
              </w:rPr>
              <w:t>on</w:t>
            </w:r>
            <w:proofErr w:type="spellEnd"/>
            <w:r w:rsidRPr="00EE57C3">
              <w:rPr>
                <w:sz w:val="26"/>
                <w:szCs w:val="26"/>
                <w:lang w:val="lv-LV"/>
              </w:rPr>
              <w:t xml:space="preserve"> </w:t>
            </w:r>
            <w:proofErr w:type="spellStart"/>
            <w:r w:rsidRPr="00EE57C3">
              <w:rPr>
                <w:sz w:val="26"/>
                <w:szCs w:val="26"/>
                <w:lang w:val="lv-LV"/>
              </w:rPr>
              <w:t>double</w:t>
            </w:r>
            <w:proofErr w:type="spellEnd"/>
            <w:r w:rsidRPr="00EE57C3">
              <w:rPr>
                <w:sz w:val="26"/>
                <w:szCs w:val="26"/>
                <w:lang w:val="lv-LV"/>
              </w:rPr>
              <w:t xml:space="preserve"> </w:t>
            </w:r>
            <w:proofErr w:type="spellStart"/>
            <w:r w:rsidRPr="00EE57C3">
              <w:rPr>
                <w:sz w:val="26"/>
                <w:szCs w:val="26"/>
                <w:lang w:val="lv-LV"/>
              </w:rPr>
              <w:t>financing</w:t>
            </w:r>
            <w:proofErr w:type="spellEnd"/>
            <w:r w:rsidRPr="00EE57C3">
              <w:rPr>
                <w:sz w:val="26"/>
                <w:szCs w:val="26"/>
                <w:lang w:val="lv-LV"/>
              </w:rPr>
              <w:t>”) par dubultā finansējuma deklarēšanu Eiropas Savienības fondu līdzfinansēto finanšu instrumentu ietvaros, norādot, ka nav atbalstāma atbalsta par vienām un tām pašām izmaksām deklarēšana Eiropas Komisijai.</w:t>
            </w:r>
          </w:p>
          <w:p w:rsidR="00EA6CD3" w:rsidRPr="00EE57C3" w:rsidRDefault="00EA6CD3" w:rsidP="00CB6AC4">
            <w:pPr>
              <w:spacing w:after="240"/>
              <w:ind w:firstLine="709"/>
              <w:jc w:val="both"/>
              <w:rPr>
                <w:sz w:val="26"/>
                <w:szCs w:val="26"/>
                <w:lang w:val="lv-LV"/>
              </w:rPr>
            </w:pPr>
            <w:r w:rsidRPr="00EE57C3">
              <w:rPr>
                <w:sz w:val="26"/>
                <w:szCs w:val="26"/>
                <w:lang w:val="lv-LV"/>
              </w:rPr>
              <w:t>Ņemot vērā augstāk minēto, nepieciešams veikt grozījumus MK noteikumos Nr.613, nosakot, ka atbalstu, kas saņemts MK noteikumu Nr.613 ietvaros par vienām un tām pašam attiecināmajām izmaksām nedrīkst apvienot ar atbalstu citu programmu ietvaros, ja šāds atbalsts tiek finansēts no Eiropas Savienības fondu līdzekļiem.</w:t>
            </w:r>
            <w:r w:rsidR="00B15DBA">
              <w:rPr>
                <w:sz w:val="26"/>
                <w:szCs w:val="26"/>
                <w:lang w:val="lv-LV"/>
              </w:rPr>
              <w:t xml:space="preserve"> </w:t>
            </w:r>
            <w:r w:rsidR="00C85115">
              <w:rPr>
                <w:sz w:val="26"/>
                <w:szCs w:val="26"/>
                <w:lang w:val="lv-LV"/>
              </w:rPr>
              <w:t xml:space="preserve"> </w:t>
            </w:r>
            <w:r w:rsidRPr="00EE57C3">
              <w:rPr>
                <w:sz w:val="26"/>
                <w:szCs w:val="26"/>
                <w:lang w:val="lv-LV"/>
              </w:rPr>
              <w:t xml:space="preserve">Minētie ierobežojumi attiecas uz </w:t>
            </w:r>
            <w:r w:rsidR="00B15DBA">
              <w:rPr>
                <w:sz w:val="26"/>
                <w:szCs w:val="26"/>
                <w:lang w:val="lv-LV"/>
              </w:rPr>
              <w:t xml:space="preserve">visiem </w:t>
            </w:r>
            <w:r w:rsidRPr="00EE57C3">
              <w:rPr>
                <w:sz w:val="26"/>
                <w:szCs w:val="26"/>
                <w:lang w:val="lv-LV"/>
              </w:rPr>
              <w:t xml:space="preserve">pieteikumiem, kas </w:t>
            </w:r>
            <w:r w:rsidR="00B15DBA">
              <w:rPr>
                <w:sz w:val="26"/>
                <w:szCs w:val="26"/>
                <w:lang w:val="lv-LV"/>
              </w:rPr>
              <w:t>atbilstoši MK noteikumu 11.punktam</w:t>
            </w:r>
            <w:r w:rsidR="00B15DBA" w:rsidRPr="00EE57C3">
              <w:rPr>
                <w:sz w:val="26"/>
                <w:szCs w:val="26"/>
                <w:lang w:val="lv-LV"/>
              </w:rPr>
              <w:t xml:space="preserve"> </w:t>
            </w:r>
            <w:r w:rsidRPr="00EE57C3">
              <w:rPr>
                <w:sz w:val="26"/>
                <w:szCs w:val="26"/>
                <w:lang w:val="lv-LV"/>
              </w:rPr>
              <w:t xml:space="preserve">tiks iesniegti sabiedrībā ar ierobežotu atbildību „Latvijas Garantiju aģentūra” (turpmāk – LGA) pēc šo grozījumu spēkā </w:t>
            </w:r>
            <w:r w:rsidRPr="00EE57C3">
              <w:rPr>
                <w:sz w:val="26"/>
                <w:szCs w:val="26"/>
                <w:lang w:val="lv-LV"/>
              </w:rPr>
              <w:lastRenderedPageBreak/>
              <w:t>stāšanās dienas, un nemaina nosacījumus līdz šim izsniegtajam atbalstam.</w:t>
            </w:r>
          </w:p>
          <w:p w:rsidR="00EA6CD3" w:rsidRDefault="00EA6CD3" w:rsidP="00CB6AC4">
            <w:pPr>
              <w:ind w:firstLine="709"/>
              <w:jc w:val="both"/>
              <w:rPr>
                <w:sz w:val="26"/>
                <w:szCs w:val="26"/>
                <w:lang w:val="lv-LV"/>
              </w:rPr>
            </w:pPr>
            <w:r w:rsidRPr="00EE57C3">
              <w:rPr>
                <w:sz w:val="26"/>
                <w:szCs w:val="26"/>
                <w:lang w:val="lv-LV"/>
              </w:rPr>
              <w:t xml:space="preserve">MK noteikumu Nr.613 ietvaros pieejamais finansējums ir 13 117 324 lati. Laikā līdz 2013.gada 30.oktobrim ir noslēgti 6 </w:t>
            </w:r>
            <w:proofErr w:type="spellStart"/>
            <w:r w:rsidRPr="00EE57C3">
              <w:rPr>
                <w:sz w:val="26"/>
                <w:szCs w:val="26"/>
                <w:lang w:val="lv-LV"/>
              </w:rPr>
              <w:t>mezanīna</w:t>
            </w:r>
            <w:proofErr w:type="spellEnd"/>
            <w:r w:rsidRPr="00EE57C3">
              <w:rPr>
                <w:sz w:val="26"/>
                <w:szCs w:val="26"/>
                <w:lang w:val="lv-LV"/>
              </w:rPr>
              <w:t xml:space="preserve"> līgumi par kopējo publisko finansējumu 1 577 873 lati, kas sastāda 12% no pieejamā kopējā publiskā finansējuma apjoma. Ņemot vērā apguves rādītājus un apguves pieauguma tempus (vidēji ceturksnī papildus noslēgts 1 </w:t>
            </w:r>
            <w:proofErr w:type="spellStart"/>
            <w:r w:rsidRPr="00EE57C3">
              <w:rPr>
                <w:sz w:val="26"/>
                <w:szCs w:val="26"/>
                <w:lang w:val="lv-LV"/>
              </w:rPr>
              <w:t>mezanīna</w:t>
            </w:r>
            <w:proofErr w:type="spellEnd"/>
            <w:r w:rsidRPr="00EE57C3">
              <w:rPr>
                <w:sz w:val="26"/>
                <w:szCs w:val="26"/>
                <w:lang w:val="lv-LV"/>
              </w:rPr>
              <w:t xml:space="preserve"> līgums), pastāv risks, ka finansējums 2007.-2013.gada plānošanas perioda ietvaros netiks apgūts pilnā apmērā. LGA ir izstrādājusi un īsteno mezanīna aizdevumu popularizēšanas plānu, kā ietvaros tiekas ar banku vadītājiem, organizē sadarbības partneru apmācības, uzrunā nozaru asociācijas, ir izveidojusi video prezentāciju par mezanīna aizdevumu, lai nodrošinātu pieejamā finansējuma apguvi pilnā apmērā.</w:t>
            </w:r>
          </w:p>
          <w:p w:rsidR="006D2F0C" w:rsidRPr="00EE57C3" w:rsidRDefault="006D2F0C" w:rsidP="00CB6AC4">
            <w:pPr>
              <w:ind w:firstLine="709"/>
              <w:jc w:val="both"/>
              <w:rPr>
                <w:sz w:val="26"/>
                <w:szCs w:val="26"/>
                <w:lang w:val="lv-LV"/>
              </w:rPr>
            </w:pPr>
          </w:p>
          <w:p w:rsidR="00EA6CD3" w:rsidRPr="00EE57C3" w:rsidRDefault="00EA6CD3" w:rsidP="00C85115">
            <w:pPr>
              <w:ind w:firstLine="709"/>
              <w:jc w:val="both"/>
              <w:rPr>
                <w:sz w:val="26"/>
                <w:szCs w:val="26"/>
                <w:lang w:val="lv-LV"/>
              </w:rPr>
            </w:pPr>
            <w:r w:rsidRPr="006D2F0C">
              <w:rPr>
                <w:sz w:val="26"/>
                <w:szCs w:val="26"/>
                <w:lang w:val="lv-LV"/>
              </w:rPr>
              <w:t xml:space="preserve">Lai sekmētu  </w:t>
            </w:r>
            <w:r w:rsidR="006B2FEF" w:rsidRPr="006D2F0C">
              <w:rPr>
                <w:sz w:val="26"/>
                <w:szCs w:val="26"/>
                <w:lang w:val="lv-LV"/>
              </w:rPr>
              <w:t>tautsaimniec</w:t>
            </w:r>
            <w:r w:rsidR="00A26676" w:rsidRPr="006D2F0C">
              <w:rPr>
                <w:sz w:val="26"/>
                <w:szCs w:val="26"/>
                <w:lang w:val="lv-LV"/>
              </w:rPr>
              <w:t xml:space="preserve">ībai </w:t>
            </w:r>
            <w:r w:rsidR="006B2FEF" w:rsidRPr="006D2F0C">
              <w:rPr>
                <w:sz w:val="26"/>
                <w:szCs w:val="26"/>
                <w:lang w:val="lv-LV"/>
              </w:rPr>
              <w:t>būtisk</w:t>
            </w:r>
            <w:r w:rsidR="000964C6" w:rsidRPr="006D2F0C">
              <w:rPr>
                <w:sz w:val="26"/>
                <w:szCs w:val="26"/>
                <w:lang w:val="lv-LV"/>
              </w:rPr>
              <w:t>u</w:t>
            </w:r>
            <w:r w:rsidR="006B2FEF" w:rsidRPr="006D2F0C">
              <w:rPr>
                <w:sz w:val="26"/>
                <w:szCs w:val="26"/>
                <w:lang w:val="lv-LV"/>
              </w:rPr>
              <w:t xml:space="preserve"> </w:t>
            </w:r>
            <w:r w:rsidR="000964C6" w:rsidRPr="006D2F0C">
              <w:rPr>
                <w:sz w:val="26"/>
                <w:szCs w:val="26"/>
                <w:lang w:val="lv-LV"/>
              </w:rPr>
              <w:t xml:space="preserve">nozaru attīstību un jaunu darba vietu rašanos, ir jāpaplašina aizdevumu saņēmēju loks. </w:t>
            </w:r>
            <w:r w:rsidR="000527A4">
              <w:rPr>
                <w:sz w:val="26"/>
                <w:szCs w:val="26"/>
                <w:lang w:val="lv-LV"/>
              </w:rPr>
              <w:t>Tādejādi noteikumu</w:t>
            </w:r>
            <w:r w:rsidRPr="00EE57C3">
              <w:rPr>
                <w:sz w:val="26"/>
                <w:szCs w:val="26"/>
                <w:lang w:val="lv-LV"/>
              </w:rPr>
              <w:t xml:space="preserve"> projekts paredz precizēt neatbalstāmo nozaru un darbību sarakstu, ļaujot aizdevumu saņemt projektu īstenošanai </w:t>
            </w:r>
            <w:r w:rsidR="000964C6">
              <w:rPr>
                <w:sz w:val="26"/>
                <w:szCs w:val="26"/>
                <w:lang w:val="lv-LV"/>
              </w:rPr>
              <w:t xml:space="preserve">vairumtirdzniecības un mazumtirdzniecības nozarē, kas ir viena no nozīmīgākajām nozarēm </w:t>
            </w:r>
            <w:r w:rsidR="006D2F0C">
              <w:rPr>
                <w:sz w:val="26"/>
                <w:szCs w:val="26"/>
                <w:lang w:val="lv-LV"/>
              </w:rPr>
              <w:t xml:space="preserve">Latvijas </w:t>
            </w:r>
            <w:r w:rsidR="000964C6">
              <w:rPr>
                <w:sz w:val="26"/>
                <w:szCs w:val="26"/>
                <w:lang w:val="lv-LV"/>
              </w:rPr>
              <w:t>tautsaimniecībā. Atbilstoši LR Centrālās Statistikas pārvaldes</w:t>
            </w:r>
            <w:r w:rsidR="00A26676">
              <w:rPr>
                <w:sz w:val="26"/>
                <w:szCs w:val="26"/>
                <w:lang w:val="lv-LV"/>
              </w:rPr>
              <w:t xml:space="preserve"> datiem </w:t>
            </w:r>
            <w:r w:rsidR="000964C6">
              <w:rPr>
                <w:sz w:val="26"/>
                <w:szCs w:val="26"/>
                <w:lang w:val="lv-LV"/>
              </w:rPr>
              <w:t>vairumtirdzniecības un mazumtirdzniecības īpatsvars iekšzemes kopprodukt</w:t>
            </w:r>
            <w:r w:rsidR="00A26676">
              <w:rPr>
                <w:sz w:val="26"/>
                <w:szCs w:val="26"/>
                <w:lang w:val="lv-LV"/>
              </w:rPr>
              <w:t>a</w:t>
            </w:r>
            <w:r w:rsidR="000964C6">
              <w:rPr>
                <w:sz w:val="26"/>
                <w:szCs w:val="26"/>
                <w:lang w:val="lv-LV"/>
              </w:rPr>
              <w:t xml:space="preserve"> struktūrā salīdzinoši ar citām tautsaimniecības nozarēm ir vislielākais – 16,1 % 2012.gadā un 15,9</w:t>
            </w:r>
            <w:r w:rsidR="006D2F0C">
              <w:rPr>
                <w:sz w:val="26"/>
                <w:szCs w:val="26"/>
                <w:lang w:val="lv-LV"/>
              </w:rPr>
              <w:t xml:space="preserve"> </w:t>
            </w:r>
            <w:r w:rsidR="000964C6">
              <w:rPr>
                <w:sz w:val="26"/>
                <w:szCs w:val="26"/>
                <w:lang w:val="lv-LV"/>
              </w:rPr>
              <w:t xml:space="preserve">% 2011.gadā.  </w:t>
            </w:r>
            <w:r w:rsidR="00A26676" w:rsidRPr="00EE57C3">
              <w:rPr>
                <w:sz w:val="26"/>
                <w:szCs w:val="26"/>
                <w:lang w:val="lv-LV"/>
              </w:rPr>
              <w:t>Vairumtirdzniecības un mazumtirdzniecības svītrošana no neatbalstāmo nozaru saraksta sniegs iespēju šajā nozarē strādājošiem uzņēmumiem saņemt aizdevumu uzņēmuma darbības nodrošināšanai un attīstīšanai</w:t>
            </w:r>
            <w:r w:rsidR="00A26676">
              <w:rPr>
                <w:sz w:val="26"/>
                <w:szCs w:val="26"/>
                <w:lang w:val="lv-LV"/>
              </w:rPr>
              <w:t xml:space="preserve">, tādejādi sekmējot </w:t>
            </w:r>
            <w:r w:rsidR="000527A4">
              <w:rPr>
                <w:sz w:val="26"/>
                <w:szCs w:val="26"/>
                <w:lang w:val="lv-LV"/>
              </w:rPr>
              <w:t>nozares</w:t>
            </w:r>
            <w:r w:rsidR="00A26676">
              <w:rPr>
                <w:sz w:val="26"/>
                <w:szCs w:val="26"/>
                <w:lang w:val="lv-LV"/>
              </w:rPr>
              <w:t xml:space="preserve"> īpatsvara pieaugumu iekšzemes kopproduktā</w:t>
            </w:r>
            <w:r w:rsidR="00CE5541">
              <w:rPr>
                <w:sz w:val="26"/>
                <w:szCs w:val="26"/>
                <w:lang w:val="lv-LV"/>
              </w:rPr>
              <w:t>.</w:t>
            </w:r>
          </w:p>
          <w:p w:rsidR="00CE5541" w:rsidRDefault="00C85115" w:rsidP="00443016">
            <w:pPr>
              <w:ind w:firstLine="709"/>
              <w:jc w:val="both"/>
              <w:rPr>
                <w:sz w:val="26"/>
                <w:szCs w:val="26"/>
                <w:lang w:val="lv-LV"/>
              </w:rPr>
            </w:pPr>
            <w:r>
              <w:rPr>
                <w:sz w:val="26"/>
                <w:szCs w:val="26"/>
                <w:lang w:val="lv-LV"/>
              </w:rPr>
              <w:t>T</w:t>
            </w:r>
            <w:r w:rsidR="00443016">
              <w:rPr>
                <w:sz w:val="26"/>
                <w:szCs w:val="26"/>
                <w:lang w:val="lv-LV"/>
              </w:rPr>
              <w:t xml:space="preserve">autsaimniecības </w:t>
            </w:r>
            <w:r w:rsidR="005D688E">
              <w:rPr>
                <w:sz w:val="26"/>
                <w:szCs w:val="26"/>
                <w:lang w:val="lv-LV"/>
              </w:rPr>
              <w:t>attīst</w:t>
            </w:r>
            <w:r>
              <w:rPr>
                <w:sz w:val="26"/>
                <w:szCs w:val="26"/>
                <w:lang w:val="lv-LV"/>
              </w:rPr>
              <w:t>ība</w:t>
            </w:r>
            <w:r w:rsidR="00CE5541">
              <w:rPr>
                <w:sz w:val="26"/>
                <w:szCs w:val="26"/>
                <w:lang w:val="lv-LV"/>
              </w:rPr>
              <w:t>i</w:t>
            </w:r>
            <w:r w:rsidR="00443016">
              <w:rPr>
                <w:sz w:val="26"/>
                <w:szCs w:val="26"/>
                <w:lang w:val="lv-LV"/>
              </w:rPr>
              <w:t xml:space="preserve"> </w:t>
            </w:r>
            <w:r w:rsidR="006D2F0C">
              <w:rPr>
                <w:sz w:val="26"/>
                <w:szCs w:val="26"/>
                <w:lang w:val="lv-LV"/>
              </w:rPr>
              <w:t xml:space="preserve">ir </w:t>
            </w:r>
            <w:r>
              <w:rPr>
                <w:sz w:val="26"/>
                <w:szCs w:val="26"/>
                <w:lang w:val="lv-LV"/>
              </w:rPr>
              <w:t xml:space="preserve">būtiski sekmēt arī </w:t>
            </w:r>
            <w:r w:rsidR="00443016">
              <w:rPr>
                <w:sz w:val="26"/>
                <w:szCs w:val="26"/>
                <w:lang w:val="lv-LV"/>
              </w:rPr>
              <w:t>apstrādes rūpniec</w:t>
            </w:r>
            <w:r w:rsidR="005D688E">
              <w:rPr>
                <w:sz w:val="26"/>
                <w:szCs w:val="26"/>
                <w:lang w:val="lv-LV"/>
              </w:rPr>
              <w:t>ība</w:t>
            </w:r>
            <w:r>
              <w:rPr>
                <w:sz w:val="26"/>
                <w:szCs w:val="26"/>
                <w:lang w:val="lv-LV"/>
              </w:rPr>
              <w:t xml:space="preserve">s attīstību, kuras </w:t>
            </w:r>
            <w:r w:rsidR="00443016">
              <w:rPr>
                <w:sz w:val="26"/>
                <w:szCs w:val="26"/>
                <w:lang w:val="lv-LV"/>
              </w:rPr>
              <w:t xml:space="preserve">īpatsvars iekšzemes kopprodukta struktūrā 2012.gadā – </w:t>
            </w:r>
            <w:r>
              <w:rPr>
                <w:sz w:val="26"/>
                <w:szCs w:val="26"/>
                <w:lang w:val="lv-LV"/>
              </w:rPr>
              <w:t>14,5%</w:t>
            </w:r>
            <w:r w:rsidR="00443016">
              <w:rPr>
                <w:sz w:val="26"/>
                <w:szCs w:val="26"/>
                <w:lang w:val="lv-LV"/>
              </w:rPr>
              <w:t xml:space="preserve">. </w:t>
            </w:r>
            <w:r w:rsidR="005D688E">
              <w:rPr>
                <w:sz w:val="26"/>
                <w:szCs w:val="26"/>
                <w:lang w:val="lv-LV"/>
              </w:rPr>
              <w:t xml:space="preserve">Lai </w:t>
            </w:r>
            <w:r w:rsidR="006D2F0C">
              <w:rPr>
                <w:sz w:val="26"/>
                <w:szCs w:val="26"/>
                <w:lang w:val="lv-LV"/>
              </w:rPr>
              <w:t>veicināt</w:t>
            </w:r>
            <w:r w:rsidR="005D688E">
              <w:rPr>
                <w:sz w:val="26"/>
                <w:szCs w:val="26"/>
                <w:lang w:val="lv-LV"/>
              </w:rPr>
              <w:t>u apstrādes rūpniecības īpatsvara pieaugumu iekšzemes kopprodukta struktūrā, kā arī jaunu darba vietu radīšanu, ir</w:t>
            </w:r>
            <w:r w:rsidR="00A26676">
              <w:rPr>
                <w:sz w:val="26"/>
                <w:szCs w:val="26"/>
                <w:lang w:val="lv-LV"/>
              </w:rPr>
              <w:t xml:space="preserve"> </w:t>
            </w:r>
            <w:r>
              <w:rPr>
                <w:sz w:val="26"/>
                <w:szCs w:val="26"/>
                <w:lang w:val="lv-LV"/>
              </w:rPr>
              <w:t>jā</w:t>
            </w:r>
            <w:r w:rsidR="005D688E">
              <w:rPr>
                <w:sz w:val="26"/>
                <w:szCs w:val="26"/>
                <w:lang w:val="lv-LV"/>
              </w:rPr>
              <w:t>nodrošin</w:t>
            </w:r>
            <w:r>
              <w:rPr>
                <w:sz w:val="26"/>
                <w:szCs w:val="26"/>
                <w:lang w:val="lv-LV"/>
              </w:rPr>
              <w:t>a</w:t>
            </w:r>
            <w:r w:rsidR="005D688E">
              <w:rPr>
                <w:sz w:val="26"/>
                <w:szCs w:val="26"/>
                <w:lang w:val="lv-LV"/>
              </w:rPr>
              <w:t xml:space="preserve"> finansējuma pieejamīb</w:t>
            </w:r>
            <w:r>
              <w:rPr>
                <w:sz w:val="26"/>
                <w:szCs w:val="26"/>
                <w:lang w:val="lv-LV"/>
              </w:rPr>
              <w:t>a</w:t>
            </w:r>
            <w:r w:rsidR="00443016">
              <w:rPr>
                <w:sz w:val="26"/>
                <w:szCs w:val="26"/>
                <w:lang w:val="lv-LV"/>
              </w:rPr>
              <w:t xml:space="preserve"> </w:t>
            </w:r>
            <w:r w:rsidR="005D688E">
              <w:rPr>
                <w:sz w:val="26"/>
                <w:szCs w:val="26"/>
                <w:lang w:val="lv-LV"/>
              </w:rPr>
              <w:t xml:space="preserve">industriālo telpu izveidei. </w:t>
            </w:r>
          </w:p>
          <w:p w:rsidR="00567FC5" w:rsidRDefault="00C85115" w:rsidP="00443016">
            <w:pPr>
              <w:ind w:firstLine="709"/>
              <w:jc w:val="both"/>
              <w:rPr>
                <w:sz w:val="26"/>
                <w:szCs w:val="26"/>
                <w:lang w:val="lv-LV"/>
              </w:rPr>
            </w:pPr>
            <w:r>
              <w:rPr>
                <w:sz w:val="26"/>
                <w:szCs w:val="26"/>
                <w:lang w:val="lv-LV"/>
              </w:rPr>
              <w:t>R</w:t>
            </w:r>
            <w:r w:rsidR="00A26676" w:rsidRPr="00A26676">
              <w:rPr>
                <w:sz w:val="26"/>
                <w:szCs w:val="26"/>
                <w:lang w:val="lv-LV"/>
              </w:rPr>
              <w:t xml:space="preserve">ažošanas ēku augstās būvniecības izmaksas </w:t>
            </w:r>
            <w:r w:rsidR="00A26676">
              <w:rPr>
                <w:sz w:val="26"/>
                <w:szCs w:val="26"/>
                <w:lang w:val="lv-LV"/>
              </w:rPr>
              <w:t>bieži vien ir galvenais iemesls, k</w:t>
            </w:r>
            <w:r w:rsidR="005D688E">
              <w:rPr>
                <w:sz w:val="26"/>
                <w:szCs w:val="26"/>
                <w:lang w:val="lv-LV"/>
              </w:rPr>
              <w:t>as kavē apstrādes rūpniecībā strādājošo komersantu attīstību, tajā skaitā</w:t>
            </w:r>
            <w:r w:rsidR="00A26676">
              <w:rPr>
                <w:sz w:val="26"/>
                <w:szCs w:val="26"/>
                <w:lang w:val="lv-LV"/>
              </w:rPr>
              <w:t xml:space="preserve"> </w:t>
            </w:r>
            <w:r w:rsidR="00A26676" w:rsidRPr="00A26676">
              <w:rPr>
                <w:sz w:val="26"/>
                <w:szCs w:val="26"/>
                <w:lang w:val="lv-LV"/>
              </w:rPr>
              <w:t>jaunu ražošanas ēku izveid</w:t>
            </w:r>
            <w:r w:rsidR="00A26676">
              <w:rPr>
                <w:sz w:val="26"/>
                <w:szCs w:val="26"/>
                <w:lang w:val="lv-LV"/>
              </w:rPr>
              <w:t>i</w:t>
            </w:r>
            <w:r w:rsidR="005D688E">
              <w:rPr>
                <w:sz w:val="26"/>
                <w:szCs w:val="26"/>
                <w:lang w:val="lv-LV"/>
              </w:rPr>
              <w:t>.</w:t>
            </w:r>
            <w:r w:rsidR="00A26676">
              <w:rPr>
                <w:sz w:val="26"/>
                <w:szCs w:val="26"/>
                <w:lang w:val="lv-LV"/>
              </w:rPr>
              <w:t xml:space="preserve"> </w:t>
            </w:r>
            <w:r w:rsidR="005D688E">
              <w:rPr>
                <w:sz w:val="26"/>
                <w:szCs w:val="26"/>
                <w:lang w:val="lv-LV"/>
              </w:rPr>
              <w:t xml:space="preserve">Ņemot vērā, ka Latvijā </w:t>
            </w:r>
            <w:r w:rsidR="00A26676" w:rsidRPr="00A26676">
              <w:rPr>
                <w:sz w:val="26"/>
                <w:szCs w:val="26"/>
                <w:lang w:val="lv-LV"/>
              </w:rPr>
              <w:t>ir liels skaits neizmantotu rūp</w:t>
            </w:r>
            <w:r w:rsidR="005D688E">
              <w:rPr>
                <w:sz w:val="26"/>
                <w:szCs w:val="26"/>
                <w:lang w:val="lv-LV"/>
              </w:rPr>
              <w:t>niecisko ēku un teritoriju, kurā</w:t>
            </w:r>
            <w:r w:rsidR="00A26676" w:rsidRPr="00A26676">
              <w:rPr>
                <w:sz w:val="26"/>
                <w:szCs w:val="26"/>
                <w:lang w:val="lv-LV"/>
              </w:rPr>
              <w:t xml:space="preserve">s ir iespējams </w:t>
            </w:r>
            <w:r>
              <w:rPr>
                <w:sz w:val="26"/>
                <w:szCs w:val="26"/>
                <w:lang w:val="lv-LV"/>
              </w:rPr>
              <w:t>attīstīt</w:t>
            </w:r>
            <w:r w:rsidR="005D688E">
              <w:rPr>
                <w:sz w:val="26"/>
                <w:szCs w:val="26"/>
                <w:lang w:val="lv-LV"/>
              </w:rPr>
              <w:t xml:space="preserve"> ražošan</w:t>
            </w:r>
            <w:r w:rsidR="00CE5541">
              <w:rPr>
                <w:sz w:val="26"/>
                <w:szCs w:val="26"/>
                <w:lang w:val="lv-LV"/>
              </w:rPr>
              <w:t>u,</w:t>
            </w:r>
            <w:r w:rsidR="005D688E">
              <w:rPr>
                <w:sz w:val="26"/>
                <w:szCs w:val="26"/>
                <w:lang w:val="lv-LV"/>
              </w:rPr>
              <w:t xml:space="preserve"> </w:t>
            </w:r>
            <w:r w:rsidR="00567FC5">
              <w:rPr>
                <w:sz w:val="26"/>
                <w:szCs w:val="26"/>
                <w:lang w:val="lv-LV"/>
              </w:rPr>
              <w:t xml:space="preserve">noteikumu projekts paredz </w:t>
            </w:r>
            <w:r>
              <w:rPr>
                <w:sz w:val="26"/>
                <w:szCs w:val="26"/>
                <w:lang w:val="lv-LV"/>
              </w:rPr>
              <w:t xml:space="preserve">sniegt </w:t>
            </w:r>
            <w:r w:rsidR="005D688E">
              <w:rPr>
                <w:sz w:val="26"/>
                <w:szCs w:val="26"/>
                <w:lang w:val="lv-LV"/>
              </w:rPr>
              <w:t>iespēju saņemt aizdevumu</w:t>
            </w:r>
            <w:r w:rsidR="00A26676">
              <w:rPr>
                <w:sz w:val="26"/>
                <w:szCs w:val="26"/>
                <w:lang w:val="lv-LV"/>
              </w:rPr>
              <w:t xml:space="preserve"> ražošanas zonu attīstīb</w:t>
            </w:r>
            <w:r>
              <w:rPr>
                <w:sz w:val="26"/>
                <w:szCs w:val="26"/>
                <w:lang w:val="lv-LV"/>
              </w:rPr>
              <w:t>ai.</w:t>
            </w:r>
          </w:p>
          <w:p w:rsidR="008D65D5" w:rsidRPr="00EE57C3" w:rsidRDefault="00567FC5" w:rsidP="005464E6">
            <w:pPr>
              <w:ind w:firstLine="709"/>
              <w:jc w:val="both"/>
              <w:rPr>
                <w:sz w:val="26"/>
                <w:szCs w:val="26"/>
                <w:lang w:val="lv-LV"/>
              </w:rPr>
            </w:pPr>
            <w:r w:rsidRPr="00C85115">
              <w:rPr>
                <w:sz w:val="26"/>
                <w:szCs w:val="26"/>
                <w:lang w:val="lv-LV"/>
              </w:rPr>
              <w:lastRenderedPageBreak/>
              <w:t>Tāpat ar</w:t>
            </w:r>
            <w:r w:rsidRPr="00CB6AC4">
              <w:rPr>
                <w:sz w:val="26"/>
                <w:szCs w:val="26"/>
                <w:lang w:val="lv-LV"/>
              </w:rPr>
              <w:t>ī ražošanas attīstībai</w:t>
            </w:r>
            <w:r w:rsidR="008D65D5" w:rsidRPr="00CB6AC4">
              <w:rPr>
                <w:sz w:val="26"/>
                <w:szCs w:val="26"/>
                <w:lang w:val="lv-LV"/>
              </w:rPr>
              <w:t xml:space="preserve"> </w:t>
            </w:r>
            <w:r w:rsidR="006D2F0C">
              <w:rPr>
                <w:sz w:val="26"/>
                <w:szCs w:val="26"/>
                <w:lang w:val="lv-LV"/>
              </w:rPr>
              <w:t xml:space="preserve">ir </w:t>
            </w:r>
            <w:r w:rsidR="008D65D5" w:rsidRPr="00326096">
              <w:rPr>
                <w:sz w:val="26"/>
                <w:szCs w:val="26"/>
                <w:lang w:val="lv-LV"/>
              </w:rPr>
              <w:t xml:space="preserve">būtiski nodrošināt </w:t>
            </w:r>
            <w:r w:rsidR="00EA6CD3" w:rsidRPr="00C85115">
              <w:rPr>
                <w:sz w:val="26"/>
                <w:szCs w:val="26"/>
                <w:lang w:val="lv-LV"/>
              </w:rPr>
              <w:t>iespējas saņemt atbalstu</w:t>
            </w:r>
            <w:r w:rsidR="000B3449">
              <w:rPr>
                <w:sz w:val="26"/>
                <w:szCs w:val="26"/>
                <w:lang w:val="lv-LV"/>
              </w:rPr>
              <w:t xml:space="preserve"> projektiem, kas paredz</w:t>
            </w:r>
            <w:r w:rsidR="00EA6CD3" w:rsidRPr="00C85115">
              <w:rPr>
                <w:sz w:val="26"/>
                <w:szCs w:val="26"/>
                <w:lang w:val="lv-LV"/>
              </w:rPr>
              <w:t xml:space="preserve"> iekārtu </w:t>
            </w:r>
            <w:r w:rsidR="000B3449" w:rsidRPr="00C85115">
              <w:rPr>
                <w:sz w:val="26"/>
                <w:szCs w:val="26"/>
                <w:lang w:val="lv-LV"/>
              </w:rPr>
              <w:t>nom</w:t>
            </w:r>
            <w:r w:rsidR="000B3449">
              <w:rPr>
                <w:sz w:val="26"/>
                <w:szCs w:val="26"/>
                <w:lang w:val="lv-LV"/>
              </w:rPr>
              <w:t>u</w:t>
            </w:r>
            <w:r w:rsidR="005464E6">
              <w:rPr>
                <w:sz w:val="26"/>
                <w:szCs w:val="26"/>
                <w:lang w:val="lv-LV"/>
              </w:rPr>
              <w:t>, tādejādi nodrošinot</w:t>
            </w:r>
            <w:r w:rsidR="00EA6CD3" w:rsidRPr="00C85115">
              <w:rPr>
                <w:sz w:val="26"/>
                <w:szCs w:val="26"/>
                <w:lang w:val="lv-LV"/>
              </w:rPr>
              <w:t xml:space="preserve"> </w:t>
            </w:r>
            <w:r w:rsidR="000B3449">
              <w:rPr>
                <w:sz w:val="26"/>
                <w:szCs w:val="26"/>
                <w:lang w:val="lv-LV"/>
              </w:rPr>
              <w:t xml:space="preserve">iespējas ražotājiem </w:t>
            </w:r>
            <w:r w:rsidR="005464E6">
              <w:rPr>
                <w:sz w:val="26"/>
                <w:szCs w:val="26"/>
                <w:lang w:val="lv-LV"/>
              </w:rPr>
              <w:t>veikt</w:t>
            </w:r>
            <w:r w:rsidR="000B3449">
              <w:rPr>
                <w:sz w:val="26"/>
                <w:szCs w:val="26"/>
                <w:lang w:val="lv-LV"/>
              </w:rPr>
              <w:t xml:space="preserve"> </w:t>
            </w:r>
            <w:r w:rsidR="00C85115" w:rsidRPr="00CB6AC4">
              <w:rPr>
                <w:sz w:val="26"/>
                <w:szCs w:val="26"/>
                <w:lang w:val="lv-LV"/>
              </w:rPr>
              <w:t>periodisk</w:t>
            </w:r>
            <w:r w:rsidR="00C85115" w:rsidRPr="003C3D3D">
              <w:rPr>
                <w:sz w:val="26"/>
                <w:szCs w:val="26"/>
                <w:lang w:val="lv-LV"/>
              </w:rPr>
              <w:t>u</w:t>
            </w:r>
            <w:r w:rsidR="00C85115" w:rsidRPr="00C85115">
              <w:rPr>
                <w:sz w:val="26"/>
                <w:szCs w:val="26"/>
                <w:lang w:val="lv-LV"/>
              </w:rPr>
              <w:t xml:space="preserve"> </w:t>
            </w:r>
            <w:r w:rsidR="00EA6CD3" w:rsidRPr="00C85115">
              <w:rPr>
                <w:sz w:val="26"/>
                <w:szCs w:val="26"/>
                <w:lang w:val="lv-LV"/>
              </w:rPr>
              <w:t xml:space="preserve">vai </w:t>
            </w:r>
            <w:r w:rsidR="00C85115" w:rsidRPr="00CB6AC4">
              <w:rPr>
                <w:sz w:val="26"/>
                <w:szCs w:val="26"/>
                <w:lang w:val="lv-LV"/>
              </w:rPr>
              <w:t>sezonāl</w:t>
            </w:r>
            <w:r w:rsidR="00C85115" w:rsidRPr="003C3D3D">
              <w:rPr>
                <w:sz w:val="26"/>
                <w:szCs w:val="26"/>
                <w:lang w:val="lv-LV"/>
              </w:rPr>
              <w:t>u</w:t>
            </w:r>
            <w:r w:rsidR="00C85115" w:rsidRPr="00C85115">
              <w:rPr>
                <w:sz w:val="26"/>
                <w:szCs w:val="26"/>
                <w:lang w:val="lv-LV"/>
              </w:rPr>
              <w:t xml:space="preserve"> </w:t>
            </w:r>
            <w:r w:rsidR="00C85115" w:rsidRPr="00CB6AC4">
              <w:rPr>
                <w:sz w:val="26"/>
                <w:szCs w:val="26"/>
                <w:lang w:val="lv-LV"/>
              </w:rPr>
              <w:t>ražošan</w:t>
            </w:r>
            <w:r w:rsidR="00C85115" w:rsidRPr="003C3D3D">
              <w:rPr>
                <w:sz w:val="26"/>
                <w:szCs w:val="26"/>
                <w:lang w:val="lv-LV"/>
              </w:rPr>
              <w:t>u</w:t>
            </w:r>
            <w:r w:rsidR="00CE5541">
              <w:rPr>
                <w:sz w:val="26"/>
                <w:szCs w:val="26"/>
                <w:lang w:val="lv-LV"/>
              </w:rPr>
              <w:t>, neveicot kapitāla ieguldījumus</w:t>
            </w:r>
            <w:r w:rsidR="00EA6CD3" w:rsidRPr="00C85115">
              <w:rPr>
                <w:sz w:val="26"/>
                <w:szCs w:val="26"/>
                <w:lang w:val="lv-LV"/>
              </w:rPr>
              <w:t>.</w:t>
            </w:r>
            <w:r w:rsidR="00EA6CD3" w:rsidRPr="00EE57C3">
              <w:rPr>
                <w:sz w:val="26"/>
                <w:szCs w:val="26"/>
                <w:lang w:val="lv-LV"/>
              </w:rPr>
              <w:t xml:space="preserve"> </w:t>
            </w:r>
          </w:p>
          <w:p w:rsidR="00700E68" w:rsidRDefault="00EA6CD3" w:rsidP="00CB6AC4">
            <w:pPr>
              <w:ind w:firstLine="709"/>
              <w:jc w:val="both"/>
              <w:rPr>
                <w:sz w:val="26"/>
                <w:szCs w:val="26"/>
                <w:lang w:val="lv-LV"/>
              </w:rPr>
            </w:pPr>
            <w:r w:rsidRPr="00EE57C3">
              <w:rPr>
                <w:sz w:val="26"/>
                <w:szCs w:val="26"/>
                <w:lang w:val="lv-LV"/>
              </w:rPr>
              <w:t>Regulas Nr.800/2008 1.</w:t>
            </w:r>
            <w:r w:rsidR="008D65D5">
              <w:rPr>
                <w:sz w:val="26"/>
                <w:szCs w:val="26"/>
                <w:lang w:val="lv-LV"/>
              </w:rPr>
              <w:t xml:space="preserve">pants </w:t>
            </w:r>
            <w:r w:rsidRPr="00EE57C3">
              <w:rPr>
                <w:sz w:val="26"/>
                <w:szCs w:val="26"/>
                <w:lang w:val="lv-LV"/>
              </w:rPr>
              <w:t xml:space="preserve"> neliedz atbalsta sniegšanu </w:t>
            </w:r>
            <w:r w:rsidR="00CE5541">
              <w:rPr>
                <w:sz w:val="26"/>
                <w:szCs w:val="26"/>
                <w:lang w:val="lv-LV"/>
              </w:rPr>
              <w:t xml:space="preserve">vairumtirdzniecībai un mazumtirdzniecībai, </w:t>
            </w:r>
            <w:r w:rsidR="00700E68">
              <w:rPr>
                <w:sz w:val="26"/>
                <w:szCs w:val="26"/>
                <w:lang w:val="lv-LV"/>
              </w:rPr>
              <w:t>operācijām nekustamo industriālo īpašumu attīstīšanai</w:t>
            </w:r>
            <w:r w:rsidR="005464E6">
              <w:rPr>
                <w:sz w:val="26"/>
                <w:szCs w:val="26"/>
                <w:lang w:val="lv-LV"/>
              </w:rPr>
              <w:t xml:space="preserve"> un iekārtu nomai</w:t>
            </w:r>
            <w:r w:rsidR="008D65D5">
              <w:rPr>
                <w:sz w:val="26"/>
                <w:szCs w:val="26"/>
                <w:lang w:val="lv-LV"/>
              </w:rPr>
              <w:t>. Tāpat arī Regulas Nr.800/2008 2.panta 10.punkts, kas sniedz „materiālo aktīvu” definīciju</w:t>
            </w:r>
            <w:r w:rsidR="00CE5541">
              <w:rPr>
                <w:sz w:val="26"/>
                <w:szCs w:val="26"/>
                <w:lang w:val="lv-LV"/>
              </w:rPr>
              <w:t>,</w:t>
            </w:r>
            <w:r w:rsidR="008D65D5">
              <w:rPr>
                <w:sz w:val="26"/>
                <w:szCs w:val="26"/>
                <w:lang w:val="lv-LV"/>
              </w:rPr>
              <w:t xml:space="preserve"> </w:t>
            </w:r>
            <w:r w:rsidR="00CE5541">
              <w:rPr>
                <w:sz w:val="26"/>
                <w:szCs w:val="26"/>
                <w:lang w:val="lv-LV"/>
              </w:rPr>
              <w:t xml:space="preserve">un 2.panta 11.punkts, kas sniedz „nemateriālo aktīvu” definīciju, </w:t>
            </w:r>
            <w:r w:rsidR="00780B70">
              <w:rPr>
                <w:sz w:val="26"/>
                <w:szCs w:val="26"/>
                <w:lang w:val="lv-LV"/>
              </w:rPr>
              <w:t>neierobežo</w:t>
            </w:r>
            <w:r w:rsidR="008D65D5">
              <w:rPr>
                <w:sz w:val="26"/>
                <w:szCs w:val="26"/>
                <w:lang w:val="lv-LV"/>
              </w:rPr>
              <w:t xml:space="preserve"> reģionāl</w:t>
            </w:r>
            <w:r w:rsidR="00780B70">
              <w:rPr>
                <w:sz w:val="26"/>
                <w:szCs w:val="26"/>
                <w:lang w:val="lv-LV"/>
              </w:rPr>
              <w:t>ā atbalsta sniegšanu</w:t>
            </w:r>
            <w:r w:rsidR="008D65D5">
              <w:rPr>
                <w:sz w:val="26"/>
                <w:szCs w:val="26"/>
                <w:lang w:val="lv-LV"/>
              </w:rPr>
              <w:t xml:space="preserve"> augstāk minētajās nozarēs. </w:t>
            </w:r>
            <w:r w:rsidR="00780B70">
              <w:rPr>
                <w:sz w:val="26"/>
                <w:szCs w:val="26"/>
                <w:lang w:val="lv-LV"/>
              </w:rPr>
              <w:t>Tādejādi EM ir tiesiskais pamats, lai paplašinātu atbalsta saņēmēju loku, ļaujot aizdevumu saņemt vairumtirdzniecības un mazumtirdzniecības nozarē, operācijām nekustamo industriālo īpašumu attīstīšanai, iekārtu nomai</w:t>
            </w:r>
            <w:r w:rsidR="00700E68">
              <w:rPr>
                <w:sz w:val="26"/>
                <w:szCs w:val="26"/>
                <w:lang w:val="lv-LV"/>
              </w:rPr>
              <w:t>.</w:t>
            </w:r>
          </w:p>
          <w:p w:rsidR="00EA6CD3" w:rsidRPr="00EE57C3" w:rsidRDefault="00700E68" w:rsidP="00CB6AC4">
            <w:pPr>
              <w:ind w:firstLine="709"/>
              <w:jc w:val="both"/>
              <w:rPr>
                <w:sz w:val="26"/>
                <w:szCs w:val="26"/>
                <w:lang w:val="lv-LV"/>
              </w:rPr>
            </w:pPr>
            <w:r>
              <w:rPr>
                <w:sz w:val="26"/>
                <w:szCs w:val="26"/>
                <w:lang w:val="lv-LV"/>
              </w:rPr>
              <w:t>Paplašinot saņēmēju loku</w:t>
            </w:r>
            <w:r w:rsidR="00780B70">
              <w:rPr>
                <w:sz w:val="26"/>
                <w:szCs w:val="26"/>
                <w:lang w:val="lv-LV"/>
              </w:rPr>
              <w:t xml:space="preserve"> </w:t>
            </w:r>
            <w:r>
              <w:rPr>
                <w:sz w:val="26"/>
                <w:szCs w:val="26"/>
                <w:lang w:val="lv-LV"/>
              </w:rPr>
              <w:t>tiks sekmēta</w:t>
            </w:r>
            <w:r w:rsidR="00780B70" w:rsidRPr="00EE57C3">
              <w:rPr>
                <w:sz w:val="26"/>
                <w:szCs w:val="26"/>
                <w:lang w:val="lv-LV"/>
              </w:rPr>
              <w:t xml:space="preserve"> </w:t>
            </w:r>
            <w:r w:rsidR="00EA6CD3" w:rsidRPr="00EE57C3">
              <w:rPr>
                <w:sz w:val="26"/>
                <w:szCs w:val="26"/>
                <w:lang w:val="lv-LV"/>
              </w:rPr>
              <w:t xml:space="preserve">finansējuma </w:t>
            </w:r>
            <w:r w:rsidRPr="00EE57C3">
              <w:rPr>
                <w:sz w:val="26"/>
                <w:szCs w:val="26"/>
                <w:lang w:val="lv-LV"/>
              </w:rPr>
              <w:t>pieejamīb</w:t>
            </w:r>
            <w:r>
              <w:rPr>
                <w:sz w:val="26"/>
                <w:szCs w:val="26"/>
                <w:lang w:val="lv-LV"/>
              </w:rPr>
              <w:t>a</w:t>
            </w:r>
            <w:r w:rsidRPr="00EE57C3">
              <w:rPr>
                <w:sz w:val="26"/>
                <w:szCs w:val="26"/>
                <w:lang w:val="lv-LV"/>
              </w:rPr>
              <w:t xml:space="preserve"> </w:t>
            </w:r>
            <w:r w:rsidR="00EA6CD3" w:rsidRPr="00EE57C3">
              <w:rPr>
                <w:sz w:val="26"/>
                <w:szCs w:val="26"/>
                <w:lang w:val="lv-LV"/>
              </w:rPr>
              <w:t xml:space="preserve">situācijās, kad bankas finansējums un paša finansējums nav pietiekams, lai realizētu projektu uzņēmējdarbības uzsākšanai, paplašināšanai, produkcijas diversifikācijai vai ražošanas procesa maiņai. </w:t>
            </w:r>
          </w:p>
          <w:p w:rsidR="00EA6CD3" w:rsidRPr="00EE57C3" w:rsidRDefault="00EA6CD3" w:rsidP="00CB6AC4">
            <w:pPr>
              <w:spacing w:after="240"/>
              <w:ind w:firstLine="709"/>
              <w:jc w:val="both"/>
              <w:rPr>
                <w:sz w:val="26"/>
                <w:szCs w:val="26"/>
                <w:lang w:val="lv-LV"/>
              </w:rPr>
            </w:pPr>
            <w:r w:rsidRPr="00EE57C3">
              <w:rPr>
                <w:sz w:val="26"/>
                <w:szCs w:val="26"/>
                <w:lang w:val="lv-LV"/>
              </w:rPr>
              <w:t>MK noteikumi Nr.613 nosaka, ka atbalsts nevar tikt sniegts elektroenerģijai un siltumapgādei, paredzot izņēmumu – atbalsts elektroenerģijai un siltumapgādei var tiks sniegts, ja projekts tiek līdzfinansēts no Kohēzijas fonda finansējuma. Ņemot vērā jau minēto atbalsta apvienošanas ierobežojumu, kā arī elektroenerģijai un siltumapgādei citu atbalsta instrumentu pieejamību, noteikumu projekts liedz iespēju saņemt aizdevumu MK noteikumu Nr.613 ietvaros elektroenerģijai un siltumapgādei arī tad, ja šīm darbībām jau ir saņemts Kohēzijas fonda finansējums.</w:t>
            </w:r>
          </w:p>
          <w:p w:rsidR="00EA6CD3" w:rsidRPr="00EE57C3" w:rsidRDefault="00EA6CD3" w:rsidP="00CB6AC4">
            <w:pPr>
              <w:spacing w:after="240"/>
              <w:ind w:firstLine="709"/>
              <w:jc w:val="both"/>
              <w:rPr>
                <w:sz w:val="26"/>
                <w:szCs w:val="26"/>
                <w:lang w:val="lv-LV"/>
              </w:rPr>
            </w:pPr>
            <w:r w:rsidRPr="00EE57C3">
              <w:rPr>
                <w:sz w:val="26"/>
                <w:szCs w:val="26"/>
                <w:lang w:val="lv-LV"/>
              </w:rPr>
              <w:t>MK noteikumi Nr.613 nosaka, ka atbalsts aizdevumu veidā var tikt piešķirts ieguldījumiem materiālajos un nemateriālajos aktīvos. Lai padarītu atbalsta izsniegšanas nosacījumus nepārprotamus un skaidrus, noteikumu projekts paredz precizēt MK noteikumu Nr.613 2.punktu, nosakot, ka aizdevums netiek sniegts apgrozāmajiem līdzekļiem. 2.punkta redakcijas precizēšana nemainīs līdz šim spēkā esošos aizdevumu izsniegšanas nosacījumus.</w:t>
            </w:r>
          </w:p>
        </w:tc>
      </w:tr>
      <w:tr w:rsidR="00EA6CD3" w:rsidRPr="00EE57C3"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bCs/>
                <w:sz w:val="26"/>
                <w:szCs w:val="26"/>
                <w:lang w:val="lv-LV"/>
              </w:rPr>
            </w:pPr>
            <w:r w:rsidRPr="00EE57C3">
              <w:rPr>
                <w:iCs/>
                <w:sz w:val="26"/>
                <w:szCs w:val="26"/>
                <w:lang w:val="lv-LV"/>
              </w:rPr>
              <w:t>Projekts šo jomu neskar</w:t>
            </w:r>
            <w:r w:rsidRPr="00EE57C3">
              <w:rPr>
                <w:color w:val="000000"/>
                <w:sz w:val="26"/>
                <w:szCs w:val="26"/>
                <w:lang w:val="lv-LV"/>
              </w:rPr>
              <w:t xml:space="preserve">. </w:t>
            </w:r>
          </w:p>
        </w:tc>
      </w:tr>
    </w:tbl>
    <w:p w:rsidR="00EA6CD3" w:rsidRPr="00EE57C3" w:rsidRDefault="00EA6CD3" w:rsidP="00EA6CD3">
      <w:pPr>
        <w:jc w:val="both"/>
        <w:rPr>
          <w:rFonts w:eastAsia="Times New Roman"/>
          <w:sz w:val="26"/>
          <w:szCs w:val="26"/>
          <w:lang w:val="lv-LV" w:eastAsia="lv-LV"/>
        </w:rPr>
        <w:sectPr w:rsidR="00EA6CD3" w:rsidRPr="00EE57C3" w:rsidSect="00CB6AC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rsidR="00EA6CD3" w:rsidRPr="00EE57C3" w:rsidRDefault="00EA6CD3" w:rsidP="00EA6CD3">
      <w:pPr>
        <w:jc w:val="both"/>
        <w:rPr>
          <w:rFonts w:eastAsia="Times New Roman"/>
          <w:sz w:val="26"/>
          <w:szCs w:val="26"/>
          <w:lang w:val="lv-LV" w:eastAsia="lv-LV"/>
        </w:rPr>
        <w:sectPr w:rsidR="00EA6CD3" w:rsidRPr="00EE57C3" w:rsidSect="00CB6AC4">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EE57C3" w:rsidTr="00CB6AC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spacing w:before="60" w:after="60"/>
              <w:ind w:firstLine="709"/>
              <w:jc w:val="both"/>
              <w:rPr>
                <w:sz w:val="26"/>
                <w:szCs w:val="26"/>
                <w:lang w:val="lv-LV"/>
              </w:rPr>
            </w:pPr>
            <w:r w:rsidRPr="00EE57C3">
              <w:rPr>
                <w:sz w:val="26"/>
                <w:szCs w:val="26"/>
                <w:lang w:val="lv-LV"/>
              </w:rPr>
              <w:t>EM ir izstrādājusi grozījumus MK noteikumos Nr.613:</w:t>
            </w:r>
          </w:p>
          <w:p w:rsidR="00EA6CD3" w:rsidRPr="00EE57C3" w:rsidRDefault="00EA6CD3" w:rsidP="00CB6AC4">
            <w:pPr>
              <w:spacing w:before="60" w:after="60"/>
              <w:ind w:firstLine="709"/>
              <w:jc w:val="both"/>
              <w:rPr>
                <w:sz w:val="26"/>
                <w:szCs w:val="26"/>
                <w:lang w:val="lv-LV"/>
              </w:rPr>
            </w:pPr>
            <w:r w:rsidRPr="00EE57C3">
              <w:rPr>
                <w:sz w:val="26"/>
                <w:szCs w:val="26"/>
                <w:lang w:val="lv-LV"/>
              </w:rPr>
              <w:t xml:space="preserve">1. pielāgojot MK noteikumus Nr.613 pārejai uz </w:t>
            </w:r>
            <w:r w:rsidR="00C85115">
              <w:rPr>
                <w:i/>
                <w:sz w:val="26"/>
                <w:szCs w:val="26"/>
                <w:lang w:val="lv-LV"/>
              </w:rPr>
              <w:t>euro</w:t>
            </w:r>
            <w:r w:rsidR="00C85115" w:rsidRPr="00EE57C3">
              <w:rPr>
                <w:sz w:val="26"/>
                <w:szCs w:val="26"/>
                <w:lang w:val="lv-LV"/>
              </w:rPr>
              <w:t xml:space="preserve"> </w:t>
            </w:r>
            <w:r w:rsidRPr="00EE57C3">
              <w:rPr>
                <w:sz w:val="26"/>
                <w:szCs w:val="26"/>
                <w:lang w:val="lv-LV"/>
              </w:rPr>
              <w:t xml:space="preserve">valūtu – nosakot pieejamā finansējuma un viena aizdevuma apmēru </w:t>
            </w:r>
            <w:r w:rsidR="00C85115">
              <w:rPr>
                <w:i/>
                <w:sz w:val="26"/>
                <w:szCs w:val="26"/>
                <w:lang w:val="lv-LV"/>
              </w:rPr>
              <w:t>euro</w:t>
            </w:r>
            <w:r w:rsidR="00C85115" w:rsidRPr="00EE57C3">
              <w:rPr>
                <w:sz w:val="26"/>
                <w:szCs w:val="26"/>
                <w:lang w:val="lv-LV"/>
              </w:rPr>
              <w:t xml:space="preserve"> </w:t>
            </w:r>
            <w:r w:rsidRPr="00EE57C3">
              <w:rPr>
                <w:sz w:val="26"/>
                <w:szCs w:val="26"/>
                <w:lang w:val="lv-LV"/>
              </w:rPr>
              <w:t xml:space="preserve">valūtā, pamatojoties uz  </w:t>
            </w:r>
            <w:r w:rsidRPr="00EE57C3">
              <w:rPr>
                <w:i/>
                <w:sz w:val="26"/>
                <w:szCs w:val="26"/>
                <w:lang w:val="lv-LV"/>
              </w:rPr>
              <w:t>Euro</w:t>
            </w:r>
            <w:r w:rsidRPr="00EE57C3">
              <w:rPr>
                <w:sz w:val="26"/>
                <w:szCs w:val="26"/>
                <w:lang w:val="lv-LV"/>
              </w:rPr>
              <w:t xml:space="preserve"> ieviešanas kārtības likuma 30.panta pirmo daļu un Ministru kabineta 2012.gada 27.jūnija rīkojuma Nr.282 „Par „Koncepciju par normatīvo aktu sakārtošanu saistībā ar </w:t>
            </w:r>
            <w:r w:rsidRPr="00EE57C3">
              <w:rPr>
                <w:i/>
                <w:sz w:val="26"/>
                <w:szCs w:val="26"/>
                <w:lang w:val="lv-LV"/>
              </w:rPr>
              <w:t>eiro</w:t>
            </w:r>
            <w:r w:rsidRPr="00EE57C3">
              <w:rPr>
                <w:sz w:val="26"/>
                <w:szCs w:val="26"/>
                <w:lang w:val="lv-LV"/>
              </w:rPr>
              <w:t xml:space="preserve"> ieviešanu Latvijā”” 7.1.apakšpunktu;</w:t>
            </w:r>
          </w:p>
          <w:p w:rsidR="00EA6CD3" w:rsidRPr="00EE57C3" w:rsidRDefault="00EA6CD3" w:rsidP="00CB6AC4">
            <w:pPr>
              <w:spacing w:before="60" w:after="60"/>
              <w:ind w:firstLine="709"/>
              <w:jc w:val="both"/>
              <w:rPr>
                <w:sz w:val="26"/>
                <w:szCs w:val="26"/>
                <w:lang w:val="lv-LV"/>
              </w:rPr>
            </w:pPr>
            <w:r w:rsidRPr="00EE57C3">
              <w:rPr>
                <w:sz w:val="26"/>
                <w:szCs w:val="26"/>
                <w:lang w:val="lv-LV"/>
              </w:rPr>
              <w:t>2. pagarinot aizdevumu izsniegšanas termiņu līdz 2014.gada 30.jūnijam, pamatojoties uz Regulas Nr.800/2008 44.panta 3.punktu;</w:t>
            </w:r>
          </w:p>
          <w:p w:rsidR="00EA6CD3" w:rsidRPr="00EE57C3" w:rsidRDefault="00EA6CD3" w:rsidP="00CB6AC4">
            <w:pPr>
              <w:spacing w:before="60" w:after="60"/>
              <w:ind w:firstLine="709"/>
              <w:jc w:val="both"/>
              <w:rPr>
                <w:sz w:val="26"/>
                <w:szCs w:val="26"/>
                <w:lang w:val="lv-LV"/>
              </w:rPr>
            </w:pPr>
            <w:r w:rsidRPr="00EE57C3">
              <w:rPr>
                <w:sz w:val="26"/>
                <w:szCs w:val="26"/>
                <w:lang w:val="lv-LV"/>
              </w:rPr>
              <w:t>3. svītrojot no neatbalstāmo nozaru un darbību saraksta atsevišķas nozares un darbības;</w:t>
            </w:r>
          </w:p>
          <w:p w:rsidR="00EA6CD3" w:rsidRPr="00EE57C3" w:rsidRDefault="00EA6CD3" w:rsidP="00CB6AC4">
            <w:pPr>
              <w:spacing w:before="60" w:after="60"/>
              <w:ind w:firstLine="709"/>
              <w:jc w:val="both"/>
              <w:rPr>
                <w:sz w:val="26"/>
                <w:szCs w:val="26"/>
                <w:lang w:val="lv-LV"/>
              </w:rPr>
            </w:pPr>
            <w:r w:rsidRPr="00EE57C3">
              <w:rPr>
                <w:sz w:val="26"/>
                <w:szCs w:val="26"/>
                <w:lang w:val="lv-LV"/>
              </w:rPr>
              <w:t>4. ierobežojot atbalsta, kas saņemts MK noteikumu Nr.613 ietvaros, savienošanu ar atbalstu citu atbalsta programmu ietvaros par vienām un tām pašam attiecināmajām izmaksām, ja šāds atbalsts sniegts no Eiropas Savienības fondu līdzekļiem.</w:t>
            </w:r>
          </w:p>
          <w:p w:rsidR="00EA6CD3" w:rsidRPr="00EE57C3" w:rsidRDefault="00EA6CD3" w:rsidP="00CB6AC4">
            <w:pPr>
              <w:spacing w:before="60" w:after="60"/>
              <w:ind w:firstLine="709"/>
              <w:jc w:val="both"/>
              <w:rPr>
                <w:sz w:val="26"/>
                <w:szCs w:val="26"/>
                <w:lang w:val="lv-LV"/>
              </w:rPr>
            </w:pPr>
          </w:p>
        </w:tc>
      </w:tr>
      <w:tr w:rsidR="00EA6CD3" w:rsidRPr="00EE57C3" w:rsidTr="00CB6AC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pStyle w:val="BodyText"/>
              <w:ind w:right="142" w:firstLine="720"/>
              <w:rPr>
                <w:sz w:val="26"/>
                <w:szCs w:val="26"/>
              </w:rPr>
            </w:pPr>
            <w:r w:rsidRPr="00EE57C3">
              <w:rPr>
                <w:iCs/>
                <w:sz w:val="26"/>
                <w:szCs w:val="26"/>
              </w:rPr>
              <w:t>Projekts šo jomu neskar</w:t>
            </w:r>
            <w:r w:rsidRPr="00EE57C3">
              <w:rPr>
                <w:sz w:val="26"/>
                <w:szCs w:val="26"/>
              </w:rPr>
              <w:t>.</w:t>
            </w:r>
          </w:p>
        </w:tc>
      </w:tr>
      <w:tr w:rsidR="00EA6CD3" w:rsidRPr="00EE57C3" w:rsidTr="00CB6AC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pStyle w:val="BodyText"/>
              <w:ind w:right="142" w:firstLine="720"/>
              <w:rPr>
                <w:sz w:val="26"/>
                <w:szCs w:val="26"/>
              </w:rPr>
            </w:pPr>
            <w:r w:rsidRPr="00EE57C3">
              <w:rPr>
                <w:iCs/>
                <w:sz w:val="26"/>
                <w:szCs w:val="26"/>
              </w:rPr>
              <w:t>Projekts šo jomu neskar</w:t>
            </w:r>
            <w:r w:rsidRPr="00EE57C3">
              <w:rPr>
                <w:sz w:val="26"/>
                <w:szCs w:val="26"/>
              </w:rPr>
              <w:t>.</w:t>
            </w:r>
          </w:p>
          <w:p w:rsidR="00EA6CD3" w:rsidRPr="00EE57C3" w:rsidRDefault="00EA6CD3" w:rsidP="00CB6AC4">
            <w:pPr>
              <w:pStyle w:val="BodyText"/>
              <w:ind w:right="142" w:firstLine="720"/>
              <w:rPr>
                <w:sz w:val="26"/>
                <w:szCs w:val="26"/>
              </w:rPr>
            </w:pPr>
          </w:p>
        </w:tc>
      </w:tr>
      <w:tr w:rsidR="00EA6CD3" w:rsidRPr="00EE57C3" w:rsidTr="00CB6AC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left="142" w:firstLine="567"/>
              <w:jc w:val="both"/>
              <w:rPr>
                <w:sz w:val="26"/>
                <w:szCs w:val="26"/>
                <w:lang w:val="lv-LV"/>
              </w:rPr>
            </w:pPr>
            <w:r w:rsidRPr="00EE57C3">
              <w:rPr>
                <w:sz w:val="26"/>
                <w:szCs w:val="26"/>
                <w:lang w:val="lv-LV"/>
              </w:rPr>
              <w:t>Nav.</w:t>
            </w:r>
          </w:p>
        </w:tc>
      </w:tr>
    </w:tbl>
    <w:p w:rsidR="00EA6CD3" w:rsidRPr="00EE57C3" w:rsidRDefault="00EA6CD3" w:rsidP="00EA6CD3">
      <w:pPr>
        <w:pStyle w:val="naisf"/>
        <w:spacing w:before="0" w:after="0"/>
        <w:rPr>
          <w:sz w:val="26"/>
          <w:szCs w:val="26"/>
        </w:rPr>
      </w:pPr>
    </w:p>
    <w:p w:rsidR="00EA6CD3" w:rsidRPr="00EE57C3" w:rsidRDefault="00EA6CD3" w:rsidP="00EA6CD3">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EE57C3"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ind w:firstLine="720"/>
              <w:jc w:val="center"/>
              <w:rPr>
                <w:rFonts w:eastAsia="Times New Roman"/>
                <w:b/>
                <w:sz w:val="26"/>
                <w:szCs w:val="26"/>
                <w:lang w:val="lv-LV" w:eastAsia="lv-LV"/>
              </w:rPr>
            </w:pPr>
            <w:r w:rsidRPr="00EE57C3">
              <w:rPr>
                <w:rFonts w:eastAsia="Times New Roman"/>
                <w:b/>
                <w:sz w:val="26"/>
                <w:szCs w:val="26"/>
                <w:lang w:val="lv-LV" w:eastAsia="lv-LV"/>
              </w:rPr>
              <w:t>II. Tiesību akta projekta ietekme uz sabiedrību</w:t>
            </w: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 xml:space="preserve">Sabiedrības </w:t>
            </w:r>
            <w:proofErr w:type="spellStart"/>
            <w:r w:rsidRPr="00EE57C3">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sz w:val="26"/>
                <w:szCs w:val="26"/>
                <w:lang w:val="lv-LV"/>
              </w:rPr>
            </w:pPr>
            <w:r w:rsidRPr="00EE57C3">
              <w:rPr>
                <w:rFonts w:eastAsia="Times New Roman"/>
                <w:sz w:val="26"/>
                <w:szCs w:val="26"/>
                <w:lang w:val="lv-LV" w:eastAsia="lv-LV"/>
              </w:rPr>
              <w:t>LGA</w:t>
            </w: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 xml:space="preserve">Citas sabiedrības grupas (bez </w:t>
            </w:r>
            <w:proofErr w:type="spellStart"/>
            <w:r w:rsidRPr="00EE57C3">
              <w:rPr>
                <w:rFonts w:eastAsia="Times New Roman"/>
                <w:sz w:val="26"/>
                <w:szCs w:val="26"/>
                <w:lang w:val="lv-LV" w:eastAsia="lv-LV"/>
              </w:rPr>
              <w:t>mērķgrupas</w:t>
            </w:r>
            <w:proofErr w:type="spellEnd"/>
            <w:r w:rsidRPr="00EE57C3">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431019" w:rsidRDefault="00431019" w:rsidP="00CB6AC4">
            <w:pPr>
              <w:pStyle w:val="BodyText"/>
              <w:ind w:right="142" w:firstLine="720"/>
              <w:rPr>
                <w:iCs/>
                <w:sz w:val="26"/>
                <w:szCs w:val="26"/>
              </w:rPr>
            </w:pPr>
            <w:r>
              <w:rPr>
                <w:iCs/>
                <w:sz w:val="26"/>
                <w:szCs w:val="26"/>
              </w:rPr>
              <w:t>Paplašinot atbalsta saņēmēju loku, tiek sekmēta finansējuma pieejamība vairumtirgotājiem un mazumtirgotājiem projekta īstenošanai atbilstoši MK noteikumu Nr.613 nosacījumiem.</w:t>
            </w:r>
          </w:p>
          <w:p w:rsidR="00EA6CD3" w:rsidRDefault="00431019" w:rsidP="00CB6AC4">
            <w:pPr>
              <w:pStyle w:val="BodyText"/>
              <w:ind w:right="142" w:firstLine="720"/>
              <w:rPr>
                <w:iCs/>
                <w:sz w:val="26"/>
                <w:szCs w:val="26"/>
              </w:rPr>
            </w:pPr>
            <w:r>
              <w:rPr>
                <w:iCs/>
                <w:sz w:val="26"/>
                <w:szCs w:val="26"/>
              </w:rPr>
              <w:t xml:space="preserve">Tiek sniegtas iespējas saimnieciskās darbības veicējiem saņemt finansējumu </w:t>
            </w:r>
            <w:r w:rsidR="00DB3D04">
              <w:rPr>
                <w:iCs/>
                <w:sz w:val="26"/>
                <w:szCs w:val="26"/>
              </w:rPr>
              <w:t xml:space="preserve">arī </w:t>
            </w:r>
            <w:r>
              <w:rPr>
                <w:iCs/>
                <w:sz w:val="26"/>
                <w:szCs w:val="26"/>
              </w:rPr>
              <w:t xml:space="preserve">projektiem, kas </w:t>
            </w:r>
            <w:r w:rsidR="00DB3D04">
              <w:rPr>
                <w:iCs/>
                <w:sz w:val="26"/>
                <w:szCs w:val="26"/>
              </w:rPr>
              <w:t>paredz</w:t>
            </w:r>
            <w:r>
              <w:rPr>
                <w:iCs/>
                <w:sz w:val="26"/>
                <w:szCs w:val="26"/>
              </w:rPr>
              <w:t xml:space="preserve"> iekārtu nomu, kas</w:t>
            </w:r>
            <w:r w:rsidR="00DB3D04">
              <w:rPr>
                <w:iCs/>
                <w:sz w:val="26"/>
                <w:szCs w:val="26"/>
              </w:rPr>
              <w:t xml:space="preserve"> ir</w:t>
            </w:r>
            <w:r w:rsidR="005464E6">
              <w:rPr>
                <w:iCs/>
                <w:sz w:val="26"/>
                <w:szCs w:val="26"/>
              </w:rPr>
              <w:t xml:space="preserve"> būtiski</w:t>
            </w:r>
            <w:r>
              <w:rPr>
                <w:iCs/>
                <w:sz w:val="26"/>
                <w:szCs w:val="26"/>
              </w:rPr>
              <w:t xml:space="preserve">, lai nodrošinātu </w:t>
            </w:r>
            <w:r w:rsidR="00DB3D04">
              <w:rPr>
                <w:iCs/>
                <w:sz w:val="26"/>
                <w:szCs w:val="26"/>
              </w:rPr>
              <w:t xml:space="preserve">iespējas ražotājiem veikt </w:t>
            </w:r>
            <w:r>
              <w:rPr>
                <w:iCs/>
                <w:sz w:val="26"/>
                <w:szCs w:val="26"/>
              </w:rPr>
              <w:t>sezonālu vai periodisku ražošanu, neveicot kapitāla ieguldījumus.</w:t>
            </w:r>
          </w:p>
          <w:p w:rsidR="00EA6CD3" w:rsidRPr="00EE57C3" w:rsidRDefault="00431019" w:rsidP="005464E6">
            <w:pPr>
              <w:pStyle w:val="BodyText"/>
              <w:ind w:right="142" w:firstLine="708"/>
              <w:rPr>
                <w:sz w:val="26"/>
                <w:szCs w:val="26"/>
              </w:rPr>
            </w:pPr>
            <w:r>
              <w:rPr>
                <w:iCs/>
                <w:sz w:val="26"/>
                <w:szCs w:val="26"/>
              </w:rPr>
              <w:t>Tāpat arī saimnieciskās darbības veicējiem tiek sniegtas iespējas saņemt finansējumu nekustamo in</w:t>
            </w:r>
            <w:r w:rsidR="00DB3D04">
              <w:rPr>
                <w:iCs/>
                <w:sz w:val="26"/>
                <w:szCs w:val="26"/>
              </w:rPr>
              <w:t>dustriālo īpašumu attīstīšanai</w:t>
            </w:r>
            <w:r w:rsidR="005464E6">
              <w:rPr>
                <w:iCs/>
                <w:sz w:val="26"/>
                <w:szCs w:val="26"/>
              </w:rPr>
              <w:t>. M</w:t>
            </w:r>
            <w:r>
              <w:rPr>
                <w:iCs/>
                <w:sz w:val="26"/>
                <w:szCs w:val="26"/>
              </w:rPr>
              <w:t>odernizē</w:t>
            </w:r>
            <w:r w:rsidR="00DB3D04">
              <w:rPr>
                <w:iCs/>
                <w:sz w:val="26"/>
                <w:szCs w:val="26"/>
              </w:rPr>
              <w:t xml:space="preserve">jot </w:t>
            </w:r>
            <w:r w:rsidR="00DB3D04">
              <w:rPr>
                <w:iCs/>
                <w:sz w:val="26"/>
                <w:szCs w:val="26"/>
              </w:rPr>
              <w:lastRenderedPageBreak/>
              <w:t>ražotnes vai būvējot jaunas</w:t>
            </w:r>
            <w:r w:rsidR="005464E6">
              <w:rPr>
                <w:iCs/>
                <w:sz w:val="26"/>
                <w:szCs w:val="26"/>
              </w:rPr>
              <w:t>, tiks</w:t>
            </w:r>
            <w:r w:rsidR="00DB3D04">
              <w:rPr>
                <w:iCs/>
                <w:sz w:val="26"/>
                <w:szCs w:val="26"/>
              </w:rPr>
              <w:t xml:space="preserve"> </w:t>
            </w:r>
            <w:r w:rsidR="005464E6">
              <w:rPr>
                <w:iCs/>
                <w:sz w:val="26"/>
                <w:szCs w:val="26"/>
              </w:rPr>
              <w:t>nodrošinātas</w:t>
            </w:r>
            <w:r w:rsidR="00DB3D04">
              <w:rPr>
                <w:iCs/>
                <w:sz w:val="26"/>
                <w:szCs w:val="26"/>
              </w:rPr>
              <w:t xml:space="preserve"> iespējas attīstīt ražošanu</w:t>
            </w:r>
            <w:r w:rsidR="005464E6">
              <w:rPr>
                <w:iCs/>
                <w:sz w:val="26"/>
                <w:szCs w:val="26"/>
              </w:rPr>
              <w:t>.</w:t>
            </w: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pStyle w:val="BodyText"/>
              <w:ind w:right="142" w:firstLine="720"/>
              <w:rPr>
                <w:sz w:val="26"/>
                <w:szCs w:val="26"/>
              </w:rPr>
            </w:pPr>
            <w:r w:rsidRPr="00EE57C3">
              <w:rPr>
                <w:sz w:val="26"/>
                <w:szCs w:val="26"/>
              </w:rPr>
              <w:t xml:space="preserve">MK noteikumu Nr.613 pielāgošana pārejai uz </w:t>
            </w:r>
            <w:r w:rsidR="00C85115">
              <w:rPr>
                <w:i/>
                <w:sz w:val="26"/>
                <w:szCs w:val="26"/>
              </w:rPr>
              <w:t>euro</w:t>
            </w:r>
            <w:r w:rsidR="00C85115" w:rsidRPr="00EE57C3">
              <w:rPr>
                <w:i/>
                <w:sz w:val="26"/>
                <w:szCs w:val="26"/>
              </w:rPr>
              <w:t xml:space="preserve"> </w:t>
            </w:r>
            <w:r w:rsidRPr="00EE57C3">
              <w:rPr>
                <w:sz w:val="26"/>
                <w:szCs w:val="26"/>
              </w:rPr>
              <w:t>valūtu nerada ietekmi uz pieejamā finansējuma apmēru.</w:t>
            </w:r>
          </w:p>
          <w:p w:rsidR="00EA6CD3" w:rsidRPr="00EE57C3" w:rsidRDefault="00EA6CD3" w:rsidP="00CB6AC4">
            <w:pPr>
              <w:pStyle w:val="BodyText"/>
              <w:ind w:right="142" w:firstLine="720"/>
              <w:rPr>
                <w:sz w:val="26"/>
                <w:szCs w:val="26"/>
              </w:rPr>
            </w:pP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pStyle w:val="BodyText"/>
              <w:ind w:right="142" w:firstLine="720"/>
              <w:rPr>
                <w:sz w:val="26"/>
                <w:szCs w:val="26"/>
              </w:rPr>
            </w:pPr>
            <w:r w:rsidRPr="00EE57C3">
              <w:rPr>
                <w:iCs/>
                <w:sz w:val="26"/>
                <w:szCs w:val="26"/>
              </w:rPr>
              <w:t>Projekts šo jomu neskar</w:t>
            </w:r>
            <w:r w:rsidRPr="00EE57C3">
              <w:rPr>
                <w:sz w:val="26"/>
                <w:szCs w:val="26"/>
              </w:rPr>
              <w:t>.</w:t>
            </w:r>
          </w:p>
          <w:p w:rsidR="00EA6CD3" w:rsidRPr="00EE57C3" w:rsidRDefault="00EA6CD3" w:rsidP="00CB6AC4">
            <w:pPr>
              <w:ind w:firstLine="720"/>
              <w:jc w:val="both"/>
              <w:rPr>
                <w:rFonts w:eastAsia="Times New Roman"/>
                <w:sz w:val="26"/>
                <w:szCs w:val="26"/>
                <w:lang w:val="lv-LV" w:eastAsia="lv-LV"/>
              </w:rPr>
            </w:pP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pStyle w:val="BodyText"/>
              <w:ind w:right="142" w:firstLine="720"/>
              <w:rPr>
                <w:sz w:val="26"/>
                <w:szCs w:val="26"/>
              </w:rPr>
            </w:pPr>
            <w:r w:rsidRPr="00EE57C3">
              <w:rPr>
                <w:iCs/>
                <w:sz w:val="26"/>
                <w:szCs w:val="26"/>
              </w:rPr>
              <w:t>Projekts šo jomu neskar</w:t>
            </w:r>
            <w:r w:rsidRPr="00EE57C3">
              <w:rPr>
                <w:sz w:val="26"/>
                <w:szCs w:val="26"/>
              </w:rPr>
              <w:t>.</w:t>
            </w:r>
          </w:p>
          <w:p w:rsidR="00EA6CD3" w:rsidRPr="00EE57C3" w:rsidRDefault="00EA6CD3" w:rsidP="00CB6AC4">
            <w:pPr>
              <w:ind w:firstLine="720"/>
              <w:jc w:val="both"/>
              <w:rPr>
                <w:rFonts w:eastAsia="Times New Roman"/>
                <w:sz w:val="26"/>
                <w:szCs w:val="26"/>
                <w:lang w:val="lv-LV" w:eastAsia="lv-LV"/>
              </w:rPr>
            </w:pP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pStyle w:val="BodyText"/>
              <w:ind w:right="142" w:firstLine="720"/>
              <w:rPr>
                <w:sz w:val="26"/>
                <w:szCs w:val="26"/>
              </w:rPr>
            </w:pPr>
            <w:r w:rsidRPr="00EE57C3">
              <w:rPr>
                <w:iCs/>
                <w:sz w:val="26"/>
                <w:szCs w:val="26"/>
              </w:rPr>
              <w:t>Projekts šo jomu neskar</w:t>
            </w:r>
            <w:r w:rsidRPr="00EE57C3">
              <w:rPr>
                <w:sz w:val="26"/>
                <w:szCs w:val="26"/>
              </w:rPr>
              <w:t>.</w:t>
            </w:r>
          </w:p>
          <w:p w:rsidR="00EA6CD3" w:rsidRPr="00EE57C3" w:rsidRDefault="00EA6CD3" w:rsidP="00CB6AC4">
            <w:pPr>
              <w:ind w:firstLine="720"/>
              <w:jc w:val="both"/>
              <w:rPr>
                <w:rFonts w:eastAsia="Times New Roman"/>
                <w:sz w:val="26"/>
                <w:szCs w:val="26"/>
                <w:lang w:val="lv-LV" w:eastAsia="lv-LV"/>
              </w:rPr>
            </w:pPr>
          </w:p>
        </w:tc>
      </w:tr>
      <w:tr w:rsidR="00EA6CD3" w:rsidRPr="00EE57C3"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Nav.</w:t>
            </w:r>
          </w:p>
        </w:tc>
      </w:tr>
    </w:tbl>
    <w:p w:rsidR="00EA6CD3" w:rsidRPr="00EE57C3" w:rsidRDefault="00EA6CD3" w:rsidP="00EA6CD3">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2168"/>
        <w:gridCol w:w="1394"/>
        <w:gridCol w:w="1394"/>
        <w:gridCol w:w="1394"/>
        <w:gridCol w:w="1394"/>
        <w:gridCol w:w="1328"/>
      </w:tblGrid>
      <w:tr w:rsidR="00CB6AC4" w:rsidRPr="004C64F4" w:rsidTr="003C3D3D">
        <w:trPr>
          <w:trHeight w:val="623"/>
        </w:trPr>
        <w:tc>
          <w:tcPr>
            <w:tcW w:w="908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CB6AC4" w:rsidRPr="00CB6AC4" w:rsidRDefault="00CB6AC4" w:rsidP="00CB6AC4">
            <w:pPr>
              <w:ind w:firstLine="720"/>
              <w:jc w:val="both"/>
              <w:rPr>
                <w:rFonts w:eastAsia="Times New Roman"/>
                <w:b/>
                <w:sz w:val="26"/>
                <w:szCs w:val="26"/>
                <w:lang w:val="lv-LV" w:eastAsia="lv-LV"/>
              </w:rPr>
            </w:pPr>
            <w:r w:rsidRPr="00CB6AC4">
              <w:rPr>
                <w:rFonts w:eastAsia="Times New Roman"/>
                <w:b/>
                <w:sz w:val="26"/>
                <w:szCs w:val="26"/>
                <w:lang w:val="lv-LV" w:eastAsia="lv-LV"/>
              </w:rPr>
              <w:br w:type="page"/>
              <w:t>III. Tiesību akta projekta ietekme uz valsts budžetu un pašvaldību budžetiem</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CB6AC4" w:rsidRPr="004C64F4" w:rsidRDefault="00CB6AC4" w:rsidP="00CB6AC4">
            <w:pPr>
              <w:pStyle w:val="naisf"/>
              <w:spacing w:before="0" w:after="0"/>
              <w:jc w:val="center"/>
              <w:rPr>
                <w:b/>
                <w:sz w:val="26"/>
                <w:szCs w:val="26"/>
              </w:rPr>
            </w:pPr>
            <w:r w:rsidRPr="004C64F4">
              <w:rPr>
                <w:b/>
                <w:sz w:val="26"/>
                <w:szCs w:val="26"/>
              </w:rPr>
              <w:t>Rādītāji</w:t>
            </w:r>
          </w:p>
        </w:tc>
        <w:tc>
          <w:tcPr>
            <w:tcW w:w="2788" w:type="dxa"/>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CB6AC4" w:rsidRPr="004C64F4" w:rsidRDefault="00CB6AC4" w:rsidP="00CB6AC4">
            <w:pPr>
              <w:pStyle w:val="naisf"/>
              <w:spacing w:before="0" w:after="0"/>
              <w:jc w:val="center"/>
              <w:rPr>
                <w:b/>
                <w:sz w:val="26"/>
                <w:szCs w:val="26"/>
              </w:rPr>
            </w:pPr>
            <w:r w:rsidRPr="004C64F4">
              <w:rPr>
                <w:b/>
                <w:sz w:val="26"/>
                <w:szCs w:val="26"/>
              </w:rPr>
              <w:t>2013.</w:t>
            </w:r>
          </w:p>
        </w:tc>
        <w:tc>
          <w:tcPr>
            <w:tcW w:w="4116" w:type="dxa"/>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CB6AC4" w:rsidRPr="004C64F4" w:rsidRDefault="00CB6AC4" w:rsidP="00CB6AC4">
            <w:pPr>
              <w:pStyle w:val="naisf"/>
              <w:spacing w:before="0" w:after="0"/>
              <w:jc w:val="center"/>
              <w:rPr>
                <w:b/>
                <w:i/>
                <w:sz w:val="26"/>
                <w:szCs w:val="26"/>
              </w:rPr>
            </w:pPr>
            <w:r w:rsidRPr="008D264E">
              <w:rPr>
                <w:sz w:val="26"/>
                <w:szCs w:val="26"/>
              </w:rPr>
              <w:t>Turpmākie trīs gadi (</w:t>
            </w:r>
            <w:proofErr w:type="spellStart"/>
            <w:r w:rsidRPr="008D264E">
              <w:rPr>
                <w:sz w:val="26"/>
                <w:szCs w:val="26"/>
              </w:rPr>
              <w:t>tūkst</w:t>
            </w:r>
            <w:proofErr w:type="spellEnd"/>
            <w:smartTag w:uri="schemas-tilde-lv/tildestengine" w:element="currency2">
              <w:smartTagPr>
                <w:attr w:name="currency_text" w:val="latu"/>
                <w:attr w:name="currency_value" w:val="."/>
                <w:attr w:name="currency_key" w:val="LVL"/>
                <w:attr w:name="currency_id" w:val="48"/>
              </w:smartTagPr>
              <w:r w:rsidRPr="008D264E">
                <w:rPr>
                  <w:sz w:val="26"/>
                  <w:szCs w:val="26"/>
                </w:rPr>
                <w:t>. latu</w:t>
              </w:r>
            </w:smartTag>
            <w:r w:rsidRPr="008D264E">
              <w:rPr>
                <w:sz w:val="26"/>
                <w:szCs w:val="26"/>
              </w:rPr>
              <w:t>)</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CB6AC4" w:rsidRPr="004C64F4" w:rsidRDefault="00CB6AC4" w:rsidP="00CB6AC4">
            <w:pPr>
              <w:rPr>
                <w:rFonts w:eastAsia="Times New Roman"/>
                <w:b/>
                <w:sz w:val="26"/>
                <w:szCs w:val="26"/>
                <w:lang w:val="lv-LV" w:eastAsia="lv-LV"/>
              </w:rPr>
            </w:pPr>
          </w:p>
        </w:tc>
        <w:tc>
          <w:tcPr>
            <w:tcW w:w="2788" w:type="dxa"/>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CB6AC4" w:rsidRPr="004C64F4" w:rsidRDefault="00CB6AC4" w:rsidP="00CB6AC4">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
                <w:i/>
                <w:sz w:val="26"/>
                <w:szCs w:val="26"/>
              </w:rPr>
            </w:pPr>
            <w:r w:rsidRPr="008D264E">
              <w:rPr>
                <w:b/>
                <w:bCs/>
                <w:sz w:val="26"/>
                <w:szCs w:val="26"/>
              </w:rPr>
              <w:t>201</w:t>
            </w:r>
            <w:r w:rsidRPr="004C64F4">
              <w:rPr>
                <w:b/>
                <w:bCs/>
                <w:sz w:val="26"/>
                <w:szCs w:val="26"/>
              </w:rPr>
              <w:t>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rPr>
                <w:b/>
                <w:i/>
                <w:sz w:val="26"/>
                <w:szCs w:val="26"/>
              </w:rPr>
            </w:pPr>
            <w:r w:rsidRPr="004C64F4">
              <w:rPr>
                <w:b/>
                <w:bCs/>
                <w:sz w:val="26"/>
                <w:szCs w:val="26"/>
              </w:rPr>
              <w:t>2015.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
                <w:i/>
                <w:sz w:val="26"/>
                <w:szCs w:val="26"/>
              </w:rPr>
            </w:pPr>
            <w:r w:rsidRPr="004C64F4">
              <w:rPr>
                <w:b/>
                <w:bCs/>
                <w:sz w:val="26"/>
                <w:szCs w:val="26"/>
              </w:rPr>
              <w:t>2016.</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CB6AC4" w:rsidRPr="004C64F4" w:rsidRDefault="00CB6AC4" w:rsidP="00CB6AC4">
            <w:pPr>
              <w:rPr>
                <w:rFonts w:eastAsia="Times New Roman"/>
                <w:b/>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ind w:firstLine="0"/>
              <w:rPr>
                <w:b/>
                <w:i/>
                <w:sz w:val="26"/>
                <w:szCs w:val="26"/>
              </w:rPr>
            </w:pPr>
            <w:r w:rsidRPr="004C64F4">
              <w:rPr>
                <w:sz w:val="26"/>
                <w:szCs w:val="26"/>
              </w:rPr>
              <w:t>Saskaņā ar valsts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ind w:firstLine="0"/>
              <w:rPr>
                <w:b/>
                <w:i/>
                <w:sz w:val="26"/>
                <w:szCs w:val="26"/>
              </w:rPr>
            </w:pPr>
            <w:r w:rsidRPr="004C64F4">
              <w:rPr>
                <w:sz w:val="26"/>
                <w:szCs w:val="26"/>
              </w:rPr>
              <w:t>Izmaiņas kārtējā gadā, salīdzinot ar budžetu kārtējam gadam</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ind w:firstLine="0"/>
              <w:rPr>
                <w:b/>
                <w:i/>
                <w:sz w:val="26"/>
                <w:szCs w:val="26"/>
              </w:rPr>
            </w:pPr>
            <w:r w:rsidRPr="004C64F4">
              <w:rPr>
                <w:sz w:val="26"/>
                <w:szCs w:val="26"/>
              </w:rPr>
              <w:t>Izmaiņas, salīdzinot ar kārtējo (n) gadu</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ind w:firstLine="0"/>
              <w:rPr>
                <w:b/>
                <w:i/>
                <w:sz w:val="26"/>
                <w:szCs w:val="26"/>
              </w:rPr>
            </w:pPr>
            <w:r w:rsidRPr="004C64F4">
              <w:rPr>
                <w:sz w:val="26"/>
                <w:szCs w:val="26"/>
              </w:rPr>
              <w:t>Izmaiņas, salīdzinot ar kārtējo (n) gadu</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ind w:firstLine="0"/>
              <w:rPr>
                <w:b/>
                <w:i/>
                <w:sz w:val="26"/>
                <w:szCs w:val="26"/>
              </w:rPr>
            </w:pPr>
            <w:r w:rsidRPr="004C64F4">
              <w:rPr>
                <w:sz w:val="26"/>
                <w:szCs w:val="26"/>
              </w:rPr>
              <w:t>Izmaiņas, salīdzinot ar kārtējo (n) gadu</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1</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2</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3</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4</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5</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pStyle w:val="naisf"/>
              <w:spacing w:before="0" w:after="0"/>
              <w:jc w:val="center"/>
              <w:rPr>
                <w:bCs/>
                <w:sz w:val="26"/>
                <w:szCs w:val="26"/>
              </w:rPr>
            </w:pPr>
            <w:r w:rsidRPr="004C64F4">
              <w:rPr>
                <w:bCs/>
                <w:sz w:val="26"/>
                <w:szCs w:val="26"/>
              </w:rPr>
              <w:t>6</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hanging="104"/>
              <w:jc w:val="left"/>
              <w:rPr>
                <w:i/>
                <w:sz w:val="26"/>
                <w:szCs w:val="26"/>
              </w:rPr>
            </w:pPr>
            <w:r w:rsidRPr="004C64F4">
              <w:rPr>
                <w:sz w:val="26"/>
                <w:szCs w:val="26"/>
              </w:rPr>
              <w:t>1. Budžeta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hanging="104"/>
              <w:jc w:val="left"/>
              <w:rPr>
                <w:i/>
                <w:sz w:val="26"/>
                <w:szCs w:val="26"/>
              </w:rPr>
            </w:pPr>
            <w:r w:rsidRPr="004C64F4">
              <w:rPr>
                <w:sz w:val="26"/>
                <w:szCs w:val="26"/>
              </w:rPr>
              <w:t>1.1. valsts pamatbudžets, tai skaitā ieņēmumi no maksas pakalpojumiem un citi pašu ieņēmumi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jc w:val="left"/>
              <w:rPr>
                <w:i/>
                <w:sz w:val="26"/>
                <w:szCs w:val="26"/>
              </w:rPr>
            </w:pPr>
            <w:r w:rsidRPr="004C64F4">
              <w:rPr>
                <w:sz w:val="26"/>
                <w:szCs w:val="26"/>
              </w:rPr>
              <w:t>1.2.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jc w:val="left"/>
              <w:rPr>
                <w:i/>
                <w:sz w:val="26"/>
                <w:szCs w:val="26"/>
              </w:rPr>
            </w:pPr>
            <w:r w:rsidRPr="004C64F4">
              <w:rPr>
                <w:sz w:val="26"/>
                <w:szCs w:val="26"/>
              </w:rPr>
              <w:lastRenderedPageBreak/>
              <w:t>1.3. pašvaldību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2. Budžeta izdevumi:</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2.1. valsts 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2.2. valsts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 xml:space="preserve">2.3.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3. Finansiālā ietekme:</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CB6AC4" w:rsidRPr="004C64F4" w:rsidRDefault="00CB6AC4" w:rsidP="00CB6AC4">
            <w:pPr>
              <w:pStyle w:val="naisf"/>
              <w:spacing w:before="0" w:after="0"/>
              <w:jc w:val="cente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3.1. valsts pamatbudžets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rPr>
                <w:i/>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vertAlign w:val="subscript"/>
              </w:rPr>
            </w:pPr>
            <w:proofErr w:type="spellStart"/>
            <w:r w:rsidRPr="004C64F4">
              <w:rPr>
                <w:sz w:val="26"/>
                <w:szCs w:val="26"/>
              </w:rPr>
              <w:t>Nav</w:t>
            </w:r>
            <w:proofErr w:type="spellEnd"/>
            <w:r w:rsidRPr="004C64F4">
              <w:rPr>
                <w:sz w:val="26"/>
                <w:szCs w:val="26"/>
              </w:rPr>
              <w:t xml:space="preserve"> </w:t>
            </w:r>
            <w:proofErr w:type="spellStart"/>
            <w:r w:rsidRPr="004C64F4">
              <w:rPr>
                <w:sz w:val="26"/>
                <w:szCs w:val="26"/>
              </w:rPr>
              <w:t>attiecināms</w:t>
            </w:r>
            <w:proofErr w:type="spellEnd"/>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ind w:firstLine="0"/>
              <w:rPr>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3.2. speciālais budžets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 xml:space="preserve">3.3. pašvaldību budžets </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i/>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4. Finanšu līdzekļi papildu izde</w:t>
            </w:r>
            <w:r w:rsidRPr="004C64F4">
              <w:rPr>
                <w:sz w:val="26"/>
                <w:szCs w:val="26"/>
                <w:lang w:val="lv-LV"/>
              </w:rPr>
              <w:softHyphen/>
              <w:t>vumu finansēšanai (kompensējošu izdevumu samazinājumu norāda ar "+" zīmi)</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CB6AC4" w:rsidRPr="004C64F4" w:rsidRDefault="00CB6AC4" w:rsidP="00CB6AC4">
            <w:pPr>
              <w:pStyle w:val="naisf"/>
              <w:spacing w:before="0" w:after="0"/>
              <w:jc w:val="left"/>
              <w:rPr>
                <w:sz w:val="26"/>
                <w:szCs w:val="26"/>
              </w:rPr>
            </w:pPr>
            <w:r w:rsidRPr="004C64F4">
              <w:rPr>
                <w:sz w:val="26"/>
                <w:szCs w:val="26"/>
              </w:rPr>
              <w:t>X</w:t>
            </w:r>
          </w:p>
          <w:p w:rsidR="00CB6AC4" w:rsidRPr="004C64F4" w:rsidRDefault="00CB6AC4" w:rsidP="00CB6AC4">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sz w:val="26"/>
                <w:szCs w:val="26"/>
                <w:lang w:val="lv-LV"/>
              </w:rPr>
            </w:pP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jc w:val="left"/>
              <w:rPr>
                <w:b/>
                <w:sz w:val="26"/>
                <w:szCs w:val="26"/>
              </w:rPr>
            </w:pPr>
            <w:r w:rsidRPr="004C64F4">
              <w:rPr>
                <w:sz w:val="26"/>
                <w:szCs w:val="26"/>
              </w:rPr>
              <w:t>Nav 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5. Precizēta finansiālā ietekme:</w:t>
            </w:r>
          </w:p>
        </w:tc>
        <w:tc>
          <w:tcPr>
            <w:tcW w:w="1394" w:type="dxa"/>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CB6AC4" w:rsidRPr="004C64F4" w:rsidRDefault="00CB6AC4" w:rsidP="00CB6AC4">
            <w:pPr>
              <w:pStyle w:val="naisf"/>
              <w:spacing w:before="0" w:after="0"/>
              <w:jc w:val="left"/>
              <w:rPr>
                <w:sz w:val="26"/>
                <w:szCs w:val="26"/>
              </w:rPr>
            </w:pPr>
            <w:r w:rsidRPr="004C64F4">
              <w:rPr>
                <w:sz w:val="26"/>
                <w:szCs w:val="26"/>
              </w:rPr>
              <w:t>X</w:t>
            </w:r>
          </w:p>
          <w:p w:rsidR="00CB6AC4" w:rsidRPr="004C64F4" w:rsidRDefault="00CB6AC4" w:rsidP="00CB6AC4">
            <w:pPr>
              <w:pStyle w:val="naisf"/>
              <w:spacing w:before="0" w:after="0"/>
              <w:jc w:val="center"/>
              <w:rPr>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 xml:space="preserve">5.1. valsts </w:t>
            </w:r>
            <w:r w:rsidRPr="004C64F4">
              <w:rPr>
                <w:sz w:val="26"/>
                <w:szCs w:val="26"/>
                <w:lang w:val="lv-LV"/>
              </w:rPr>
              <w:lastRenderedPageBreak/>
              <w:t>pamatbudžets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vertAlign w:val="subscript"/>
                <w:lang w:val="lv-LV"/>
              </w:rPr>
            </w:pPr>
            <w:r w:rsidRPr="004C64F4">
              <w:rPr>
                <w:sz w:val="26"/>
                <w:szCs w:val="26"/>
                <w:lang w:val="lv-LV"/>
              </w:rPr>
              <w:t xml:space="preserve">Nav </w:t>
            </w:r>
            <w:r w:rsidRPr="004C64F4">
              <w:rPr>
                <w:sz w:val="26"/>
                <w:szCs w:val="26"/>
                <w:lang w:val="lv-LV"/>
              </w:rPr>
              <w:lastRenderedPageBreak/>
              <w:t>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rPr>
                <w:sz w:val="26"/>
                <w:szCs w:val="26"/>
              </w:rPr>
            </w:pPr>
            <w:r w:rsidRPr="004C64F4">
              <w:rPr>
                <w:sz w:val="26"/>
                <w:szCs w:val="26"/>
              </w:rPr>
              <w:lastRenderedPageBreak/>
              <w:t xml:space="preserve">Nav </w:t>
            </w:r>
            <w:r w:rsidRPr="004C64F4">
              <w:rPr>
                <w:sz w:val="26"/>
                <w:szCs w:val="26"/>
              </w:rPr>
              <w:lastRenderedPageBreak/>
              <w:t>attiecināms</w:t>
            </w: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rPr>
                <w:sz w:val="26"/>
                <w:szCs w:val="26"/>
              </w:rPr>
            </w:pPr>
            <w:r w:rsidRPr="004C64F4">
              <w:rPr>
                <w:sz w:val="26"/>
                <w:szCs w:val="26"/>
              </w:rPr>
              <w:lastRenderedPageBreak/>
              <w:t xml:space="preserve">Nav </w:t>
            </w:r>
            <w:r w:rsidRPr="004C64F4">
              <w:rPr>
                <w:sz w:val="26"/>
                <w:szCs w:val="26"/>
              </w:rPr>
              <w:lastRenderedPageBreak/>
              <w:t>attiecināms</w:t>
            </w: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pStyle w:val="naisf"/>
              <w:spacing w:before="0" w:after="0"/>
              <w:rPr>
                <w:sz w:val="26"/>
                <w:szCs w:val="26"/>
              </w:rPr>
            </w:pPr>
            <w:r w:rsidRPr="004C64F4">
              <w:rPr>
                <w:sz w:val="26"/>
                <w:szCs w:val="26"/>
              </w:rPr>
              <w:lastRenderedPageBreak/>
              <w:t xml:space="preserve">Nav </w:t>
            </w:r>
            <w:r w:rsidRPr="004C64F4">
              <w:rPr>
                <w:sz w:val="26"/>
                <w:szCs w:val="26"/>
              </w:rPr>
              <w:lastRenderedPageBreak/>
              <w:t>attiecināms</w:t>
            </w: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lastRenderedPageBreak/>
              <w:t>5.2. speciālais budžets</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CB6AC4" w:rsidRPr="004C64F4" w:rsidRDefault="00CB6AC4" w:rsidP="00CB6AC4">
            <w:pPr>
              <w:rPr>
                <w:sz w:val="26"/>
                <w:szCs w:val="26"/>
                <w:lang w:val="lv-LV"/>
              </w:rPr>
            </w:pPr>
            <w:r w:rsidRPr="004C64F4">
              <w:rPr>
                <w:sz w:val="26"/>
                <w:szCs w:val="26"/>
                <w:lang w:val="lv-LV"/>
              </w:rPr>
              <w:t xml:space="preserve">5.3. pašvaldību budžets </w:t>
            </w:r>
          </w:p>
        </w:tc>
        <w:tc>
          <w:tcPr>
            <w:tcW w:w="1394" w:type="dxa"/>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CB6AC4" w:rsidRPr="004C64F4" w:rsidRDefault="00CB6AC4" w:rsidP="00CB6AC4">
            <w:pPr>
              <w:rPr>
                <w:rFonts w:eastAsia="Times New Roman"/>
                <w:sz w:val="26"/>
                <w:szCs w:val="26"/>
                <w:lang w:val="lv-LV" w:eastAsia="lv-LV"/>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94"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c>
          <w:tcPr>
            <w:tcW w:w="1328" w:type="dxa"/>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CB6AC4" w:rsidRPr="004C64F4" w:rsidRDefault="00CB6AC4" w:rsidP="00CB6AC4">
            <w:pPr>
              <w:pStyle w:val="naisf"/>
              <w:spacing w:before="0" w:after="0"/>
              <w:rPr>
                <w:b/>
                <w:sz w:val="26"/>
                <w:szCs w:val="26"/>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CB6AC4" w:rsidRPr="004C64F4" w:rsidRDefault="00CB6AC4" w:rsidP="00CB6AC4">
            <w:pPr>
              <w:rPr>
                <w:sz w:val="26"/>
                <w:szCs w:val="26"/>
                <w:lang w:val="lv-LV"/>
              </w:rPr>
            </w:pPr>
            <w:r w:rsidRPr="004C64F4">
              <w:rPr>
                <w:sz w:val="26"/>
                <w:szCs w:val="26"/>
                <w:lang w:val="lv-LV"/>
              </w:rPr>
              <w:t>6. Detalizēts ieņēmumu un izdevu</w:t>
            </w:r>
            <w:r w:rsidRPr="004C64F4">
              <w:rPr>
                <w:sz w:val="26"/>
                <w:szCs w:val="26"/>
                <w:lang w:val="lv-LV"/>
              </w:rPr>
              <w:softHyphen/>
              <w:t>mu aprēķins (ja nepieciešams, detalizētu ieņēmumu un izdevumu aprēķinu var pievienot anotācijas pielikumā):</w:t>
            </w:r>
          </w:p>
        </w:tc>
        <w:tc>
          <w:tcPr>
            <w:tcW w:w="6904" w:type="dxa"/>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CB6AC4" w:rsidRPr="004C64F4" w:rsidRDefault="00CB6AC4" w:rsidP="00CB6AC4">
            <w:pPr>
              <w:ind w:firstLine="451"/>
              <w:jc w:val="both"/>
              <w:rPr>
                <w:sz w:val="26"/>
                <w:szCs w:val="26"/>
                <w:lang w:val="lv-LV"/>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CB6AC4" w:rsidRPr="004C64F4" w:rsidRDefault="00CB6AC4" w:rsidP="00CB6AC4">
            <w:pPr>
              <w:rPr>
                <w:sz w:val="26"/>
                <w:szCs w:val="26"/>
                <w:lang w:val="lv-LV"/>
              </w:rPr>
            </w:pPr>
            <w:r w:rsidRPr="004C64F4">
              <w:rPr>
                <w:sz w:val="26"/>
                <w:szCs w:val="26"/>
                <w:lang w:val="lv-LV"/>
              </w:rPr>
              <w:t>6.1. detalizēts ieņēmumu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CB6AC4" w:rsidRPr="004C64F4" w:rsidRDefault="00CB6AC4" w:rsidP="00CB6AC4">
            <w:pPr>
              <w:rPr>
                <w:sz w:val="26"/>
                <w:szCs w:val="26"/>
                <w:lang w:val="lv-LV"/>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Height w:val="585"/>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CB6AC4" w:rsidRPr="004C64F4" w:rsidRDefault="00CB6AC4" w:rsidP="00CB6AC4">
            <w:pPr>
              <w:rPr>
                <w:sz w:val="26"/>
                <w:szCs w:val="26"/>
                <w:lang w:val="lv-LV"/>
              </w:rPr>
            </w:pPr>
            <w:r w:rsidRPr="004C64F4">
              <w:rPr>
                <w:sz w:val="26"/>
                <w:szCs w:val="26"/>
                <w:lang w:val="lv-LV"/>
              </w:rPr>
              <w:t>6.2. detalizēts izdevumu aprēķins</w:t>
            </w:r>
          </w:p>
        </w:tc>
        <w:tc>
          <w:tcPr>
            <w:tcW w:w="6904" w:type="dxa"/>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CB6AC4" w:rsidRPr="004C64F4" w:rsidRDefault="00CB6AC4" w:rsidP="00CB6AC4">
            <w:pPr>
              <w:rPr>
                <w:sz w:val="26"/>
                <w:szCs w:val="26"/>
                <w:lang w:val="lv-LV"/>
              </w:rPr>
            </w:pPr>
          </w:p>
        </w:tc>
      </w:tr>
      <w:tr w:rsidR="00CB6AC4" w:rsidRPr="004C64F4" w:rsidTr="003C3D3D">
        <w:tblPrEx>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PrEx>
        <w:trPr>
          <w:gridBefore w:val="1"/>
          <w:wBefore w:w="15" w:type="dxa"/>
        </w:trPr>
        <w:tc>
          <w:tcPr>
            <w:tcW w:w="2168" w:type="dxa"/>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CB6AC4" w:rsidRPr="004C64F4" w:rsidRDefault="00CB6AC4" w:rsidP="00CB6AC4">
            <w:pPr>
              <w:rPr>
                <w:sz w:val="26"/>
                <w:szCs w:val="26"/>
                <w:lang w:val="lv-LV"/>
              </w:rPr>
            </w:pPr>
            <w:r w:rsidRPr="004C64F4">
              <w:rPr>
                <w:sz w:val="26"/>
                <w:szCs w:val="26"/>
                <w:lang w:val="lv-LV"/>
              </w:rPr>
              <w:t>7. Cita informācija</w:t>
            </w:r>
          </w:p>
        </w:tc>
        <w:tc>
          <w:tcPr>
            <w:tcW w:w="6904" w:type="dxa"/>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CB6AC4" w:rsidRPr="004C64F4" w:rsidRDefault="00CB6AC4" w:rsidP="000B3449">
            <w:pPr>
              <w:spacing w:after="120"/>
              <w:jc w:val="both"/>
              <w:rPr>
                <w:bCs/>
                <w:color w:val="000000"/>
                <w:sz w:val="26"/>
                <w:szCs w:val="26"/>
                <w:lang w:val="lv-LV"/>
              </w:rPr>
            </w:pPr>
            <w:r w:rsidRPr="004C64F4">
              <w:rPr>
                <w:bCs/>
                <w:color w:val="000000"/>
                <w:sz w:val="26"/>
                <w:szCs w:val="26"/>
                <w:lang w:val="lv-LV"/>
              </w:rPr>
              <w:t xml:space="preserve">Grozījumu ietekmi saistībā ar pāreju uz </w:t>
            </w:r>
            <w:r w:rsidRPr="004C64F4">
              <w:rPr>
                <w:bCs/>
                <w:i/>
                <w:color w:val="000000"/>
                <w:sz w:val="26"/>
                <w:szCs w:val="26"/>
                <w:lang w:val="lv-LV"/>
              </w:rPr>
              <w:t>euro</w:t>
            </w:r>
            <w:r w:rsidRPr="004C64F4">
              <w:rPr>
                <w:bCs/>
                <w:color w:val="000000"/>
                <w:sz w:val="26"/>
                <w:szCs w:val="26"/>
                <w:lang w:val="lv-LV"/>
              </w:rPr>
              <w:t xml:space="preserve"> iespējams segt, nemainot attiecīgajās budžeta programmās vai apakšprogrammās finansējuma sadalījumu pa ieņēmumu, izdevumu vai finansēšanas klasifikācijas kodiem. </w:t>
            </w:r>
          </w:p>
        </w:tc>
      </w:tr>
    </w:tbl>
    <w:p w:rsidR="005464E6" w:rsidRDefault="005464E6"/>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EE57C3"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ind w:firstLine="720"/>
              <w:jc w:val="both"/>
              <w:rPr>
                <w:rFonts w:eastAsia="Times New Roman"/>
                <w:b/>
                <w:sz w:val="26"/>
                <w:szCs w:val="26"/>
                <w:lang w:val="lv-LV" w:eastAsia="lv-LV"/>
              </w:rPr>
            </w:pPr>
            <w:r w:rsidRPr="00EE57C3">
              <w:rPr>
                <w:rFonts w:eastAsia="Times New Roman"/>
                <w:b/>
                <w:sz w:val="26"/>
                <w:szCs w:val="26"/>
                <w:lang w:val="lv-LV" w:eastAsia="lv-LV"/>
              </w:rPr>
              <w:t>IV. Tiesību akta projekta ietekme uz spēkā esošo tiesību normu sistēmu</w:t>
            </w:r>
          </w:p>
        </w:tc>
      </w:tr>
      <w:tr w:rsidR="00EA6CD3" w:rsidRPr="00EE57C3"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pStyle w:val="BodyText"/>
              <w:ind w:right="142" w:firstLine="720"/>
              <w:rPr>
                <w:sz w:val="26"/>
                <w:szCs w:val="26"/>
              </w:rPr>
            </w:pPr>
            <w:r w:rsidRPr="00EE57C3">
              <w:rPr>
                <w:sz w:val="26"/>
                <w:szCs w:val="26"/>
              </w:rPr>
              <w:t xml:space="preserve"> Vienlaicīgi ar grozījumiem MK noteikumos Nr.613 tiek virzīti arī grozījumi Ministru kabineta 2011.gada 2.augusta noteikumos Nr.614 Noteikumi par darbības programmas „Uzņēmējdarbība un inovācijas”</w:t>
            </w:r>
            <w:r w:rsidR="00C85115">
              <w:rPr>
                <w:sz w:val="26"/>
                <w:szCs w:val="26"/>
              </w:rPr>
              <w:t xml:space="preserve"> </w:t>
            </w:r>
            <w:r w:rsidRPr="00EE57C3">
              <w:rPr>
                <w:sz w:val="26"/>
                <w:szCs w:val="26"/>
              </w:rPr>
              <w:t>papildinājuma 2.2.1.4.2.apakšaktivitāti „Mezanīna aizdevumi investīcijām komersantu konkurētspējas uzlabošanai”.</w:t>
            </w:r>
          </w:p>
          <w:p w:rsidR="00EA6CD3" w:rsidRPr="00EE57C3" w:rsidRDefault="00EA6CD3" w:rsidP="00CB6AC4">
            <w:pPr>
              <w:pStyle w:val="BodyText"/>
              <w:ind w:right="142" w:firstLine="720"/>
              <w:rPr>
                <w:sz w:val="26"/>
                <w:szCs w:val="26"/>
              </w:rPr>
            </w:pPr>
          </w:p>
        </w:tc>
      </w:tr>
      <w:tr w:rsidR="00EA6CD3" w:rsidRPr="00EE57C3"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lastRenderedPageBreak/>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Nepieciešams veikt grozījumus līgumā par projekta īstenošanu ar LGA.</w:t>
            </w:r>
          </w:p>
        </w:tc>
      </w:tr>
    </w:tbl>
    <w:p w:rsidR="00EA6CD3" w:rsidRPr="00EE57C3" w:rsidRDefault="00EA6CD3" w:rsidP="00EA6CD3">
      <w:pPr>
        <w:rPr>
          <w:sz w:val="26"/>
          <w:szCs w:val="26"/>
          <w:lang w:val="lv-LV"/>
        </w:rPr>
      </w:pPr>
    </w:p>
    <w:p w:rsidR="00EA6CD3" w:rsidRPr="00EE57C3" w:rsidRDefault="00EA6CD3" w:rsidP="00EA6CD3">
      <w:pPr>
        <w:rPr>
          <w:sz w:val="26"/>
          <w:szCs w:val="26"/>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7"/>
        <w:gridCol w:w="1980"/>
        <w:gridCol w:w="853"/>
        <w:gridCol w:w="1220"/>
        <w:gridCol w:w="1568"/>
        <w:gridCol w:w="2946"/>
      </w:tblGrid>
      <w:tr w:rsidR="00EA6CD3" w:rsidRPr="00EE57C3" w:rsidTr="00CB6AC4">
        <w:trPr>
          <w:tblCellSpacing w:w="15" w:type="dxa"/>
        </w:trPr>
        <w:tc>
          <w:tcPr>
            <w:tcW w:w="4966" w:type="pct"/>
            <w:gridSpan w:val="6"/>
            <w:shd w:val="clear" w:color="auto" w:fill="auto"/>
            <w:hideMark/>
          </w:tcPr>
          <w:p w:rsidR="00EA6CD3" w:rsidRPr="00EE57C3" w:rsidRDefault="00EA6CD3" w:rsidP="00CB6AC4">
            <w:pPr>
              <w:jc w:val="center"/>
              <w:rPr>
                <w:rFonts w:eastAsia="Times New Roman"/>
                <w:b/>
                <w:bCs/>
                <w:sz w:val="26"/>
                <w:szCs w:val="26"/>
                <w:lang w:val="lv-LV" w:eastAsia="lv-LV"/>
              </w:rPr>
            </w:pPr>
            <w:r w:rsidRPr="00EE57C3">
              <w:rPr>
                <w:rFonts w:eastAsia="Times New Roman"/>
                <w:b/>
                <w:bCs/>
                <w:sz w:val="26"/>
                <w:szCs w:val="26"/>
                <w:lang w:val="lv-LV" w:eastAsia="lv-LV"/>
              </w:rPr>
              <w:t>V. Tiesību akta projekta atbilstība Latvijas Republikas starptautiskajām saistībām</w:t>
            </w:r>
          </w:p>
        </w:tc>
      </w:tr>
      <w:tr w:rsidR="00EA6CD3" w:rsidRPr="00EE57C3" w:rsidTr="00CB6AC4">
        <w:trPr>
          <w:tblCellSpacing w:w="15" w:type="dxa"/>
        </w:trPr>
        <w:tc>
          <w:tcPr>
            <w:tcW w:w="186" w:type="pct"/>
            <w:shd w:val="clear" w:color="auto" w:fill="auto"/>
            <w:hideMark/>
          </w:tcPr>
          <w:p w:rsidR="00EA6CD3" w:rsidRPr="00EE57C3" w:rsidRDefault="00EA6CD3" w:rsidP="00CB6AC4">
            <w:pPr>
              <w:jc w:val="center"/>
              <w:rPr>
                <w:rFonts w:eastAsia="Times New Roman"/>
                <w:sz w:val="26"/>
                <w:szCs w:val="26"/>
                <w:lang w:val="lv-LV" w:eastAsia="lv-LV"/>
              </w:rPr>
            </w:pPr>
            <w:r w:rsidRPr="00EE57C3">
              <w:rPr>
                <w:rFonts w:eastAsia="Times New Roman"/>
                <w:sz w:val="26"/>
                <w:szCs w:val="26"/>
                <w:lang w:val="lv-LV" w:eastAsia="lv-LV"/>
              </w:rPr>
              <w:t>1.</w:t>
            </w:r>
          </w:p>
        </w:tc>
        <w:tc>
          <w:tcPr>
            <w:tcW w:w="1578" w:type="pct"/>
            <w:gridSpan w:val="2"/>
            <w:shd w:val="clear" w:color="auto" w:fill="auto"/>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Saistības pret Eiropas Savienību</w:t>
            </w:r>
          </w:p>
        </w:tc>
        <w:tc>
          <w:tcPr>
            <w:tcW w:w="3170" w:type="pct"/>
            <w:gridSpan w:val="3"/>
            <w:shd w:val="clear" w:color="auto" w:fill="auto"/>
            <w:hideMark/>
          </w:tcPr>
          <w:p w:rsidR="00EA6CD3" w:rsidRPr="00EE57C3" w:rsidRDefault="00EA6CD3" w:rsidP="00CB6AC4">
            <w:pPr>
              <w:ind w:firstLine="364"/>
              <w:jc w:val="both"/>
              <w:rPr>
                <w:sz w:val="26"/>
                <w:szCs w:val="26"/>
                <w:lang w:val="lv-LV"/>
              </w:rPr>
            </w:pPr>
            <w:r w:rsidRPr="00EE57C3">
              <w:rPr>
                <w:rFonts w:eastAsia="Times New Roman"/>
                <w:sz w:val="26"/>
                <w:szCs w:val="26"/>
                <w:lang w:val="lv-LV" w:eastAsia="lv-LV"/>
              </w:rPr>
              <w:t xml:space="preserve">Noteikumu projekts paredz </w:t>
            </w:r>
            <w:r w:rsidRPr="00EE57C3">
              <w:rPr>
                <w:sz w:val="26"/>
                <w:szCs w:val="26"/>
                <w:lang w:val="lv-LV"/>
              </w:rPr>
              <w:t>Regulas Nr.800/2008 44.panta 3.punktā ietverto nosacījumu ieviešanu.</w:t>
            </w:r>
          </w:p>
          <w:p w:rsidR="00EA6CD3" w:rsidRPr="00EE57C3" w:rsidRDefault="00EA6CD3" w:rsidP="00CB6AC4">
            <w:pPr>
              <w:ind w:firstLine="364"/>
              <w:jc w:val="both"/>
              <w:rPr>
                <w:rFonts w:eastAsia="Times New Roman"/>
                <w:sz w:val="26"/>
                <w:szCs w:val="26"/>
                <w:lang w:val="lv-LV" w:eastAsia="lv-LV"/>
              </w:rPr>
            </w:pPr>
          </w:p>
        </w:tc>
      </w:tr>
      <w:tr w:rsidR="00EA6CD3" w:rsidRPr="00EE57C3" w:rsidTr="00CB6AC4">
        <w:trPr>
          <w:tblCellSpacing w:w="15" w:type="dxa"/>
        </w:trPr>
        <w:tc>
          <w:tcPr>
            <w:tcW w:w="186" w:type="pct"/>
            <w:shd w:val="clear" w:color="auto" w:fill="auto"/>
            <w:hideMark/>
          </w:tcPr>
          <w:p w:rsidR="00EA6CD3" w:rsidRPr="00EE57C3" w:rsidRDefault="00EA6CD3" w:rsidP="00CB6AC4">
            <w:pPr>
              <w:jc w:val="center"/>
              <w:rPr>
                <w:rFonts w:eastAsia="Times New Roman"/>
                <w:sz w:val="26"/>
                <w:szCs w:val="26"/>
                <w:lang w:val="lv-LV" w:eastAsia="lv-LV"/>
              </w:rPr>
            </w:pPr>
            <w:r w:rsidRPr="00EE57C3">
              <w:rPr>
                <w:rFonts w:eastAsia="Times New Roman"/>
                <w:sz w:val="26"/>
                <w:szCs w:val="26"/>
                <w:lang w:val="lv-LV" w:eastAsia="lv-LV"/>
              </w:rPr>
              <w:t>2.</w:t>
            </w:r>
          </w:p>
        </w:tc>
        <w:tc>
          <w:tcPr>
            <w:tcW w:w="1578" w:type="pct"/>
            <w:gridSpan w:val="2"/>
            <w:shd w:val="clear" w:color="auto" w:fill="auto"/>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Citas starptautiskās saistības</w:t>
            </w:r>
          </w:p>
        </w:tc>
        <w:tc>
          <w:tcPr>
            <w:tcW w:w="3170" w:type="pct"/>
            <w:gridSpan w:val="3"/>
            <w:shd w:val="clear" w:color="auto" w:fill="auto"/>
            <w:hideMark/>
          </w:tcPr>
          <w:p w:rsidR="00EA6CD3" w:rsidRPr="00EE57C3" w:rsidRDefault="00EA6CD3" w:rsidP="00CB6AC4">
            <w:pPr>
              <w:ind w:firstLine="341"/>
              <w:jc w:val="both"/>
              <w:rPr>
                <w:rFonts w:eastAsia="Times New Roman"/>
                <w:sz w:val="26"/>
                <w:szCs w:val="26"/>
                <w:lang w:val="lv-LV" w:eastAsia="lv-LV"/>
              </w:rPr>
            </w:pPr>
            <w:r w:rsidRPr="00EE57C3">
              <w:rPr>
                <w:rFonts w:eastAsia="Times New Roman"/>
                <w:sz w:val="26"/>
                <w:szCs w:val="26"/>
                <w:lang w:val="lv-LV" w:eastAsia="lv-LV"/>
              </w:rPr>
              <w:t>Projekts šo jomu neskar.</w:t>
            </w:r>
          </w:p>
        </w:tc>
      </w:tr>
      <w:tr w:rsidR="00EA6CD3" w:rsidRPr="00EE57C3" w:rsidTr="00CB6AC4">
        <w:trPr>
          <w:tblCellSpacing w:w="15" w:type="dxa"/>
        </w:trPr>
        <w:tc>
          <w:tcPr>
            <w:tcW w:w="186" w:type="pct"/>
            <w:shd w:val="clear" w:color="auto" w:fill="auto"/>
            <w:hideMark/>
          </w:tcPr>
          <w:p w:rsidR="00EA6CD3" w:rsidRPr="00EE57C3" w:rsidRDefault="00EA6CD3" w:rsidP="00CB6AC4">
            <w:pPr>
              <w:jc w:val="center"/>
              <w:rPr>
                <w:rFonts w:eastAsia="Times New Roman"/>
                <w:sz w:val="26"/>
                <w:szCs w:val="26"/>
                <w:lang w:val="lv-LV" w:eastAsia="lv-LV"/>
              </w:rPr>
            </w:pPr>
            <w:r w:rsidRPr="00EE57C3">
              <w:rPr>
                <w:rFonts w:eastAsia="Times New Roman"/>
                <w:sz w:val="26"/>
                <w:szCs w:val="26"/>
                <w:lang w:val="lv-LV" w:eastAsia="lv-LV"/>
              </w:rPr>
              <w:t>3.</w:t>
            </w:r>
          </w:p>
        </w:tc>
        <w:tc>
          <w:tcPr>
            <w:tcW w:w="1578" w:type="pct"/>
            <w:gridSpan w:val="2"/>
            <w:shd w:val="clear" w:color="auto" w:fill="auto"/>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3170" w:type="pct"/>
            <w:gridSpan w:val="3"/>
            <w:shd w:val="clear" w:color="auto" w:fill="auto"/>
            <w:hideMark/>
          </w:tcPr>
          <w:p w:rsidR="00EA6CD3" w:rsidRPr="00EE57C3" w:rsidRDefault="00EA6CD3" w:rsidP="00CB6AC4">
            <w:pPr>
              <w:ind w:firstLine="341"/>
              <w:jc w:val="both"/>
              <w:rPr>
                <w:rFonts w:eastAsia="Times New Roman"/>
                <w:sz w:val="26"/>
                <w:szCs w:val="26"/>
                <w:lang w:val="lv-LV" w:eastAsia="lv-LV"/>
              </w:rPr>
            </w:pPr>
          </w:p>
        </w:tc>
      </w:tr>
      <w:tr w:rsidR="00EA6CD3" w:rsidRPr="00EE57C3" w:rsidTr="00CB6AC4">
        <w:trPr>
          <w:tblCellSpacing w:w="15" w:type="dxa"/>
        </w:trPr>
        <w:tc>
          <w:tcPr>
            <w:tcW w:w="4966" w:type="pct"/>
            <w:gridSpan w:val="6"/>
            <w:shd w:val="clear" w:color="auto" w:fill="auto"/>
            <w:vAlign w:val="center"/>
            <w:hideMark/>
          </w:tcPr>
          <w:p w:rsidR="00EA6CD3" w:rsidRPr="00EE57C3" w:rsidRDefault="00EA6CD3" w:rsidP="00CB6AC4">
            <w:pPr>
              <w:jc w:val="center"/>
              <w:rPr>
                <w:rFonts w:eastAsia="Times New Roman"/>
                <w:b/>
                <w:bCs/>
                <w:sz w:val="26"/>
                <w:szCs w:val="26"/>
                <w:lang w:val="lv-LV" w:eastAsia="lv-LV"/>
              </w:rPr>
            </w:pPr>
            <w:r w:rsidRPr="00EE57C3">
              <w:rPr>
                <w:rFonts w:eastAsia="Times New Roman"/>
                <w:b/>
                <w:bCs/>
                <w:sz w:val="26"/>
                <w:szCs w:val="26"/>
                <w:lang w:val="lv-LV" w:eastAsia="lv-LV"/>
              </w:rPr>
              <w:t>1.tabula</w:t>
            </w:r>
            <w:r w:rsidRPr="00EE57C3">
              <w:rPr>
                <w:rFonts w:eastAsia="Times New Roman"/>
                <w:b/>
                <w:bCs/>
                <w:sz w:val="26"/>
                <w:szCs w:val="26"/>
                <w:lang w:val="lv-LV" w:eastAsia="lv-LV"/>
              </w:rPr>
              <w:br/>
              <w:t>Tiesību akta projekta atbilstība ES tiesību aktiem</w:t>
            </w:r>
          </w:p>
        </w:tc>
      </w:tr>
      <w:tr w:rsidR="00EA6CD3" w:rsidRPr="00EE57C3" w:rsidTr="00CB6AC4">
        <w:trPr>
          <w:tblCellSpacing w:w="15" w:type="dxa"/>
        </w:trPr>
        <w:tc>
          <w:tcPr>
            <w:tcW w:w="1295" w:type="pct"/>
            <w:gridSpan w:val="2"/>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Attiecīgā ES tiesību akta datums, numurs un nosaukums</w:t>
            </w:r>
          </w:p>
        </w:tc>
        <w:tc>
          <w:tcPr>
            <w:tcW w:w="3655" w:type="pct"/>
            <w:gridSpan w:val="4"/>
            <w:shd w:val="clear" w:color="auto" w:fill="auto"/>
            <w:vAlign w:val="center"/>
            <w:hideMark/>
          </w:tcPr>
          <w:p w:rsidR="00EA6CD3" w:rsidRPr="00EE57C3" w:rsidRDefault="00EA6CD3" w:rsidP="00CB6AC4">
            <w:pPr>
              <w:spacing w:after="120"/>
              <w:jc w:val="both"/>
              <w:rPr>
                <w:sz w:val="26"/>
                <w:szCs w:val="26"/>
                <w:lang w:val="lv-LV"/>
              </w:rPr>
            </w:pPr>
            <w:r w:rsidRPr="00EE57C3">
              <w:rPr>
                <w:sz w:val="26"/>
                <w:szCs w:val="26"/>
                <w:lang w:val="lv-LV"/>
              </w:rPr>
              <w:t xml:space="preserve">Komisijas 2008.gada 6.augusta Regula (EK) Nr.800/2008, kas atzīst noteiktas atbalsta kategorijas par saderīgām ar kopējo tirgu, piemērojot Līguma 87. un 88.pantu (vispārējā grupu atbrīvojuma regula) (Eiropas Savienības Oficiālais Vēstnesis, 2008.gada 9.augusts, </w:t>
            </w:r>
            <w:proofErr w:type="spellStart"/>
            <w:r w:rsidRPr="00EE57C3">
              <w:rPr>
                <w:sz w:val="26"/>
                <w:szCs w:val="26"/>
                <w:lang w:val="lv-LV"/>
              </w:rPr>
              <w:t>Nr.L</w:t>
            </w:r>
            <w:proofErr w:type="spellEnd"/>
            <w:r w:rsidRPr="00EE57C3">
              <w:rPr>
                <w:sz w:val="26"/>
                <w:szCs w:val="26"/>
                <w:lang w:val="lv-LV"/>
              </w:rPr>
              <w:t xml:space="preserve"> 214).</w:t>
            </w:r>
          </w:p>
        </w:tc>
      </w:tr>
      <w:tr w:rsidR="00EA6CD3" w:rsidRPr="00EE57C3" w:rsidTr="00CB6AC4">
        <w:trPr>
          <w:tblCellSpacing w:w="15" w:type="dxa"/>
        </w:trPr>
        <w:tc>
          <w:tcPr>
            <w:tcW w:w="1295" w:type="pct"/>
            <w:gridSpan w:val="2"/>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A</w:t>
            </w:r>
          </w:p>
        </w:tc>
        <w:tc>
          <w:tcPr>
            <w:tcW w:w="1146" w:type="pct"/>
            <w:gridSpan w:val="2"/>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B</w:t>
            </w:r>
          </w:p>
        </w:tc>
        <w:tc>
          <w:tcPr>
            <w:tcW w:w="875" w:type="pct"/>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w:t>
            </w:r>
          </w:p>
        </w:tc>
        <w:tc>
          <w:tcPr>
            <w:tcW w:w="1600" w:type="pct"/>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D</w:t>
            </w:r>
          </w:p>
        </w:tc>
      </w:tr>
      <w:tr w:rsidR="00EA6CD3" w:rsidRPr="00EE57C3" w:rsidTr="00CB6AC4">
        <w:trPr>
          <w:tblCellSpacing w:w="15" w:type="dxa"/>
        </w:trPr>
        <w:tc>
          <w:tcPr>
            <w:tcW w:w="1295" w:type="pct"/>
            <w:gridSpan w:val="2"/>
            <w:shd w:val="clear" w:color="auto" w:fill="auto"/>
            <w:hideMark/>
          </w:tcPr>
          <w:p w:rsidR="00EA6CD3" w:rsidRPr="00EE57C3" w:rsidRDefault="00EA6CD3" w:rsidP="00CB6AC4">
            <w:pPr>
              <w:pStyle w:val="naiskr"/>
              <w:spacing w:before="0" w:after="0"/>
              <w:jc w:val="both"/>
              <w:rPr>
                <w:sz w:val="26"/>
                <w:szCs w:val="26"/>
              </w:rPr>
            </w:pPr>
            <w:r w:rsidRPr="00EE57C3">
              <w:rPr>
                <w:sz w:val="26"/>
                <w:szCs w:val="26"/>
              </w:rPr>
              <w:t xml:space="preserve">Attiecīgā ES tiesību akta panta numurs (uzskaitot katru tiesību akta </w:t>
            </w:r>
            <w:r w:rsidRPr="00EE57C3">
              <w:rPr>
                <w:sz w:val="26"/>
                <w:szCs w:val="26"/>
              </w:rPr>
              <w:br/>
              <w:t>vienību – pantu, daļu, punktu, apakšpunktu)</w:t>
            </w:r>
          </w:p>
        </w:tc>
        <w:tc>
          <w:tcPr>
            <w:tcW w:w="1146" w:type="pct"/>
            <w:gridSpan w:val="2"/>
            <w:shd w:val="clear" w:color="auto" w:fill="auto"/>
            <w:hideMark/>
          </w:tcPr>
          <w:p w:rsidR="00EA6CD3" w:rsidRPr="00EE57C3" w:rsidRDefault="00EA6CD3" w:rsidP="00CB6AC4">
            <w:pPr>
              <w:pStyle w:val="naiskr"/>
              <w:spacing w:before="0" w:after="0"/>
              <w:jc w:val="both"/>
              <w:rPr>
                <w:sz w:val="26"/>
                <w:szCs w:val="26"/>
              </w:rPr>
            </w:pPr>
            <w:r w:rsidRPr="00EE57C3">
              <w:rPr>
                <w:sz w:val="26"/>
                <w:szCs w:val="26"/>
              </w:rPr>
              <w:t>Projekta vienība, kas pārņem vai ievieš katru šīs tabulas A ailē minēto ES tiesību akta vienību</w:t>
            </w:r>
          </w:p>
        </w:tc>
        <w:tc>
          <w:tcPr>
            <w:tcW w:w="875" w:type="pct"/>
            <w:shd w:val="clear" w:color="auto" w:fill="auto"/>
            <w:hideMark/>
          </w:tcPr>
          <w:p w:rsidR="00EA6CD3" w:rsidRPr="00EE57C3" w:rsidRDefault="00EA6CD3" w:rsidP="00CB6AC4">
            <w:pPr>
              <w:pStyle w:val="naiskr"/>
              <w:spacing w:before="0" w:after="0"/>
              <w:jc w:val="both"/>
              <w:rPr>
                <w:sz w:val="26"/>
                <w:szCs w:val="26"/>
              </w:rPr>
            </w:pPr>
            <w:r w:rsidRPr="00EE57C3">
              <w:rPr>
                <w:sz w:val="26"/>
                <w:szCs w:val="26"/>
              </w:rPr>
              <w:t>Informācija par to, vai šīs tabulas A ailē minētās ES tiesību akta vienības tiek pārņemtas vai ieviestas pilnībā vai daļēji.</w:t>
            </w:r>
          </w:p>
          <w:p w:rsidR="00EA6CD3" w:rsidRPr="00EE57C3" w:rsidRDefault="00EA6CD3" w:rsidP="00CB6AC4">
            <w:pPr>
              <w:pStyle w:val="naiskr"/>
              <w:spacing w:before="0" w:after="0"/>
              <w:jc w:val="both"/>
              <w:rPr>
                <w:sz w:val="26"/>
                <w:szCs w:val="26"/>
              </w:rPr>
            </w:pPr>
            <w:r w:rsidRPr="00EE57C3">
              <w:rPr>
                <w:sz w:val="26"/>
                <w:szCs w:val="26"/>
              </w:rPr>
              <w:t xml:space="preserve">Ja attiecīgā ES tiesību akta vienība tiek pārņemta vai ieviesta daļēji, – sniedz attiecīgu skaidrojumu, kā arī precīzi norāda, kad </w:t>
            </w:r>
            <w:r w:rsidRPr="00EE57C3">
              <w:rPr>
                <w:sz w:val="26"/>
                <w:szCs w:val="26"/>
              </w:rPr>
              <w:lastRenderedPageBreak/>
              <w:t>un kādā veidā ES tiesību akta vienība tiks pārņemta vai ieviesta pilnībā.</w:t>
            </w:r>
          </w:p>
          <w:p w:rsidR="00EA6CD3" w:rsidRPr="00EE57C3" w:rsidRDefault="00EA6CD3" w:rsidP="00CB6AC4">
            <w:pPr>
              <w:pStyle w:val="naiskr"/>
              <w:spacing w:before="0" w:after="0"/>
              <w:jc w:val="both"/>
              <w:rPr>
                <w:sz w:val="26"/>
                <w:szCs w:val="26"/>
              </w:rPr>
            </w:pPr>
            <w:r w:rsidRPr="00EE57C3">
              <w:rPr>
                <w:sz w:val="26"/>
                <w:szCs w:val="26"/>
              </w:rPr>
              <w:t>Norāda institūciju, kas ir atbildīga par šo saistību izpildi pilnībā</w:t>
            </w:r>
          </w:p>
        </w:tc>
        <w:tc>
          <w:tcPr>
            <w:tcW w:w="1600" w:type="pct"/>
            <w:shd w:val="clear" w:color="auto" w:fill="auto"/>
            <w:hideMark/>
          </w:tcPr>
          <w:p w:rsidR="00EA6CD3" w:rsidRPr="00EE57C3" w:rsidRDefault="00EA6CD3" w:rsidP="00CB6AC4">
            <w:pPr>
              <w:pStyle w:val="naiskr"/>
              <w:spacing w:before="0" w:after="0"/>
              <w:jc w:val="both"/>
              <w:rPr>
                <w:sz w:val="26"/>
                <w:szCs w:val="26"/>
              </w:rPr>
            </w:pPr>
            <w:r w:rsidRPr="00EE57C3">
              <w:rPr>
                <w:sz w:val="26"/>
                <w:szCs w:val="26"/>
              </w:rPr>
              <w:lastRenderedPageBreak/>
              <w:t>Informācija par to, vai šīs tabulas B ailē minētās projekta vienības paredz stingrākas prasības nekā šīs tabulas A ailē minētās ES tiesību akta vienības.</w:t>
            </w:r>
          </w:p>
          <w:p w:rsidR="00EA6CD3" w:rsidRPr="00EE57C3" w:rsidRDefault="00EA6CD3" w:rsidP="00CB6AC4">
            <w:pPr>
              <w:pStyle w:val="naiskr"/>
              <w:spacing w:before="0" w:after="0"/>
              <w:jc w:val="both"/>
              <w:rPr>
                <w:sz w:val="26"/>
                <w:szCs w:val="26"/>
              </w:rPr>
            </w:pPr>
            <w:r w:rsidRPr="00EE57C3">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EE57C3">
                <w:rPr>
                  <w:sz w:val="26"/>
                  <w:szCs w:val="26"/>
                </w:rPr>
                <w:t>akts</w:t>
              </w:r>
            </w:smartTag>
            <w:r w:rsidRPr="00EE57C3">
              <w:rPr>
                <w:sz w:val="26"/>
                <w:szCs w:val="26"/>
              </w:rPr>
              <w:t>, – norāda pamatojumu un samērīgumu.</w:t>
            </w:r>
          </w:p>
          <w:p w:rsidR="00EA6CD3" w:rsidRPr="00EE57C3" w:rsidRDefault="00EA6CD3" w:rsidP="00CB6AC4">
            <w:pPr>
              <w:pStyle w:val="naiskr"/>
              <w:spacing w:before="0" w:after="0"/>
              <w:jc w:val="both"/>
              <w:rPr>
                <w:sz w:val="26"/>
                <w:szCs w:val="26"/>
              </w:rPr>
            </w:pPr>
            <w:r w:rsidRPr="00EE57C3">
              <w:rPr>
                <w:sz w:val="26"/>
                <w:szCs w:val="26"/>
              </w:rPr>
              <w:t>Norāda iespējamās alternatīvas (</w:t>
            </w:r>
            <w:proofErr w:type="spellStart"/>
            <w:r w:rsidRPr="00EE57C3">
              <w:rPr>
                <w:sz w:val="26"/>
                <w:szCs w:val="26"/>
              </w:rPr>
              <w:t>t.sk</w:t>
            </w:r>
            <w:proofErr w:type="spellEnd"/>
            <w:r w:rsidRPr="00EE57C3">
              <w:rPr>
                <w:sz w:val="26"/>
                <w:szCs w:val="26"/>
              </w:rPr>
              <w:t>. alternatīvas, kas neparedz tiesiskā regulējuma izstrādi) – kādos gadījumos būtu iespējams izvairīties no stingrāku prasību noteikšanas, nekā paredzēts attiecīgajos ES tiesību aktos</w:t>
            </w:r>
          </w:p>
        </w:tc>
      </w:tr>
      <w:tr w:rsidR="00EA6CD3" w:rsidRPr="00EE57C3" w:rsidTr="00CB6AC4">
        <w:trPr>
          <w:tblCellSpacing w:w="15" w:type="dxa"/>
        </w:trPr>
        <w:tc>
          <w:tcPr>
            <w:tcW w:w="1295" w:type="pct"/>
            <w:gridSpan w:val="2"/>
            <w:shd w:val="clear" w:color="auto" w:fill="auto"/>
          </w:tcPr>
          <w:p w:rsidR="00EA6CD3" w:rsidRPr="00EE57C3" w:rsidRDefault="00EA6CD3" w:rsidP="00CB6AC4">
            <w:pPr>
              <w:pStyle w:val="naiskr"/>
              <w:spacing w:before="0" w:after="0"/>
              <w:jc w:val="both"/>
              <w:rPr>
                <w:i/>
                <w:color w:val="000000" w:themeColor="text1"/>
                <w:sz w:val="26"/>
                <w:szCs w:val="26"/>
              </w:rPr>
            </w:pPr>
            <w:r w:rsidRPr="00EE57C3">
              <w:rPr>
                <w:i/>
                <w:color w:val="000000" w:themeColor="text1"/>
                <w:sz w:val="26"/>
                <w:szCs w:val="26"/>
              </w:rPr>
              <w:lastRenderedPageBreak/>
              <w:t>Regulas 800/2008 44.panta 3.punkts</w:t>
            </w:r>
          </w:p>
        </w:tc>
        <w:tc>
          <w:tcPr>
            <w:tcW w:w="1146" w:type="pct"/>
            <w:gridSpan w:val="2"/>
            <w:shd w:val="clear" w:color="auto" w:fill="auto"/>
          </w:tcPr>
          <w:p w:rsidR="00EA6CD3" w:rsidRPr="00EE57C3" w:rsidRDefault="00EA6CD3" w:rsidP="001C0801">
            <w:pPr>
              <w:pStyle w:val="naiskr"/>
              <w:spacing w:before="0" w:after="0"/>
              <w:jc w:val="both"/>
              <w:rPr>
                <w:sz w:val="26"/>
                <w:szCs w:val="26"/>
              </w:rPr>
            </w:pPr>
            <w:r w:rsidRPr="00EE57C3">
              <w:rPr>
                <w:sz w:val="26"/>
                <w:szCs w:val="26"/>
              </w:rPr>
              <w:t xml:space="preserve">Noteikumu projekta </w:t>
            </w:r>
            <w:r w:rsidR="001C0801" w:rsidRPr="00EE57C3">
              <w:rPr>
                <w:sz w:val="26"/>
                <w:szCs w:val="26"/>
              </w:rPr>
              <w:t>1</w:t>
            </w:r>
            <w:r w:rsidR="001C0801">
              <w:rPr>
                <w:sz w:val="26"/>
                <w:szCs w:val="26"/>
              </w:rPr>
              <w:t>0</w:t>
            </w:r>
            <w:r w:rsidRPr="00EE57C3">
              <w:rPr>
                <w:sz w:val="26"/>
                <w:szCs w:val="26"/>
              </w:rPr>
              <w:t>.punkts</w:t>
            </w:r>
          </w:p>
        </w:tc>
        <w:tc>
          <w:tcPr>
            <w:tcW w:w="875" w:type="pct"/>
            <w:shd w:val="clear" w:color="auto" w:fill="auto"/>
          </w:tcPr>
          <w:p w:rsidR="00EA6CD3" w:rsidRPr="00EE57C3" w:rsidRDefault="00EA6CD3" w:rsidP="00CB6AC4">
            <w:pPr>
              <w:pStyle w:val="naiskr"/>
              <w:spacing w:before="0" w:after="0"/>
              <w:jc w:val="both"/>
              <w:rPr>
                <w:sz w:val="26"/>
                <w:szCs w:val="26"/>
              </w:rPr>
            </w:pPr>
            <w:r w:rsidRPr="00EE57C3">
              <w:rPr>
                <w:sz w:val="26"/>
                <w:szCs w:val="26"/>
              </w:rPr>
              <w:t>Ieviests pilnībā</w:t>
            </w:r>
          </w:p>
        </w:tc>
        <w:tc>
          <w:tcPr>
            <w:tcW w:w="1600" w:type="pct"/>
            <w:shd w:val="clear" w:color="auto" w:fill="auto"/>
          </w:tcPr>
          <w:p w:rsidR="00EA6CD3" w:rsidRPr="00EE57C3" w:rsidRDefault="00EA6CD3" w:rsidP="00CB6AC4">
            <w:pPr>
              <w:pStyle w:val="naiskr"/>
              <w:spacing w:before="0" w:after="0"/>
              <w:jc w:val="both"/>
              <w:rPr>
                <w:sz w:val="26"/>
                <w:szCs w:val="26"/>
              </w:rPr>
            </w:pPr>
            <w:r w:rsidRPr="00EE57C3">
              <w:rPr>
                <w:sz w:val="26"/>
                <w:szCs w:val="26"/>
              </w:rPr>
              <w:t>Neparedz stingrākas prasības</w:t>
            </w:r>
          </w:p>
        </w:tc>
      </w:tr>
      <w:tr w:rsidR="00EA6CD3" w:rsidRPr="00EE57C3" w:rsidTr="00CB6AC4">
        <w:trPr>
          <w:tblCellSpacing w:w="15" w:type="dxa"/>
        </w:trPr>
        <w:tc>
          <w:tcPr>
            <w:tcW w:w="1295" w:type="pct"/>
            <w:gridSpan w:val="2"/>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Kā ir izmantota ES tiesību aktā paredzētā rīcības brīvība dalībvalstij pārņemt vai ieviest noteiktas ES tiesību akta normas.</w:t>
            </w:r>
          </w:p>
        </w:tc>
        <w:tc>
          <w:tcPr>
            <w:tcW w:w="3655" w:type="pct"/>
            <w:gridSpan w:val="4"/>
            <w:shd w:val="clear" w:color="auto" w:fill="auto"/>
            <w:hideMark/>
          </w:tcPr>
          <w:p w:rsidR="00EA6CD3" w:rsidRPr="00EE57C3" w:rsidRDefault="00EA6CD3" w:rsidP="00CB6AC4">
            <w:pPr>
              <w:pStyle w:val="naiskr"/>
              <w:jc w:val="both"/>
              <w:rPr>
                <w:iCs/>
                <w:sz w:val="26"/>
                <w:szCs w:val="26"/>
              </w:rPr>
            </w:pPr>
            <w:r w:rsidRPr="00EE57C3">
              <w:rPr>
                <w:iCs/>
                <w:sz w:val="26"/>
                <w:szCs w:val="26"/>
              </w:rPr>
              <w:t>Projekts šo jomu neskar.</w:t>
            </w:r>
          </w:p>
          <w:p w:rsidR="00EA6CD3" w:rsidRPr="00EE57C3" w:rsidRDefault="00EA6CD3" w:rsidP="00CB6AC4">
            <w:pPr>
              <w:autoSpaceDE w:val="0"/>
              <w:autoSpaceDN w:val="0"/>
              <w:adjustRightInd w:val="0"/>
              <w:jc w:val="both"/>
              <w:rPr>
                <w:rFonts w:ascii="EUAlbertina" w:hAnsi="EUAlbertina" w:cs="EUAlbertina"/>
                <w:sz w:val="26"/>
                <w:szCs w:val="26"/>
                <w:lang w:val="lv-LV"/>
              </w:rPr>
            </w:pPr>
          </w:p>
          <w:p w:rsidR="00EA6CD3" w:rsidRPr="00EE57C3" w:rsidRDefault="00EA6CD3" w:rsidP="00CB6AC4">
            <w:pPr>
              <w:jc w:val="both"/>
              <w:rPr>
                <w:rFonts w:eastAsia="Times New Roman"/>
                <w:sz w:val="26"/>
                <w:szCs w:val="26"/>
                <w:lang w:val="lv-LV" w:eastAsia="lv-LV"/>
              </w:rPr>
            </w:pPr>
          </w:p>
        </w:tc>
      </w:tr>
      <w:tr w:rsidR="00EA6CD3" w:rsidRPr="00EE57C3" w:rsidTr="00CB6AC4">
        <w:trPr>
          <w:tblCellSpacing w:w="15" w:type="dxa"/>
        </w:trPr>
        <w:tc>
          <w:tcPr>
            <w:tcW w:w="1295" w:type="pct"/>
            <w:gridSpan w:val="2"/>
            <w:shd w:val="clear" w:color="auto" w:fill="auto"/>
            <w:vAlign w:val="center"/>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shd w:val="clear" w:color="auto" w:fill="auto"/>
            <w:hideMark/>
          </w:tcPr>
          <w:p w:rsidR="00EA6CD3" w:rsidRPr="00EE57C3" w:rsidRDefault="00CB6AC4" w:rsidP="00CB6AC4">
            <w:pPr>
              <w:jc w:val="both"/>
              <w:rPr>
                <w:rFonts w:eastAsia="Times New Roman"/>
                <w:iCs/>
                <w:sz w:val="26"/>
                <w:szCs w:val="26"/>
                <w:lang w:val="lv-LV" w:eastAsia="lv-LV"/>
              </w:rPr>
            </w:pPr>
            <w:r>
              <w:rPr>
                <w:rFonts w:eastAsia="Times New Roman"/>
                <w:iCs/>
                <w:sz w:val="26"/>
                <w:szCs w:val="26"/>
                <w:lang w:val="lv-LV" w:eastAsia="lv-LV"/>
              </w:rPr>
              <w:t>A</w:t>
            </w:r>
            <w:r w:rsidRPr="00CB6AC4">
              <w:rPr>
                <w:rFonts w:eastAsia="Times New Roman"/>
                <w:iCs/>
                <w:sz w:val="26"/>
                <w:szCs w:val="26"/>
                <w:lang w:val="lv-LV" w:eastAsia="lv-LV"/>
              </w:rPr>
              <w:t xml:space="preserve">tbilstoši </w:t>
            </w:r>
            <w:r>
              <w:rPr>
                <w:rFonts w:eastAsia="Times New Roman"/>
                <w:iCs/>
                <w:sz w:val="26"/>
                <w:szCs w:val="26"/>
                <w:lang w:val="lv-LV" w:eastAsia="lv-LV"/>
              </w:rPr>
              <w:t>Regulas 800/2008</w:t>
            </w:r>
            <w:r w:rsidRPr="00CB6AC4">
              <w:rPr>
                <w:rFonts w:eastAsia="Times New Roman"/>
                <w:iCs/>
                <w:sz w:val="26"/>
                <w:szCs w:val="26"/>
                <w:lang w:val="lv-LV" w:eastAsia="lv-LV"/>
              </w:rPr>
              <w:t xml:space="preserve"> 9.panta 1.punkta</w:t>
            </w:r>
            <w:r w:rsidR="00700E68">
              <w:rPr>
                <w:rFonts w:eastAsia="Times New Roman"/>
                <w:iCs/>
                <w:sz w:val="26"/>
                <w:szCs w:val="26"/>
                <w:lang w:val="lv-LV" w:eastAsia="lv-LV"/>
              </w:rPr>
              <w:t>m,</w:t>
            </w:r>
            <w:r w:rsidRPr="00CB6AC4">
              <w:rPr>
                <w:rFonts w:eastAsia="Times New Roman"/>
                <w:iCs/>
                <w:sz w:val="26"/>
                <w:szCs w:val="26"/>
                <w:lang w:val="lv-LV" w:eastAsia="lv-LV"/>
              </w:rPr>
              <w:t xml:space="preserve"> </w:t>
            </w:r>
            <w:r>
              <w:rPr>
                <w:rFonts w:eastAsia="Times New Roman"/>
                <w:iCs/>
                <w:sz w:val="26"/>
                <w:szCs w:val="26"/>
                <w:lang w:val="lv-LV" w:eastAsia="lv-LV"/>
              </w:rPr>
              <w:t xml:space="preserve">pēc grozījumu spēkā stāšanās tiks sniegts kopsavilkums Eiropas Komisijai. </w:t>
            </w:r>
          </w:p>
          <w:p w:rsidR="00EA6CD3" w:rsidRPr="00EE57C3" w:rsidRDefault="00EA6CD3" w:rsidP="00CB6AC4">
            <w:pPr>
              <w:jc w:val="both"/>
              <w:rPr>
                <w:rFonts w:eastAsia="Times New Roman"/>
                <w:sz w:val="26"/>
                <w:szCs w:val="26"/>
                <w:lang w:val="lv-LV" w:eastAsia="lv-LV"/>
              </w:rPr>
            </w:pPr>
          </w:p>
        </w:tc>
      </w:tr>
      <w:tr w:rsidR="00EA6CD3" w:rsidRPr="00EE57C3" w:rsidTr="00CB6AC4">
        <w:trPr>
          <w:tblCellSpacing w:w="15" w:type="dxa"/>
        </w:trPr>
        <w:tc>
          <w:tcPr>
            <w:tcW w:w="1295" w:type="pct"/>
            <w:gridSpan w:val="2"/>
            <w:shd w:val="clear" w:color="auto" w:fill="auto"/>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3655" w:type="pct"/>
            <w:gridSpan w:val="4"/>
            <w:shd w:val="clear" w:color="auto" w:fill="auto"/>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Nav</w:t>
            </w:r>
          </w:p>
        </w:tc>
      </w:tr>
    </w:tbl>
    <w:p w:rsidR="00EA6CD3" w:rsidRDefault="00EA6CD3" w:rsidP="00EA6CD3">
      <w:pPr>
        <w:rPr>
          <w:sz w:val="26"/>
          <w:szCs w:val="26"/>
          <w:lang w:val="lv-LV"/>
        </w:rPr>
      </w:pPr>
    </w:p>
    <w:p w:rsidR="005464E6" w:rsidRDefault="005464E6" w:rsidP="00EA6CD3">
      <w:pPr>
        <w:rPr>
          <w:sz w:val="26"/>
          <w:szCs w:val="26"/>
          <w:lang w:val="lv-LV"/>
        </w:rPr>
      </w:pPr>
    </w:p>
    <w:p w:rsidR="005464E6" w:rsidRDefault="005464E6" w:rsidP="00EA6CD3">
      <w:pPr>
        <w:rPr>
          <w:sz w:val="26"/>
          <w:szCs w:val="26"/>
          <w:lang w:val="lv-LV"/>
        </w:rPr>
      </w:pPr>
    </w:p>
    <w:p w:rsidR="005464E6" w:rsidRPr="00EE57C3" w:rsidRDefault="005464E6" w:rsidP="00EA6CD3">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EA6CD3" w:rsidRPr="00EE57C3" w:rsidTr="00CB6AC4">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ind w:firstLine="720"/>
              <w:jc w:val="both"/>
              <w:rPr>
                <w:rFonts w:eastAsia="Times New Roman"/>
                <w:b/>
                <w:sz w:val="26"/>
                <w:szCs w:val="26"/>
                <w:lang w:val="lv-LV" w:eastAsia="lv-LV"/>
              </w:rPr>
            </w:pPr>
            <w:r w:rsidRPr="00EE57C3">
              <w:rPr>
                <w:rFonts w:eastAsia="Times New Roman"/>
                <w:b/>
                <w:sz w:val="26"/>
                <w:szCs w:val="26"/>
                <w:lang w:val="lv-LV" w:eastAsia="lv-LV"/>
              </w:rPr>
              <w:lastRenderedPageBreak/>
              <w:t>VII. Tiesību akta projekta izpildes nodrošināšana un tās ietekme uz institūcijām</w:t>
            </w:r>
          </w:p>
        </w:tc>
      </w:tr>
      <w:tr w:rsidR="00EA6CD3" w:rsidRPr="00EE57C3" w:rsidTr="00CB6AC4">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 xml:space="preserve">Ministru kabineta </w:t>
            </w:r>
            <w:r w:rsidRPr="00EE57C3">
              <w:rPr>
                <w:sz w:val="26"/>
                <w:szCs w:val="26"/>
                <w:lang w:val="lv-LV"/>
              </w:rPr>
              <w:t>noteikumu</w:t>
            </w:r>
            <w:r w:rsidRPr="00EE57C3">
              <w:rPr>
                <w:rFonts w:eastAsia="Times New Roman"/>
                <w:sz w:val="26"/>
                <w:szCs w:val="26"/>
                <w:lang w:val="lv-LV" w:eastAsia="lv-LV"/>
              </w:rPr>
              <w:t xml:space="preserve"> projekta izpildi nodrošinās EM un LGA.</w:t>
            </w:r>
          </w:p>
          <w:p w:rsidR="00EA6CD3" w:rsidRPr="00EE57C3" w:rsidRDefault="00EA6CD3" w:rsidP="00CB6AC4">
            <w:pPr>
              <w:ind w:firstLine="720"/>
              <w:jc w:val="both"/>
              <w:rPr>
                <w:rFonts w:eastAsia="Times New Roman"/>
                <w:sz w:val="26"/>
                <w:szCs w:val="26"/>
                <w:lang w:val="lv-LV" w:eastAsia="lv-LV"/>
              </w:rPr>
            </w:pPr>
          </w:p>
        </w:tc>
      </w:tr>
      <w:tr w:rsidR="00EA6CD3" w:rsidRPr="00EE57C3" w:rsidTr="00CB6AC4">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 xml:space="preserve">Ministru kabineta </w:t>
            </w:r>
            <w:r w:rsidRPr="00EE57C3">
              <w:rPr>
                <w:sz w:val="26"/>
                <w:szCs w:val="26"/>
                <w:lang w:val="lv-LV"/>
              </w:rPr>
              <w:t>noteikumu</w:t>
            </w:r>
            <w:r w:rsidRPr="00EE57C3">
              <w:rPr>
                <w:rFonts w:eastAsia="Times New Roman"/>
                <w:sz w:val="26"/>
                <w:szCs w:val="26"/>
                <w:lang w:val="lv-LV" w:eastAsia="lv-LV"/>
              </w:rPr>
              <w:t xml:space="preserve"> projekta izpilde tiks nodrošināta EM un LGA esošo funkciju ietvaros.</w:t>
            </w:r>
          </w:p>
          <w:p w:rsidR="00EA6CD3" w:rsidRPr="00EE57C3" w:rsidRDefault="00EA6CD3" w:rsidP="00CB6AC4">
            <w:pPr>
              <w:ind w:firstLine="720"/>
              <w:jc w:val="both"/>
              <w:rPr>
                <w:rFonts w:eastAsia="Times New Roman"/>
                <w:sz w:val="26"/>
                <w:szCs w:val="26"/>
                <w:lang w:val="lv-LV" w:eastAsia="lv-LV"/>
              </w:rPr>
            </w:pPr>
          </w:p>
        </w:tc>
      </w:tr>
      <w:tr w:rsidR="00EA6CD3" w:rsidRPr="00EE57C3" w:rsidTr="00CB6AC4">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sz w:val="26"/>
                <w:szCs w:val="26"/>
                <w:lang w:val="lv-LV"/>
              </w:rPr>
              <w:t>Ministru kabineta noteikumu projekta izpildei nav nepieciešams izveidot jaunas institūcijas</w:t>
            </w:r>
            <w:r w:rsidRPr="00EE57C3">
              <w:rPr>
                <w:rFonts w:eastAsia="Times New Roman"/>
                <w:sz w:val="26"/>
                <w:szCs w:val="26"/>
                <w:lang w:val="lv-LV" w:eastAsia="lv-LV"/>
              </w:rPr>
              <w:t>.</w:t>
            </w:r>
          </w:p>
        </w:tc>
      </w:tr>
      <w:tr w:rsidR="00EA6CD3" w:rsidRPr="00EE57C3" w:rsidTr="00CB6AC4">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sz w:val="26"/>
                <w:szCs w:val="26"/>
                <w:lang w:val="lv-LV"/>
              </w:rPr>
              <w:t>Ministru kabineta noteikumu projekta izpildei nav nepieciešams likvidēt esošās institūcijas</w:t>
            </w:r>
            <w:r w:rsidRPr="00EE57C3">
              <w:rPr>
                <w:rFonts w:eastAsia="Times New Roman"/>
                <w:sz w:val="26"/>
                <w:szCs w:val="26"/>
                <w:lang w:val="lv-LV" w:eastAsia="lv-LV"/>
              </w:rPr>
              <w:t>.</w:t>
            </w:r>
          </w:p>
        </w:tc>
      </w:tr>
      <w:tr w:rsidR="00EA6CD3" w:rsidRPr="00EE57C3" w:rsidTr="00CB6AC4">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 xml:space="preserve">Ministru kabineta </w:t>
            </w:r>
            <w:r w:rsidRPr="00EE57C3">
              <w:rPr>
                <w:sz w:val="26"/>
                <w:szCs w:val="26"/>
                <w:lang w:val="lv-LV"/>
              </w:rPr>
              <w:t>noteikumu projekta izpildei nav nepieciešams reorganizēt esošās institūcijas</w:t>
            </w:r>
            <w:r w:rsidRPr="00EE57C3">
              <w:rPr>
                <w:rFonts w:eastAsia="Times New Roman"/>
                <w:sz w:val="26"/>
                <w:szCs w:val="26"/>
                <w:lang w:val="lv-LV" w:eastAsia="lv-LV"/>
              </w:rPr>
              <w:t>.</w:t>
            </w:r>
          </w:p>
        </w:tc>
      </w:tr>
      <w:tr w:rsidR="00EA6CD3" w:rsidRPr="00EE57C3" w:rsidTr="00CB6AC4">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jc w:val="both"/>
              <w:rPr>
                <w:rFonts w:eastAsia="Times New Roman"/>
                <w:sz w:val="26"/>
                <w:szCs w:val="26"/>
                <w:lang w:val="lv-LV" w:eastAsia="lv-LV"/>
              </w:rPr>
            </w:pPr>
            <w:r w:rsidRPr="00EE57C3">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EE57C3" w:rsidRDefault="00EA6CD3" w:rsidP="00CB6AC4">
            <w:pPr>
              <w:ind w:firstLine="720"/>
              <w:jc w:val="both"/>
              <w:rPr>
                <w:rFonts w:eastAsia="Times New Roman"/>
                <w:sz w:val="26"/>
                <w:szCs w:val="26"/>
                <w:lang w:val="lv-LV" w:eastAsia="lv-LV"/>
              </w:rPr>
            </w:pPr>
            <w:r w:rsidRPr="00EE57C3">
              <w:rPr>
                <w:rFonts w:eastAsia="Times New Roman"/>
                <w:sz w:val="26"/>
                <w:szCs w:val="26"/>
                <w:lang w:val="lv-LV" w:eastAsia="lv-LV"/>
              </w:rPr>
              <w:t>Nav.</w:t>
            </w:r>
          </w:p>
        </w:tc>
      </w:tr>
    </w:tbl>
    <w:p w:rsidR="00EA6CD3" w:rsidRPr="00EE57C3" w:rsidRDefault="00EA6CD3" w:rsidP="00EA6CD3">
      <w:pPr>
        <w:tabs>
          <w:tab w:val="left" w:pos="7655"/>
        </w:tabs>
        <w:jc w:val="both"/>
        <w:rPr>
          <w:sz w:val="26"/>
          <w:szCs w:val="26"/>
          <w:lang w:val="lv-LV"/>
        </w:rPr>
      </w:pPr>
    </w:p>
    <w:p w:rsidR="00EA6CD3" w:rsidRPr="00EE57C3" w:rsidRDefault="00EA6CD3" w:rsidP="00EA6CD3">
      <w:pPr>
        <w:tabs>
          <w:tab w:val="left" w:pos="7655"/>
        </w:tabs>
        <w:jc w:val="both"/>
        <w:rPr>
          <w:sz w:val="26"/>
          <w:szCs w:val="26"/>
          <w:lang w:val="lv-LV"/>
        </w:rPr>
      </w:pPr>
    </w:p>
    <w:p w:rsidR="00EA6CD3" w:rsidRPr="00EE57C3" w:rsidRDefault="00EA6CD3" w:rsidP="00EA6CD3">
      <w:pPr>
        <w:tabs>
          <w:tab w:val="left" w:pos="7655"/>
        </w:tabs>
        <w:jc w:val="both"/>
        <w:rPr>
          <w:sz w:val="26"/>
          <w:szCs w:val="26"/>
          <w:lang w:val="lv-LV"/>
        </w:rPr>
      </w:pPr>
      <w:r w:rsidRPr="00EE57C3">
        <w:rPr>
          <w:sz w:val="26"/>
          <w:szCs w:val="26"/>
          <w:lang w:val="lv-LV"/>
        </w:rPr>
        <w:t>Anotācijas III</w:t>
      </w:r>
      <w:r w:rsidRPr="00EE57C3">
        <w:rPr>
          <w:rFonts w:ascii="Times" w:hAnsi="Times"/>
          <w:sz w:val="26"/>
          <w:szCs w:val="26"/>
          <w:lang w:val="lv-LV"/>
        </w:rPr>
        <w:t xml:space="preserve"> un</w:t>
      </w:r>
      <w:r w:rsidRPr="00EE57C3">
        <w:rPr>
          <w:sz w:val="26"/>
          <w:szCs w:val="26"/>
          <w:lang w:val="lv-LV"/>
        </w:rPr>
        <w:t xml:space="preserve"> VI sadaļa – </w:t>
      </w:r>
      <w:r w:rsidRPr="00EE57C3">
        <w:rPr>
          <w:iCs/>
          <w:sz w:val="26"/>
          <w:szCs w:val="26"/>
          <w:lang w:val="lv-LV"/>
        </w:rPr>
        <w:t>projekts šīs jomas neskar</w:t>
      </w:r>
      <w:r w:rsidRPr="00EE57C3">
        <w:rPr>
          <w:sz w:val="26"/>
          <w:szCs w:val="26"/>
          <w:lang w:val="lv-LV"/>
        </w:rPr>
        <w:t>.</w:t>
      </w:r>
    </w:p>
    <w:p w:rsidR="00EA6CD3" w:rsidRPr="00EE57C3" w:rsidRDefault="00EA6CD3" w:rsidP="00EA6CD3">
      <w:pPr>
        <w:tabs>
          <w:tab w:val="left" w:pos="7655"/>
        </w:tabs>
        <w:rPr>
          <w:sz w:val="26"/>
          <w:szCs w:val="26"/>
          <w:lang w:val="lv-LV"/>
        </w:rPr>
      </w:pPr>
    </w:p>
    <w:p w:rsidR="00EA6CD3" w:rsidRPr="00EE57C3" w:rsidRDefault="00EA6CD3" w:rsidP="00EA6CD3">
      <w:pPr>
        <w:tabs>
          <w:tab w:val="right" w:pos="9072"/>
        </w:tabs>
        <w:rPr>
          <w:sz w:val="26"/>
          <w:szCs w:val="26"/>
          <w:lang w:val="lv-LV"/>
        </w:rPr>
      </w:pPr>
    </w:p>
    <w:p w:rsidR="00EA6CD3" w:rsidRPr="00EE57C3" w:rsidRDefault="00EA6CD3" w:rsidP="00EA6CD3">
      <w:pPr>
        <w:tabs>
          <w:tab w:val="right" w:pos="9072"/>
        </w:tabs>
        <w:rPr>
          <w:sz w:val="26"/>
          <w:szCs w:val="26"/>
          <w:lang w:val="lv-LV"/>
        </w:rPr>
      </w:pPr>
    </w:p>
    <w:p w:rsidR="00EA6CD3" w:rsidRDefault="00EA6CD3" w:rsidP="00EA6CD3">
      <w:pPr>
        <w:tabs>
          <w:tab w:val="right" w:pos="9072"/>
        </w:tabs>
        <w:rPr>
          <w:sz w:val="26"/>
          <w:szCs w:val="26"/>
          <w:lang w:val="lv-LV"/>
        </w:rPr>
      </w:pPr>
    </w:p>
    <w:p w:rsidR="005464E6" w:rsidRPr="00EE57C3" w:rsidRDefault="005464E6" w:rsidP="00EA6CD3">
      <w:pPr>
        <w:tabs>
          <w:tab w:val="right" w:pos="9072"/>
        </w:tabs>
        <w:rPr>
          <w:sz w:val="26"/>
          <w:szCs w:val="26"/>
          <w:lang w:val="lv-LV"/>
        </w:rPr>
      </w:pPr>
    </w:p>
    <w:p w:rsidR="00EA6CD3" w:rsidRPr="00EE57C3" w:rsidRDefault="00EA6CD3" w:rsidP="00EA6CD3">
      <w:pPr>
        <w:tabs>
          <w:tab w:val="right" w:pos="9072"/>
        </w:tabs>
        <w:rPr>
          <w:sz w:val="26"/>
          <w:szCs w:val="26"/>
          <w:lang w:val="lv-LV"/>
        </w:rPr>
      </w:pPr>
      <w:r w:rsidRPr="00EE57C3">
        <w:rPr>
          <w:sz w:val="26"/>
          <w:szCs w:val="26"/>
          <w:lang w:val="lv-LV"/>
        </w:rPr>
        <w:t>Ekonomikas ministrs</w:t>
      </w:r>
      <w:r w:rsidRPr="00EE57C3">
        <w:rPr>
          <w:sz w:val="26"/>
          <w:szCs w:val="26"/>
          <w:lang w:val="lv-LV"/>
        </w:rPr>
        <w:tab/>
        <w:t>D.Pavļuts</w:t>
      </w:r>
      <w:r w:rsidRPr="00EE57C3">
        <w:rPr>
          <w:sz w:val="26"/>
          <w:szCs w:val="26"/>
          <w:lang w:val="lv-LV"/>
        </w:rPr>
        <w:tab/>
      </w:r>
      <w:r w:rsidRPr="00EE57C3">
        <w:rPr>
          <w:sz w:val="26"/>
          <w:szCs w:val="26"/>
          <w:lang w:val="lv-LV"/>
        </w:rPr>
        <w:tab/>
      </w:r>
      <w:r w:rsidRPr="00EE57C3">
        <w:rPr>
          <w:sz w:val="26"/>
          <w:szCs w:val="26"/>
          <w:lang w:val="lv-LV"/>
        </w:rPr>
        <w:tab/>
      </w:r>
      <w:r w:rsidRPr="00EE57C3">
        <w:rPr>
          <w:sz w:val="26"/>
          <w:szCs w:val="26"/>
          <w:lang w:val="lv-LV"/>
        </w:rPr>
        <w:tab/>
      </w:r>
      <w:r w:rsidRPr="00EE57C3">
        <w:rPr>
          <w:sz w:val="26"/>
          <w:szCs w:val="26"/>
          <w:lang w:val="lv-LV"/>
        </w:rPr>
        <w:tab/>
      </w:r>
      <w:r w:rsidRPr="00EE57C3">
        <w:rPr>
          <w:sz w:val="26"/>
          <w:szCs w:val="26"/>
          <w:lang w:val="lv-LV"/>
        </w:rPr>
        <w:tab/>
      </w:r>
    </w:p>
    <w:p w:rsidR="00EA6CD3" w:rsidRPr="00EE57C3" w:rsidRDefault="00EA6CD3" w:rsidP="00EA6CD3">
      <w:pPr>
        <w:tabs>
          <w:tab w:val="left" w:pos="8222"/>
        </w:tabs>
        <w:rPr>
          <w:sz w:val="26"/>
          <w:szCs w:val="26"/>
          <w:lang w:val="lv-LV"/>
        </w:rPr>
      </w:pPr>
    </w:p>
    <w:p w:rsidR="00EA6CD3" w:rsidRPr="00EE57C3" w:rsidRDefault="00EA6CD3" w:rsidP="00EA6CD3">
      <w:pPr>
        <w:tabs>
          <w:tab w:val="right" w:pos="9072"/>
        </w:tabs>
        <w:rPr>
          <w:sz w:val="26"/>
          <w:szCs w:val="26"/>
          <w:lang w:val="lv-LV"/>
        </w:rPr>
      </w:pPr>
    </w:p>
    <w:p w:rsidR="00700E68" w:rsidRDefault="00EA6CD3" w:rsidP="00EA6CD3">
      <w:pPr>
        <w:tabs>
          <w:tab w:val="right" w:pos="9072"/>
        </w:tabs>
        <w:rPr>
          <w:sz w:val="26"/>
          <w:szCs w:val="26"/>
          <w:lang w:val="lv-LV"/>
        </w:rPr>
      </w:pPr>
      <w:r w:rsidRPr="00EE57C3">
        <w:rPr>
          <w:sz w:val="26"/>
          <w:szCs w:val="26"/>
          <w:lang w:val="lv-LV"/>
        </w:rPr>
        <w:t>Vīza: Valsts sekretār</w:t>
      </w:r>
      <w:r w:rsidR="00700E68">
        <w:rPr>
          <w:sz w:val="26"/>
          <w:szCs w:val="26"/>
          <w:lang w:val="lv-LV"/>
        </w:rPr>
        <w:t>a</w:t>
      </w:r>
    </w:p>
    <w:p w:rsidR="00700E68" w:rsidRDefault="00700E68" w:rsidP="00EA6CD3">
      <w:pPr>
        <w:tabs>
          <w:tab w:val="right" w:pos="9072"/>
        </w:tabs>
        <w:rPr>
          <w:sz w:val="26"/>
          <w:szCs w:val="26"/>
          <w:lang w:val="lv-LV"/>
        </w:rPr>
      </w:pPr>
      <w:r>
        <w:rPr>
          <w:sz w:val="26"/>
          <w:szCs w:val="26"/>
          <w:lang w:val="lv-LV"/>
        </w:rPr>
        <w:t>pienākumu izpildītājs,</w:t>
      </w:r>
    </w:p>
    <w:p w:rsidR="00EA6CD3" w:rsidRPr="00EE57C3" w:rsidRDefault="00700E68" w:rsidP="00EA6CD3">
      <w:pPr>
        <w:tabs>
          <w:tab w:val="right" w:pos="9072"/>
        </w:tabs>
        <w:rPr>
          <w:sz w:val="26"/>
          <w:szCs w:val="26"/>
          <w:lang w:val="lv-LV"/>
        </w:rPr>
      </w:pPr>
      <w:r>
        <w:rPr>
          <w:sz w:val="26"/>
          <w:szCs w:val="26"/>
          <w:lang w:val="lv-LV"/>
        </w:rPr>
        <w:t>valsts sekretāra vietnieks</w:t>
      </w:r>
      <w:r w:rsidR="00EA6CD3" w:rsidRPr="00EE57C3">
        <w:rPr>
          <w:sz w:val="26"/>
          <w:szCs w:val="26"/>
          <w:lang w:val="lv-LV"/>
        </w:rPr>
        <w:tab/>
      </w:r>
      <w:r w:rsidR="0007590A">
        <w:rPr>
          <w:sz w:val="26"/>
          <w:szCs w:val="26"/>
          <w:lang w:val="lv-LV"/>
        </w:rPr>
        <w:t>J.Spiridonovs</w:t>
      </w:r>
    </w:p>
    <w:p w:rsidR="00EA6CD3" w:rsidRPr="00EE57C3" w:rsidRDefault="00EA6CD3" w:rsidP="00EA6CD3">
      <w:pPr>
        <w:jc w:val="both"/>
        <w:rPr>
          <w:color w:val="000000"/>
          <w:sz w:val="26"/>
          <w:szCs w:val="26"/>
          <w:lang w:val="lv-LV"/>
        </w:rPr>
      </w:pPr>
    </w:p>
    <w:p w:rsidR="00EA6CD3" w:rsidRPr="00EE57C3" w:rsidRDefault="00EA6CD3" w:rsidP="00EA6CD3">
      <w:pPr>
        <w:jc w:val="both"/>
        <w:rPr>
          <w:color w:val="000000"/>
          <w:sz w:val="26"/>
          <w:szCs w:val="26"/>
          <w:lang w:val="lv-LV"/>
        </w:rPr>
      </w:pPr>
    </w:p>
    <w:p w:rsidR="00EA6CD3" w:rsidRDefault="00EA6CD3" w:rsidP="00EA6CD3">
      <w:pPr>
        <w:jc w:val="both"/>
        <w:rPr>
          <w:color w:val="000000"/>
          <w:sz w:val="26"/>
          <w:szCs w:val="26"/>
          <w:lang w:val="lv-LV"/>
        </w:rPr>
      </w:pPr>
    </w:p>
    <w:p w:rsidR="00EA6CD3" w:rsidRPr="00EE57C3" w:rsidRDefault="00EA6CD3" w:rsidP="00EA6CD3">
      <w:pPr>
        <w:jc w:val="both"/>
        <w:rPr>
          <w:color w:val="000000"/>
          <w:sz w:val="22"/>
          <w:szCs w:val="22"/>
          <w:lang w:val="lv-LV"/>
        </w:rPr>
      </w:pPr>
    </w:p>
    <w:p w:rsidR="00EA6CD3" w:rsidRPr="005464E6" w:rsidRDefault="005C1777" w:rsidP="00EA6CD3">
      <w:pPr>
        <w:jc w:val="both"/>
        <w:rPr>
          <w:lang w:val="lv-LV"/>
        </w:rPr>
      </w:pPr>
      <w:r>
        <w:rPr>
          <w:lang w:val="lv-LV"/>
        </w:rPr>
        <w:t>03.01.2014 09:36</w:t>
      </w:r>
      <w:bookmarkStart w:id="5" w:name="_GoBack"/>
      <w:bookmarkEnd w:id="5"/>
    </w:p>
    <w:p w:rsidR="005464E6" w:rsidRPr="005464E6" w:rsidRDefault="00A52412" w:rsidP="00EA6CD3">
      <w:pPr>
        <w:jc w:val="both"/>
        <w:rPr>
          <w:lang w:val="lv-LV"/>
        </w:rPr>
      </w:pPr>
      <w:r>
        <w:rPr>
          <w:lang w:val="lv-LV"/>
        </w:rPr>
        <w:fldChar w:fldCharType="begin"/>
      </w:r>
      <w:r>
        <w:rPr>
          <w:lang w:val="lv-LV"/>
        </w:rPr>
        <w:instrText xml:space="preserve"> NUMWORDS   \* MERGEFORMAT </w:instrText>
      </w:r>
      <w:r>
        <w:rPr>
          <w:lang w:val="lv-LV"/>
        </w:rPr>
        <w:fldChar w:fldCharType="separate"/>
      </w:r>
      <w:r w:rsidR="005C1777">
        <w:rPr>
          <w:noProof/>
          <w:lang w:val="lv-LV"/>
        </w:rPr>
        <w:t>2192</w:t>
      </w:r>
      <w:r>
        <w:rPr>
          <w:lang w:val="lv-LV"/>
        </w:rPr>
        <w:fldChar w:fldCharType="end"/>
      </w:r>
    </w:p>
    <w:p w:rsidR="00EA6CD3" w:rsidRPr="005464E6" w:rsidRDefault="00EA6CD3" w:rsidP="00EA6CD3">
      <w:pPr>
        <w:jc w:val="both"/>
        <w:rPr>
          <w:color w:val="000000"/>
          <w:lang w:val="lv-LV"/>
        </w:rPr>
      </w:pPr>
      <w:r w:rsidRPr="005464E6">
        <w:rPr>
          <w:color w:val="000000"/>
          <w:lang w:val="lv-LV"/>
        </w:rPr>
        <w:t>A.Nicmane</w:t>
      </w:r>
    </w:p>
    <w:p w:rsidR="00EA6CD3" w:rsidRPr="005464E6" w:rsidRDefault="00EA6CD3" w:rsidP="00EA6CD3">
      <w:pPr>
        <w:jc w:val="both"/>
        <w:rPr>
          <w:color w:val="000000"/>
          <w:lang w:val="lv-LV"/>
        </w:rPr>
      </w:pPr>
      <w:r w:rsidRPr="005464E6">
        <w:rPr>
          <w:lang w:val="lv-LV"/>
        </w:rPr>
        <w:t>67013203,Agita.Nicmane@em.gov.lv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0D" w:rsidRDefault="00E3210D" w:rsidP="006B2FEF">
      <w:r>
        <w:separator/>
      </w:r>
    </w:p>
  </w:endnote>
  <w:endnote w:type="continuationSeparator" w:id="0">
    <w:p w:rsidR="00E3210D" w:rsidRDefault="00E3210D"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C6" w:rsidRDefault="0062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C4" w:rsidRPr="00720501" w:rsidRDefault="00CB6AC4" w:rsidP="00CB6AC4">
    <w:pPr>
      <w:pStyle w:val="Footer"/>
      <w:jc w:val="both"/>
    </w:pPr>
    <w:r>
      <w:rPr>
        <w:rFonts w:eastAsia="Times New Roman"/>
        <w:lang w:val="lv-LV" w:eastAsia="lv-LV"/>
      </w:rPr>
      <w:t>EMANOT_</w:t>
    </w:r>
    <w:r w:rsidR="006253C6" w:rsidRPr="006253C6">
      <w:rPr>
        <w:rFonts w:eastAsia="Times New Roman"/>
        <w:lang w:val="lv-LV" w:eastAsia="lv-LV"/>
      </w:rPr>
      <w:t>030114</w:t>
    </w:r>
    <w:r w:rsidRPr="00720501">
      <w:rPr>
        <w:rFonts w:eastAsia="Times New Roman"/>
        <w:lang w:val="lv-LV" w:eastAsia="lv-LV"/>
      </w:rPr>
      <w:t xml:space="preserve">_GROZ613; Ministru kabineta noteikumu projekta „Grozījumi Ministru kabineta 2011.gada 2.augusta noteikumos Nr.613 „Noteikumi par </w:t>
    </w:r>
    <w:proofErr w:type="spellStart"/>
    <w:r w:rsidRPr="00720501">
      <w:rPr>
        <w:rFonts w:eastAsia="Times New Roman"/>
        <w:lang w:val="lv-LV" w:eastAsia="lv-LV"/>
      </w:rPr>
      <w:t>mezanīna</w:t>
    </w:r>
    <w:proofErr w:type="spellEnd"/>
    <w:r w:rsidRPr="00720501">
      <w:rPr>
        <w:rFonts w:eastAsia="Times New Roman"/>
        <w:lang w:val="lv-LV" w:eastAsia="lv-LV"/>
      </w:rPr>
      <w:t xml:space="preserve"> aizdevumiem saimnieciskās darbības veicēju konkurētspējas uzlabošanai” sākotnējās ietekmes novērtējuma ziņojums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C4" w:rsidRPr="00B06ED7" w:rsidRDefault="00CB6AC4" w:rsidP="00CB6AC4">
    <w:pPr>
      <w:pStyle w:val="Footer"/>
      <w:jc w:val="both"/>
    </w:pPr>
    <w:r>
      <w:rPr>
        <w:rFonts w:eastAsia="Times New Roman"/>
        <w:lang w:val="lv-LV" w:eastAsia="lv-LV"/>
      </w:rPr>
      <w:t>EMANOT_</w:t>
    </w:r>
    <w:r w:rsidR="006253C6" w:rsidRPr="006253C6">
      <w:rPr>
        <w:rFonts w:eastAsia="Times New Roman"/>
        <w:lang w:val="lv-LV" w:eastAsia="lv-LV"/>
      </w:rPr>
      <w:t>030114</w:t>
    </w:r>
    <w:r w:rsidRPr="00B06ED7">
      <w:rPr>
        <w:rFonts w:eastAsia="Times New Roman"/>
        <w:lang w:val="lv-LV" w:eastAsia="lv-LV"/>
      </w:rPr>
      <w:t>_GROZ613; Mini</w:t>
    </w:r>
    <w:r>
      <w:rPr>
        <w:rFonts w:eastAsia="Times New Roman"/>
        <w:lang w:val="lv-LV" w:eastAsia="lv-LV"/>
      </w:rPr>
      <w:t>stru kabineta noteikumu projekta</w:t>
    </w:r>
    <w:r w:rsidRPr="00B06ED7">
      <w:rPr>
        <w:rFonts w:eastAsia="Times New Roman"/>
        <w:lang w:val="lv-LV" w:eastAsia="lv-LV"/>
      </w:rPr>
      <w:t xml:space="preserve"> „Grozījumi Ministru kabineta 2011.gada 2.augusta noteikumos Nr.613 „Noteikumi par </w:t>
    </w:r>
    <w:proofErr w:type="spellStart"/>
    <w:r w:rsidRPr="00B06ED7">
      <w:rPr>
        <w:rFonts w:eastAsia="Times New Roman"/>
        <w:lang w:val="lv-LV" w:eastAsia="lv-LV"/>
      </w:rPr>
      <w:t>mezanīna</w:t>
    </w:r>
    <w:proofErr w:type="spellEnd"/>
    <w:r w:rsidRPr="00B06ED7">
      <w:rPr>
        <w:rFonts w:eastAsia="Times New Roman"/>
        <w:lang w:val="lv-LV" w:eastAsia="lv-LV"/>
      </w:rPr>
      <w:t xml:space="preserve"> aizdevumiem saimnieciskās darbības veicēju konkurētspējas uzlabošanai” sākotnējās ietekmes novērtējuma ziņojums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0D" w:rsidRDefault="00E3210D" w:rsidP="006B2FEF">
      <w:r>
        <w:separator/>
      </w:r>
    </w:p>
  </w:footnote>
  <w:footnote w:type="continuationSeparator" w:id="0">
    <w:p w:rsidR="00E3210D" w:rsidRDefault="00E3210D"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C6" w:rsidRDefault="0062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CB6AC4" w:rsidRPr="00B014C2" w:rsidRDefault="00CB6AC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C1777">
          <w:rPr>
            <w:noProof/>
            <w:sz w:val="24"/>
            <w:szCs w:val="24"/>
          </w:rPr>
          <w:t>11</w:t>
        </w:r>
        <w:r w:rsidRPr="00B014C2">
          <w:rPr>
            <w:sz w:val="24"/>
            <w:szCs w:val="24"/>
          </w:rPr>
          <w:fldChar w:fldCharType="end"/>
        </w:r>
      </w:p>
    </w:sdtContent>
  </w:sdt>
  <w:p w:rsidR="00CB6AC4" w:rsidRDefault="00CB6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C6" w:rsidRDefault="0062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527A4"/>
    <w:rsid w:val="0007590A"/>
    <w:rsid w:val="000964C6"/>
    <w:rsid w:val="000B3449"/>
    <w:rsid w:val="001C0801"/>
    <w:rsid w:val="001D7DC1"/>
    <w:rsid w:val="002E708A"/>
    <w:rsid w:val="003061FB"/>
    <w:rsid w:val="00326096"/>
    <w:rsid w:val="003261E2"/>
    <w:rsid w:val="00380AC5"/>
    <w:rsid w:val="003C3D3D"/>
    <w:rsid w:val="00431019"/>
    <w:rsid w:val="004352F7"/>
    <w:rsid w:val="00443016"/>
    <w:rsid w:val="005464E6"/>
    <w:rsid w:val="00567FC5"/>
    <w:rsid w:val="00574CB3"/>
    <w:rsid w:val="005C1777"/>
    <w:rsid w:val="005D688E"/>
    <w:rsid w:val="006253C6"/>
    <w:rsid w:val="006B2FEF"/>
    <w:rsid w:val="006D2F0C"/>
    <w:rsid w:val="00700E68"/>
    <w:rsid w:val="00780B70"/>
    <w:rsid w:val="007C1A7D"/>
    <w:rsid w:val="008A6B06"/>
    <w:rsid w:val="008D65D5"/>
    <w:rsid w:val="00A26676"/>
    <w:rsid w:val="00A27A02"/>
    <w:rsid w:val="00A52412"/>
    <w:rsid w:val="00B15DBA"/>
    <w:rsid w:val="00B837AE"/>
    <w:rsid w:val="00C12CF8"/>
    <w:rsid w:val="00C85115"/>
    <w:rsid w:val="00CB6AC4"/>
    <w:rsid w:val="00CE5541"/>
    <w:rsid w:val="00D62E09"/>
    <w:rsid w:val="00DB3D04"/>
    <w:rsid w:val="00E3210D"/>
    <w:rsid w:val="00E55EC8"/>
    <w:rsid w:val="00EA6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2225</Words>
  <Characters>15716</Characters>
  <Application>Microsoft Office Word</Application>
  <DocSecurity>0</DocSecurity>
  <Lines>785</Lines>
  <Paragraphs>242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2.augusta noteikumos Nr.613 „Noteikumi par mezanīna aizdevumiem saimnieciskās darbības veicēju konkurētspējas uzlabošanai””sākotnējās ietekmes novērtējuma ziņojums (anotācija)</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2.augusta noteikumos Nr.613 „Noteikumi par mezanīna aizdevumiem saimnieciskās darbības veicēju konkurētspējas uzlabošanai””sākotnējās ietekmes novērtējuma ziņojums (anotācija)</dc:title>
  <dc:subject>Anotācija</dc:subject>
  <dc:creator>Agita Nicmane</dc:creator>
  <dc:description>Agita.Nicmane@em.gov.lv</dc:description>
  <cp:lastModifiedBy>Gatis Silovs</cp:lastModifiedBy>
  <cp:revision>6</cp:revision>
  <dcterms:created xsi:type="dcterms:W3CDTF">2013-12-12T09:26:00Z</dcterms:created>
  <dcterms:modified xsi:type="dcterms:W3CDTF">2014-01-03T07:36:00Z</dcterms:modified>
</cp:coreProperties>
</file>