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9D" w:rsidRPr="0062469D" w:rsidRDefault="00BB09C5" w:rsidP="0062469D">
      <w:pPr>
        <w:jc w:val="center"/>
        <w:rPr>
          <w:rFonts w:eastAsia="Times New Roman"/>
          <w:b/>
          <w:sz w:val="28"/>
          <w:szCs w:val="28"/>
          <w:lang w:val="lv-LV" w:eastAsia="lv-LV"/>
        </w:rPr>
      </w:pPr>
      <w:bookmarkStart w:id="0" w:name="OLE_LINK3"/>
      <w:bookmarkStart w:id="1" w:name="OLE_LINK1"/>
      <w:bookmarkStart w:id="2" w:name="OLE_LINK2"/>
      <w:r w:rsidRPr="0062469D">
        <w:rPr>
          <w:b/>
          <w:sz w:val="26"/>
          <w:szCs w:val="26"/>
          <w:lang w:val="lv-LV"/>
        </w:rPr>
        <w:t xml:space="preserve">Ministru kabineta </w:t>
      </w:r>
      <w:r w:rsidR="00C83591" w:rsidRPr="0062469D">
        <w:rPr>
          <w:b/>
          <w:sz w:val="26"/>
          <w:szCs w:val="26"/>
          <w:lang w:val="lv-LV"/>
        </w:rPr>
        <w:t>noteikumu</w:t>
      </w:r>
      <w:r w:rsidR="00922F7B">
        <w:rPr>
          <w:b/>
          <w:sz w:val="26"/>
          <w:szCs w:val="26"/>
          <w:lang w:val="lv-LV"/>
        </w:rPr>
        <w:t xml:space="preserve"> </w:t>
      </w:r>
      <w:r w:rsidRPr="0062469D">
        <w:rPr>
          <w:b/>
          <w:sz w:val="26"/>
          <w:szCs w:val="26"/>
          <w:lang w:val="lv-LV"/>
        </w:rPr>
        <w:t xml:space="preserve">projekta </w:t>
      </w:r>
      <w:r w:rsidR="0062469D">
        <w:rPr>
          <w:b/>
          <w:sz w:val="26"/>
          <w:szCs w:val="26"/>
          <w:lang w:val="lv-LV"/>
        </w:rPr>
        <w:t>,,</w:t>
      </w:r>
      <w:bookmarkStart w:id="3" w:name="OLE_LINK12"/>
      <w:bookmarkStart w:id="4" w:name="OLE_LINK13"/>
      <w:r w:rsidR="0062469D" w:rsidRPr="0062469D">
        <w:rPr>
          <w:b/>
          <w:sz w:val="26"/>
          <w:szCs w:val="26"/>
          <w:lang w:val="lv-LV"/>
        </w:rPr>
        <w:t xml:space="preserve">Grozījumi </w:t>
      </w:r>
      <w:bookmarkStart w:id="5" w:name="OLE_LINK7"/>
      <w:bookmarkStart w:id="6" w:name="OLE_LINK8"/>
      <w:r w:rsidR="0062469D" w:rsidRPr="0062469D">
        <w:rPr>
          <w:b/>
          <w:sz w:val="26"/>
          <w:szCs w:val="26"/>
          <w:lang w:val="lv-LV"/>
        </w:rPr>
        <w:t>Ministru kabineta 2011.</w:t>
      </w:r>
      <w:r w:rsidR="00922F7B">
        <w:rPr>
          <w:b/>
          <w:sz w:val="26"/>
          <w:szCs w:val="26"/>
          <w:lang w:val="lv-LV"/>
        </w:rPr>
        <w:t>gada 2.augusta noteikumos Nr.614 „</w:t>
      </w:r>
      <w:r w:rsidR="00922F7B" w:rsidRPr="00922F7B">
        <w:rPr>
          <w:b/>
          <w:sz w:val="26"/>
          <w:szCs w:val="26"/>
          <w:lang w:val="lv-LV"/>
        </w:rPr>
        <w:t>Not</w:t>
      </w:r>
      <w:r w:rsidR="00922F7B">
        <w:rPr>
          <w:b/>
          <w:sz w:val="26"/>
          <w:szCs w:val="26"/>
          <w:lang w:val="lv-LV"/>
        </w:rPr>
        <w:t>eikumi par darbības programmas „</w:t>
      </w:r>
      <w:r w:rsidR="00922F7B" w:rsidRPr="00922F7B">
        <w:rPr>
          <w:b/>
          <w:sz w:val="26"/>
          <w:szCs w:val="26"/>
          <w:lang w:val="lv-LV"/>
        </w:rPr>
        <w:t>Uzņēm</w:t>
      </w:r>
      <w:r w:rsidR="00922F7B">
        <w:rPr>
          <w:b/>
          <w:sz w:val="26"/>
          <w:szCs w:val="26"/>
          <w:lang w:val="lv-LV"/>
        </w:rPr>
        <w:t>ējdarbība un inovācijas”</w:t>
      </w:r>
      <w:r w:rsidR="00922F7B" w:rsidRPr="00922F7B">
        <w:rPr>
          <w:b/>
          <w:sz w:val="26"/>
          <w:szCs w:val="26"/>
          <w:lang w:val="lv-LV"/>
        </w:rPr>
        <w:t xml:space="preserve"> papildinā</w:t>
      </w:r>
      <w:r w:rsidR="00922F7B">
        <w:rPr>
          <w:b/>
          <w:sz w:val="26"/>
          <w:szCs w:val="26"/>
          <w:lang w:val="lv-LV"/>
        </w:rPr>
        <w:t>juma 2.2.1.4.2.apakšaktivitāti „</w:t>
      </w:r>
      <w:r w:rsidR="00922F7B" w:rsidRPr="00922F7B">
        <w:rPr>
          <w:b/>
          <w:sz w:val="26"/>
          <w:szCs w:val="26"/>
          <w:lang w:val="lv-LV"/>
        </w:rPr>
        <w:t>Mezanīna aizdevumi investīcijām komers</w:t>
      </w:r>
      <w:r w:rsidR="00922F7B">
        <w:rPr>
          <w:b/>
          <w:sz w:val="26"/>
          <w:szCs w:val="26"/>
          <w:lang w:val="lv-LV"/>
        </w:rPr>
        <w:t>antu konkurētspējas uzlabošanai”</w:t>
      </w:r>
      <w:bookmarkEnd w:id="5"/>
      <w:bookmarkEnd w:id="6"/>
      <w:r w:rsidR="00922F7B">
        <w:rPr>
          <w:b/>
          <w:sz w:val="26"/>
          <w:szCs w:val="26"/>
          <w:lang w:val="lv-LV"/>
        </w:rPr>
        <w:t>”</w:t>
      </w:r>
      <w:bookmarkEnd w:id="3"/>
      <w:bookmarkEnd w:id="4"/>
      <w:r w:rsidR="00922F7B">
        <w:rPr>
          <w:b/>
          <w:sz w:val="26"/>
          <w:szCs w:val="26"/>
          <w:lang w:val="lv-LV"/>
        </w:rPr>
        <w:t>”</w:t>
      </w:r>
    </w:p>
    <w:p w:rsidR="00522B62" w:rsidRDefault="003000F0" w:rsidP="00F22471">
      <w:pPr>
        <w:pStyle w:val="BodyText"/>
        <w:jc w:val="center"/>
        <w:rPr>
          <w:b/>
          <w:sz w:val="26"/>
          <w:szCs w:val="26"/>
        </w:rPr>
      </w:pPr>
      <w:r w:rsidRPr="005A7B9C">
        <w:rPr>
          <w:b/>
          <w:sz w:val="26"/>
          <w:szCs w:val="26"/>
        </w:rPr>
        <w:t>sākotnējās ietekmes novērtējuma ziņojums</w:t>
      </w:r>
      <w:r w:rsidR="009E3A19">
        <w:rPr>
          <w:b/>
          <w:sz w:val="26"/>
          <w:szCs w:val="26"/>
        </w:rPr>
        <w:t xml:space="preserve"> </w:t>
      </w:r>
      <w:r w:rsidRPr="005A7B9C">
        <w:rPr>
          <w:b/>
          <w:sz w:val="26"/>
          <w:szCs w:val="26"/>
        </w:rPr>
        <w:t>(</w:t>
      </w:r>
      <w:r w:rsidR="00E73425" w:rsidRPr="005A7B9C">
        <w:rPr>
          <w:b/>
          <w:sz w:val="26"/>
          <w:szCs w:val="26"/>
        </w:rPr>
        <w:t>anotācija</w:t>
      </w:r>
      <w:r w:rsidRPr="005A7B9C">
        <w:rPr>
          <w:b/>
          <w:sz w:val="26"/>
          <w:szCs w:val="26"/>
        </w:rPr>
        <w:t>)</w:t>
      </w:r>
    </w:p>
    <w:p w:rsidR="00944C30" w:rsidRPr="005A7B9C" w:rsidRDefault="00944C30"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B75FCA"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5A7B9C" w:rsidRDefault="00A31FDC" w:rsidP="00922F7B">
            <w:pPr>
              <w:ind w:firstLine="720"/>
              <w:jc w:val="center"/>
              <w:rPr>
                <w:rFonts w:eastAsia="Times New Roman"/>
                <w:b/>
                <w:sz w:val="26"/>
                <w:szCs w:val="26"/>
                <w:lang w:val="lv-LV" w:eastAsia="lv-LV"/>
              </w:rPr>
            </w:pPr>
            <w:r w:rsidRPr="005A7B9C">
              <w:rPr>
                <w:rFonts w:eastAsia="Times New Roman"/>
                <w:b/>
                <w:sz w:val="26"/>
                <w:szCs w:val="26"/>
                <w:lang w:val="lv-LV" w:eastAsia="lv-LV"/>
              </w:rPr>
              <w:t>I.Tiesību akta projekta izstrādes nepieciešamība</w:t>
            </w:r>
          </w:p>
        </w:tc>
      </w:tr>
      <w:tr w:rsidR="00A31FDC" w:rsidRPr="00B75FCA"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47779" w:rsidRPr="0062469D" w:rsidRDefault="00F4308E" w:rsidP="00922F7B">
            <w:pPr>
              <w:spacing w:after="240"/>
              <w:ind w:firstLine="709"/>
              <w:jc w:val="both"/>
              <w:rPr>
                <w:sz w:val="26"/>
                <w:szCs w:val="26"/>
                <w:lang w:val="lv-LV"/>
              </w:rPr>
            </w:pPr>
            <w:r w:rsidRPr="00F4308E">
              <w:rPr>
                <w:sz w:val="26"/>
                <w:szCs w:val="26"/>
                <w:lang w:val="lv-LV"/>
              </w:rPr>
              <w:t>Noteikumu proj</w:t>
            </w:r>
            <w:r w:rsidR="00747779">
              <w:rPr>
                <w:sz w:val="26"/>
                <w:szCs w:val="26"/>
                <w:lang w:val="lv-LV"/>
              </w:rPr>
              <w:t xml:space="preserve">ekts sagatavots, pamatojoties </w:t>
            </w:r>
            <w:r w:rsidR="00922F7B">
              <w:rPr>
                <w:sz w:val="26"/>
                <w:szCs w:val="26"/>
                <w:lang w:val="lv-LV"/>
              </w:rPr>
              <w:t xml:space="preserve">uz </w:t>
            </w:r>
            <w:r w:rsidRPr="00257056">
              <w:rPr>
                <w:i/>
                <w:sz w:val="26"/>
                <w:szCs w:val="26"/>
                <w:lang w:val="lv-LV"/>
              </w:rPr>
              <w:t>Euro</w:t>
            </w:r>
            <w:r w:rsidRPr="00F4308E">
              <w:rPr>
                <w:sz w:val="26"/>
                <w:szCs w:val="26"/>
                <w:lang w:val="lv-LV"/>
              </w:rPr>
              <w:t xml:space="preserve"> ieviešana</w:t>
            </w:r>
            <w:r w:rsidR="00747779">
              <w:rPr>
                <w:sz w:val="26"/>
                <w:szCs w:val="26"/>
                <w:lang w:val="lv-LV"/>
              </w:rPr>
              <w:t>s kārtības likuma 30.panta pirmo daļu</w:t>
            </w:r>
            <w:r w:rsidR="00922F7B">
              <w:rPr>
                <w:sz w:val="26"/>
                <w:szCs w:val="26"/>
                <w:lang w:val="lv-LV"/>
              </w:rPr>
              <w:t xml:space="preserve"> un </w:t>
            </w:r>
            <w:r w:rsidRPr="00F4308E">
              <w:rPr>
                <w:sz w:val="26"/>
                <w:szCs w:val="26"/>
                <w:lang w:val="lv-LV"/>
              </w:rPr>
              <w:t xml:space="preserve">Ministru kabineta 2012.gada 27.jūnija rīkojuma Nr.282 „Par „Koncepciju par normatīvo aktu sakārtošanu saistībā ar </w:t>
            </w:r>
            <w:r w:rsidRPr="007D1488">
              <w:rPr>
                <w:i/>
                <w:sz w:val="26"/>
                <w:szCs w:val="26"/>
                <w:lang w:val="lv-LV"/>
              </w:rPr>
              <w:t>eiro</w:t>
            </w:r>
            <w:r w:rsidRPr="00F4308E">
              <w:rPr>
                <w:sz w:val="26"/>
                <w:szCs w:val="26"/>
                <w:lang w:val="lv-LV"/>
              </w:rPr>
              <w:t xml:space="preserve"> ievi</w:t>
            </w:r>
            <w:r w:rsidR="00747779">
              <w:rPr>
                <w:sz w:val="26"/>
                <w:szCs w:val="26"/>
                <w:lang w:val="lv-LV"/>
              </w:rPr>
              <w:t>ešanu Latvijā”” 7.1.apakšpunktu</w:t>
            </w:r>
            <w:r w:rsidR="00922F7B">
              <w:rPr>
                <w:sz w:val="26"/>
                <w:szCs w:val="26"/>
                <w:lang w:val="lv-LV"/>
              </w:rPr>
              <w:t>.</w:t>
            </w:r>
          </w:p>
        </w:tc>
      </w:tr>
      <w:tr w:rsidR="00A31FDC" w:rsidRPr="00B75FCA"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Pašreizējā situācija un problēmas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A3A" w:rsidRDefault="0062469D" w:rsidP="007A3825">
            <w:pPr>
              <w:spacing w:after="240"/>
              <w:ind w:firstLine="709"/>
              <w:jc w:val="both"/>
              <w:rPr>
                <w:sz w:val="26"/>
                <w:szCs w:val="26"/>
                <w:lang w:val="lv-LV"/>
              </w:rPr>
            </w:pPr>
            <w:r w:rsidRPr="0062469D">
              <w:rPr>
                <w:sz w:val="26"/>
                <w:szCs w:val="26"/>
                <w:lang w:val="lv-LV"/>
              </w:rPr>
              <w:t>Ministru kabineta 2011.</w:t>
            </w:r>
            <w:r w:rsidR="00922F7B">
              <w:rPr>
                <w:sz w:val="26"/>
                <w:szCs w:val="26"/>
                <w:lang w:val="lv-LV"/>
              </w:rPr>
              <w:t>gada 2.augusta noteikumos Nr.614</w:t>
            </w:r>
            <w:r w:rsidRPr="0062469D">
              <w:rPr>
                <w:sz w:val="26"/>
                <w:szCs w:val="26"/>
                <w:lang w:val="lv-LV"/>
              </w:rPr>
              <w:t xml:space="preserve"> „</w:t>
            </w:r>
            <w:r w:rsidR="00922F7B" w:rsidRPr="00922F7B">
              <w:rPr>
                <w:sz w:val="26"/>
                <w:szCs w:val="26"/>
                <w:lang w:val="lv-LV"/>
              </w:rPr>
              <w:t>Noteikumi par darbības programmas „Uzņēmējdarbība un inovācijas” papildinājuma 2.2.1.4.2.apakšaktivitāti „</w:t>
            </w:r>
            <w:proofErr w:type="spellStart"/>
            <w:r w:rsidR="00922F7B" w:rsidRPr="00922F7B">
              <w:rPr>
                <w:sz w:val="26"/>
                <w:szCs w:val="26"/>
                <w:lang w:val="lv-LV"/>
              </w:rPr>
              <w:t>Mezanīna</w:t>
            </w:r>
            <w:proofErr w:type="spellEnd"/>
            <w:r w:rsidR="00922F7B" w:rsidRPr="00922F7B">
              <w:rPr>
                <w:sz w:val="26"/>
                <w:szCs w:val="26"/>
                <w:lang w:val="lv-LV"/>
              </w:rPr>
              <w:t xml:space="preserve"> aizdevumi investīcijām komersantu konkurētspējas uzlabošanai</w:t>
            </w:r>
            <w:r w:rsidR="009E3A19">
              <w:rPr>
                <w:sz w:val="26"/>
                <w:szCs w:val="26"/>
                <w:lang w:val="lv-LV"/>
              </w:rPr>
              <w:t>”</w:t>
            </w:r>
            <w:r w:rsidRPr="0062469D">
              <w:rPr>
                <w:sz w:val="26"/>
                <w:szCs w:val="26"/>
                <w:lang w:val="lv-LV"/>
              </w:rPr>
              <w:t>”</w:t>
            </w:r>
            <w:r>
              <w:rPr>
                <w:sz w:val="26"/>
                <w:szCs w:val="26"/>
                <w:lang w:val="lv-LV"/>
              </w:rPr>
              <w:t xml:space="preserve"> (turpmāk - </w:t>
            </w:r>
            <w:r w:rsidR="00F4308E">
              <w:rPr>
                <w:sz w:val="26"/>
                <w:szCs w:val="26"/>
                <w:lang w:val="lv-LV"/>
              </w:rPr>
              <w:t>MK</w:t>
            </w:r>
            <w:r>
              <w:rPr>
                <w:sz w:val="26"/>
                <w:szCs w:val="26"/>
                <w:lang w:val="lv-LV"/>
              </w:rPr>
              <w:t xml:space="preserve"> noteikumi</w:t>
            </w:r>
            <w:r w:rsidR="00F4308E" w:rsidRPr="00F4308E">
              <w:rPr>
                <w:sz w:val="26"/>
                <w:szCs w:val="26"/>
                <w:lang w:val="lv-LV"/>
              </w:rPr>
              <w:t xml:space="preserve"> Nr.</w:t>
            </w:r>
            <w:r w:rsidR="00922F7B">
              <w:rPr>
                <w:sz w:val="26"/>
                <w:szCs w:val="26"/>
                <w:lang w:val="lv-LV"/>
              </w:rPr>
              <w:t>614</w:t>
            </w:r>
            <w:r>
              <w:rPr>
                <w:sz w:val="26"/>
                <w:szCs w:val="26"/>
                <w:lang w:val="lv-LV"/>
              </w:rPr>
              <w:t xml:space="preserve">) </w:t>
            </w:r>
            <w:r w:rsidR="00A76001">
              <w:rPr>
                <w:sz w:val="26"/>
                <w:szCs w:val="26"/>
                <w:lang w:val="lv-LV"/>
              </w:rPr>
              <w:t>pieejam</w:t>
            </w:r>
            <w:r>
              <w:rPr>
                <w:sz w:val="26"/>
                <w:szCs w:val="26"/>
                <w:lang w:val="lv-LV"/>
              </w:rPr>
              <w:t xml:space="preserve">ais </w:t>
            </w:r>
            <w:r w:rsidR="00922F7B">
              <w:rPr>
                <w:sz w:val="26"/>
                <w:szCs w:val="26"/>
                <w:lang w:val="lv-LV"/>
              </w:rPr>
              <w:t>finansējums</w:t>
            </w:r>
            <w:r>
              <w:rPr>
                <w:sz w:val="26"/>
                <w:szCs w:val="26"/>
                <w:lang w:val="lv-LV"/>
              </w:rPr>
              <w:t xml:space="preserve"> noteikts latu valūtā. Ņemot vērā pāreju uz </w:t>
            </w:r>
            <w:proofErr w:type="spellStart"/>
            <w:r w:rsidR="009506A3" w:rsidRPr="0062469D">
              <w:rPr>
                <w:i/>
                <w:sz w:val="26"/>
                <w:szCs w:val="26"/>
                <w:lang w:val="lv-LV"/>
              </w:rPr>
              <w:t>e</w:t>
            </w:r>
            <w:r w:rsidR="009506A3">
              <w:rPr>
                <w:i/>
                <w:sz w:val="26"/>
                <w:szCs w:val="26"/>
                <w:lang w:val="lv-LV"/>
              </w:rPr>
              <w:t>u</w:t>
            </w:r>
            <w:r w:rsidR="009506A3" w:rsidRPr="0062469D">
              <w:rPr>
                <w:i/>
                <w:sz w:val="26"/>
                <w:szCs w:val="26"/>
                <w:lang w:val="lv-LV"/>
              </w:rPr>
              <w:t>ro</w:t>
            </w:r>
            <w:proofErr w:type="spellEnd"/>
            <w:r w:rsidR="009506A3">
              <w:rPr>
                <w:sz w:val="26"/>
                <w:szCs w:val="26"/>
                <w:lang w:val="lv-LV"/>
              </w:rPr>
              <w:t xml:space="preserve"> </w:t>
            </w:r>
            <w:r>
              <w:rPr>
                <w:sz w:val="26"/>
                <w:szCs w:val="26"/>
                <w:lang w:val="lv-LV"/>
              </w:rPr>
              <w:t xml:space="preserve">valūtu </w:t>
            </w:r>
            <w:r w:rsidR="00A76001" w:rsidRPr="00416C50">
              <w:rPr>
                <w:sz w:val="26"/>
                <w:szCs w:val="26"/>
                <w:lang w:val="lv-LV"/>
              </w:rPr>
              <w:t xml:space="preserve">līdz ar 2014.gada 1.janvāri, </w:t>
            </w:r>
            <w:r>
              <w:rPr>
                <w:sz w:val="26"/>
                <w:szCs w:val="26"/>
                <w:lang w:val="lv-LV"/>
              </w:rPr>
              <w:t>nepieciešam</w:t>
            </w:r>
            <w:r w:rsidR="00922F7B">
              <w:rPr>
                <w:sz w:val="26"/>
                <w:szCs w:val="26"/>
                <w:lang w:val="lv-LV"/>
              </w:rPr>
              <w:t xml:space="preserve">i grozījumi MK noteikumos Nr.614, </w:t>
            </w:r>
            <w:r>
              <w:rPr>
                <w:sz w:val="26"/>
                <w:szCs w:val="26"/>
                <w:lang w:val="lv-LV"/>
              </w:rPr>
              <w:t xml:space="preserve">norādot </w:t>
            </w:r>
            <w:r w:rsidR="00922F7B">
              <w:rPr>
                <w:sz w:val="26"/>
                <w:szCs w:val="26"/>
                <w:lang w:val="lv-LV"/>
              </w:rPr>
              <w:t>pieejamo finansējumu</w:t>
            </w:r>
            <w:r>
              <w:rPr>
                <w:sz w:val="26"/>
                <w:szCs w:val="26"/>
                <w:lang w:val="lv-LV"/>
              </w:rPr>
              <w:t xml:space="preserve"> </w:t>
            </w:r>
            <w:proofErr w:type="spellStart"/>
            <w:r w:rsidR="009506A3" w:rsidRPr="0062469D">
              <w:rPr>
                <w:i/>
                <w:sz w:val="26"/>
                <w:szCs w:val="26"/>
                <w:lang w:val="lv-LV"/>
              </w:rPr>
              <w:t>e</w:t>
            </w:r>
            <w:r w:rsidR="009506A3">
              <w:rPr>
                <w:i/>
                <w:sz w:val="26"/>
                <w:szCs w:val="26"/>
                <w:lang w:val="lv-LV"/>
              </w:rPr>
              <w:t>u</w:t>
            </w:r>
            <w:r w:rsidR="009506A3" w:rsidRPr="0062469D">
              <w:rPr>
                <w:i/>
                <w:sz w:val="26"/>
                <w:szCs w:val="26"/>
                <w:lang w:val="lv-LV"/>
              </w:rPr>
              <w:t>ro</w:t>
            </w:r>
            <w:proofErr w:type="spellEnd"/>
            <w:r w:rsidR="009506A3">
              <w:rPr>
                <w:sz w:val="26"/>
                <w:szCs w:val="26"/>
                <w:lang w:val="lv-LV"/>
              </w:rPr>
              <w:t xml:space="preserve"> </w:t>
            </w:r>
            <w:r>
              <w:rPr>
                <w:sz w:val="26"/>
                <w:szCs w:val="26"/>
                <w:lang w:val="lv-LV"/>
              </w:rPr>
              <w:t xml:space="preserve">valūtā </w:t>
            </w:r>
            <w:r w:rsidR="00416C50" w:rsidRPr="00416C50">
              <w:rPr>
                <w:sz w:val="26"/>
                <w:szCs w:val="26"/>
                <w:lang w:val="lv-LV"/>
              </w:rPr>
              <w:t>atbilstoši</w:t>
            </w:r>
            <w:r w:rsidR="00922F7B">
              <w:rPr>
                <w:sz w:val="26"/>
                <w:szCs w:val="26"/>
                <w:lang w:val="lv-LV"/>
              </w:rPr>
              <w:t xml:space="preserve"> </w:t>
            </w:r>
            <w:proofErr w:type="spellStart"/>
            <w:r w:rsidR="00A76001" w:rsidRPr="0062469D">
              <w:rPr>
                <w:i/>
                <w:sz w:val="26"/>
                <w:szCs w:val="26"/>
                <w:lang w:val="lv-LV"/>
              </w:rPr>
              <w:t>Euro</w:t>
            </w:r>
            <w:proofErr w:type="spellEnd"/>
            <w:r w:rsidR="00A76001" w:rsidRPr="00416C50">
              <w:rPr>
                <w:sz w:val="26"/>
                <w:szCs w:val="26"/>
                <w:lang w:val="lv-LV"/>
              </w:rPr>
              <w:t xml:space="preserve"> ieviešanas kārtības likuma 32.pant</w:t>
            </w:r>
            <w:r w:rsidR="00D9203E" w:rsidRPr="00416C50">
              <w:rPr>
                <w:sz w:val="26"/>
                <w:szCs w:val="26"/>
                <w:lang w:val="lv-LV"/>
              </w:rPr>
              <w:t>a otrās daļas 2.punktam.</w:t>
            </w:r>
            <w:r w:rsidR="00A729DC">
              <w:rPr>
                <w:sz w:val="26"/>
                <w:szCs w:val="26"/>
                <w:lang w:val="lv-LV"/>
              </w:rPr>
              <w:t xml:space="preserve"> </w:t>
            </w:r>
          </w:p>
          <w:p w:rsidR="00B75FCA" w:rsidRDefault="00B75FCA" w:rsidP="00646855">
            <w:pPr>
              <w:spacing w:after="240"/>
              <w:ind w:firstLine="709"/>
              <w:jc w:val="both"/>
              <w:rPr>
                <w:sz w:val="26"/>
                <w:szCs w:val="26"/>
                <w:lang w:val="lv-LV"/>
              </w:rPr>
            </w:pPr>
            <w:r>
              <w:rPr>
                <w:sz w:val="26"/>
                <w:szCs w:val="26"/>
                <w:lang w:val="lv-LV"/>
              </w:rPr>
              <w:t xml:space="preserve">MK noteikumos Nr.614 pieejamais publiskais finansējums norādīts </w:t>
            </w:r>
            <w:r w:rsidRPr="00B75FCA">
              <w:rPr>
                <w:sz w:val="26"/>
                <w:szCs w:val="26"/>
                <w:lang w:val="lv-LV"/>
              </w:rPr>
              <w:t>13 117 324 lati</w:t>
            </w:r>
            <w:r>
              <w:rPr>
                <w:sz w:val="26"/>
                <w:szCs w:val="26"/>
                <w:lang w:val="lv-LV"/>
              </w:rPr>
              <w:t>, tajā skaitā Eiropas Reģionālā</w:t>
            </w:r>
            <w:r w:rsidRPr="00B75FCA">
              <w:rPr>
                <w:sz w:val="26"/>
                <w:szCs w:val="26"/>
                <w:lang w:val="lv-LV"/>
              </w:rPr>
              <w:t xml:space="preserve"> attīstības fonda </w:t>
            </w:r>
            <w:r>
              <w:rPr>
                <w:sz w:val="26"/>
                <w:szCs w:val="26"/>
                <w:lang w:val="lv-LV"/>
              </w:rPr>
              <w:t xml:space="preserve">(turpmāk – ERAF) finansējums </w:t>
            </w:r>
            <w:r w:rsidRPr="00B75FCA">
              <w:rPr>
                <w:sz w:val="26"/>
                <w:szCs w:val="26"/>
                <w:lang w:val="lv-LV"/>
              </w:rPr>
              <w:t xml:space="preserve">10 671 891 lats </w:t>
            </w:r>
            <w:r>
              <w:rPr>
                <w:sz w:val="26"/>
                <w:szCs w:val="26"/>
                <w:lang w:val="lv-LV"/>
              </w:rPr>
              <w:t xml:space="preserve">un valsts budžeta finansējums </w:t>
            </w:r>
            <w:r w:rsidRPr="00B75FCA">
              <w:rPr>
                <w:sz w:val="26"/>
                <w:szCs w:val="26"/>
                <w:lang w:val="lv-LV"/>
              </w:rPr>
              <w:t>2 445 433 lati</w:t>
            </w:r>
            <w:r>
              <w:rPr>
                <w:sz w:val="26"/>
                <w:szCs w:val="26"/>
                <w:lang w:val="lv-LV"/>
              </w:rPr>
              <w:t xml:space="preserve">. Veicot pārrēķinu uz </w:t>
            </w:r>
            <w:proofErr w:type="spellStart"/>
            <w:r w:rsidRPr="00B75FCA">
              <w:rPr>
                <w:i/>
                <w:sz w:val="26"/>
                <w:szCs w:val="26"/>
                <w:lang w:val="lv-LV"/>
              </w:rPr>
              <w:t>euro</w:t>
            </w:r>
            <w:proofErr w:type="spellEnd"/>
            <w:r w:rsidR="00C81DC6">
              <w:rPr>
                <w:i/>
                <w:sz w:val="26"/>
                <w:szCs w:val="26"/>
                <w:lang w:val="lv-LV"/>
              </w:rPr>
              <w:t xml:space="preserve"> </w:t>
            </w:r>
            <w:r w:rsidR="00C81DC6">
              <w:rPr>
                <w:sz w:val="26"/>
                <w:szCs w:val="26"/>
                <w:lang w:val="lv-LV"/>
              </w:rPr>
              <w:t>saskaņā ar</w:t>
            </w:r>
            <w:r w:rsidR="00C81DC6" w:rsidRPr="005724DC">
              <w:rPr>
                <w:sz w:val="26"/>
                <w:szCs w:val="26"/>
                <w:lang w:val="lv-LV"/>
              </w:rPr>
              <w:t xml:space="preserve"> </w:t>
            </w:r>
            <w:proofErr w:type="spellStart"/>
            <w:r w:rsidR="00C81DC6" w:rsidRPr="009506A3">
              <w:rPr>
                <w:i/>
                <w:sz w:val="26"/>
                <w:szCs w:val="26"/>
                <w:lang w:val="lv-LV"/>
              </w:rPr>
              <w:t>Euro</w:t>
            </w:r>
            <w:proofErr w:type="spellEnd"/>
            <w:r w:rsidR="00C81DC6" w:rsidRPr="005724DC">
              <w:rPr>
                <w:sz w:val="26"/>
                <w:szCs w:val="26"/>
                <w:lang w:val="lv-LV"/>
              </w:rPr>
              <w:t xml:space="preserve"> ieviešanas kārtības likuma 32.pant</w:t>
            </w:r>
            <w:r w:rsidR="00C81DC6">
              <w:rPr>
                <w:sz w:val="26"/>
                <w:szCs w:val="26"/>
                <w:lang w:val="lv-LV"/>
              </w:rPr>
              <w:t>u</w:t>
            </w:r>
            <w:r w:rsidR="009506A3">
              <w:rPr>
                <w:sz w:val="26"/>
                <w:szCs w:val="26"/>
                <w:lang w:val="lv-LV"/>
              </w:rPr>
              <w:t xml:space="preserve"> un</w:t>
            </w:r>
            <w:r>
              <w:rPr>
                <w:i/>
                <w:sz w:val="26"/>
                <w:szCs w:val="26"/>
                <w:lang w:val="lv-LV"/>
              </w:rPr>
              <w:t xml:space="preserve"> </w:t>
            </w:r>
            <w:r>
              <w:rPr>
                <w:sz w:val="26"/>
                <w:szCs w:val="26"/>
                <w:lang w:val="lv-LV"/>
              </w:rPr>
              <w:t xml:space="preserve">atbilstoši valūtas kursam 1 </w:t>
            </w:r>
            <w:proofErr w:type="spellStart"/>
            <w:r w:rsidRPr="00B75FCA">
              <w:rPr>
                <w:i/>
                <w:sz w:val="26"/>
                <w:szCs w:val="26"/>
                <w:lang w:val="lv-LV"/>
              </w:rPr>
              <w:t>euro</w:t>
            </w:r>
            <w:proofErr w:type="spellEnd"/>
            <w:r w:rsidRPr="00B75FCA">
              <w:rPr>
                <w:i/>
                <w:sz w:val="26"/>
                <w:szCs w:val="26"/>
                <w:lang w:val="lv-LV"/>
              </w:rPr>
              <w:t xml:space="preserve"> </w:t>
            </w:r>
            <w:r>
              <w:rPr>
                <w:sz w:val="26"/>
                <w:szCs w:val="26"/>
                <w:lang w:val="lv-LV"/>
              </w:rPr>
              <w:t xml:space="preserve">= 0,702804 lati,  pieejamajam publiskajam finansējumam būtu jābūt 18 664 270,55 </w:t>
            </w:r>
            <w:proofErr w:type="spellStart"/>
            <w:r w:rsidRPr="00B75FCA">
              <w:rPr>
                <w:i/>
                <w:sz w:val="26"/>
                <w:szCs w:val="26"/>
                <w:lang w:val="lv-LV"/>
              </w:rPr>
              <w:t>euro</w:t>
            </w:r>
            <w:proofErr w:type="spellEnd"/>
            <w:r>
              <w:rPr>
                <w:sz w:val="26"/>
                <w:szCs w:val="26"/>
                <w:lang w:val="lv-LV"/>
              </w:rPr>
              <w:t xml:space="preserve">, tajā skaitā </w:t>
            </w:r>
            <w:r w:rsidR="00646855">
              <w:rPr>
                <w:sz w:val="26"/>
                <w:szCs w:val="26"/>
                <w:lang w:val="lv-LV"/>
              </w:rPr>
              <w:t>ERAF finansējumam</w:t>
            </w:r>
            <w:r>
              <w:rPr>
                <w:sz w:val="26"/>
                <w:szCs w:val="26"/>
                <w:lang w:val="lv-LV"/>
              </w:rPr>
              <w:t xml:space="preserve"> 15 184 732,87 </w:t>
            </w:r>
            <w:proofErr w:type="spellStart"/>
            <w:r w:rsidRPr="00B75FCA">
              <w:rPr>
                <w:i/>
                <w:sz w:val="26"/>
                <w:szCs w:val="26"/>
                <w:lang w:val="lv-LV"/>
              </w:rPr>
              <w:t>euro</w:t>
            </w:r>
            <w:proofErr w:type="spellEnd"/>
            <w:r>
              <w:rPr>
                <w:i/>
                <w:sz w:val="26"/>
                <w:szCs w:val="26"/>
                <w:lang w:val="lv-LV"/>
              </w:rPr>
              <w:t xml:space="preserve"> </w:t>
            </w:r>
            <w:r w:rsidR="00646855">
              <w:rPr>
                <w:sz w:val="26"/>
                <w:szCs w:val="26"/>
                <w:lang w:val="lv-LV"/>
              </w:rPr>
              <w:t>un valsts budžeta finansējumam</w:t>
            </w:r>
            <w:r>
              <w:rPr>
                <w:sz w:val="26"/>
                <w:szCs w:val="26"/>
                <w:lang w:val="lv-LV"/>
              </w:rPr>
              <w:t xml:space="preserve"> 3 479 537,58 </w:t>
            </w:r>
            <w:proofErr w:type="spellStart"/>
            <w:r w:rsidRPr="00B75FCA">
              <w:rPr>
                <w:i/>
                <w:sz w:val="26"/>
                <w:szCs w:val="26"/>
                <w:lang w:val="lv-LV"/>
              </w:rPr>
              <w:t>eur</w:t>
            </w:r>
            <w:r>
              <w:rPr>
                <w:i/>
                <w:sz w:val="26"/>
                <w:szCs w:val="26"/>
                <w:lang w:val="lv-LV"/>
              </w:rPr>
              <w:t>o</w:t>
            </w:r>
            <w:proofErr w:type="spellEnd"/>
            <w:r>
              <w:rPr>
                <w:i/>
                <w:sz w:val="26"/>
                <w:szCs w:val="26"/>
                <w:lang w:val="lv-LV"/>
              </w:rPr>
              <w:t>.</w:t>
            </w:r>
            <w:r>
              <w:rPr>
                <w:sz w:val="26"/>
                <w:szCs w:val="26"/>
                <w:lang w:val="lv-LV"/>
              </w:rPr>
              <w:t xml:space="preserve"> Savukārt, ņemot vērā, k</w:t>
            </w:r>
            <w:r w:rsidR="00847B12">
              <w:rPr>
                <w:sz w:val="26"/>
                <w:szCs w:val="26"/>
                <w:lang w:val="lv-LV"/>
              </w:rPr>
              <w:t xml:space="preserve">a MK noteikumos Nr.614 norādītajam </w:t>
            </w:r>
            <w:r w:rsidR="00646855">
              <w:rPr>
                <w:sz w:val="26"/>
                <w:szCs w:val="26"/>
                <w:lang w:val="lv-LV"/>
              </w:rPr>
              <w:t xml:space="preserve">kopējam publiskajam finansējumam un </w:t>
            </w:r>
            <w:r w:rsidR="00847B12">
              <w:rPr>
                <w:sz w:val="26"/>
                <w:szCs w:val="26"/>
                <w:lang w:val="lv-LV"/>
              </w:rPr>
              <w:t>finansējumam</w:t>
            </w:r>
            <w:r>
              <w:rPr>
                <w:sz w:val="26"/>
                <w:szCs w:val="26"/>
                <w:lang w:val="lv-LV"/>
              </w:rPr>
              <w:t xml:space="preserve"> </w:t>
            </w:r>
            <w:r w:rsidR="00646855">
              <w:rPr>
                <w:sz w:val="26"/>
                <w:szCs w:val="26"/>
                <w:lang w:val="lv-LV"/>
              </w:rPr>
              <w:t xml:space="preserve">sadalījumā pa avotiem </w:t>
            </w:r>
            <w:proofErr w:type="spellStart"/>
            <w:r w:rsidR="00847B12" w:rsidRPr="00847B12">
              <w:rPr>
                <w:i/>
                <w:sz w:val="26"/>
                <w:szCs w:val="26"/>
                <w:lang w:val="lv-LV"/>
              </w:rPr>
              <w:t>euro</w:t>
            </w:r>
            <w:proofErr w:type="spellEnd"/>
            <w:r>
              <w:rPr>
                <w:sz w:val="26"/>
                <w:szCs w:val="26"/>
                <w:lang w:val="lv-LV"/>
              </w:rPr>
              <w:t xml:space="preserve"> </w:t>
            </w:r>
            <w:r w:rsidR="00847B12">
              <w:rPr>
                <w:sz w:val="26"/>
                <w:szCs w:val="26"/>
                <w:lang w:val="lv-LV"/>
              </w:rPr>
              <w:t xml:space="preserve">jāatbilst </w:t>
            </w:r>
            <w:r>
              <w:rPr>
                <w:sz w:val="26"/>
                <w:szCs w:val="26"/>
                <w:lang w:val="lv-LV"/>
              </w:rPr>
              <w:t>darbības programmas „Uzņēmējdarbība un inovācijas”</w:t>
            </w:r>
            <w:r w:rsidR="00847B12">
              <w:rPr>
                <w:sz w:val="26"/>
                <w:szCs w:val="26"/>
                <w:lang w:val="lv-LV"/>
              </w:rPr>
              <w:t xml:space="preserve"> finanšu plānā norādītajām summām</w:t>
            </w:r>
            <w:r w:rsidR="00646855">
              <w:rPr>
                <w:sz w:val="26"/>
                <w:szCs w:val="26"/>
                <w:lang w:val="lv-LV"/>
              </w:rPr>
              <w:t xml:space="preserve"> (</w:t>
            </w:r>
            <w:r w:rsidR="00847B12">
              <w:rPr>
                <w:sz w:val="26"/>
                <w:szCs w:val="26"/>
                <w:lang w:val="lv-LV"/>
              </w:rPr>
              <w:t xml:space="preserve">finansējums norādīts pilnos </w:t>
            </w:r>
            <w:proofErr w:type="spellStart"/>
            <w:r w:rsidR="00847B12" w:rsidRPr="00847B12">
              <w:rPr>
                <w:i/>
                <w:sz w:val="26"/>
                <w:szCs w:val="26"/>
                <w:lang w:val="lv-LV"/>
              </w:rPr>
              <w:t>euro</w:t>
            </w:r>
            <w:proofErr w:type="spellEnd"/>
            <w:r w:rsidR="00646855" w:rsidRPr="00646855">
              <w:rPr>
                <w:sz w:val="26"/>
                <w:szCs w:val="26"/>
                <w:lang w:val="lv-LV"/>
              </w:rPr>
              <w:t>)</w:t>
            </w:r>
            <w:r>
              <w:rPr>
                <w:sz w:val="26"/>
                <w:szCs w:val="26"/>
                <w:lang w:val="lv-LV"/>
              </w:rPr>
              <w:t xml:space="preserve">, </w:t>
            </w:r>
            <w:r w:rsidR="00847B12">
              <w:rPr>
                <w:sz w:val="26"/>
                <w:szCs w:val="26"/>
                <w:lang w:val="lv-LV"/>
              </w:rPr>
              <w:t>noteikumu projekts paredz noteikt</w:t>
            </w:r>
            <w:r>
              <w:rPr>
                <w:sz w:val="26"/>
                <w:szCs w:val="26"/>
                <w:lang w:val="lv-LV"/>
              </w:rPr>
              <w:t xml:space="preserve"> ERAF finansējum</w:t>
            </w:r>
            <w:r w:rsidR="00847B12">
              <w:rPr>
                <w:sz w:val="26"/>
                <w:szCs w:val="26"/>
                <w:lang w:val="lv-LV"/>
              </w:rPr>
              <w:t xml:space="preserve">u </w:t>
            </w:r>
            <w:r>
              <w:rPr>
                <w:sz w:val="26"/>
                <w:szCs w:val="26"/>
                <w:lang w:val="lv-LV"/>
              </w:rPr>
              <w:t xml:space="preserve">3 479 537 </w:t>
            </w:r>
            <w:proofErr w:type="spellStart"/>
            <w:r w:rsidRPr="00B75FCA">
              <w:rPr>
                <w:i/>
                <w:sz w:val="26"/>
                <w:szCs w:val="26"/>
                <w:lang w:val="lv-LV"/>
              </w:rPr>
              <w:t>euro</w:t>
            </w:r>
            <w:proofErr w:type="spellEnd"/>
            <w:r w:rsidR="00847B12">
              <w:rPr>
                <w:sz w:val="26"/>
                <w:szCs w:val="26"/>
                <w:lang w:val="lv-LV"/>
              </w:rPr>
              <w:t xml:space="preserve"> un valsts budžeta finansējumu</w:t>
            </w:r>
            <w:r>
              <w:rPr>
                <w:sz w:val="26"/>
                <w:szCs w:val="26"/>
                <w:lang w:val="lv-LV"/>
              </w:rPr>
              <w:t xml:space="preserve"> </w:t>
            </w:r>
            <w:r w:rsidR="00847B12">
              <w:rPr>
                <w:sz w:val="26"/>
                <w:szCs w:val="26"/>
                <w:lang w:val="lv-LV"/>
              </w:rPr>
              <w:t xml:space="preserve">15 184 734 </w:t>
            </w:r>
            <w:proofErr w:type="spellStart"/>
            <w:r w:rsidR="00847B12" w:rsidRPr="00847B12">
              <w:rPr>
                <w:i/>
                <w:sz w:val="26"/>
                <w:szCs w:val="26"/>
                <w:lang w:val="lv-LV"/>
              </w:rPr>
              <w:t>euro</w:t>
            </w:r>
            <w:proofErr w:type="spellEnd"/>
            <w:r w:rsidR="00847B12">
              <w:rPr>
                <w:sz w:val="26"/>
                <w:szCs w:val="26"/>
                <w:lang w:val="lv-LV"/>
              </w:rPr>
              <w:t xml:space="preserve">, kā arī kopējo publisko finansējumu 18 664 271 </w:t>
            </w:r>
            <w:proofErr w:type="spellStart"/>
            <w:r w:rsidR="00847B12" w:rsidRPr="00847B12">
              <w:rPr>
                <w:i/>
                <w:sz w:val="26"/>
                <w:szCs w:val="26"/>
                <w:lang w:val="lv-LV"/>
              </w:rPr>
              <w:t>euro</w:t>
            </w:r>
            <w:proofErr w:type="spellEnd"/>
            <w:r w:rsidR="00847B12">
              <w:rPr>
                <w:sz w:val="26"/>
                <w:szCs w:val="26"/>
                <w:lang w:val="lv-LV"/>
              </w:rPr>
              <w:t xml:space="preserve"> apmērā.</w:t>
            </w:r>
          </w:p>
          <w:p w:rsidR="00A671E1" w:rsidRPr="00B75FCA" w:rsidRDefault="00C81DC6" w:rsidP="009649C1">
            <w:pPr>
              <w:spacing w:after="240"/>
              <w:ind w:firstLine="709"/>
              <w:jc w:val="both"/>
              <w:rPr>
                <w:sz w:val="26"/>
                <w:szCs w:val="26"/>
                <w:lang w:val="lv-LV"/>
              </w:rPr>
            </w:pPr>
            <w:r>
              <w:rPr>
                <w:sz w:val="26"/>
                <w:szCs w:val="26"/>
                <w:lang w:val="lv-LV"/>
              </w:rPr>
              <w:t xml:space="preserve">Latu valūta tiek izmantota arī </w:t>
            </w:r>
            <w:r w:rsidR="00A671E1">
              <w:rPr>
                <w:sz w:val="26"/>
                <w:szCs w:val="26"/>
                <w:lang w:val="lv-LV"/>
              </w:rPr>
              <w:t>MK noteikumu Nr.614 1.</w:t>
            </w:r>
            <w:r>
              <w:rPr>
                <w:sz w:val="26"/>
                <w:szCs w:val="26"/>
                <w:lang w:val="lv-LV"/>
              </w:rPr>
              <w:t>pielikumā un 2.pielikumā. 1.</w:t>
            </w:r>
            <w:r w:rsidR="00A671E1">
              <w:rPr>
                <w:sz w:val="26"/>
                <w:szCs w:val="26"/>
                <w:lang w:val="lv-LV"/>
              </w:rPr>
              <w:t>pielikums satur projekta iesniegumu veidlapu, savukārt 2. pielikums</w:t>
            </w:r>
            <w:r w:rsidR="00A671E1" w:rsidRPr="00A671E1">
              <w:rPr>
                <w:sz w:val="26"/>
                <w:szCs w:val="26"/>
                <w:lang w:val="lv-LV"/>
              </w:rPr>
              <w:t xml:space="preserve"> </w:t>
            </w:r>
            <w:r w:rsidR="00A671E1">
              <w:rPr>
                <w:sz w:val="26"/>
                <w:szCs w:val="26"/>
                <w:lang w:val="lv-LV"/>
              </w:rPr>
              <w:t xml:space="preserve">nosaka projekta iesniegšanas kritērijus, atbilstoši kuriem par </w:t>
            </w:r>
            <w:r w:rsidR="00137A4E">
              <w:rPr>
                <w:sz w:val="26"/>
                <w:szCs w:val="26"/>
                <w:lang w:val="lv-LV"/>
              </w:rPr>
              <w:t xml:space="preserve"> 2.2.1.4.2.aktivitātes </w:t>
            </w:r>
            <w:r w:rsidR="00A671E1">
              <w:rPr>
                <w:sz w:val="26"/>
                <w:szCs w:val="26"/>
                <w:lang w:val="lv-LV"/>
              </w:rPr>
              <w:t xml:space="preserve">īstenotāju tika </w:t>
            </w:r>
            <w:r w:rsidR="00137A4E">
              <w:rPr>
                <w:sz w:val="26"/>
                <w:szCs w:val="26"/>
                <w:lang w:val="lv-LV"/>
              </w:rPr>
              <w:t>atlasīta</w:t>
            </w:r>
            <w:r w:rsidR="00A671E1">
              <w:rPr>
                <w:sz w:val="26"/>
                <w:szCs w:val="26"/>
                <w:lang w:val="lv-LV"/>
              </w:rPr>
              <w:t xml:space="preserve"> sabiedrība ar ierobežotu atbildību „Latvijas </w:t>
            </w:r>
            <w:r w:rsidR="00A671E1">
              <w:rPr>
                <w:sz w:val="26"/>
                <w:szCs w:val="26"/>
                <w:lang w:val="lv-LV"/>
              </w:rPr>
              <w:lastRenderedPageBreak/>
              <w:t>Garantiju aģentūra” (turpmāk – LGA)</w:t>
            </w:r>
            <w:r w:rsidR="00137A4E">
              <w:rPr>
                <w:sz w:val="26"/>
                <w:szCs w:val="26"/>
                <w:lang w:val="lv-LV"/>
              </w:rPr>
              <w:t>. Atbilstoši MK noteikum</w:t>
            </w:r>
            <w:r>
              <w:rPr>
                <w:sz w:val="26"/>
                <w:szCs w:val="26"/>
                <w:lang w:val="lv-LV"/>
              </w:rPr>
              <w:t>u Nr.614</w:t>
            </w:r>
            <w:r w:rsidR="00137A4E">
              <w:rPr>
                <w:sz w:val="26"/>
                <w:szCs w:val="26"/>
                <w:lang w:val="lv-LV"/>
              </w:rPr>
              <w:t xml:space="preserve"> 39.punktam LGA </w:t>
            </w:r>
            <w:r w:rsidR="00137A4E" w:rsidRPr="00137A4E">
              <w:rPr>
                <w:sz w:val="26"/>
                <w:szCs w:val="26"/>
                <w:lang w:val="lv-LV"/>
              </w:rPr>
              <w:t>projektu īsteno līdz 2015.gada 31.decembrim</w:t>
            </w:r>
            <w:r w:rsidR="00137A4E">
              <w:rPr>
                <w:sz w:val="26"/>
                <w:szCs w:val="26"/>
                <w:lang w:val="lv-LV"/>
              </w:rPr>
              <w:t xml:space="preserve">. Ņemot vērā, ka </w:t>
            </w:r>
            <w:r w:rsidR="00856E28">
              <w:rPr>
                <w:sz w:val="26"/>
                <w:szCs w:val="26"/>
                <w:lang w:val="lv-LV"/>
              </w:rPr>
              <w:t>MK noteikumu Nr.614 1.</w:t>
            </w:r>
            <w:r>
              <w:rPr>
                <w:sz w:val="26"/>
                <w:szCs w:val="26"/>
                <w:lang w:val="lv-LV"/>
              </w:rPr>
              <w:t>pielikums</w:t>
            </w:r>
            <w:r w:rsidR="00856E28">
              <w:rPr>
                <w:sz w:val="26"/>
                <w:szCs w:val="26"/>
                <w:lang w:val="lv-LV"/>
              </w:rPr>
              <w:t xml:space="preserve"> un 2.pielikums vairs </w:t>
            </w:r>
            <w:r>
              <w:rPr>
                <w:sz w:val="26"/>
                <w:szCs w:val="26"/>
                <w:lang w:val="lv-LV"/>
              </w:rPr>
              <w:t xml:space="preserve">nav aktuāli un </w:t>
            </w:r>
            <w:r w:rsidR="00856E28">
              <w:rPr>
                <w:sz w:val="26"/>
                <w:szCs w:val="26"/>
                <w:lang w:val="lv-LV"/>
              </w:rPr>
              <w:t xml:space="preserve">netiks izmantoti </w:t>
            </w:r>
            <w:r>
              <w:rPr>
                <w:sz w:val="26"/>
                <w:szCs w:val="26"/>
                <w:lang w:val="lv-LV"/>
              </w:rPr>
              <w:t xml:space="preserve">jaunu </w:t>
            </w:r>
            <w:r w:rsidR="005F42D6">
              <w:rPr>
                <w:sz w:val="26"/>
                <w:szCs w:val="26"/>
                <w:lang w:val="lv-LV"/>
              </w:rPr>
              <w:t xml:space="preserve">mezanīna </w:t>
            </w:r>
            <w:r w:rsidR="009649C1">
              <w:rPr>
                <w:sz w:val="26"/>
                <w:szCs w:val="26"/>
                <w:lang w:val="lv-LV"/>
              </w:rPr>
              <w:t>fonda pārvaldnieku</w:t>
            </w:r>
            <w:r>
              <w:rPr>
                <w:sz w:val="26"/>
                <w:szCs w:val="26"/>
                <w:lang w:val="lv-LV"/>
              </w:rPr>
              <w:t xml:space="preserve"> atlases nodrošināšanai, tajos norādītās summas nav nepieciešams konvertēt </w:t>
            </w:r>
            <w:r w:rsidRPr="005724DC">
              <w:rPr>
                <w:i/>
                <w:sz w:val="26"/>
                <w:szCs w:val="26"/>
                <w:lang w:val="lv-LV"/>
              </w:rPr>
              <w:t>euro</w:t>
            </w:r>
            <w:r>
              <w:rPr>
                <w:sz w:val="26"/>
                <w:szCs w:val="26"/>
                <w:lang w:val="lv-LV"/>
              </w:rPr>
              <w:t xml:space="preserve"> valūtā. </w:t>
            </w:r>
          </w:p>
        </w:tc>
      </w:tr>
      <w:tr w:rsidR="00A31FDC" w:rsidRPr="005A7B9C"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Saistītie politikas ietekmes novērtējumi un pētījumi</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ind w:firstLine="720"/>
              <w:jc w:val="both"/>
              <w:rPr>
                <w:bCs/>
                <w:sz w:val="26"/>
                <w:szCs w:val="26"/>
                <w:lang w:val="lv-LV"/>
              </w:rPr>
            </w:pPr>
            <w:r w:rsidRPr="005A7B9C">
              <w:rPr>
                <w:iCs/>
                <w:sz w:val="26"/>
                <w:szCs w:val="26"/>
                <w:lang w:val="lv-LV"/>
              </w:rPr>
              <w:t>Projekts šo jomu neskar</w:t>
            </w:r>
            <w:r w:rsidRPr="005A7B9C">
              <w:rPr>
                <w:color w:val="000000"/>
                <w:sz w:val="26"/>
                <w:szCs w:val="26"/>
                <w:lang w:val="lv-LV"/>
              </w:rPr>
              <w:t xml:space="preserve">. </w:t>
            </w:r>
          </w:p>
        </w:tc>
      </w:tr>
    </w:tbl>
    <w:p w:rsidR="00C97F6E" w:rsidRPr="005A7B9C" w:rsidRDefault="00C97F6E" w:rsidP="00F22471">
      <w:pPr>
        <w:jc w:val="both"/>
        <w:rPr>
          <w:rFonts w:eastAsia="Times New Roman"/>
          <w:sz w:val="26"/>
          <w:szCs w:val="26"/>
          <w:lang w:val="lv-LV" w:eastAsia="lv-LV"/>
        </w:rPr>
        <w:sectPr w:rsidR="00C97F6E" w:rsidRPr="005A7B9C"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Pr="005A7B9C" w:rsidRDefault="00C97F6E" w:rsidP="00F22471">
      <w:pPr>
        <w:jc w:val="both"/>
        <w:rPr>
          <w:rFonts w:eastAsia="Times New Roman"/>
          <w:sz w:val="26"/>
          <w:szCs w:val="26"/>
          <w:lang w:val="lv-LV" w:eastAsia="lv-LV"/>
        </w:rPr>
        <w:sectPr w:rsidR="00C97F6E" w:rsidRPr="005A7B9C" w:rsidSect="00C97F6E">
          <w:type w:val="continuous"/>
          <w:pgSz w:w="11906" w:h="16838"/>
          <w:pgMar w:top="1418" w:right="1134" w:bottom="1134" w:left="1701" w:header="709" w:footer="709" w:gutter="0"/>
          <w:cols w:space="708"/>
          <w:titlePg/>
          <w:docGrid w:linePitch="360"/>
        </w:sect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B75FCA" w:rsidTr="00A43634">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861AD" w:rsidRPr="005A7B9C" w:rsidRDefault="00E9274F" w:rsidP="009649C1">
            <w:pPr>
              <w:spacing w:before="60" w:after="240"/>
              <w:ind w:firstLine="709"/>
              <w:jc w:val="both"/>
              <w:rPr>
                <w:sz w:val="26"/>
                <w:szCs w:val="26"/>
                <w:lang w:val="lv-LV"/>
              </w:rPr>
            </w:pPr>
            <w:r w:rsidRPr="007861AD">
              <w:rPr>
                <w:sz w:val="26"/>
                <w:szCs w:val="26"/>
                <w:lang w:val="lv-LV"/>
              </w:rPr>
              <w:t>EM ir izstrādājusi grozī</w:t>
            </w:r>
            <w:r w:rsidR="00184308" w:rsidRPr="007861AD">
              <w:rPr>
                <w:sz w:val="26"/>
                <w:szCs w:val="26"/>
                <w:lang w:val="lv-LV"/>
              </w:rPr>
              <w:t xml:space="preserve">jumus </w:t>
            </w:r>
            <w:r w:rsidR="007861AD" w:rsidRPr="007861AD">
              <w:rPr>
                <w:sz w:val="26"/>
                <w:szCs w:val="26"/>
                <w:lang w:val="lv-LV"/>
              </w:rPr>
              <w:t>MK noteikumos Nr.</w:t>
            </w:r>
            <w:r w:rsidR="00922F7B">
              <w:rPr>
                <w:sz w:val="26"/>
                <w:szCs w:val="26"/>
                <w:lang w:val="lv-LV"/>
              </w:rPr>
              <w:t xml:space="preserve">614, </w:t>
            </w:r>
            <w:r w:rsidR="007861AD" w:rsidRPr="007861AD">
              <w:rPr>
                <w:sz w:val="26"/>
                <w:szCs w:val="26"/>
                <w:lang w:val="lv-LV"/>
              </w:rPr>
              <w:t>pielāgojot</w:t>
            </w:r>
            <w:r w:rsidR="0011218B" w:rsidRPr="007861AD">
              <w:rPr>
                <w:sz w:val="26"/>
                <w:szCs w:val="26"/>
                <w:lang w:val="lv-LV"/>
              </w:rPr>
              <w:t xml:space="preserve"> MK noteikumus Nr.</w:t>
            </w:r>
            <w:r w:rsidR="00922F7B">
              <w:rPr>
                <w:sz w:val="26"/>
                <w:szCs w:val="26"/>
                <w:lang w:val="lv-LV"/>
              </w:rPr>
              <w:t>614</w:t>
            </w:r>
            <w:r w:rsidR="009A3A3A">
              <w:rPr>
                <w:sz w:val="26"/>
                <w:szCs w:val="26"/>
                <w:lang w:val="lv-LV"/>
              </w:rPr>
              <w:t xml:space="preserve"> </w:t>
            </w:r>
            <w:r w:rsidR="007861AD" w:rsidRPr="007861AD">
              <w:rPr>
                <w:sz w:val="26"/>
                <w:szCs w:val="26"/>
                <w:lang w:val="lv-LV"/>
              </w:rPr>
              <w:t xml:space="preserve">pārejai uz </w:t>
            </w:r>
            <w:proofErr w:type="spellStart"/>
            <w:r w:rsidR="007861AD" w:rsidRPr="00257056">
              <w:rPr>
                <w:i/>
                <w:sz w:val="26"/>
                <w:szCs w:val="26"/>
                <w:lang w:val="lv-LV"/>
              </w:rPr>
              <w:t>e</w:t>
            </w:r>
            <w:r w:rsidR="009649C1">
              <w:rPr>
                <w:i/>
                <w:sz w:val="26"/>
                <w:szCs w:val="26"/>
                <w:lang w:val="lv-LV"/>
              </w:rPr>
              <w:t>u</w:t>
            </w:r>
            <w:r w:rsidR="007861AD" w:rsidRPr="00257056">
              <w:rPr>
                <w:i/>
                <w:sz w:val="26"/>
                <w:szCs w:val="26"/>
                <w:lang w:val="lv-LV"/>
              </w:rPr>
              <w:t>ro</w:t>
            </w:r>
            <w:proofErr w:type="spellEnd"/>
            <w:r w:rsidR="007861AD" w:rsidRPr="007861AD">
              <w:rPr>
                <w:sz w:val="26"/>
                <w:szCs w:val="26"/>
                <w:lang w:val="lv-LV"/>
              </w:rPr>
              <w:t xml:space="preserve"> valūtu – nosakot </w:t>
            </w:r>
            <w:r w:rsidR="009A3A3A">
              <w:rPr>
                <w:sz w:val="26"/>
                <w:szCs w:val="26"/>
                <w:lang w:val="lv-LV"/>
              </w:rPr>
              <w:t xml:space="preserve">pieejamā finansējuma apmēru </w:t>
            </w:r>
            <w:proofErr w:type="spellStart"/>
            <w:r w:rsidR="00646855">
              <w:rPr>
                <w:i/>
                <w:sz w:val="26"/>
                <w:szCs w:val="26"/>
                <w:lang w:val="lv-LV"/>
              </w:rPr>
              <w:t>euro</w:t>
            </w:r>
            <w:proofErr w:type="spellEnd"/>
            <w:r w:rsidR="007861AD" w:rsidRPr="007861AD">
              <w:rPr>
                <w:sz w:val="26"/>
                <w:szCs w:val="26"/>
                <w:lang w:val="lv-LV"/>
              </w:rPr>
              <w:t xml:space="preserve">, </w:t>
            </w:r>
            <w:r w:rsidR="0011218B" w:rsidRPr="007861AD">
              <w:rPr>
                <w:sz w:val="26"/>
                <w:szCs w:val="26"/>
                <w:lang w:val="lv-LV"/>
              </w:rPr>
              <w:t xml:space="preserve">pamatojoties uz  </w:t>
            </w:r>
            <w:proofErr w:type="spellStart"/>
            <w:r w:rsidR="0011218B" w:rsidRPr="00257056">
              <w:rPr>
                <w:i/>
                <w:sz w:val="26"/>
                <w:szCs w:val="26"/>
                <w:lang w:val="lv-LV"/>
              </w:rPr>
              <w:t>Euro</w:t>
            </w:r>
            <w:proofErr w:type="spellEnd"/>
            <w:r w:rsidR="0011218B" w:rsidRPr="007861AD">
              <w:rPr>
                <w:sz w:val="26"/>
                <w:szCs w:val="26"/>
                <w:lang w:val="lv-LV"/>
              </w:rPr>
              <w:t xml:space="preserve"> ieviešanas kārtības likuma 30.panta pirmo daļu un Ministru kabineta 2012.gada 27.jūnija rīkojuma Nr.282 „Par „Koncepciju par normatīvo aktu sakārtošanu saistībā ar </w:t>
            </w:r>
            <w:r w:rsidR="0011218B" w:rsidRPr="00257056">
              <w:rPr>
                <w:i/>
                <w:sz w:val="26"/>
                <w:szCs w:val="26"/>
                <w:lang w:val="lv-LV"/>
              </w:rPr>
              <w:t>eiro</w:t>
            </w:r>
            <w:r w:rsidR="0011218B" w:rsidRPr="007861AD">
              <w:rPr>
                <w:sz w:val="26"/>
                <w:szCs w:val="26"/>
                <w:lang w:val="lv-LV"/>
              </w:rPr>
              <w:t xml:space="preserve"> ieviešanu Latvijā”” 7.1.apakšpunktu</w:t>
            </w:r>
            <w:r w:rsidR="00922F7B">
              <w:rPr>
                <w:sz w:val="26"/>
                <w:szCs w:val="26"/>
                <w:lang w:val="lv-LV"/>
              </w:rPr>
              <w:t>.</w:t>
            </w:r>
          </w:p>
        </w:tc>
      </w:tr>
      <w:tr w:rsidR="00A31FDC" w:rsidRPr="005A7B9C" w:rsidTr="00A43634">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5.</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pStyle w:val="BodyText"/>
              <w:ind w:right="142" w:firstLine="720"/>
              <w:rPr>
                <w:sz w:val="26"/>
                <w:szCs w:val="26"/>
              </w:rPr>
            </w:pPr>
            <w:r w:rsidRPr="005A7B9C">
              <w:rPr>
                <w:iCs/>
                <w:sz w:val="26"/>
                <w:szCs w:val="26"/>
              </w:rPr>
              <w:t>Projekts šo jomu neskar</w:t>
            </w:r>
            <w:r w:rsidRPr="005A7B9C">
              <w:rPr>
                <w:sz w:val="26"/>
                <w:szCs w:val="26"/>
              </w:rPr>
              <w:t>.</w:t>
            </w:r>
          </w:p>
        </w:tc>
      </w:tr>
      <w:tr w:rsidR="00A31FDC" w:rsidRPr="005A7B9C" w:rsidTr="00A43634">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6.</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22F7B" w:rsidRDefault="00A31FDC" w:rsidP="00922F7B">
            <w:pPr>
              <w:jc w:val="both"/>
              <w:rPr>
                <w:rFonts w:eastAsia="Times New Roman"/>
                <w:sz w:val="26"/>
                <w:szCs w:val="26"/>
                <w:lang w:val="lv-LV" w:eastAsia="lv-LV"/>
              </w:rPr>
            </w:pPr>
            <w:r w:rsidRPr="005A7B9C">
              <w:rPr>
                <w:rFonts w:eastAsia="Times New Roman"/>
                <w:sz w:val="26"/>
                <w:szCs w:val="26"/>
                <w:lang w:val="lv-LV" w:eastAsia="lv-LV"/>
              </w:rPr>
              <w:t>Iemesli, kādēļ netika nodrošināta sabiedrības līdzdalība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pStyle w:val="BodyText"/>
              <w:ind w:right="142" w:firstLine="720"/>
              <w:rPr>
                <w:sz w:val="26"/>
                <w:szCs w:val="26"/>
              </w:rPr>
            </w:pPr>
            <w:r w:rsidRPr="005A7B9C">
              <w:rPr>
                <w:iCs/>
                <w:sz w:val="26"/>
                <w:szCs w:val="26"/>
              </w:rPr>
              <w:t>Projekts šo jomu neskar</w:t>
            </w:r>
            <w:r w:rsidRPr="005A7B9C">
              <w:rPr>
                <w:sz w:val="26"/>
                <w:szCs w:val="26"/>
              </w:rPr>
              <w:t>.</w:t>
            </w:r>
          </w:p>
        </w:tc>
      </w:tr>
      <w:tr w:rsidR="00A31FDC" w:rsidRPr="005A7B9C" w:rsidTr="00A43634">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7.</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543052" w:rsidP="00F22471">
            <w:pPr>
              <w:ind w:left="142" w:firstLine="567"/>
              <w:jc w:val="both"/>
              <w:rPr>
                <w:sz w:val="26"/>
                <w:szCs w:val="26"/>
                <w:lang w:val="lv-LV"/>
              </w:rPr>
            </w:pPr>
            <w:r w:rsidRPr="005A7B9C">
              <w:rPr>
                <w:sz w:val="26"/>
                <w:szCs w:val="26"/>
                <w:lang w:val="lv-LV"/>
              </w:rPr>
              <w:t>Nav.</w:t>
            </w:r>
          </w:p>
        </w:tc>
      </w:tr>
    </w:tbl>
    <w:p w:rsidR="00E8006C" w:rsidRPr="005A7B9C" w:rsidRDefault="00E8006C" w:rsidP="00F22471">
      <w:pPr>
        <w:pStyle w:val="naisf"/>
        <w:spacing w:before="0" w:after="0"/>
        <w:rPr>
          <w:sz w:val="26"/>
          <w:szCs w:val="26"/>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B75FCA" w:rsidTr="009649C1">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922F7B">
            <w:pPr>
              <w:ind w:firstLine="720"/>
              <w:jc w:val="center"/>
              <w:rPr>
                <w:rFonts w:eastAsia="Times New Roman"/>
                <w:b/>
                <w:sz w:val="26"/>
                <w:szCs w:val="26"/>
                <w:lang w:val="lv-LV" w:eastAsia="lv-LV"/>
              </w:rPr>
            </w:pPr>
            <w:r w:rsidRPr="005A7B9C">
              <w:rPr>
                <w:rFonts w:eastAsia="Times New Roman"/>
                <w:b/>
                <w:sz w:val="26"/>
                <w:szCs w:val="26"/>
                <w:lang w:val="lv-LV" w:eastAsia="lv-LV"/>
              </w:rPr>
              <w:t>II. Tiesību akta projekta ietekme uz sabiedrību</w:t>
            </w:r>
          </w:p>
        </w:tc>
      </w:tr>
      <w:tr w:rsidR="00F22471" w:rsidRPr="00B75FCA" w:rsidTr="009649C1">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 xml:space="preserve">Sabiedrības </w:t>
            </w:r>
            <w:proofErr w:type="spellStart"/>
            <w:r w:rsidRPr="005A7B9C">
              <w:rPr>
                <w:rFonts w:eastAsia="Times New Roman"/>
                <w:sz w:val="26"/>
                <w:szCs w:val="26"/>
                <w:lang w:val="lv-LV" w:eastAsia="lv-LV"/>
              </w:rPr>
              <w:t>mērķgrupa</w:t>
            </w:r>
            <w:proofErr w:type="spellEnd"/>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E7722" w:rsidRPr="005A7B9C" w:rsidRDefault="009506A3" w:rsidP="00922F7B">
            <w:pPr>
              <w:spacing w:after="240"/>
              <w:ind w:firstLine="720"/>
              <w:jc w:val="both"/>
              <w:rPr>
                <w:sz w:val="26"/>
                <w:szCs w:val="26"/>
                <w:lang w:val="lv-LV"/>
              </w:rPr>
            </w:pPr>
            <w:r>
              <w:rPr>
                <w:rFonts w:eastAsia="Times New Roman"/>
                <w:sz w:val="26"/>
                <w:szCs w:val="26"/>
                <w:lang w:val="lv-LV" w:eastAsia="lv-LV"/>
              </w:rPr>
              <w:t>LGA</w:t>
            </w:r>
          </w:p>
        </w:tc>
      </w:tr>
      <w:tr w:rsidR="00F22471" w:rsidRPr="005A7B9C" w:rsidTr="009649C1">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 xml:space="preserve">Citas sabiedrības grupas (bez </w:t>
            </w:r>
            <w:proofErr w:type="spellStart"/>
            <w:r w:rsidRPr="005A7B9C">
              <w:rPr>
                <w:rFonts w:eastAsia="Times New Roman"/>
                <w:sz w:val="26"/>
                <w:szCs w:val="26"/>
                <w:lang w:val="lv-LV" w:eastAsia="lv-LV"/>
              </w:rPr>
              <w:t>mērķgrupas</w:t>
            </w:r>
            <w:proofErr w:type="spellEnd"/>
            <w:r w:rsidRPr="005A7B9C">
              <w:rPr>
                <w:rFonts w:eastAsia="Times New Roman"/>
                <w:sz w:val="26"/>
                <w:szCs w:val="26"/>
                <w:lang w:val="lv-LV" w:eastAsia="lv-LV"/>
              </w:rPr>
              <w:t>),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40961" w:rsidRPr="005A7B9C" w:rsidRDefault="00840961" w:rsidP="00840961">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B75FCA" w:rsidTr="009649C1">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765A89" w:rsidP="009649C1">
            <w:pPr>
              <w:pStyle w:val="BodyText"/>
              <w:spacing w:after="240"/>
              <w:ind w:right="142" w:firstLine="720"/>
              <w:rPr>
                <w:sz w:val="26"/>
                <w:szCs w:val="26"/>
              </w:rPr>
            </w:pPr>
            <w:r>
              <w:rPr>
                <w:sz w:val="26"/>
                <w:szCs w:val="26"/>
              </w:rPr>
              <w:t>MK noteikumu Nr.</w:t>
            </w:r>
            <w:r w:rsidR="00922F7B">
              <w:rPr>
                <w:sz w:val="26"/>
                <w:szCs w:val="26"/>
              </w:rPr>
              <w:t>614</w:t>
            </w:r>
            <w:r>
              <w:rPr>
                <w:sz w:val="26"/>
                <w:szCs w:val="26"/>
              </w:rPr>
              <w:t xml:space="preserve"> pielāgošana pārejai uz </w:t>
            </w:r>
            <w:proofErr w:type="spellStart"/>
            <w:r w:rsidRPr="00765A89">
              <w:rPr>
                <w:i/>
                <w:sz w:val="26"/>
                <w:szCs w:val="26"/>
              </w:rPr>
              <w:t>e</w:t>
            </w:r>
            <w:r w:rsidR="009649C1">
              <w:rPr>
                <w:i/>
                <w:sz w:val="26"/>
                <w:szCs w:val="26"/>
              </w:rPr>
              <w:t>u</w:t>
            </w:r>
            <w:r w:rsidRPr="00765A89">
              <w:rPr>
                <w:i/>
                <w:sz w:val="26"/>
                <w:szCs w:val="26"/>
              </w:rPr>
              <w:t>ro</w:t>
            </w:r>
            <w:proofErr w:type="spellEnd"/>
            <w:r w:rsidRPr="00765A89">
              <w:rPr>
                <w:i/>
                <w:sz w:val="26"/>
                <w:szCs w:val="26"/>
              </w:rPr>
              <w:t xml:space="preserve"> </w:t>
            </w:r>
            <w:r>
              <w:rPr>
                <w:sz w:val="26"/>
                <w:szCs w:val="26"/>
              </w:rPr>
              <w:t>valūtu nerada ietekmi uz pieejamā finansējuma apmēru.</w:t>
            </w:r>
          </w:p>
        </w:tc>
      </w:tr>
      <w:tr w:rsidR="00F22471" w:rsidRPr="005A7B9C" w:rsidTr="009649C1">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 xml:space="preserve">Tiesiskā regulējuma </w:t>
            </w:r>
            <w:r w:rsidRPr="005A7B9C">
              <w:rPr>
                <w:rFonts w:eastAsia="Times New Roman"/>
                <w:sz w:val="26"/>
                <w:szCs w:val="26"/>
                <w:lang w:val="lv-LV" w:eastAsia="lv-LV"/>
              </w:rPr>
              <w:lastRenderedPageBreak/>
              <w:t>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5A7B9C" w:rsidRDefault="00C1739F" w:rsidP="00C1739F">
            <w:pPr>
              <w:pStyle w:val="BodyText"/>
              <w:ind w:right="142" w:firstLine="720"/>
              <w:rPr>
                <w:sz w:val="26"/>
                <w:szCs w:val="26"/>
              </w:rPr>
            </w:pPr>
            <w:r w:rsidRPr="005A7B9C">
              <w:rPr>
                <w:iCs/>
                <w:sz w:val="26"/>
                <w:szCs w:val="26"/>
              </w:rPr>
              <w:lastRenderedPageBreak/>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9649C1">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lastRenderedPageBreak/>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9649C1">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9649C1">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ind w:firstLine="720"/>
              <w:jc w:val="both"/>
              <w:rPr>
                <w:rFonts w:eastAsia="Times New Roman"/>
                <w:sz w:val="26"/>
                <w:szCs w:val="26"/>
                <w:lang w:val="lv-LV" w:eastAsia="lv-LV"/>
              </w:rPr>
            </w:pPr>
            <w:r w:rsidRPr="005A7B9C">
              <w:rPr>
                <w:rFonts w:eastAsia="Times New Roman"/>
                <w:sz w:val="26"/>
                <w:szCs w:val="26"/>
                <w:lang w:val="lv-LV" w:eastAsia="lv-LV"/>
              </w:rPr>
              <w:t>Nav.</w:t>
            </w:r>
          </w:p>
        </w:tc>
      </w:tr>
    </w:tbl>
    <w:p w:rsidR="009649C1" w:rsidRDefault="009649C1"/>
    <w:p w:rsidR="009649C1" w:rsidRDefault="009649C1"/>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5"/>
        <w:gridCol w:w="2168"/>
        <w:gridCol w:w="1394"/>
        <w:gridCol w:w="1394"/>
        <w:gridCol w:w="1394"/>
        <w:gridCol w:w="1394"/>
        <w:gridCol w:w="1328"/>
      </w:tblGrid>
      <w:tr w:rsidR="009506A3" w:rsidRPr="004C64F4" w:rsidTr="009506A3">
        <w:trPr>
          <w:trHeight w:val="623"/>
        </w:trPr>
        <w:tc>
          <w:tcPr>
            <w:tcW w:w="9087"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9506A3" w:rsidRPr="00CB6AC4" w:rsidRDefault="009506A3" w:rsidP="00473903">
            <w:pPr>
              <w:ind w:firstLine="720"/>
              <w:jc w:val="both"/>
              <w:rPr>
                <w:rFonts w:eastAsia="Times New Roman"/>
                <w:b/>
                <w:sz w:val="26"/>
                <w:szCs w:val="26"/>
                <w:lang w:val="lv-LV" w:eastAsia="lv-LV"/>
              </w:rPr>
            </w:pPr>
            <w:r w:rsidRPr="00CB6AC4">
              <w:rPr>
                <w:rFonts w:eastAsia="Times New Roman"/>
                <w:b/>
                <w:sz w:val="26"/>
                <w:szCs w:val="26"/>
                <w:lang w:val="lv-LV" w:eastAsia="lv-LV"/>
              </w:rPr>
              <w:br w:type="page"/>
              <w:t>III. Tiesību akta projekta ietekme uz valsts budžetu un pašvaldību budžetiem</w:t>
            </w: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9506A3" w:rsidRPr="004C64F4" w:rsidRDefault="009506A3" w:rsidP="00473903">
            <w:pPr>
              <w:pStyle w:val="naisf"/>
              <w:spacing w:before="0" w:after="0"/>
              <w:jc w:val="center"/>
              <w:rPr>
                <w:b/>
                <w:sz w:val="26"/>
                <w:szCs w:val="26"/>
              </w:rPr>
            </w:pPr>
            <w:r w:rsidRPr="004C64F4">
              <w:rPr>
                <w:b/>
                <w:sz w:val="26"/>
                <w:szCs w:val="26"/>
              </w:rPr>
              <w:t>Rādītāji</w:t>
            </w:r>
          </w:p>
        </w:tc>
        <w:tc>
          <w:tcPr>
            <w:tcW w:w="2788" w:type="dxa"/>
            <w:gridSpan w:val="2"/>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9506A3" w:rsidRPr="004C64F4" w:rsidRDefault="009506A3" w:rsidP="00473903">
            <w:pPr>
              <w:pStyle w:val="naisf"/>
              <w:spacing w:before="0" w:after="0"/>
              <w:jc w:val="center"/>
              <w:rPr>
                <w:b/>
                <w:sz w:val="26"/>
                <w:szCs w:val="26"/>
              </w:rPr>
            </w:pPr>
            <w:r w:rsidRPr="004C64F4">
              <w:rPr>
                <w:b/>
                <w:sz w:val="26"/>
                <w:szCs w:val="26"/>
              </w:rPr>
              <w:t>2013.</w:t>
            </w:r>
          </w:p>
        </w:tc>
        <w:tc>
          <w:tcPr>
            <w:tcW w:w="4116" w:type="dxa"/>
            <w:gridSpan w:val="3"/>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9506A3" w:rsidRPr="004C64F4" w:rsidRDefault="009506A3" w:rsidP="00473903">
            <w:pPr>
              <w:pStyle w:val="naisf"/>
              <w:spacing w:before="0" w:after="0"/>
              <w:jc w:val="center"/>
              <w:rPr>
                <w:b/>
                <w:i/>
                <w:sz w:val="26"/>
                <w:szCs w:val="26"/>
              </w:rPr>
            </w:pPr>
            <w:r w:rsidRPr="008D264E">
              <w:rPr>
                <w:sz w:val="26"/>
                <w:szCs w:val="26"/>
              </w:rPr>
              <w:t>Turpmākie trīs gadi (</w:t>
            </w:r>
            <w:proofErr w:type="spellStart"/>
            <w:r w:rsidRPr="008D264E">
              <w:rPr>
                <w:sz w:val="26"/>
                <w:szCs w:val="26"/>
              </w:rPr>
              <w:t>tūkst</w:t>
            </w:r>
            <w:proofErr w:type="spellEnd"/>
            <w:smartTag w:uri="schemas-tilde-lv/tildestengine" w:element="currency2">
              <w:smartTagPr>
                <w:attr w:name="currency_text" w:val="latu"/>
                <w:attr w:name="currency_value" w:val="."/>
                <w:attr w:name="currency_key" w:val="LVL"/>
                <w:attr w:name="currency_id" w:val="48"/>
              </w:smartTagPr>
              <w:r w:rsidRPr="008D264E">
                <w:rPr>
                  <w:sz w:val="26"/>
                  <w:szCs w:val="26"/>
                </w:rPr>
                <w:t>. latu</w:t>
              </w:r>
            </w:smartTag>
            <w:r w:rsidRPr="008D264E">
              <w:rPr>
                <w:sz w:val="26"/>
                <w:szCs w:val="26"/>
              </w:rPr>
              <w:t>)</w:t>
            </w: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9506A3" w:rsidRPr="004C64F4" w:rsidRDefault="009506A3" w:rsidP="00473903">
            <w:pPr>
              <w:rPr>
                <w:rFonts w:eastAsia="Times New Roman"/>
                <w:b/>
                <w:sz w:val="26"/>
                <w:szCs w:val="26"/>
                <w:lang w:val="lv-LV" w:eastAsia="lv-LV"/>
              </w:rPr>
            </w:pPr>
          </w:p>
        </w:tc>
        <w:tc>
          <w:tcPr>
            <w:tcW w:w="2788" w:type="dxa"/>
            <w:gridSpan w:val="2"/>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9506A3" w:rsidRPr="004C64F4" w:rsidRDefault="009506A3" w:rsidP="00473903">
            <w:pPr>
              <w:rPr>
                <w:rFonts w:eastAsia="Times New Roman"/>
                <w:b/>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pStyle w:val="naisf"/>
              <w:spacing w:before="0" w:after="0"/>
              <w:jc w:val="center"/>
              <w:rPr>
                <w:b/>
                <w:i/>
                <w:sz w:val="26"/>
                <w:szCs w:val="26"/>
              </w:rPr>
            </w:pPr>
            <w:r w:rsidRPr="008D264E">
              <w:rPr>
                <w:b/>
                <w:bCs/>
                <w:sz w:val="26"/>
                <w:szCs w:val="26"/>
              </w:rPr>
              <w:t>201</w:t>
            </w:r>
            <w:r w:rsidRPr="004C64F4">
              <w:rPr>
                <w:b/>
                <w:bCs/>
                <w:sz w:val="26"/>
                <w:szCs w:val="26"/>
              </w:rPr>
              <w:t>4.</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pStyle w:val="naisf"/>
              <w:spacing w:before="0" w:after="0"/>
              <w:rPr>
                <w:b/>
                <w:i/>
                <w:sz w:val="26"/>
                <w:szCs w:val="26"/>
              </w:rPr>
            </w:pPr>
            <w:r w:rsidRPr="004C64F4">
              <w:rPr>
                <w:b/>
                <w:bCs/>
                <w:sz w:val="26"/>
                <w:szCs w:val="26"/>
              </w:rPr>
              <w:t>2015.</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pStyle w:val="naisf"/>
              <w:spacing w:before="0" w:after="0"/>
              <w:jc w:val="center"/>
              <w:rPr>
                <w:b/>
                <w:i/>
                <w:sz w:val="26"/>
                <w:szCs w:val="26"/>
              </w:rPr>
            </w:pPr>
            <w:r w:rsidRPr="004C64F4">
              <w:rPr>
                <w:b/>
                <w:bCs/>
                <w:sz w:val="26"/>
                <w:szCs w:val="26"/>
              </w:rPr>
              <w:t>2016.</w:t>
            </w: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9506A3" w:rsidRPr="004C64F4" w:rsidRDefault="009506A3" w:rsidP="00473903">
            <w:pPr>
              <w:rPr>
                <w:rFonts w:eastAsia="Times New Roman"/>
                <w:b/>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pStyle w:val="naisf"/>
              <w:spacing w:before="0" w:after="0"/>
              <w:ind w:firstLine="0"/>
              <w:rPr>
                <w:b/>
                <w:i/>
                <w:sz w:val="26"/>
                <w:szCs w:val="26"/>
              </w:rPr>
            </w:pPr>
            <w:r w:rsidRPr="004C64F4">
              <w:rPr>
                <w:sz w:val="26"/>
                <w:szCs w:val="26"/>
              </w:rPr>
              <w:t>Saskaņā ar valsts budžetu kārtējam gadam</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pStyle w:val="naisf"/>
              <w:spacing w:before="0" w:after="0"/>
              <w:ind w:firstLine="0"/>
              <w:rPr>
                <w:b/>
                <w:i/>
                <w:sz w:val="26"/>
                <w:szCs w:val="26"/>
              </w:rPr>
            </w:pPr>
            <w:r w:rsidRPr="004C64F4">
              <w:rPr>
                <w:sz w:val="26"/>
                <w:szCs w:val="26"/>
              </w:rPr>
              <w:t>Izmaiņas kārtējā gadā, salīdzinot ar budžetu kārtējam gadam</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pStyle w:val="naisf"/>
              <w:spacing w:before="0" w:after="0"/>
              <w:ind w:firstLine="0"/>
              <w:rPr>
                <w:b/>
                <w:i/>
                <w:sz w:val="26"/>
                <w:szCs w:val="26"/>
              </w:rPr>
            </w:pPr>
            <w:r w:rsidRPr="004C64F4">
              <w:rPr>
                <w:sz w:val="26"/>
                <w:szCs w:val="26"/>
              </w:rPr>
              <w:t>Izmaiņas, salīdzinot ar kārtējo (n) gadu</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pStyle w:val="naisf"/>
              <w:spacing w:before="0" w:after="0"/>
              <w:ind w:firstLine="0"/>
              <w:rPr>
                <w:b/>
                <w:i/>
                <w:sz w:val="26"/>
                <w:szCs w:val="26"/>
              </w:rPr>
            </w:pPr>
            <w:r w:rsidRPr="004C64F4">
              <w:rPr>
                <w:sz w:val="26"/>
                <w:szCs w:val="26"/>
              </w:rPr>
              <w:t>Izmaiņas, salīdzinot ar kārtējo (n) gadu</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pStyle w:val="naisf"/>
              <w:spacing w:before="0" w:after="0"/>
              <w:ind w:firstLine="0"/>
              <w:rPr>
                <w:b/>
                <w:i/>
                <w:sz w:val="26"/>
                <w:szCs w:val="26"/>
              </w:rPr>
            </w:pPr>
            <w:r w:rsidRPr="004C64F4">
              <w:rPr>
                <w:sz w:val="26"/>
                <w:szCs w:val="26"/>
              </w:rPr>
              <w:t>Izmaiņas, salīdzinot ar kārtējo (n) gadu</w:t>
            </w: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pStyle w:val="naisf"/>
              <w:spacing w:before="0" w:after="0"/>
              <w:jc w:val="center"/>
              <w:rPr>
                <w:bCs/>
                <w:sz w:val="26"/>
                <w:szCs w:val="26"/>
              </w:rPr>
            </w:pPr>
            <w:r w:rsidRPr="004C64F4">
              <w:rPr>
                <w:bCs/>
                <w:sz w:val="26"/>
                <w:szCs w:val="26"/>
              </w:rPr>
              <w:t>1</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pStyle w:val="naisf"/>
              <w:spacing w:before="0" w:after="0"/>
              <w:jc w:val="center"/>
              <w:rPr>
                <w:bCs/>
                <w:sz w:val="26"/>
                <w:szCs w:val="26"/>
              </w:rPr>
            </w:pPr>
            <w:r w:rsidRPr="004C64F4">
              <w:rPr>
                <w:bCs/>
                <w:sz w:val="26"/>
                <w:szCs w:val="26"/>
              </w:rPr>
              <w:t>2</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pStyle w:val="naisf"/>
              <w:spacing w:before="0" w:after="0"/>
              <w:jc w:val="center"/>
              <w:rPr>
                <w:bCs/>
                <w:sz w:val="26"/>
                <w:szCs w:val="26"/>
              </w:rPr>
            </w:pPr>
            <w:r w:rsidRPr="004C64F4">
              <w:rPr>
                <w:bCs/>
                <w:sz w:val="26"/>
                <w:szCs w:val="26"/>
              </w:rPr>
              <w:t>3</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pStyle w:val="naisf"/>
              <w:spacing w:before="0" w:after="0"/>
              <w:jc w:val="center"/>
              <w:rPr>
                <w:bCs/>
                <w:sz w:val="26"/>
                <w:szCs w:val="26"/>
              </w:rPr>
            </w:pPr>
            <w:r w:rsidRPr="004C64F4">
              <w:rPr>
                <w:bCs/>
                <w:sz w:val="26"/>
                <w:szCs w:val="26"/>
              </w:rPr>
              <w:t>4</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pStyle w:val="naisf"/>
              <w:spacing w:before="0" w:after="0"/>
              <w:jc w:val="center"/>
              <w:rPr>
                <w:bCs/>
                <w:sz w:val="26"/>
                <w:szCs w:val="26"/>
              </w:rPr>
            </w:pPr>
            <w:r w:rsidRPr="004C64F4">
              <w:rPr>
                <w:bCs/>
                <w:sz w:val="26"/>
                <w:szCs w:val="26"/>
              </w:rPr>
              <w:t>5</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pStyle w:val="naisf"/>
              <w:spacing w:before="0" w:after="0"/>
              <w:jc w:val="center"/>
              <w:rPr>
                <w:bCs/>
                <w:sz w:val="26"/>
                <w:szCs w:val="26"/>
              </w:rPr>
            </w:pPr>
            <w:r w:rsidRPr="004C64F4">
              <w:rPr>
                <w:bCs/>
                <w:sz w:val="26"/>
                <w:szCs w:val="26"/>
              </w:rPr>
              <w:t>6</w:t>
            </w: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ind w:hanging="104"/>
              <w:jc w:val="left"/>
              <w:rPr>
                <w:i/>
                <w:sz w:val="26"/>
                <w:szCs w:val="26"/>
              </w:rPr>
            </w:pPr>
            <w:r w:rsidRPr="004C64F4">
              <w:rPr>
                <w:sz w:val="26"/>
                <w:szCs w:val="26"/>
              </w:rPr>
              <w:t>1. Budžeta ieņēmumi:</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ind w:hanging="104"/>
              <w:jc w:val="left"/>
              <w:rPr>
                <w:i/>
                <w:sz w:val="26"/>
                <w:szCs w:val="26"/>
              </w:rPr>
            </w:pPr>
            <w:r w:rsidRPr="004C64F4">
              <w:rPr>
                <w:sz w:val="26"/>
                <w:szCs w:val="26"/>
              </w:rPr>
              <w:t>1.1. valsts pamatbudžets, tai skaitā ieņēmumi no maksas pakalpojumiem un citi pašu ieņēmumi</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sz w:val="26"/>
                <w:szCs w:val="26"/>
              </w:rPr>
            </w:pPr>
            <w:r w:rsidRPr="004C64F4">
              <w:rPr>
                <w:sz w:val="26"/>
                <w:szCs w:val="26"/>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sz w:val="26"/>
                <w:szCs w:val="26"/>
              </w:rPr>
            </w:pPr>
            <w:r w:rsidRPr="004C64F4">
              <w:rPr>
                <w:sz w:val="26"/>
                <w:szCs w:val="26"/>
              </w:rPr>
              <w:t>Nav attiecināms</w:t>
            </w: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ind w:firstLine="0"/>
              <w:jc w:val="left"/>
              <w:rPr>
                <w:i/>
                <w:sz w:val="26"/>
                <w:szCs w:val="26"/>
              </w:rPr>
            </w:pPr>
            <w:r w:rsidRPr="004C64F4">
              <w:rPr>
                <w:sz w:val="26"/>
                <w:szCs w:val="26"/>
              </w:rPr>
              <w:t>1.2. valsts speciālais 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ind w:firstLine="0"/>
              <w:jc w:val="left"/>
              <w:rPr>
                <w:i/>
                <w:sz w:val="26"/>
                <w:szCs w:val="26"/>
              </w:rPr>
            </w:pPr>
            <w:r w:rsidRPr="004C64F4">
              <w:rPr>
                <w:sz w:val="26"/>
                <w:szCs w:val="26"/>
              </w:rPr>
              <w:t>1.3. pašvaldību 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rPr>
                <w:sz w:val="26"/>
                <w:szCs w:val="26"/>
                <w:lang w:val="lv-LV"/>
              </w:rPr>
            </w:pPr>
            <w:r w:rsidRPr="004C64F4">
              <w:rPr>
                <w:sz w:val="26"/>
                <w:szCs w:val="26"/>
                <w:lang w:val="lv-LV"/>
              </w:rPr>
              <w:t>2. Budžeta izdevumi:</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rPr>
                <w:sz w:val="26"/>
                <w:szCs w:val="26"/>
                <w:lang w:val="lv-LV"/>
              </w:rPr>
            </w:pPr>
            <w:r w:rsidRPr="004C64F4">
              <w:rPr>
                <w:sz w:val="26"/>
                <w:szCs w:val="26"/>
                <w:lang w:val="lv-LV"/>
              </w:rPr>
              <w:t xml:space="preserve">2.1. valsts </w:t>
            </w:r>
            <w:r w:rsidRPr="004C64F4">
              <w:rPr>
                <w:sz w:val="26"/>
                <w:szCs w:val="26"/>
                <w:lang w:val="lv-LV"/>
              </w:rPr>
              <w:lastRenderedPageBreak/>
              <w:t>pamatbudžets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rPr>
                <w:sz w:val="26"/>
                <w:szCs w:val="26"/>
              </w:rPr>
            </w:pPr>
            <w:r w:rsidRPr="004C64F4">
              <w:rPr>
                <w:sz w:val="26"/>
                <w:szCs w:val="26"/>
              </w:rPr>
              <w:lastRenderedPageBreak/>
              <w:t xml:space="preserve">Nav </w:t>
            </w:r>
            <w:r w:rsidRPr="004C64F4">
              <w:rPr>
                <w:sz w:val="26"/>
                <w:szCs w:val="26"/>
              </w:rPr>
              <w:lastRenderedPageBreak/>
              <w:t>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ind w:firstLine="0"/>
              <w:rPr>
                <w:sz w:val="26"/>
                <w:szCs w:val="26"/>
              </w:rPr>
            </w:pPr>
            <w:r w:rsidRPr="004C64F4">
              <w:rPr>
                <w:sz w:val="26"/>
                <w:szCs w:val="26"/>
              </w:rPr>
              <w:lastRenderedPageBreak/>
              <w:t xml:space="preserve">Nav </w:t>
            </w:r>
            <w:r w:rsidRPr="004C64F4">
              <w:rPr>
                <w:sz w:val="26"/>
                <w:szCs w:val="26"/>
              </w:rPr>
              <w:lastRenderedPageBreak/>
              <w:t>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ind w:firstLine="0"/>
              <w:rPr>
                <w:sz w:val="26"/>
                <w:szCs w:val="26"/>
              </w:rPr>
            </w:pPr>
            <w:r w:rsidRPr="004C64F4">
              <w:rPr>
                <w:sz w:val="26"/>
                <w:szCs w:val="26"/>
              </w:rPr>
              <w:lastRenderedPageBreak/>
              <w:t xml:space="preserve">Nav </w:t>
            </w:r>
            <w:r w:rsidRPr="004C64F4">
              <w:rPr>
                <w:sz w:val="26"/>
                <w:szCs w:val="26"/>
              </w:rPr>
              <w:lastRenderedPageBreak/>
              <w:t>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ind w:firstLine="0"/>
              <w:rPr>
                <w:sz w:val="26"/>
                <w:szCs w:val="26"/>
              </w:rPr>
            </w:pPr>
            <w:r w:rsidRPr="004C64F4">
              <w:rPr>
                <w:sz w:val="26"/>
                <w:szCs w:val="26"/>
              </w:rPr>
              <w:lastRenderedPageBreak/>
              <w:t xml:space="preserve">Nav </w:t>
            </w:r>
            <w:r w:rsidRPr="004C64F4">
              <w:rPr>
                <w:sz w:val="26"/>
                <w:szCs w:val="26"/>
              </w:rPr>
              <w:lastRenderedPageBreak/>
              <w:t>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ind w:firstLine="0"/>
              <w:rPr>
                <w:sz w:val="26"/>
                <w:szCs w:val="26"/>
              </w:rPr>
            </w:pPr>
            <w:r w:rsidRPr="004C64F4">
              <w:rPr>
                <w:sz w:val="26"/>
                <w:szCs w:val="26"/>
              </w:rPr>
              <w:lastRenderedPageBreak/>
              <w:t xml:space="preserve">Nav </w:t>
            </w:r>
            <w:r w:rsidRPr="004C64F4">
              <w:rPr>
                <w:sz w:val="26"/>
                <w:szCs w:val="26"/>
              </w:rPr>
              <w:lastRenderedPageBreak/>
              <w:t>attiecināms</w:t>
            </w: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rPr>
                <w:sz w:val="26"/>
                <w:szCs w:val="26"/>
                <w:lang w:val="lv-LV"/>
              </w:rPr>
            </w:pPr>
            <w:r w:rsidRPr="004C64F4">
              <w:rPr>
                <w:sz w:val="26"/>
                <w:szCs w:val="26"/>
                <w:lang w:val="lv-LV"/>
              </w:rPr>
              <w:lastRenderedPageBreak/>
              <w:t>2.2. valsts speciālais 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rPr>
                <w:sz w:val="26"/>
                <w:szCs w:val="26"/>
                <w:lang w:val="lv-LV"/>
              </w:rPr>
            </w:pPr>
            <w:r w:rsidRPr="004C64F4">
              <w:rPr>
                <w:sz w:val="26"/>
                <w:szCs w:val="26"/>
                <w:lang w:val="lv-LV"/>
              </w:rPr>
              <w:t xml:space="preserve">2.3. pašvaldību budžets </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rPr>
                <w:sz w:val="26"/>
                <w:szCs w:val="26"/>
                <w:lang w:val="lv-LV"/>
              </w:rPr>
            </w:pPr>
            <w:r w:rsidRPr="004C64F4">
              <w:rPr>
                <w:sz w:val="26"/>
                <w:szCs w:val="26"/>
                <w:lang w:val="lv-LV"/>
              </w:rPr>
              <w:t>3. Finansiālā ietekme:</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9506A3" w:rsidRPr="004C64F4" w:rsidRDefault="009506A3" w:rsidP="00473903">
            <w:pPr>
              <w:pStyle w:val="naisf"/>
              <w:spacing w:before="0" w:after="0"/>
              <w:jc w:val="center"/>
              <w:rPr>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rPr>
                <w:sz w:val="26"/>
                <w:szCs w:val="26"/>
                <w:lang w:val="lv-LV"/>
              </w:rPr>
            </w:pPr>
            <w:r w:rsidRPr="004C64F4">
              <w:rPr>
                <w:sz w:val="26"/>
                <w:szCs w:val="26"/>
                <w:lang w:val="lv-LV"/>
              </w:rPr>
              <w:t>3.1. valsts pamatbudžets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rPr>
                <w:i/>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rPr>
                <w:sz w:val="26"/>
                <w:szCs w:val="26"/>
                <w:vertAlign w:val="subscript"/>
              </w:rPr>
            </w:pPr>
            <w:proofErr w:type="spellStart"/>
            <w:r w:rsidRPr="004C64F4">
              <w:rPr>
                <w:sz w:val="26"/>
                <w:szCs w:val="26"/>
              </w:rPr>
              <w:t>Nav</w:t>
            </w:r>
            <w:proofErr w:type="spellEnd"/>
            <w:r w:rsidRPr="004C64F4">
              <w:rPr>
                <w:sz w:val="26"/>
                <w:szCs w:val="26"/>
              </w:rPr>
              <w:t xml:space="preserve"> </w:t>
            </w:r>
            <w:proofErr w:type="spellStart"/>
            <w:r w:rsidRPr="004C64F4">
              <w:rPr>
                <w:sz w:val="26"/>
                <w:szCs w:val="26"/>
              </w:rPr>
              <w:t>attiecināms</w:t>
            </w:r>
            <w:proofErr w:type="spellEnd"/>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ind w:firstLine="0"/>
              <w:rPr>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ind w:firstLine="0"/>
              <w:rPr>
                <w:sz w:val="26"/>
                <w:szCs w:val="26"/>
              </w:rPr>
            </w:pPr>
            <w:r w:rsidRPr="004C64F4">
              <w:rPr>
                <w:sz w:val="26"/>
                <w:szCs w:val="26"/>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ind w:firstLine="0"/>
              <w:rPr>
                <w:sz w:val="26"/>
                <w:szCs w:val="26"/>
              </w:rPr>
            </w:pPr>
            <w:r w:rsidRPr="004C64F4">
              <w:rPr>
                <w:sz w:val="26"/>
                <w:szCs w:val="26"/>
              </w:rPr>
              <w:t>Nav attiecināms</w:t>
            </w: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rPr>
                <w:sz w:val="26"/>
                <w:szCs w:val="26"/>
                <w:lang w:val="lv-LV"/>
              </w:rPr>
            </w:pPr>
            <w:r w:rsidRPr="004C64F4">
              <w:rPr>
                <w:sz w:val="26"/>
                <w:szCs w:val="26"/>
                <w:lang w:val="lv-LV"/>
              </w:rPr>
              <w:t>3.2. speciālais 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rPr>
                <w:sz w:val="26"/>
                <w:szCs w:val="26"/>
                <w:lang w:val="lv-LV"/>
              </w:rPr>
            </w:pPr>
            <w:r w:rsidRPr="004C64F4">
              <w:rPr>
                <w:sz w:val="26"/>
                <w:szCs w:val="26"/>
                <w:lang w:val="lv-LV"/>
              </w:rPr>
              <w:t xml:space="preserve">3.3. pašvaldību budžets </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i/>
                <w:sz w:val="26"/>
                <w:szCs w:val="26"/>
              </w:rPr>
            </w:pP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rPr>
                <w:sz w:val="26"/>
                <w:szCs w:val="26"/>
                <w:lang w:val="lv-LV"/>
              </w:rPr>
            </w:pPr>
            <w:r w:rsidRPr="004C64F4">
              <w:rPr>
                <w:sz w:val="26"/>
                <w:szCs w:val="26"/>
                <w:lang w:val="lv-LV"/>
              </w:rPr>
              <w:t>4. Finanšu līdzekļi papildu izde</w:t>
            </w:r>
            <w:r w:rsidRPr="004C64F4">
              <w:rPr>
                <w:sz w:val="26"/>
                <w:szCs w:val="26"/>
                <w:lang w:val="lv-LV"/>
              </w:rPr>
              <w:softHyphen/>
              <w:t>vumu finansēšanai (kompensējošu izdevumu samazinājumu norāda ar "+" zīmi)</w:t>
            </w:r>
          </w:p>
        </w:tc>
        <w:tc>
          <w:tcPr>
            <w:tcW w:w="1394" w:type="dxa"/>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9506A3" w:rsidRPr="004C64F4" w:rsidRDefault="009506A3" w:rsidP="00473903">
            <w:pPr>
              <w:pStyle w:val="naisf"/>
              <w:spacing w:before="0" w:after="0"/>
              <w:jc w:val="left"/>
              <w:rPr>
                <w:sz w:val="26"/>
                <w:szCs w:val="26"/>
              </w:rPr>
            </w:pPr>
            <w:r w:rsidRPr="004C64F4">
              <w:rPr>
                <w:sz w:val="26"/>
                <w:szCs w:val="26"/>
              </w:rPr>
              <w:t>X</w:t>
            </w:r>
          </w:p>
          <w:p w:rsidR="009506A3" w:rsidRPr="004C64F4" w:rsidRDefault="009506A3" w:rsidP="00473903">
            <w:pPr>
              <w:rPr>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b/>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b/>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b/>
                <w:sz w:val="26"/>
                <w:szCs w:val="26"/>
              </w:rPr>
            </w:pPr>
            <w:r w:rsidRPr="004C64F4">
              <w:rPr>
                <w:sz w:val="26"/>
                <w:szCs w:val="26"/>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b/>
                <w:sz w:val="26"/>
                <w:szCs w:val="26"/>
              </w:rPr>
            </w:pPr>
            <w:r w:rsidRPr="004C64F4">
              <w:rPr>
                <w:sz w:val="26"/>
                <w:szCs w:val="26"/>
              </w:rPr>
              <w:t>Nav attiecināms</w:t>
            </w: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rPr>
                <w:sz w:val="26"/>
                <w:szCs w:val="26"/>
                <w:lang w:val="lv-LV"/>
              </w:rPr>
            </w:pPr>
          </w:p>
        </w:tc>
        <w:tc>
          <w:tcPr>
            <w:tcW w:w="1394"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rPr>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b/>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b/>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b/>
                <w:sz w:val="26"/>
                <w:szCs w:val="26"/>
              </w:rPr>
            </w:pPr>
            <w:r w:rsidRPr="004C64F4">
              <w:rPr>
                <w:sz w:val="26"/>
                <w:szCs w:val="26"/>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b/>
                <w:sz w:val="26"/>
                <w:szCs w:val="26"/>
              </w:rPr>
            </w:pPr>
            <w:r w:rsidRPr="004C64F4">
              <w:rPr>
                <w:sz w:val="26"/>
                <w:szCs w:val="26"/>
              </w:rPr>
              <w:t>Nav attiecināms</w:t>
            </w: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rPr>
                <w:sz w:val="26"/>
                <w:szCs w:val="26"/>
                <w:lang w:val="lv-LV"/>
              </w:rPr>
            </w:pPr>
          </w:p>
        </w:tc>
        <w:tc>
          <w:tcPr>
            <w:tcW w:w="1394"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rPr>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b/>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b/>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b/>
                <w:sz w:val="26"/>
                <w:szCs w:val="26"/>
              </w:rPr>
            </w:pPr>
            <w:r w:rsidRPr="004C64F4">
              <w:rPr>
                <w:sz w:val="26"/>
                <w:szCs w:val="26"/>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jc w:val="left"/>
              <w:rPr>
                <w:b/>
                <w:sz w:val="26"/>
                <w:szCs w:val="26"/>
              </w:rPr>
            </w:pPr>
            <w:r w:rsidRPr="004C64F4">
              <w:rPr>
                <w:sz w:val="26"/>
                <w:szCs w:val="26"/>
              </w:rPr>
              <w:t>Nav attiecināms</w:t>
            </w: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rPr>
                <w:sz w:val="26"/>
                <w:szCs w:val="26"/>
                <w:lang w:val="lv-LV"/>
              </w:rPr>
            </w:pPr>
            <w:r w:rsidRPr="004C64F4">
              <w:rPr>
                <w:sz w:val="26"/>
                <w:szCs w:val="26"/>
                <w:lang w:val="lv-LV"/>
              </w:rPr>
              <w:t>5. Precizēta finansiālā ietekme:</w:t>
            </w:r>
          </w:p>
        </w:tc>
        <w:tc>
          <w:tcPr>
            <w:tcW w:w="1394" w:type="dxa"/>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9506A3" w:rsidRPr="004C64F4" w:rsidRDefault="009506A3" w:rsidP="00473903">
            <w:pPr>
              <w:pStyle w:val="naisf"/>
              <w:spacing w:before="0" w:after="0"/>
              <w:jc w:val="left"/>
              <w:rPr>
                <w:sz w:val="26"/>
                <w:szCs w:val="26"/>
              </w:rPr>
            </w:pPr>
            <w:r w:rsidRPr="004C64F4">
              <w:rPr>
                <w:sz w:val="26"/>
                <w:szCs w:val="26"/>
              </w:rPr>
              <w:t>X</w:t>
            </w:r>
          </w:p>
          <w:p w:rsidR="009506A3" w:rsidRPr="004C64F4" w:rsidRDefault="009506A3" w:rsidP="00473903">
            <w:pPr>
              <w:pStyle w:val="naisf"/>
              <w:spacing w:before="0" w:after="0"/>
              <w:jc w:val="center"/>
              <w:rPr>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sz w:val="26"/>
                <w:szCs w:val="26"/>
              </w:rPr>
            </w:pP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rPr>
                <w:sz w:val="26"/>
                <w:szCs w:val="26"/>
                <w:lang w:val="lv-LV"/>
              </w:rPr>
            </w:pPr>
            <w:r w:rsidRPr="004C64F4">
              <w:rPr>
                <w:sz w:val="26"/>
                <w:szCs w:val="26"/>
                <w:lang w:val="lv-LV"/>
              </w:rPr>
              <w:t>5.1. valsts pamatbudžets</w:t>
            </w:r>
          </w:p>
        </w:tc>
        <w:tc>
          <w:tcPr>
            <w:tcW w:w="1394"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rPr>
                <w:rFonts w:eastAsia="Times New Roman"/>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rPr>
                <w:sz w:val="26"/>
                <w:szCs w:val="26"/>
                <w:vertAlign w:val="subscript"/>
                <w:lang w:val="lv-LV"/>
              </w:rPr>
            </w:pPr>
            <w:r w:rsidRPr="004C64F4">
              <w:rPr>
                <w:sz w:val="26"/>
                <w:szCs w:val="26"/>
                <w:lang w:val="lv-LV"/>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rPr>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rPr>
                <w:sz w:val="26"/>
                <w:szCs w:val="26"/>
              </w:rPr>
            </w:pPr>
            <w:r w:rsidRPr="004C64F4">
              <w:rPr>
                <w:sz w:val="26"/>
                <w:szCs w:val="26"/>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pStyle w:val="naisf"/>
              <w:spacing w:before="0" w:after="0"/>
              <w:rPr>
                <w:sz w:val="26"/>
                <w:szCs w:val="26"/>
              </w:rPr>
            </w:pPr>
            <w:r w:rsidRPr="004C64F4">
              <w:rPr>
                <w:sz w:val="26"/>
                <w:szCs w:val="26"/>
              </w:rPr>
              <w:t>Nav attiecināms</w:t>
            </w: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rPr>
                <w:sz w:val="26"/>
                <w:szCs w:val="26"/>
                <w:lang w:val="lv-LV"/>
              </w:rPr>
            </w:pPr>
            <w:r w:rsidRPr="004C64F4">
              <w:rPr>
                <w:sz w:val="26"/>
                <w:szCs w:val="26"/>
                <w:lang w:val="lv-LV"/>
              </w:rPr>
              <w:t>5.2. speciālais budžets</w:t>
            </w:r>
          </w:p>
        </w:tc>
        <w:tc>
          <w:tcPr>
            <w:tcW w:w="1394"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rPr>
                <w:rFonts w:eastAsia="Times New Roman"/>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sz w:val="26"/>
                <w:szCs w:val="26"/>
              </w:rPr>
            </w:pP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9506A3" w:rsidRPr="004C64F4" w:rsidRDefault="009506A3" w:rsidP="00473903">
            <w:pPr>
              <w:rPr>
                <w:sz w:val="26"/>
                <w:szCs w:val="26"/>
                <w:lang w:val="lv-LV"/>
              </w:rPr>
            </w:pPr>
            <w:r w:rsidRPr="004C64F4">
              <w:rPr>
                <w:sz w:val="26"/>
                <w:szCs w:val="26"/>
                <w:lang w:val="lv-LV"/>
              </w:rPr>
              <w:t xml:space="preserve">5.3. pašvaldību </w:t>
            </w:r>
            <w:r w:rsidRPr="004C64F4">
              <w:rPr>
                <w:sz w:val="26"/>
                <w:szCs w:val="26"/>
                <w:lang w:val="lv-LV"/>
              </w:rPr>
              <w:lastRenderedPageBreak/>
              <w:t xml:space="preserve">budžets </w:t>
            </w:r>
          </w:p>
        </w:tc>
        <w:tc>
          <w:tcPr>
            <w:tcW w:w="1394"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9506A3" w:rsidRPr="004C64F4" w:rsidRDefault="009506A3" w:rsidP="00473903">
            <w:pPr>
              <w:rPr>
                <w:rFonts w:eastAsia="Times New Roman"/>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9506A3" w:rsidRPr="004C64F4" w:rsidRDefault="009506A3" w:rsidP="00473903">
            <w:pPr>
              <w:pStyle w:val="naisf"/>
              <w:spacing w:before="0" w:after="0"/>
              <w:rPr>
                <w:b/>
                <w:sz w:val="26"/>
                <w:szCs w:val="26"/>
              </w:rPr>
            </w:pP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9506A3" w:rsidRPr="004C64F4" w:rsidRDefault="009506A3" w:rsidP="00473903">
            <w:pPr>
              <w:rPr>
                <w:sz w:val="26"/>
                <w:szCs w:val="26"/>
                <w:lang w:val="lv-LV"/>
              </w:rPr>
            </w:pPr>
            <w:r w:rsidRPr="004C64F4">
              <w:rPr>
                <w:sz w:val="26"/>
                <w:szCs w:val="26"/>
                <w:lang w:val="lv-LV"/>
              </w:rPr>
              <w:lastRenderedPageBreak/>
              <w:t>6. Detalizēts ieņēmumu un izdevu</w:t>
            </w:r>
            <w:r w:rsidRPr="004C64F4">
              <w:rPr>
                <w:sz w:val="26"/>
                <w:szCs w:val="26"/>
                <w:lang w:val="lv-LV"/>
              </w:rPr>
              <w:softHyphen/>
              <w:t>mu aprēķins (ja nepieciešams, detalizētu ieņēmumu un izdevumu aprēķinu var pievienot anotācijas pielikumā):</w:t>
            </w:r>
          </w:p>
        </w:tc>
        <w:tc>
          <w:tcPr>
            <w:tcW w:w="6904" w:type="dxa"/>
            <w:gridSpan w:val="5"/>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tcPr>
          <w:p w:rsidR="009506A3" w:rsidRPr="004C64F4" w:rsidRDefault="009506A3" w:rsidP="00473903">
            <w:pPr>
              <w:ind w:firstLine="451"/>
              <w:jc w:val="both"/>
              <w:rPr>
                <w:sz w:val="26"/>
                <w:szCs w:val="26"/>
                <w:lang w:val="lv-LV"/>
              </w:rPr>
            </w:pP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9506A3" w:rsidRPr="004C64F4" w:rsidRDefault="009506A3" w:rsidP="00473903">
            <w:pPr>
              <w:rPr>
                <w:sz w:val="26"/>
                <w:szCs w:val="26"/>
                <w:lang w:val="lv-LV"/>
              </w:rPr>
            </w:pPr>
            <w:r w:rsidRPr="004C64F4">
              <w:rPr>
                <w:sz w:val="26"/>
                <w:szCs w:val="26"/>
                <w:lang w:val="lv-LV"/>
              </w:rPr>
              <w:t>6.1. detalizēts ieņēmumu aprēķins</w:t>
            </w:r>
          </w:p>
        </w:tc>
        <w:tc>
          <w:tcPr>
            <w:tcW w:w="6904" w:type="dxa"/>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9506A3" w:rsidRPr="004C64F4" w:rsidRDefault="009506A3" w:rsidP="00473903">
            <w:pPr>
              <w:rPr>
                <w:sz w:val="26"/>
                <w:szCs w:val="26"/>
                <w:lang w:val="lv-LV"/>
              </w:rPr>
            </w:pP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Height w:val="585"/>
        </w:trPr>
        <w:tc>
          <w:tcPr>
            <w:tcW w:w="2168" w:type="dxa"/>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9506A3" w:rsidRPr="004C64F4" w:rsidRDefault="009506A3" w:rsidP="00473903">
            <w:pPr>
              <w:rPr>
                <w:sz w:val="26"/>
                <w:szCs w:val="26"/>
                <w:lang w:val="lv-LV"/>
              </w:rPr>
            </w:pPr>
            <w:r w:rsidRPr="004C64F4">
              <w:rPr>
                <w:sz w:val="26"/>
                <w:szCs w:val="26"/>
                <w:lang w:val="lv-LV"/>
              </w:rPr>
              <w:t>6.2. detalizēts izdevumu aprēķins</w:t>
            </w:r>
          </w:p>
        </w:tc>
        <w:tc>
          <w:tcPr>
            <w:tcW w:w="6904" w:type="dxa"/>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9506A3" w:rsidRPr="004C64F4" w:rsidRDefault="009506A3" w:rsidP="00473903">
            <w:pPr>
              <w:rPr>
                <w:sz w:val="26"/>
                <w:szCs w:val="26"/>
                <w:lang w:val="lv-LV"/>
              </w:rPr>
            </w:pPr>
          </w:p>
        </w:tc>
      </w:tr>
      <w:tr w:rsidR="009506A3" w:rsidRPr="004C64F4" w:rsidTr="009506A3">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9506A3" w:rsidRPr="004C64F4" w:rsidRDefault="009506A3" w:rsidP="00473903">
            <w:pPr>
              <w:rPr>
                <w:sz w:val="26"/>
                <w:szCs w:val="26"/>
                <w:lang w:val="lv-LV"/>
              </w:rPr>
            </w:pPr>
            <w:r w:rsidRPr="004C64F4">
              <w:rPr>
                <w:sz w:val="26"/>
                <w:szCs w:val="26"/>
                <w:lang w:val="lv-LV"/>
              </w:rPr>
              <w:t>7. Cita informācija</w:t>
            </w:r>
          </w:p>
        </w:tc>
        <w:tc>
          <w:tcPr>
            <w:tcW w:w="6904" w:type="dxa"/>
            <w:gridSpan w:val="5"/>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9506A3" w:rsidRPr="004C64F4" w:rsidRDefault="009506A3" w:rsidP="00473903">
            <w:pPr>
              <w:spacing w:after="120"/>
              <w:jc w:val="both"/>
              <w:rPr>
                <w:bCs/>
                <w:color w:val="000000"/>
                <w:sz w:val="26"/>
                <w:szCs w:val="26"/>
                <w:lang w:val="lv-LV"/>
              </w:rPr>
            </w:pPr>
            <w:r w:rsidRPr="004C64F4">
              <w:rPr>
                <w:bCs/>
                <w:color w:val="000000"/>
                <w:sz w:val="26"/>
                <w:szCs w:val="26"/>
                <w:lang w:val="lv-LV"/>
              </w:rPr>
              <w:t xml:space="preserve">Grozījumu ietekmi saistībā ar pāreju uz </w:t>
            </w:r>
            <w:proofErr w:type="spellStart"/>
            <w:r w:rsidRPr="004C64F4">
              <w:rPr>
                <w:bCs/>
                <w:i/>
                <w:color w:val="000000"/>
                <w:sz w:val="26"/>
                <w:szCs w:val="26"/>
                <w:lang w:val="lv-LV"/>
              </w:rPr>
              <w:t>euro</w:t>
            </w:r>
            <w:proofErr w:type="spellEnd"/>
            <w:r w:rsidRPr="004C64F4">
              <w:rPr>
                <w:bCs/>
                <w:color w:val="000000"/>
                <w:sz w:val="26"/>
                <w:szCs w:val="26"/>
                <w:lang w:val="lv-LV"/>
              </w:rPr>
              <w:t xml:space="preserve"> iespējams segt, nemainot attiecīgajās budžeta programmās vai apakšprogrammās finansējuma sadalījumu pa ieņēmumu, izdevumu vai finansēšanas klasifikācijas kodiem. </w:t>
            </w:r>
          </w:p>
        </w:tc>
      </w:tr>
    </w:tbl>
    <w:p w:rsidR="00765A89" w:rsidRPr="005A7B9C" w:rsidRDefault="00765A89"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B75FCA"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ind w:firstLine="720"/>
              <w:jc w:val="both"/>
              <w:rPr>
                <w:rFonts w:eastAsia="Times New Roman"/>
                <w:b/>
                <w:sz w:val="26"/>
                <w:szCs w:val="26"/>
                <w:lang w:val="lv-LV" w:eastAsia="lv-LV"/>
              </w:rPr>
            </w:pPr>
            <w:r w:rsidRPr="005A7B9C">
              <w:rPr>
                <w:rFonts w:eastAsia="Times New Roman"/>
                <w:b/>
                <w:sz w:val="26"/>
                <w:szCs w:val="26"/>
                <w:lang w:val="lv-LV" w:eastAsia="lv-LV"/>
              </w:rPr>
              <w:t>IV. Tiesību akta projekta ietekme uz spēkā esošo tiesību normu sistēmu</w:t>
            </w:r>
          </w:p>
        </w:tc>
      </w:tr>
      <w:tr w:rsidR="003A7D89" w:rsidRPr="00B75FCA"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4671D7" w:rsidRPr="005A7B9C" w:rsidRDefault="00E86AEA" w:rsidP="00922F7B">
            <w:pPr>
              <w:pStyle w:val="BodyText"/>
              <w:spacing w:after="240"/>
              <w:ind w:right="142" w:firstLine="720"/>
              <w:rPr>
                <w:sz w:val="26"/>
                <w:szCs w:val="26"/>
              </w:rPr>
            </w:pPr>
            <w:r>
              <w:rPr>
                <w:sz w:val="26"/>
                <w:szCs w:val="26"/>
              </w:rPr>
              <w:t xml:space="preserve"> Vienlaicīgi ar grozījumiem MK noteikumos Nr.</w:t>
            </w:r>
            <w:r w:rsidR="00922F7B">
              <w:rPr>
                <w:sz w:val="26"/>
                <w:szCs w:val="26"/>
              </w:rPr>
              <w:t>614</w:t>
            </w:r>
            <w:r>
              <w:rPr>
                <w:sz w:val="26"/>
                <w:szCs w:val="26"/>
              </w:rPr>
              <w:t xml:space="preserve"> tiek virzīti grozījumi </w:t>
            </w:r>
            <w:r w:rsidRPr="00720501">
              <w:rPr>
                <w:sz w:val="26"/>
                <w:szCs w:val="26"/>
              </w:rPr>
              <w:t xml:space="preserve">Ministru kabineta 2011.gada </w:t>
            </w:r>
            <w:r w:rsidR="00720501" w:rsidRPr="00720501">
              <w:rPr>
                <w:sz w:val="26"/>
                <w:szCs w:val="26"/>
              </w:rPr>
              <w:t>2.augusta</w:t>
            </w:r>
            <w:r w:rsidRPr="00720501">
              <w:rPr>
                <w:sz w:val="26"/>
                <w:szCs w:val="26"/>
              </w:rPr>
              <w:t xml:space="preserve"> noteikumos Nr.</w:t>
            </w:r>
            <w:r w:rsidR="00922F7B">
              <w:rPr>
                <w:sz w:val="26"/>
                <w:szCs w:val="26"/>
              </w:rPr>
              <w:t>613</w:t>
            </w:r>
            <w:r w:rsidR="00720501" w:rsidRPr="00720501">
              <w:rPr>
                <w:sz w:val="26"/>
                <w:szCs w:val="26"/>
              </w:rPr>
              <w:t xml:space="preserve"> </w:t>
            </w:r>
            <w:r w:rsidR="00922F7B" w:rsidRPr="00922F7B">
              <w:rPr>
                <w:sz w:val="26"/>
                <w:szCs w:val="26"/>
              </w:rPr>
              <w:t xml:space="preserve">„Noteikumi par </w:t>
            </w:r>
            <w:proofErr w:type="spellStart"/>
            <w:r w:rsidR="00922F7B" w:rsidRPr="00922F7B">
              <w:rPr>
                <w:sz w:val="26"/>
                <w:szCs w:val="26"/>
              </w:rPr>
              <w:t>mezanīna</w:t>
            </w:r>
            <w:proofErr w:type="spellEnd"/>
            <w:r w:rsidR="00922F7B" w:rsidRPr="00922F7B">
              <w:rPr>
                <w:sz w:val="26"/>
                <w:szCs w:val="26"/>
              </w:rPr>
              <w:t xml:space="preserve"> aizdevumiem saimnieciskās darbības veicēju konkurētspējas uzlabošanai”.</w:t>
            </w:r>
          </w:p>
        </w:tc>
      </w:tr>
      <w:tr w:rsidR="003A7D89" w:rsidRPr="00B75FCA"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4671D7" w:rsidP="00D9405A">
            <w:pPr>
              <w:ind w:firstLine="720"/>
              <w:jc w:val="both"/>
              <w:rPr>
                <w:rFonts w:eastAsia="Times New Roman"/>
                <w:sz w:val="26"/>
                <w:szCs w:val="26"/>
                <w:lang w:val="lv-LV" w:eastAsia="lv-LV"/>
              </w:rPr>
            </w:pPr>
            <w:r w:rsidRPr="005A7B9C">
              <w:rPr>
                <w:rFonts w:eastAsia="Times New Roman"/>
                <w:sz w:val="26"/>
                <w:szCs w:val="26"/>
                <w:lang w:val="lv-LV" w:eastAsia="lv-LV"/>
              </w:rPr>
              <w:t>N</w:t>
            </w:r>
            <w:r w:rsidR="008E7722" w:rsidRPr="005A7B9C">
              <w:rPr>
                <w:rFonts w:eastAsia="Times New Roman"/>
                <w:sz w:val="26"/>
                <w:szCs w:val="26"/>
                <w:lang w:val="lv-LV" w:eastAsia="lv-LV"/>
              </w:rPr>
              <w:t>epiecie</w:t>
            </w:r>
            <w:r w:rsidRPr="005A7B9C">
              <w:rPr>
                <w:rFonts w:eastAsia="Times New Roman"/>
                <w:sz w:val="26"/>
                <w:szCs w:val="26"/>
                <w:lang w:val="lv-LV" w:eastAsia="lv-LV"/>
              </w:rPr>
              <w:t>šams veikt grozījumus līgumā par projekta īstenošanu</w:t>
            </w:r>
            <w:r w:rsidR="005A7B9C" w:rsidRPr="005A7B9C">
              <w:rPr>
                <w:rFonts w:eastAsia="Times New Roman"/>
                <w:sz w:val="26"/>
                <w:szCs w:val="26"/>
                <w:lang w:val="lv-LV" w:eastAsia="lv-LV"/>
              </w:rPr>
              <w:t xml:space="preserve"> ar </w:t>
            </w:r>
            <w:r w:rsidR="00D9405A">
              <w:rPr>
                <w:rFonts w:eastAsia="Times New Roman"/>
                <w:sz w:val="26"/>
                <w:szCs w:val="26"/>
                <w:lang w:val="lv-LV" w:eastAsia="lv-LV"/>
              </w:rPr>
              <w:t>LGA.</w:t>
            </w:r>
          </w:p>
        </w:tc>
      </w:tr>
    </w:tbl>
    <w:p w:rsidR="00765A89" w:rsidRPr="005A7B9C" w:rsidRDefault="00765A89" w:rsidP="00C9779A">
      <w:pPr>
        <w:rPr>
          <w:sz w:val="26"/>
          <w:szCs w:val="2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B75FCA"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ind w:firstLine="720"/>
              <w:jc w:val="both"/>
              <w:rPr>
                <w:rFonts w:eastAsia="Times New Roman"/>
                <w:b/>
                <w:sz w:val="26"/>
                <w:szCs w:val="26"/>
                <w:lang w:val="lv-LV" w:eastAsia="lv-LV"/>
              </w:rPr>
            </w:pPr>
            <w:r w:rsidRPr="005A7B9C">
              <w:rPr>
                <w:rFonts w:eastAsia="Times New Roman"/>
                <w:b/>
                <w:sz w:val="26"/>
                <w:szCs w:val="26"/>
                <w:lang w:val="lv-LV" w:eastAsia="lv-LV"/>
              </w:rPr>
              <w:t>VII. Tiesību akta projekta izpildes nodrošināšana un tās ietekme uz institūcijām</w:t>
            </w:r>
          </w:p>
        </w:tc>
      </w:tr>
      <w:tr w:rsidR="003A7D89" w:rsidRPr="00B75FCA"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776F83">
            <w:pPr>
              <w:ind w:firstLine="720"/>
              <w:jc w:val="both"/>
              <w:rPr>
                <w:rFonts w:eastAsia="Times New Roman"/>
                <w:sz w:val="26"/>
                <w:szCs w:val="26"/>
                <w:lang w:val="lv-LV" w:eastAsia="lv-LV"/>
              </w:rPr>
            </w:pPr>
            <w:r w:rsidRPr="005A7B9C">
              <w:rPr>
                <w:rFonts w:eastAsia="Times New Roman"/>
                <w:sz w:val="26"/>
                <w:szCs w:val="26"/>
                <w:lang w:val="lv-LV" w:eastAsia="lv-LV"/>
              </w:rPr>
              <w:t xml:space="preserve">Ministru kabineta </w:t>
            </w:r>
            <w:r w:rsidR="00A46462" w:rsidRPr="005A7B9C">
              <w:rPr>
                <w:sz w:val="26"/>
                <w:szCs w:val="26"/>
                <w:lang w:val="lv-LV"/>
              </w:rPr>
              <w:t>noteikumu</w:t>
            </w:r>
            <w:r w:rsidRPr="005A7B9C">
              <w:rPr>
                <w:rFonts w:eastAsia="Times New Roman"/>
                <w:sz w:val="26"/>
                <w:szCs w:val="26"/>
                <w:lang w:val="lv-LV" w:eastAsia="lv-LV"/>
              </w:rPr>
              <w:t xml:space="preserve"> projekta izpildi nodrošinās </w:t>
            </w:r>
            <w:r w:rsidR="005A7B9C" w:rsidRPr="005A7B9C">
              <w:rPr>
                <w:rFonts w:eastAsia="Times New Roman"/>
                <w:sz w:val="26"/>
                <w:szCs w:val="26"/>
                <w:lang w:val="lv-LV" w:eastAsia="lv-LV"/>
              </w:rPr>
              <w:t>E</w:t>
            </w:r>
            <w:r w:rsidR="00922F7B">
              <w:rPr>
                <w:rFonts w:eastAsia="Times New Roman"/>
                <w:sz w:val="26"/>
                <w:szCs w:val="26"/>
                <w:lang w:val="lv-LV" w:eastAsia="lv-LV"/>
              </w:rPr>
              <w:t>konomikas ministrija (turpmāk</w:t>
            </w:r>
            <w:r w:rsidR="009649C1">
              <w:rPr>
                <w:rFonts w:eastAsia="Times New Roman"/>
                <w:sz w:val="26"/>
                <w:szCs w:val="26"/>
                <w:lang w:val="lv-LV" w:eastAsia="lv-LV"/>
              </w:rPr>
              <w:t xml:space="preserve"> </w:t>
            </w:r>
            <w:r w:rsidR="00922F7B">
              <w:rPr>
                <w:rFonts w:eastAsia="Times New Roman"/>
                <w:sz w:val="26"/>
                <w:szCs w:val="26"/>
                <w:lang w:val="lv-LV" w:eastAsia="lv-LV"/>
              </w:rPr>
              <w:t>- EM)</w:t>
            </w:r>
            <w:r w:rsidR="005A7B9C" w:rsidRPr="005A7B9C">
              <w:rPr>
                <w:rFonts w:eastAsia="Times New Roman"/>
                <w:sz w:val="26"/>
                <w:szCs w:val="26"/>
                <w:lang w:val="lv-LV" w:eastAsia="lv-LV"/>
              </w:rPr>
              <w:t xml:space="preserve"> un </w:t>
            </w:r>
            <w:r w:rsidR="00776F83">
              <w:rPr>
                <w:rFonts w:eastAsia="Times New Roman"/>
                <w:sz w:val="26"/>
                <w:szCs w:val="26"/>
                <w:lang w:val="lv-LV" w:eastAsia="lv-LV"/>
              </w:rPr>
              <w:t>LGA.</w:t>
            </w:r>
          </w:p>
        </w:tc>
      </w:tr>
      <w:tr w:rsidR="003A7D89" w:rsidRPr="00B75FCA" w:rsidTr="006049D1">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lastRenderedPageBreak/>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5A7B9C">
            <w:pPr>
              <w:ind w:firstLine="720"/>
              <w:jc w:val="both"/>
              <w:rPr>
                <w:rFonts w:eastAsia="Times New Roman"/>
                <w:sz w:val="26"/>
                <w:szCs w:val="26"/>
                <w:lang w:val="lv-LV" w:eastAsia="lv-LV"/>
              </w:rPr>
            </w:pPr>
            <w:r w:rsidRPr="005A7B9C">
              <w:rPr>
                <w:rFonts w:eastAsia="Times New Roman"/>
                <w:sz w:val="26"/>
                <w:szCs w:val="26"/>
                <w:lang w:val="lv-LV" w:eastAsia="lv-LV"/>
              </w:rPr>
              <w:t xml:space="preserve">Ministru kabineta </w:t>
            </w:r>
            <w:r w:rsidR="00A46462" w:rsidRPr="005A7B9C">
              <w:rPr>
                <w:sz w:val="26"/>
                <w:szCs w:val="26"/>
                <w:lang w:val="lv-LV"/>
              </w:rPr>
              <w:t>noteikumu</w:t>
            </w:r>
            <w:r w:rsidRPr="005A7B9C">
              <w:rPr>
                <w:rFonts w:eastAsia="Times New Roman"/>
                <w:sz w:val="26"/>
                <w:szCs w:val="26"/>
                <w:lang w:val="lv-LV" w:eastAsia="lv-LV"/>
              </w:rPr>
              <w:t xml:space="preserve"> projekta izpilde tiks nodrošināta </w:t>
            </w:r>
            <w:r w:rsidR="005A7B9C" w:rsidRPr="005A7B9C">
              <w:rPr>
                <w:rFonts w:eastAsia="Times New Roman"/>
                <w:sz w:val="26"/>
                <w:szCs w:val="26"/>
                <w:lang w:val="lv-LV" w:eastAsia="lv-LV"/>
              </w:rPr>
              <w:t>EM un LGA</w:t>
            </w:r>
            <w:r w:rsidR="006F58E5">
              <w:rPr>
                <w:rFonts w:eastAsia="Times New Roman"/>
                <w:sz w:val="26"/>
                <w:szCs w:val="26"/>
                <w:lang w:val="lv-LV" w:eastAsia="lv-LV"/>
              </w:rPr>
              <w:t xml:space="preserve"> esošo funkciju ietvaros</w:t>
            </w:r>
            <w:r w:rsidR="005A7B9C" w:rsidRPr="005A7B9C">
              <w:rPr>
                <w:rFonts w:eastAsia="Times New Roman"/>
                <w:sz w:val="26"/>
                <w:szCs w:val="26"/>
                <w:lang w:val="lv-LV" w:eastAsia="lv-LV"/>
              </w:rPr>
              <w:t>.</w:t>
            </w:r>
          </w:p>
        </w:tc>
      </w:tr>
      <w:tr w:rsidR="003A7D89" w:rsidRPr="00B75FCA"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sz w:val="26"/>
                <w:szCs w:val="26"/>
                <w:lang w:val="lv-LV"/>
              </w:rPr>
              <w:t xml:space="preserve">Ministru kabineta </w:t>
            </w:r>
            <w:r w:rsidR="00A46462" w:rsidRPr="005A7B9C">
              <w:rPr>
                <w:sz w:val="26"/>
                <w:szCs w:val="26"/>
                <w:lang w:val="lv-LV"/>
              </w:rPr>
              <w:t>noteikumu</w:t>
            </w:r>
            <w:r w:rsidRPr="005A7B9C">
              <w:rPr>
                <w:sz w:val="26"/>
                <w:szCs w:val="26"/>
                <w:lang w:val="lv-LV"/>
              </w:rPr>
              <w:t xml:space="preserve"> projekta izpildei nav nepieciešams izveidot jaunas institūcijas</w:t>
            </w:r>
            <w:r w:rsidRPr="005A7B9C">
              <w:rPr>
                <w:rFonts w:eastAsia="Times New Roman"/>
                <w:sz w:val="26"/>
                <w:szCs w:val="26"/>
                <w:lang w:val="lv-LV" w:eastAsia="lv-LV"/>
              </w:rPr>
              <w:t>.</w:t>
            </w:r>
          </w:p>
        </w:tc>
      </w:tr>
      <w:tr w:rsidR="003A7D89" w:rsidRPr="00B75FCA"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sz w:val="26"/>
                <w:szCs w:val="26"/>
                <w:lang w:val="lv-LV"/>
              </w:rPr>
              <w:t xml:space="preserve">Ministru kabineta </w:t>
            </w:r>
            <w:r w:rsidR="00A46462" w:rsidRPr="005A7B9C">
              <w:rPr>
                <w:sz w:val="26"/>
                <w:szCs w:val="26"/>
                <w:lang w:val="lv-LV"/>
              </w:rPr>
              <w:t>noteikumu</w:t>
            </w:r>
            <w:r w:rsidRPr="005A7B9C">
              <w:rPr>
                <w:sz w:val="26"/>
                <w:szCs w:val="26"/>
                <w:lang w:val="lv-LV"/>
              </w:rPr>
              <w:t xml:space="preserve"> projekta izpildei nav nepieciešams likvidēt esošās institūcijas</w:t>
            </w:r>
            <w:r w:rsidRPr="005A7B9C">
              <w:rPr>
                <w:rFonts w:eastAsia="Times New Roman"/>
                <w:sz w:val="26"/>
                <w:szCs w:val="26"/>
                <w:lang w:val="lv-LV" w:eastAsia="lv-LV"/>
              </w:rPr>
              <w:t>.</w:t>
            </w:r>
          </w:p>
        </w:tc>
      </w:tr>
      <w:tr w:rsidR="003A7D89" w:rsidRPr="00B75FCA"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rFonts w:eastAsia="Times New Roman"/>
                <w:sz w:val="26"/>
                <w:szCs w:val="26"/>
                <w:lang w:val="lv-LV" w:eastAsia="lv-LV"/>
              </w:rPr>
              <w:t xml:space="preserve">Ministru kabineta </w:t>
            </w:r>
            <w:r w:rsidR="00A46462" w:rsidRPr="005A7B9C">
              <w:rPr>
                <w:sz w:val="26"/>
                <w:szCs w:val="26"/>
                <w:lang w:val="lv-LV"/>
              </w:rPr>
              <w:t>noteikumu</w:t>
            </w:r>
            <w:r w:rsidRPr="005A7B9C">
              <w:rPr>
                <w:sz w:val="26"/>
                <w:szCs w:val="26"/>
                <w:lang w:val="lv-LV"/>
              </w:rPr>
              <w:t xml:space="preserve"> projekta izpildei nav nepieciešams reorganizēt esošās institūcijas</w:t>
            </w:r>
            <w:r w:rsidRPr="005A7B9C">
              <w:rPr>
                <w:rFonts w:eastAsia="Times New Roman"/>
                <w:sz w:val="26"/>
                <w:szCs w:val="26"/>
                <w:lang w:val="lv-LV" w:eastAsia="lv-LV"/>
              </w:rPr>
              <w:t>.</w:t>
            </w:r>
          </w:p>
        </w:tc>
      </w:tr>
      <w:tr w:rsidR="003A7D89" w:rsidRPr="005A7B9C"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rFonts w:eastAsia="Times New Roman"/>
                <w:sz w:val="26"/>
                <w:szCs w:val="26"/>
                <w:lang w:val="lv-LV" w:eastAsia="lv-LV"/>
              </w:rPr>
              <w:t>Nav.</w:t>
            </w:r>
          </w:p>
        </w:tc>
      </w:tr>
    </w:tbl>
    <w:p w:rsidR="00765A89" w:rsidRDefault="00765A89" w:rsidP="00F22471">
      <w:pPr>
        <w:tabs>
          <w:tab w:val="left" w:pos="7655"/>
        </w:tabs>
        <w:jc w:val="both"/>
        <w:rPr>
          <w:sz w:val="26"/>
          <w:szCs w:val="26"/>
          <w:lang w:val="lv-LV"/>
        </w:rPr>
      </w:pPr>
    </w:p>
    <w:p w:rsidR="0088512F" w:rsidRPr="005A7B9C" w:rsidRDefault="0088512F" w:rsidP="00F22471">
      <w:pPr>
        <w:tabs>
          <w:tab w:val="left" w:pos="7655"/>
        </w:tabs>
        <w:jc w:val="both"/>
        <w:rPr>
          <w:sz w:val="26"/>
          <w:szCs w:val="26"/>
          <w:lang w:val="lv-LV"/>
        </w:rPr>
      </w:pPr>
      <w:r w:rsidRPr="005A7B9C">
        <w:rPr>
          <w:sz w:val="26"/>
          <w:szCs w:val="26"/>
          <w:lang w:val="lv-LV"/>
        </w:rPr>
        <w:t xml:space="preserve">Anotācijas </w:t>
      </w:r>
      <w:r w:rsidR="00922F7B">
        <w:rPr>
          <w:sz w:val="26"/>
          <w:szCs w:val="26"/>
          <w:lang w:val="lv-LV"/>
        </w:rPr>
        <w:t>V</w:t>
      </w:r>
      <w:r w:rsidR="001D4E7C" w:rsidRPr="005A7B9C">
        <w:rPr>
          <w:rFonts w:ascii="Times" w:hAnsi="Times"/>
          <w:sz w:val="26"/>
          <w:szCs w:val="26"/>
          <w:lang w:val="lv-LV"/>
        </w:rPr>
        <w:t xml:space="preserve"> un</w:t>
      </w:r>
      <w:r w:rsidRPr="005A7B9C">
        <w:rPr>
          <w:sz w:val="26"/>
          <w:szCs w:val="26"/>
          <w:lang w:val="lv-LV"/>
        </w:rPr>
        <w:t xml:space="preserve"> VI sadaļa – </w:t>
      </w:r>
      <w:r w:rsidRPr="005A7B9C">
        <w:rPr>
          <w:iCs/>
          <w:sz w:val="26"/>
          <w:szCs w:val="26"/>
          <w:lang w:val="lv-LV"/>
        </w:rPr>
        <w:t>projekts šīs jomas neskar</w:t>
      </w:r>
      <w:r w:rsidRPr="005A7B9C">
        <w:rPr>
          <w:sz w:val="26"/>
          <w:szCs w:val="26"/>
          <w:lang w:val="lv-LV"/>
        </w:rPr>
        <w:t>.</w:t>
      </w:r>
    </w:p>
    <w:p w:rsidR="009D5C1D" w:rsidRPr="005A7B9C" w:rsidRDefault="009D5C1D" w:rsidP="00F22471">
      <w:pPr>
        <w:tabs>
          <w:tab w:val="left" w:pos="7655"/>
        </w:tabs>
        <w:rPr>
          <w:sz w:val="26"/>
          <w:szCs w:val="26"/>
          <w:lang w:val="lv-LV"/>
        </w:rPr>
      </w:pPr>
    </w:p>
    <w:p w:rsidR="007074EF" w:rsidRDefault="007074EF" w:rsidP="00A43665">
      <w:pPr>
        <w:tabs>
          <w:tab w:val="right" w:pos="9072"/>
        </w:tabs>
        <w:rPr>
          <w:sz w:val="26"/>
          <w:szCs w:val="26"/>
          <w:lang w:val="lv-LV"/>
        </w:rPr>
      </w:pPr>
    </w:p>
    <w:p w:rsidR="009649C1" w:rsidRDefault="009649C1" w:rsidP="00A43665">
      <w:pPr>
        <w:tabs>
          <w:tab w:val="right" w:pos="9072"/>
        </w:tabs>
        <w:rPr>
          <w:sz w:val="26"/>
          <w:szCs w:val="26"/>
          <w:lang w:val="lv-LV"/>
        </w:rPr>
      </w:pPr>
    </w:p>
    <w:p w:rsidR="009519D4" w:rsidRPr="005A7B9C" w:rsidRDefault="009519D4" w:rsidP="00A43665">
      <w:pPr>
        <w:tabs>
          <w:tab w:val="right" w:pos="9072"/>
        </w:tabs>
        <w:rPr>
          <w:sz w:val="26"/>
          <w:szCs w:val="26"/>
          <w:lang w:val="lv-LV"/>
        </w:rPr>
      </w:pPr>
    </w:p>
    <w:p w:rsidR="00522B62" w:rsidRPr="005A7B9C" w:rsidRDefault="005F42D6" w:rsidP="00A43665">
      <w:pPr>
        <w:tabs>
          <w:tab w:val="right" w:pos="9072"/>
        </w:tabs>
        <w:rPr>
          <w:sz w:val="26"/>
          <w:szCs w:val="26"/>
          <w:lang w:val="lv-LV"/>
        </w:rPr>
      </w:pPr>
      <w:r>
        <w:rPr>
          <w:sz w:val="26"/>
          <w:szCs w:val="26"/>
          <w:lang w:val="lv-LV"/>
        </w:rPr>
        <w:t xml:space="preserve">Ekonomikas ministrs </w:t>
      </w:r>
      <w:r>
        <w:rPr>
          <w:sz w:val="26"/>
          <w:szCs w:val="26"/>
          <w:lang w:val="lv-LV"/>
        </w:rPr>
        <w:tab/>
        <w:t>D.Pavļuts</w:t>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p>
    <w:p w:rsidR="009D5C1D" w:rsidRPr="005A7B9C" w:rsidRDefault="009D5C1D" w:rsidP="00F22471">
      <w:pPr>
        <w:tabs>
          <w:tab w:val="left" w:pos="8222"/>
        </w:tabs>
        <w:rPr>
          <w:sz w:val="26"/>
          <w:szCs w:val="26"/>
          <w:lang w:val="lv-LV"/>
        </w:rPr>
      </w:pPr>
    </w:p>
    <w:p w:rsidR="00BE6E9C" w:rsidRDefault="00BE6E9C" w:rsidP="008E5F7D">
      <w:pPr>
        <w:tabs>
          <w:tab w:val="right" w:pos="9072"/>
        </w:tabs>
        <w:rPr>
          <w:sz w:val="26"/>
          <w:szCs w:val="26"/>
          <w:lang w:val="lv-LV"/>
        </w:rPr>
      </w:pPr>
    </w:p>
    <w:p w:rsidR="005F42D6" w:rsidRPr="005A7B9C" w:rsidRDefault="005F42D6" w:rsidP="008E5F7D">
      <w:pPr>
        <w:tabs>
          <w:tab w:val="right" w:pos="9072"/>
        </w:tabs>
        <w:rPr>
          <w:sz w:val="26"/>
          <w:szCs w:val="26"/>
          <w:lang w:val="lv-LV"/>
        </w:rPr>
      </w:pPr>
    </w:p>
    <w:p w:rsidR="009506A3" w:rsidRDefault="00A42E43" w:rsidP="00DA7FAD">
      <w:pPr>
        <w:tabs>
          <w:tab w:val="right" w:pos="9072"/>
        </w:tabs>
        <w:rPr>
          <w:sz w:val="26"/>
          <w:szCs w:val="26"/>
          <w:lang w:val="lv-LV"/>
        </w:rPr>
      </w:pPr>
      <w:r w:rsidRPr="005A7B9C">
        <w:rPr>
          <w:sz w:val="26"/>
          <w:szCs w:val="26"/>
          <w:lang w:val="lv-LV"/>
        </w:rPr>
        <w:t>Vīza: V</w:t>
      </w:r>
      <w:r w:rsidR="009519D4">
        <w:rPr>
          <w:sz w:val="26"/>
          <w:szCs w:val="26"/>
          <w:lang w:val="lv-LV"/>
        </w:rPr>
        <w:t xml:space="preserve">alsts </w:t>
      </w:r>
      <w:r w:rsidR="00DA7FAD">
        <w:rPr>
          <w:sz w:val="26"/>
          <w:szCs w:val="26"/>
          <w:lang w:val="lv-LV"/>
        </w:rPr>
        <w:t>sekretār</w:t>
      </w:r>
      <w:r w:rsidR="009506A3">
        <w:rPr>
          <w:sz w:val="26"/>
          <w:szCs w:val="26"/>
          <w:lang w:val="lv-LV"/>
        </w:rPr>
        <w:t>a</w:t>
      </w:r>
    </w:p>
    <w:p w:rsidR="009506A3" w:rsidRDefault="009506A3" w:rsidP="00DA7FAD">
      <w:pPr>
        <w:tabs>
          <w:tab w:val="right" w:pos="9072"/>
        </w:tabs>
        <w:rPr>
          <w:sz w:val="26"/>
          <w:szCs w:val="26"/>
          <w:lang w:val="lv-LV"/>
        </w:rPr>
      </w:pPr>
      <w:r>
        <w:rPr>
          <w:sz w:val="26"/>
          <w:szCs w:val="26"/>
          <w:lang w:val="lv-LV"/>
        </w:rPr>
        <w:t>pienākumu izpildītājs,</w:t>
      </w:r>
    </w:p>
    <w:p w:rsidR="007715A2" w:rsidRPr="005A7B9C" w:rsidRDefault="009506A3" w:rsidP="00DA7FAD">
      <w:pPr>
        <w:tabs>
          <w:tab w:val="right" w:pos="9072"/>
        </w:tabs>
        <w:rPr>
          <w:sz w:val="26"/>
          <w:szCs w:val="26"/>
          <w:lang w:val="lv-LV"/>
        </w:rPr>
      </w:pPr>
      <w:r>
        <w:rPr>
          <w:sz w:val="26"/>
          <w:szCs w:val="26"/>
          <w:lang w:val="lv-LV"/>
        </w:rPr>
        <w:t>valsts sekretāra vietnieks</w:t>
      </w:r>
      <w:r w:rsidR="00E61D5C" w:rsidRPr="005A7B9C">
        <w:rPr>
          <w:sz w:val="26"/>
          <w:szCs w:val="26"/>
          <w:lang w:val="lv-LV"/>
        </w:rPr>
        <w:tab/>
      </w:r>
      <w:r>
        <w:rPr>
          <w:sz w:val="26"/>
          <w:szCs w:val="26"/>
          <w:lang w:val="lv-LV"/>
        </w:rPr>
        <w:t>A.Liepiņš</w:t>
      </w:r>
    </w:p>
    <w:p w:rsidR="007074EF" w:rsidRPr="005A7B9C" w:rsidRDefault="007074EF" w:rsidP="00F22471">
      <w:pPr>
        <w:jc w:val="both"/>
        <w:rPr>
          <w:color w:val="000000"/>
          <w:sz w:val="26"/>
          <w:szCs w:val="26"/>
          <w:lang w:val="lv-LV"/>
        </w:rPr>
      </w:pPr>
    </w:p>
    <w:p w:rsidR="00BE6E9C" w:rsidRDefault="00BE6E9C" w:rsidP="00F22471">
      <w:pPr>
        <w:jc w:val="both"/>
        <w:rPr>
          <w:color w:val="000000"/>
          <w:sz w:val="22"/>
          <w:szCs w:val="22"/>
          <w:lang w:val="lv-LV"/>
        </w:rPr>
      </w:pPr>
    </w:p>
    <w:p w:rsidR="009649C1" w:rsidRDefault="009649C1" w:rsidP="00F22471">
      <w:pPr>
        <w:jc w:val="both"/>
        <w:rPr>
          <w:color w:val="000000"/>
          <w:sz w:val="22"/>
          <w:szCs w:val="22"/>
          <w:lang w:val="lv-LV"/>
        </w:rPr>
      </w:pPr>
    </w:p>
    <w:p w:rsidR="005F42D6" w:rsidRDefault="005F42D6" w:rsidP="00F22471">
      <w:pPr>
        <w:jc w:val="both"/>
        <w:rPr>
          <w:color w:val="000000"/>
          <w:sz w:val="22"/>
          <w:szCs w:val="22"/>
          <w:lang w:val="lv-LV"/>
        </w:rPr>
      </w:pPr>
    </w:p>
    <w:p w:rsidR="009649C1" w:rsidRDefault="009649C1" w:rsidP="00F22471">
      <w:pPr>
        <w:jc w:val="both"/>
        <w:rPr>
          <w:color w:val="000000"/>
          <w:sz w:val="22"/>
          <w:szCs w:val="22"/>
          <w:lang w:val="lv-LV"/>
        </w:rPr>
      </w:pPr>
    </w:p>
    <w:p w:rsidR="00646855" w:rsidRPr="00765A89" w:rsidRDefault="00646855" w:rsidP="00F22471">
      <w:pPr>
        <w:jc w:val="both"/>
        <w:rPr>
          <w:color w:val="000000"/>
          <w:sz w:val="22"/>
          <w:szCs w:val="22"/>
          <w:lang w:val="lv-LV"/>
        </w:rPr>
      </w:pPr>
    </w:p>
    <w:p w:rsidR="00845083" w:rsidRPr="00944C30" w:rsidRDefault="005F42D6" w:rsidP="00F22471">
      <w:pPr>
        <w:jc w:val="both"/>
        <w:rPr>
          <w:sz w:val="22"/>
          <w:szCs w:val="22"/>
          <w:lang w:val="lv-LV"/>
        </w:rPr>
      </w:pPr>
      <w:r>
        <w:rPr>
          <w:sz w:val="22"/>
          <w:szCs w:val="22"/>
          <w:lang w:val="lv-LV"/>
        </w:rPr>
        <w:t>12</w:t>
      </w:r>
      <w:r w:rsidR="009506A3">
        <w:rPr>
          <w:sz w:val="22"/>
          <w:szCs w:val="22"/>
          <w:lang w:val="lv-LV"/>
        </w:rPr>
        <w:t>.12.2013</w:t>
      </w:r>
      <w:r w:rsidR="00C77663" w:rsidRPr="00944C30">
        <w:rPr>
          <w:sz w:val="22"/>
          <w:szCs w:val="22"/>
          <w:lang w:val="lv-LV"/>
        </w:rPr>
        <w:t xml:space="preserve"> </w:t>
      </w:r>
      <w:r>
        <w:rPr>
          <w:sz w:val="22"/>
          <w:szCs w:val="22"/>
          <w:lang w:val="lv-LV"/>
        </w:rPr>
        <w:t>10:06</w:t>
      </w:r>
      <w:bookmarkStart w:id="12" w:name="_GoBack"/>
      <w:bookmarkEnd w:id="12"/>
    </w:p>
    <w:p w:rsidR="00BF2F17" w:rsidRPr="00944C30" w:rsidRDefault="009A00CB" w:rsidP="00F22471">
      <w:pPr>
        <w:jc w:val="both"/>
        <w:rPr>
          <w:sz w:val="22"/>
          <w:szCs w:val="22"/>
          <w:lang w:val="lv-LV"/>
        </w:rPr>
      </w:pPr>
      <w:fldSimple w:instr=" NUMWORDS   \* MERGEFORMAT ">
        <w:r w:rsidR="005F42D6" w:rsidRPr="005F42D6">
          <w:rPr>
            <w:noProof/>
            <w:sz w:val="22"/>
            <w:szCs w:val="22"/>
            <w:lang w:val="lv-LV"/>
          </w:rPr>
          <w:t>961</w:t>
        </w:r>
      </w:fldSimple>
    </w:p>
    <w:p w:rsidR="00643B54" w:rsidRPr="00944C30" w:rsidRDefault="00842EE7" w:rsidP="00F22471">
      <w:pPr>
        <w:jc w:val="both"/>
        <w:rPr>
          <w:color w:val="000000"/>
          <w:sz w:val="22"/>
          <w:szCs w:val="22"/>
          <w:lang w:val="lv-LV"/>
        </w:rPr>
      </w:pPr>
      <w:r w:rsidRPr="00944C30">
        <w:rPr>
          <w:color w:val="000000"/>
          <w:sz w:val="22"/>
          <w:szCs w:val="22"/>
          <w:lang w:val="lv-LV"/>
        </w:rPr>
        <w:t>A.Nicmane</w:t>
      </w:r>
    </w:p>
    <w:p w:rsidR="00097583" w:rsidRPr="00765A89" w:rsidRDefault="00B74BCA" w:rsidP="00F22471">
      <w:pPr>
        <w:jc w:val="both"/>
        <w:rPr>
          <w:color w:val="000000"/>
          <w:sz w:val="22"/>
          <w:szCs w:val="22"/>
          <w:lang w:val="lv-LV"/>
        </w:rPr>
      </w:pPr>
      <w:r w:rsidRPr="00944C30">
        <w:rPr>
          <w:sz w:val="22"/>
          <w:szCs w:val="22"/>
          <w:lang w:val="lv-LV"/>
        </w:rPr>
        <w:t>67013</w:t>
      </w:r>
      <w:r w:rsidR="00842EE7" w:rsidRPr="00944C30">
        <w:rPr>
          <w:sz w:val="22"/>
          <w:szCs w:val="22"/>
          <w:lang w:val="lv-LV"/>
        </w:rPr>
        <w:t>203</w:t>
      </w:r>
      <w:r w:rsidR="00386053" w:rsidRPr="00944C30">
        <w:rPr>
          <w:sz w:val="22"/>
          <w:szCs w:val="22"/>
          <w:lang w:val="lv-LV"/>
        </w:rPr>
        <w:t>,</w:t>
      </w:r>
      <w:r w:rsidR="00922F7B">
        <w:rPr>
          <w:sz w:val="22"/>
          <w:szCs w:val="22"/>
          <w:lang w:val="lv-LV"/>
        </w:rPr>
        <w:t xml:space="preserve"> </w:t>
      </w:r>
      <w:r w:rsidR="00842EE7" w:rsidRPr="00944C30">
        <w:rPr>
          <w:sz w:val="22"/>
          <w:szCs w:val="22"/>
          <w:lang w:val="lv-LV"/>
        </w:rPr>
        <w:t>Agita.Nicmane@em.gov.lv</w:t>
      </w:r>
    </w:p>
    <w:sectPr w:rsidR="00097583" w:rsidRPr="00765A89"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ED" w:rsidRDefault="00DB46ED" w:rsidP="00B014C2">
      <w:r>
        <w:separator/>
      </w:r>
    </w:p>
  </w:endnote>
  <w:endnote w:type="continuationSeparator" w:id="0">
    <w:p w:rsidR="00DB46ED" w:rsidRDefault="00DB46ED"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3A" w:rsidRPr="00720501" w:rsidRDefault="00922F7B" w:rsidP="00B06ED7">
    <w:pPr>
      <w:pStyle w:val="Footer"/>
      <w:jc w:val="both"/>
    </w:pPr>
    <w:r>
      <w:rPr>
        <w:rFonts w:eastAsia="Times New Roman"/>
        <w:lang w:val="lv-LV" w:eastAsia="lv-LV"/>
      </w:rPr>
      <w:t>EMANOT_</w:t>
    </w:r>
    <w:r w:rsidR="005F42D6">
      <w:rPr>
        <w:rFonts w:eastAsia="Times New Roman"/>
        <w:lang w:val="lv-LV" w:eastAsia="lv-LV"/>
      </w:rPr>
      <w:t>12</w:t>
    </w:r>
    <w:r w:rsidR="003417B9">
      <w:rPr>
        <w:rFonts w:eastAsia="Times New Roman"/>
        <w:lang w:val="lv-LV" w:eastAsia="lv-LV"/>
      </w:rPr>
      <w:t>12</w:t>
    </w:r>
    <w:r>
      <w:rPr>
        <w:rFonts w:eastAsia="Times New Roman"/>
        <w:lang w:val="lv-LV" w:eastAsia="lv-LV"/>
      </w:rPr>
      <w:t>13_GROZ614</w:t>
    </w:r>
    <w:r w:rsidR="00720501" w:rsidRPr="00720501">
      <w:rPr>
        <w:rFonts w:eastAsia="Times New Roman"/>
        <w:lang w:val="lv-LV" w:eastAsia="lv-LV"/>
      </w:rPr>
      <w:t xml:space="preserve">; Ministru kabineta noteikumu projekta „Grozījumi </w:t>
    </w:r>
    <w:r>
      <w:rPr>
        <w:rFonts w:eastAsia="Times New Roman"/>
        <w:lang w:val="lv-LV" w:eastAsia="lv-LV"/>
      </w:rPr>
      <w:t>Ministru kabineta 2011.gada 2.augusta noteikumos Nr.614 „</w:t>
    </w:r>
    <w:r w:rsidRPr="00922F7B">
      <w:rPr>
        <w:rFonts w:eastAsia="Times New Roman"/>
        <w:lang w:val="lv-LV" w:eastAsia="lv-LV"/>
      </w:rPr>
      <w:t>Not</w:t>
    </w:r>
    <w:r>
      <w:rPr>
        <w:rFonts w:eastAsia="Times New Roman"/>
        <w:lang w:val="lv-LV" w:eastAsia="lv-LV"/>
      </w:rPr>
      <w:t>eikumi par darbības programmas „Uzņēmējdarbība un inovācijas” papildinājuma 2.2.1.4.2.apakšaktivitāti „</w:t>
    </w:r>
    <w:proofErr w:type="spellStart"/>
    <w:r w:rsidRPr="00922F7B">
      <w:rPr>
        <w:rFonts w:eastAsia="Times New Roman"/>
        <w:lang w:val="lv-LV" w:eastAsia="lv-LV"/>
      </w:rPr>
      <w:t>Mezanīna</w:t>
    </w:r>
    <w:proofErr w:type="spellEnd"/>
    <w:r w:rsidRPr="00922F7B">
      <w:rPr>
        <w:rFonts w:eastAsia="Times New Roman"/>
        <w:lang w:val="lv-LV" w:eastAsia="lv-LV"/>
      </w:rPr>
      <w:t xml:space="preserve"> aizdevumi investīcijām komers</w:t>
    </w:r>
    <w:r>
      <w:rPr>
        <w:rFonts w:eastAsia="Times New Roman"/>
        <w:lang w:val="lv-LV" w:eastAsia="lv-LV"/>
      </w:rPr>
      <w:t>antu konkurētspējas uzlabošanai”””</w:t>
    </w:r>
    <w:r w:rsidR="00720501" w:rsidRPr="00720501">
      <w:rPr>
        <w:rFonts w:eastAsia="Times New Roman"/>
        <w:lang w:val="lv-LV" w:eastAsia="lv-LV"/>
      </w:rPr>
      <w:t xml:space="preserve"> sākotnējās ietekmes novērtējuma ziņojums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3A" w:rsidRPr="00922F7B" w:rsidRDefault="005C1A3C" w:rsidP="00922F7B">
    <w:pPr>
      <w:pStyle w:val="Footer"/>
      <w:jc w:val="both"/>
    </w:pPr>
    <w:r>
      <w:rPr>
        <w:rFonts w:eastAsia="Times New Roman"/>
        <w:lang w:val="lv-LV" w:eastAsia="lv-LV"/>
      </w:rPr>
      <w:t>EMANOT_</w:t>
    </w:r>
    <w:r w:rsidR="005F42D6">
      <w:rPr>
        <w:rFonts w:eastAsia="Times New Roman"/>
        <w:lang w:val="lv-LV" w:eastAsia="lv-LV"/>
      </w:rPr>
      <w:t>12</w:t>
    </w:r>
    <w:r w:rsidR="00922F7B" w:rsidRPr="00922F7B">
      <w:rPr>
        <w:rFonts w:eastAsia="Times New Roman"/>
        <w:lang w:val="lv-LV" w:eastAsia="lv-LV"/>
      </w:rPr>
      <w:t>1</w:t>
    </w:r>
    <w:r w:rsidR="003417B9">
      <w:rPr>
        <w:rFonts w:eastAsia="Times New Roman"/>
        <w:lang w:val="lv-LV" w:eastAsia="lv-LV"/>
      </w:rPr>
      <w:t>2</w:t>
    </w:r>
    <w:r w:rsidR="00922F7B" w:rsidRPr="00922F7B">
      <w:rPr>
        <w:rFonts w:eastAsia="Times New Roman"/>
        <w:lang w:val="lv-LV" w:eastAsia="lv-LV"/>
      </w:rPr>
      <w:t xml:space="preserve">13_GROZ614; </w:t>
    </w:r>
    <w:bookmarkStart w:id="7" w:name="OLE_LINK6"/>
    <w:bookmarkStart w:id="8" w:name="OLE_LINK9"/>
    <w:bookmarkStart w:id="9" w:name="OLE_LINK4"/>
    <w:bookmarkStart w:id="10" w:name="OLE_LINK5"/>
    <w:bookmarkStart w:id="11" w:name="_Hlk373087804"/>
    <w:r w:rsidR="00922F7B" w:rsidRPr="00922F7B">
      <w:rPr>
        <w:rFonts w:eastAsia="Times New Roman"/>
        <w:lang w:val="lv-LV" w:eastAsia="lv-LV"/>
      </w:rPr>
      <w:t>Mini</w:t>
    </w:r>
    <w:r w:rsidR="00B81525">
      <w:rPr>
        <w:rFonts w:eastAsia="Times New Roman"/>
        <w:lang w:val="lv-LV" w:eastAsia="lv-LV"/>
      </w:rPr>
      <w:t>stru kabineta noteikumu projekta</w:t>
    </w:r>
    <w:r w:rsidR="00922F7B" w:rsidRPr="00922F7B">
      <w:rPr>
        <w:rFonts w:eastAsia="Times New Roman"/>
        <w:lang w:val="lv-LV" w:eastAsia="lv-LV"/>
      </w:rPr>
      <w:t xml:space="preserve"> „Grozījumi Ministru kabineta 2011.gada 2.augusta noteikumos Nr.614 „Noteikumi par darbības programmas „Uzņēmējdarbība un inovācijas” papildinājuma 2.2.1.4.2.apakšaktivitāti „</w:t>
    </w:r>
    <w:proofErr w:type="spellStart"/>
    <w:r w:rsidR="00922F7B" w:rsidRPr="00922F7B">
      <w:rPr>
        <w:rFonts w:eastAsia="Times New Roman"/>
        <w:lang w:val="lv-LV" w:eastAsia="lv-LV"/>
      </w:rPr>
      <w:t>Mezanīna</w:t>
    </w:r>
    <w:proofErr w:type="spellEnd"/>
    <w:r w:rsidR="00922F7B" w:rsidRPr="00922F7B">
      <w:rPr>
        <w:rFonts w:eastAsia="Times New Roman"/>
        <w:lang w:val="lv-LV" w:eastAsia="lv-LV"/>
      </w:rPr>
      <w:t xml:space="preserve"> aizdevumi investīcijām komersantu konkurētspējas uzlabošanai”””</w:t>
    </w:r>
    <w:bookmarkEnd w:id="7"/>
    <w:bookmarkEnd w:id="8"/>
    <w:r w:rsidR="00922F7B" w:rsidRPr="00922F7B">
      <w:rPr>
        <w:rFonts w:eastAsia="Times New Roman"/>
        <w:lang w:val="lv-LV" w:eastAsia="lv-LV"/>
      </w:rPr>
      <w:t xml:space="preserve"> sākotnējās ietekmes novērtējuma ziņojums sākotnējās ietekmes novērtējuma ziņojums (anotācija)</w:t>
    </w:r>
    <w:bookmarkEnd w:id="9"/>
    <w:bookmarkEnd w:id="10"/>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ED" w:rsidRDefault="00DB46ED" w:rsidP="00B014C2">
      <w:r>
        <w:separator/>
      </w:r>
    </w:p>
  </w:footnote>
  <w:footnote w:type="continuationSeparator" w:id="0">
    <w:p w:rsidR="00DB46ED" w:rsidRDefault="00DB46ED"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9A3A3A" w:rsidRPr="00B014C2" w:rsidRDefault="00E368B8">
        <w:pPr>
          <w:pStyle w:val="Header"/>
          <w:jc w:val="center"/>
          <w:rPr>
            <w:sz w:val="24"/>
            <w:szCs w:val="24"/>
          </w:rPr>
        </w:pPr>
        <w:r w:rsidRPr="00B014C2">
          <w:rPr>
            <w:sz w:val="24"/>
            <w:szCs w:val="24"/>
          </w:rPr>
          <w:fldChar w:fldCharType="begin"/>
        </w:r>
        <w:r w:rsidR="009A3A3A" w:rsidRPr="00B014C2">
          <w:rPr>
            <w:sz w:val="24"/>
            <w:szCs w:val="24"/>
          </w:rPr>
          <w:instrText xml:space="preserve"> PAGE   \* MERGEFORMAT </w:instrText>
        </w:r>
        <w:r w:rsidRPr="00B014C2">
          <w:rPr>
            <w:sz w:val="24"/>
            <w:szCs w:val="24"/>
          </w:rPr>
          <w:fldChar w:fldCharType="separate"/>
        </w:r>
        <w:r w:rsidR="005F42D6">
          <w:rPr>
            <w:noProof/>
            <w:sz w:val="24"/>
            <w:szCs w:val="24"/>
          </w:rPr>
          <w:t>6</w:t>
        </w:r>
        <w:r w:rsidRPr="00B014C2">
          <w:rPr>
            <w:sz w:val="24"/>
            <w:szCs w:val="24"/>
          </w:rPr>
          <w:fldChar w:fldCharType="end"/>
        </w:r>
      </w:p>
    </w:sdtContent>
  </w:sdt>
  <w:p w:rsidR="009A3A3A" w:rsidRDefault="009A3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48370E9"/>
    <w:multiLevelType w:val="hybridMultilevel"/>
    <w:tmpl w:val="BE0C7FD6"/>
    <w:lvl w:ilvl="0" w:tplc="F22E746E">
      <w:start w:val="1"/>
      <w:numFmt w:val="bullet"/>
      <w:lvlText w:val="–"/>
      <w:lvlJc w:val="left"/>
      <w:pPr>
        <w:ind w:left="1428" w:hanging="360"/>
      </w:pPr>
      <w:rPr>
        <w:rFonts w:ascii="Times New Roman" w:hAnsi="Times New Roman" w:cs="Times New Roman" w:hint="default"/>
        <w:color w:val="000000"/>
        <w:sz w:val="18"/>
        <w:szCs w:val="18"/>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2">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3">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1"/>
  </w:num>
  <w:num w:numId="5">
    <w:abstractNumId w:val="0"/>
  </w:num>
  <w:num w:numId="6">
    <w:abstractNumId w:val="7"/>
  </w:num>
  <w:num w:numId="7">
    <w:abstractNumId w:val="13"/>
  </w:num>
  <w:num w:numId="8">
    <w:abstractNumId w:val="3"/>
  </w:num>
  <w:num w:numId="9">
    <w:abstractNumId w:val="8"/>
  </w:num>
  <w:num w:numId="10">
    <w:abstractNumId w:val="10"/>
  </w:num>
  <w:num w:numId="11">
    <w:abstractNumId w:val="2"/>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2AA4"/>
    <w:rsid w:val="00013C46"/>
    <w:rsid w:val="00014006"/>
    <w:rsid w:val="0001626D"/>
    <w:rsid w:val="0001764D"/>
    <w:rsid w:val="00020A02"/>
    <w:rsid w:val="000214DF"/>
    <w:rsid w:val="000251F7"/>
    <w:rsid w:val="00026BA7"/>
    <w:rsid w:val="00026C03"/>
    <w:rsid w:val="0002762A"/>
    <w:rsid w:val="00031099"/>
    <w:rsid w:val="000320DD"/>
    <w:rsid w:val="000364B2"/>
    <w:rsid w:val="0003693D"/>
    <w:rsid w:val="00036E03"/>
    <w:rsid w:val="0004167C"/>
    <w:rsid w:val="00043EE5"/>
    <w:rsid w:val="000445F3"/>
    <w:rsid w:val="00047EF5"/>
    <w:rsid w:val="00050184"/>
    <w:rsid w:val="00050EA4"/>
    <w:rsid w:val="00052380"/>
    <w:rsid w:val="000564DA"/>
    <w:rsid w:val="00060D39"/>
    <w:rsid w:val="0006435D"/>
    <w:rsid w:val="000643D5"/>
    <w:rsid w:val="00064EDB"/>
    <w:rsid w:val="00071114"/>
    <w:rsid w:val="000729ED"/>
    <w:rsid w:val="00072ECD"/>
    <w:rsid w:val="00080F3F"/>
    <w:rsid w:val="00081C1D"/>
    <w:rsid w:val="00081F44"/>
    <w:rsid w:val="00083704"/>
    <w:rsid w:val="000847AE"/>
    <w:rsid w:val="0008486C"/>
    <w:rsid w:val="00086412"/>
    <w:rsid w:val="00087524"/>
    <w:rsid w:val="00091581"/>
    <w:rsid w:val="00091DBA"/>
    <w:rsid w:val="00097583"/>
    <w:rsid w:val="000A164A"/>
    <w:rsid w:val="000A402E"/>
    <w:rsid w:val="000A4AED"/>
    <w:rsid w:val="000A5FB9"/>
    <w:rsid w:val="000A7E2E"/>
    <w:rsid w:val="000B0719"/>
    <w:rsid w:val="000B2AE3"/>
    <w:rsid w:val="000D0388"/>
    <w:rsid w:val="000D19C8"/>
    <w:rsid w:val="000D2F05"/>
    <w:rsid w:val="000D4DC9"/>
    <w:rsid w:val="000D6996"/>
    <w:rsid w:val="000D6DF2"/>
    <w:rsid w:val="000E2F17"/>
    <w:rsid w:val="000E409F"/>
    <w:rsid w:val="000E4277"/>
    <w:rsid w:val="000F0232"/>
    <w:rsid w:val="000F6C72"/>
    <w:rsid w:val="000F6E9E"/>
    <w:rsid w:val="001000B5"/>
    <w:rsid w:val="001002E4"/>
    <w:rsid w:val="0010079A"/>
    <w:rsid w:val="0010385C"/>
    <w:rsid w:val="00103FE1"/>
    <w:rsid w:val="0010410B"/>
    <w:rsid w:val="001047E8"/>
    <w:rsid w:val="0011218B"/>
    <w:rsid w:val="00115E25"/>
    <w:rsid w:val="00116B3E"/>
    <w:rsid w:val="00120651"/>
    <w:rsid w:val="0012067B"/>
    <w:rsid w:val="00123047"/>
    <w:rsid w:val="001232D1"/>
    <w:rsid w:val="001254CC"/>
    <w:rsid w:val="001267F1"/>
    <w:rsid w:val="001305B3"/>
    <w:rsid w:val="00130D33"/>
    <w:rsid w:val="00131980"/>
    <w:rsid w:val="00131C62"/>
    <w:rsid w:val="00134E0F"/>
    <w:rsid w:val="00137A4E"/>
    <w:rsid w:val="001428EB"/>
    <w:rsid w:val="00142A69"/>
    <w:rsid w:val="00142AC2"/>
    <w:rsid w:val="00142CBB"/>
    <w:rsid w:val="00144D39"/>
    <w:rsid w:val="00146034"/>
    <w:rsid w:val="00153C1A"/>
    <w:rsid w:val="001611D0"/>
    <w:rsid w:val="0017312C"/>
    <w:rsid w:val="001733BE"/>
    <w:rsid w:val="0017472D"/>
    <w:rsid w:val="001764E7"/>
    <w:rsid w:val="00182537"/>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A1F"/>
    <w:rsid w:val="001C7464"/>
    <w:rsid w:val="001D02A2"/>
    <w:rsid w:val="001D2EDB"/>
    <w:rsid w:val="001D39D9"/>
    <w:rsid w:val="001D416F"/>
    <w:rsid w:val="001D46D6"/>
    <w:rsid w:val="001D4E7C"/>
    <w:rsid w:val="001D5E9C"/>
    <w:rsid w:val="001D76FC"/>
    <w:rsid w:val="001E344F"/>
    <w:rsid w:val="001E3BD0"/>
    <w:rsid w:val="001E5031"/>
    <w:rsid w:val="001E7BB7"/>
    <w:rsid w:val="001F02C1"/>
    <w:rsid w:val="001F6151"/>
    <w:rsid w:val="001F7527"/>
    <w:rsid w:val="00200045"/>
    <w:rsid w:val="00200612"/>
    <w:rsid w:val="00205FEE"/>
    <w:rsid w:val="0021241F"/>
    <w:rsid w:val="00213D6A"/>
    <w:rsid w:val="002149CB"/>
    <w:rsid w:val="00216B96"/>
    <w:rsid w:val="00221058"/>
    <w:rsid w:val="00221205"/>
    <w:rsid w:val="00221561"/>
    <w:rsid w:val="00221CAE"/>
    <w:rsid w:val="00224C7C"/>
    <w:rsid w:val="0023085A"/>
    <w:rsid w:val="00230FB6"/>
    <w:rsid w:val="00231EB0"/>
    <w:rsid w:val="00233657"/>
    <w:rsid w:val="00233F7A"/>
    <w:rsid w:val="0023462C"/>
    <w:rsid w:val="00234C58"/>
    <w:rsid w:val="00234DDC"/>
    <w:rsid w:val="00243E4C"/>
    <w:rsid w:val="00245D09"/>
    <w:rsid w:val="00247529"/>
    <w:rsid w:val="002507A0"/>
    <w:rsid w:val="00253306"/>
    <w:rsid w:val="002543B5"/>
    <w:rsid w:val="0025484B"/>
    <w:rsid w:val="00255C0A"/>
    <w:rsid w:val="00257056"/>
    <w:rsid w:val="00257EAE"/>
    <w:rsid w:val="002600E1"/>
    <w:rsid w:val="002610D7"/>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B30A6"/>
    <w:rsid w:val="002B34B0"/>
    <w:rsid w:val="002B4D01"/>
    <w:rsid w:val="002B5151"/>
    <w:rsid w:val="002B667D"/>
    <w:rsid w:val="002B768A"/>
    <w:rsid w:val="002C0E0E"/>
    <w:rsid w:val="002C20C8"/>
    <w:rsid w:val="002C4039"/>
    <w:rsid w:val="002C586C"/>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02447"/>
    <w:rsid w:val="003124BE"/>
    <w:rsid w:val="00314594"/>
    <w:rsid w:val="00317EE5"/>
    <w:rsid w:val="00320EB0"/>
    <w:rsid w:val="00321E80"/>
    <w:rsid w:val="00322A15"/>
    <w:rsid w:val="00324F11"/>
    <w:rsid w:val="0032689C"/>
    <w:rsid w:val="00330AF0"/>
    <w:rsid w:val="00335837"/>
    <w:rsid w:val="003365BB"/>
    <w:rsid w:val="003372CD"/>
    <w:rsid w:val="003417B9"/>
    <w:rsid w:val="00341D01"/>
    <w:rsid w:val="00341E8D"/>
    <w:rsid w:val="0034284E"/>
    <w:rsid w:val="00344B27"/>
    <w:rsid w:val="0034724B"/>
    <w:rsid w:val="0034794E"/>
    <w:rsid w:val="003479DF"/>
    <w:rsid w:val="0035647E"/>
    <w:rsid w:val="00356CDF"/>
    <w:rsid w:val="00357B86"/>
    <w:rsid w:val="00360437"/>
    <w:rsid w:val="00360962"/>
    <w:rsid w:val="003611ED"/>
    <w:rsid w:val="00361DA6"/>
    <w:rsid w:val="00362D30"/>
    <w:rsid w:val="003648FB"/>
    <w:rsid w:val="003707C8"/>
    <w:rsid w:val="0037466C"/>
    <w:rsid w:val="00383500"/>
    <w:rsid w:val="00384799"/>
    <w:rsid w:val="00385DB0"/>
    <w:rsid w:val="00386053"/>
    <w:rsid w:val="00391942"/>
    <w:rsid w:val="00396D2E"/>
    <w:rsid w:val="003A5545"/>
    <w:rsid w:val="003A56E6"/>
    <w:rsid w:val="003A5F98"/>
    <w:rsid w:val="003A7D40"/>
    <w:rsid w:val="003A7D89"/>
    <w:rsid w:val="003B04FD"/>
    <w:rsid w:val="003B060D"/>
    <w:rsid w:val="003B2464"/>
    <w:rsid w:val="003B3003"/>
    <w:rsid w:val="003B3450"/>
    <w:rsid w:val="003B4994"/>
    <w:rsid w:val="003B5399"/>
    <w:rsid w:val="003B590B"/>
    <w:rsid w:val="003C1C94"/>
    <w:rsid w:val="003C406A"/>
    <w:rsid w:val="003C5329"/>
    <w:rsid w:val="003C6688"/>
    <w:rsid w:val="003D342E"/>
    <w:rsid w:val="003D3A14"/>
    <w:rsid w:val="003D5516"/>
    <w:rsid w:val="003E0167"/>
    <w:rsid w:val="003E0BD3"/>
    <w:rsid w:val="003E284A"/>
    <w:rsid w:val="003E2968"/>
    <w:rsid w:val="003E3604"/>
    <w:rsid w:val="003E6CB3"/>
    <w:rsid w:val="003F0C4F"/>
    <w:rsid w:val="003F17ED"/>
    <w:rsid w:val="003F3349"/>
    <w:rsid w:val="003F4E09"/>
    <w:rsid w:val="00401C5F"/>
    <w:rsid w:val="00402B2B"/>
    <w:rsid w:val="00404C10"/>
    <w:rsid w:val="00404D4B"/>
    <w:rsid w:val="0040578F"/>
    <w:rsid w:val="00406C83"/>
    <w:rsid w:val="004074FD"/>
    <w:rsid w:val="00407E6B"/>
    <w:rsid w:val="00410FEE"/>
    <w:rsid w:val="00414CC7"/>
    <w:rsid w:val="00415C03"/>
    <w:rsid w:val="00415D84"/>
    <w:rsid w:val="00416C3A"/>
    <w:rsid w:val="00416C50"/>
    <w:rsid w:val="00420FC8"/>
    <w:rsid w:val="0042129F"/>
    <w:rsid w:val="004226A1"/>
    <w:rsid w:val="004232D7"/>
    <w:rsid w:val="0042395B"/>
    <w:rsid w:val="0042472B"/>
    <w:rsid w:val="00431CB5"/>
    <w:rsid w:val="00434ACC"/>
    <w:rsid w:val="00435CDA"/>
    <w:rsid w:val="00436E46"/>
    <w:rsid w:val="00436E6A"/>
    <w:rsid w:val="00436F9E"/>
    <w:rsid w:val="004413C4"/>
    <w:rsid w:val="004426FC"/>
    <w:rsid w:val="00442884"/>
    <w:rsid w:val="00443B04"/>
    <w:rsid w:val="00444A49"/>
    <w:rsid w:val="0044567A"/>
    <w:rsid w:val="004465FC"/>
    <w:rsid w:val="004522D7"/>
    <w:rsid w:val="004527EA"/>
    <w:rsid w:val="0045318E"/>
    <w:rsid w:val="00457B62"/>
    <w:rsid w:val="00460A29"/>
    <w:rsid w:val="004671D7"/>
    <w:rsid w:val="00472EF3"/>
    <w:rsid w:val="00475A76"/>
    <w:rsid w:val="004775F4"/>
    <w:rsid w:val="00484C10"/>
    <w:rsid w:val="00485E0B"/>
    <w:rsid w:val="00486BD6"/>
    <w:rsid w:val="00487753"/>
    <w:rsid w:val="0049013B"/>
    <w:rsid w:val="004916DD"/>
    <w:rsid w:val="00491F0A"/>
    <w:rsid w:val="004960FB"/>
    <w:rsid w:val="00497086"/>
    <w:rsid w:val="004A0F19"/>
    <w:rsid w:val="004A22E5"/>
    <w:rsid w:val="004A554F"/>
    <w:rsid w:val="004B18A4"/>
    <w:rsid w:val="004B1FE7"/>
    <w:rsid w:val="004B77C0"/>
    <w:rsid w:val="004C1463"/>
    <w:rsid w:val="004D3E72"/>
    <w:rsid w:val="004D4997"/>
    <w:rsid w:val="004D54CD"/>
    <w:rsid w:val="004D6EF0"/>
    <w:rsid w:val="004D790D"/>
    <w:rsid w:val="004E01F5"/>
    <w:rsid w:val="004E3075"/>
    <w:rsid w:val="004E7B96"/>
    <w:rsid w:val="004F0E94"/>
    <w:rsid w:val="004F178A"/>
    <w:rsid w:val="004F2331"/>
    <w:rsid w:val="004F2B79"/>
    <w:rsid w:val="004F3C28"/>
    <w:rsid w:val="004F6987"/>
    <w:rsid w:val="0050058D"/>
    <w:rsid w:val="00501F08"/>
    <w:rsid w:val="00502247"/>
    <w:rsid w:val="00503D5C"/>
    <w:rsid w:val="0050440A"/>
    <w:rsid w:val="00505A0D"/>
    <w:rsid w:val="00505B7D"/>
    <w:rsid w:val="00506DDA"/>
    <w:rsid w:val="00510235"/>
    <w:rsid w:val="00511ADB"/>
    <w:rsid w:val="0051358D"/>
    <w:rsid w:val="00513AF6"/>
    <w:rsid w:val="00517C20"/>
    <w:rsid w:val="0052062B"/>
    <w:rsid w:val="00522B62"/>
    <w:rsid w:val="00524D01"/>
    <w:rsid w:val="005254AB"/>
    <w:rsid w:val="00530C47"/>
    <w:rsid w:val="00531687"/>
    <w:rsid w:val="00532532"/>
    <w:rsid w:val="00532EE4"/>
    <w:rsid w:val="00532FEB"/>
    <w:rsid w:val="00535764"/>
    <w:rsid w:val="00537A29"/>
    <w:rsid w:val="005422C3"/>
    <w:rsid w:val="00542739"/>
    <w:rsid w:val="00542F49"/>
    <w:rsid w:val="00543052"/>
    <w:rsid w:val="00546599"/>
    <w:rsid w:val="00546E77"/>
    <w:rsid w:val="00554A7A"/>
    <w:rsid w:val="005631C8"/>
    <w:rsid w:val="0056506A"/>
    <w:rsid w:val="005663B6"/>
    <w:rsid w:val="005665AA"/>
    <w:rsid w:val="0056795E"/>
    <w:rsid w:val="00570B3E"/>
    <w:rsid w:val="005724DC"/>
    <w:rsid w:val="005741F1"/>
    <w:rsid w:val="005747E7"/>
    <w:rsid w:val="0057501D"/>
    <w:rsid w:val="00576AEE"/>
    <w:rsid w:val="00576D8A"/>
    <w:rsid w:val="00580317"/>
    <w:rsid w:val="0058086F"/>
    <w:rsid w:val="0058249F"/>
    <w:rsid w:val="0058679B"/>
    <w:rsid w:val="005877DA"/>
    <w:rsid w:val="00593CA6"/>
    <w:rsid w:val="0059700D"/>
    <w:rsid w:val="00597137"/>
    <w:rsid w:val="00597231"/>
    <w:rsid w:val="005A1736"/>
    <w:rsid w:val="005A1D6F"/>
    <w:rsid w:val="005A2A2D"/>
    <w:rsid w:val="005A37FF"/>
    <w:rsid w:val="005A6E2E"/>
    <w:rsid w:val="005A7B9C"/>
    <w:rsid w:val="005B115B"/>
    <w:rsid w:val="005B29DE"/>
    <w:rsid w:val="005B4307"/>
    <w:rsid w:val="005C1A3C"/>
    <w:rsid w:val="005C251D"/>
    <w:rsid w:val="005C6DDB"/>
    <w:rsid w:val="005D1220"/>
    <w:rsid w:val="005D3658"/>
    <w:rsid w:val="005D4522"/>
    <w:rsid w:val="005D6171"/>
    <w:rsid w:val="005E4730"/>
    <w:rsid w:val="005E713D"/>
    <w:rsid w:val="005F09EC"/>
    <w:rsid w:val="005F42D6"/>
    <w:rsid w:val="006049D1"/>
    <w:rsid w:val="00607722"/>
    <w:rsid w:val="006079F2"/>
    <w:rsid w:val="00610DDF"/>
    <w:rsid w:val="00614602"/>
    <w:rsid w:val="006218A6"/>
    <w:rsid w:val="0062469D"/>
    <w:rsid w:val="00624FCB"/>
    <w:rsid w:val="00625D54"/>
    <w:rsid w:val="00626F78"/>
    <w:rsid w:val="00630367"/>
    <w:rsid w:val="006309F5"/>
    <w:rsid w:val="00630BAA"/>
    <w:rsid w:val="00631039"/>
    <w:rsid w:val="00634095"/>
    <w:rsid w:val="00635D2B"/>
    <w:rsid w:val="00636440"/>
    <w:rsid w:val="00641379"/>
    <w:rsid w:val="00643B54"/>
    <w:rsid w:val="006456BB"/>
    <w:rsid w:val="00646855"/>
    <w:rsid w:val="00647402"/>
    <w:rsid w:val="00650716"/>
    <w:rsid w:val="006512F4"/>
    <w:rsid w:val="00651669"/>
    <w:rsid w:val="006543B3"/>
    <w:rsid w:val="00654C63"/>
    <w:rsid w:val="00663763"/>
    <w:rsid w:val="00664C33"/>
    <w:rsid w:val="00665020"/>
    <w:rsid w:val="00667BAB"/>
    <w:rsid w:val="006711E1"/>
    <w:rsid w:val="006722B5"/>
    <w:rsid w:val="00672A2F"/>
    <w:rsid w:val="0067302C"/>
    <w:rsid w:val="00673175"/>
    <w:rsid w:val="00674BA7"/>
    <w:rsid w:val="00676770"/>
    <w:rsid w:val="00677A6F"/>
    <w:rsid w:val="0068051B"/>
    <w:rsid w:val="00681496"/>
    <w:rsid w:val="00682B64"/>
    <w:rsid w:val="0068409B"/>
    <w:rsid w:val="00684EA2"/>
    <w:rsid w:val="006910BE"/>
    <w:rsid w:val="006A3A28"/>
    <w:rsid w:val="006A3A2B"/>
    <w:rsid w:val="006A668E"/>
    <w:rsid w:val="006A6AD4"/>
    <w:rsid w:val="006A7488"/>
    <w:rsid w:val="006A7638"/>
    <w:rsid w:val="006B0E03"/>
    <w:rsid w:val="006B7B22"/>
    <w:rsid w:val="006C114F"/>
    <w:rsid w:val="006C15FA"/>
    <w:rsid w:val="006D0B9B"/>
    <w:rsid w:val="006D1F62"/>
    <w:rsid w:val="006D30BF"/>
    <w:rsid w:val="006D662F"/>
    <w:rsid w:val="006D69A4"/>
    <w:rsid w:val="006E07AC"/>
    <w:rsid w:val="006E09B6"/>
    <w:rsid w:val="006E0ECB"/>
    <w:rsid w:val="006E1F97"/>
    <w:rsid w:val="006E3949"/>
    <w:rsid w:val="006E7630"/>
    <w:rsid w:val="006F02CA"/>
    <w:rsid w:val="006F0C19"/>
    <w:rsid w:val="006F24A8"/>
    <w:rsid w:val="006F56C1"/>
    <w:rsid w:val="006F58E5"/>
    <w:rsid w:val="0070010E"/>
    <w:rsid w:val="007058E9"/>
    <w:rsid w:val="0070678E"/>
    <w:rsid w:val="00706EC2"/>
    <w:rsid w:val="00707470"/>
    <w:rsid w:val="007074EF"/>
    <w:rsid w:val="00713EEF"/>
    <w:rsid w:val="00720501"/>
    <w:rsid w:val="00720EE5"/>
    <w:rsid w:val="007217E4"/>
    <w:rsid w:val="00721D6C"/>
    <w:rsid w:val="00721E50"/>
    <w:rsid w:val="00725107"/>
    <w:rsid w:val="00725B16"/>
    <w:rsid w:val="007278CF"/>
    <w:rsid w:val="00732F77"/>
    <w:rsid w:val="007363F2"/>
    <w:rsid w:val="00737AB8"/>
    <w:rsid w:val="00743E33"/>
    <w:rsid w:val="00744513"/>
    <w:rsid w:val="00747779"/>
    <w:rsid w:val="0075648C"/>
    <w:rsid w:val="00765A89"/>
    <w:rsid w:val="0076705D"/>
    <w:rsid w:val="00767185"/>
    <w:rsid w:val="00767E0F"/>
    <w:rsid w:val="007715A2"/>
    <w:rsid w:val="00771E40"/>
    <w:rsid w:val="0077435A"/>
    <w:rsid w:val="00776F83"/>
    <w:rsid w:val="00781C31"/>
    <w:rsid w:val="007861AD"/>
    <w:rsid w:val="007878ED"/>
    <w:rsid w:val="00790E90"/>
    <w:rsid w:val="00791433"/>
    <w:rsid w:val="00793496"/>
    <w:rsid w:val="00793A6B"/>
    <w:rsid w:val="00794B98"/>
    <w:rsid w:val="00797D6F"/>
    <w:rsid w:val="007A0D95"/>
    <w:rsid w:val="007A14D0"/>
    <w:rsid w:val="007A2498"/>
    <w:rsid w:val="007A3825"/>
    <w:rsid w:val="007B0767"/>
    <w:rsid w:val="007B21D1"/>
    <w:rsid w:val="007B461A"/>
    <w:rsid w:val="007C1582"/>
    <w:rsid w:val="007C2960"/>
    <w:rsid w:val="007C2992"/>
    <w:rsid w:val="007C62F5"/>
    <w:rsid w:val="007C7357"/>
    <w:rsid w:val="007C7B92"/>
    <w:rsid w:val="007D054D"/>
    <w:rsid w:val="007D1488"/>
    <w:rsid w:val="007D14B7"/>
    <w:rsid w:val="007D45FD"/>
    <w:rsid w:val="007D6721"/>
    <w:rsid w:val="007D6900"/>
    <w:rsid w:val="007D7A8A"/>
    <w:rsid w:val="007E0403"/>
    <w:rsid w:val="007E0A01"/>
    <w:rsid w:val="007E0C74"/>
    <w:rsid w:val="007E1DC0"/>
    <w:rsid w:val="007E63F8"/>
    <w:rsid w:val="007E7623"/>
    <w:rsid w:val="007F0242"/>
    <w:rsid w:val="007F0C15"/>
    <w:rsid w:val="0080150E"/>
    <w:rsid w:val="00810BB4"/>
    <w:rsid w:val="00812294"/>
    <w:rsid w:val="00812990"/>
    <w:rsid w:val="00814B24"/>
    <w:rsid w:val="00815CC0"/>
    <w:rsid w:val="008173C3"/>
    <w:rsid w:val="00817839"/>
    <w:rsid w:val="00823419"/>
    <w:rsid w:val="00823C4F"/>
    <w:rsid w:val="0082492B"/>
    <w:rsid w:val="008253A7"/>
    <w:rsid w:val="008265EF"/>
    <w:rsid w:val="00827407"/>
    <w:rsid w:val="00834215"/>
    <w:rsid w:val="00836318"/>
    <w:rsid w:val="00837E38"/>
    <w:rsid w:val="00840961"/>
    <w:rsid w:val="00842EE7"/>
    <w:rsid w:val="008444BD"/>
    <w:rsid w:val="00844DC6"/>
    <w:rsid w:val="00845083"/>
    <w:rsid w:val="00847B12"/>
    <w:rsid w:val="00851D2A"/>
    <w:rsid w:val="008535B7"/>
    <w:rsid w:val="00855B83"/>
    <w:rsid w:val="00856E28"/>
    <w:rsid w:val="00860387"/>
    <w:rsid w:val="00861F33"/>
    <w:rsid w:val="008620C5"/>
    <w:rsid w:val="00864C19"/>
    <w:rsid w:val="00864EFE"/>
    <w:rsid w:val="008657D2"/>
    <w:rsid w:val="00866076"/>
    <w:rsid w:val="00874C25"/>
    <w:rsid w:val="0087682B"/>
    <w:rsid w:val="00877FED"/>
    <w:rsid w:val="00880F80"/>
    <w:rsid w:val="00881415"/>
    <w:rsid w:val="008822A5"/>
    <w:rsid w:val="008833AC"/>
    <w:rsid w:val="0088512F"/>
    <w:rsid w:val="00885C85"/>
    <w:rsid w:val="00890CFA"/>
    <w:rsid w:val="00891DAA"/>
    <w:rsid w:val="00891EFC"/>
    <w:rsid w:val="0089429A"/>
    <w:rsid w:val="0089622A"/>
    <w:rsid w:val="00897C16"/>
    <w:rsid w:val="008A4831"/>
    <w:rsid w:val="008A492C"/>
    <w:rsid w:val="008A4C41"/>
    <w:rsid w:val="008A515D"/>
    <w:rsid w:val="008A615D"/>
    <w:rsid w:val="008A6918"/>
    <w:rsid w:val="008A69DC"/>
    <w:rsid w:val="008A6F61"/>
    <w:rsid w:val="008B4856"/>
    <w:rsid w:val="008B7C3D"/>
    <w:rsid w:val="008C2886"/>
    <w:rsid w:val="008D1537"/>
    <w:rsid w:val="008D17E5"/>
    <w:rsid w:val="008D6725"/>
    <w:rsid w:val="008D78FF"/>
    <w:rsid w:val="008E476F"/>
    <w:rsid w:val="008E5F7D"/>
    <w:rsid w:val="008E6217"/>
    <w:rsid w:val="008E7722"/>
    <w:rsid w:val="008F230C"/>
    <w:rsid w:val="008F48C1"/>
    <w:rsid w:val="008F4C9D"/>
    <w:rsid w:val="008F538E"/>
    <w:rsid w:val="008F5394"/>
    <w:rsid w:val="008F5EEF"/>
    <w:rsid w:val="008F636C"/>
    <w:rsid w:val="008F6397"/>
    <w:rsid w:val="0090048A"/>
    <w:rsid w:val="009041C1"/>
    <w:rsid w:val="0090449A"/>
    <w:rsid w:val="00904A06"/>
    <w:rsid w:val="00904E04"/>
    <w:rsid w:val="0090536A"/>
    <w:rsid w:val="00911D0C"/>
    <w:rsid w:val="00914CB3"/>
    <w:rsid w:val="00916328"/>
    <w:rsid w:val="00917324"/>
    <w:rsid w:val="00920CC5"/>
    <w:rsid w:val="009223CF"/>
    <w:rsid w:val="009223E3"/>
    <w:rsid w:val="00922926"/>
    <w:rsid w:val="00922F7B"/>
    <w:rsid w:val="0092468A"/>
    <w:rsid w:val="009260C5"/>
    <w:rsid w:val="00930CFF"/>
    <w:rsid w:val="00932B78"/>
    <w:rsid w:val="00933744"/>
    <w:rsid w:val="0094012A"/>
    <w:rsid w:val="00940388"/>
    <w:rsid w:val="009429B7"/>
    <w:rsid w:val="00943666"/>
    <w:rsid w:val="00944903"/>
    <w:rsid w:val="00944C30"/>
    <w:rsid w:val="009450CF"/>
    <w:rsid w:val="00945AEE"/>
    <w:rsid w:val="0094732D"/>
    <w:rsid w:val="00947CF8"/>
    <w:rsid w:val="009506A3"/>
    <w:rsid w:val="009519D4"/>
    <w:rsid w:val="009520C3"/>
    <w:rsid w:val="0095680E"/>
    <w:rsid w:val="0095696B"/>
    <w:rsid w:val="00962693"/>
    <w:rsid w:val="00962CEA"/>
    <w:rsid w:val="009649C1"/>
    <w:rsid w:val="00970EF3"/>
    <w:rsid w:val="00971B45"/>
    <w:rsid w:val="00972275"/>
    <w:rsid w:val="00977A1D"/>
    <w:rsid w:val="0098472B"/>
    <w:rsid w:val="00984A9E"/>
    <w:rsid w:val="009871A8"/>
    <w:rsid w:val="00990476"/>
    <w:rsid w:val="0099344A"/>
    <w:rsid w:val="00994A10"/>
    <w:rsid w:val="00995388"/>
    <w:rsid w:val="00996D7F"/>
    <w:rsid w:val="009A00CB"/>
    <w:rsid w:val="009A164D"/>
    <w:rsid w:val="009A19C7"/>
    <w:rsid w:val="009A1BFD"/>
    <w:rsid w:val="009A38AD"/>
    <w:rsid w:val="009A3939"/>
    <w:rsid w:val="009A3A3A"/>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3A19"/>
    <w:rsid w:val="009E4C1F"/>
    <w:rsid w:val="009E532D"/>
    <w:rsid w:val="009E5351"/>
    <w:rsid w:val="009E604D"/>
    <w:rsid w:val="009F1B35"/>
    <w:rsid w:val="009F37B4"/>
    <w:rsid w:val="009F3B93"/>
    <w:rsid w:val="009F4D79"/>
    <w:rsid w:val="00A00AB4"/>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2E43"/>
    <w:rsid w:val="00A43634"/>
    <w:rsid w:val="00A43665"/>
    <w:rsid w:val="00A441B5"/>
    <w:rsid w:val="00A454E0"/>
    <w:rsid w:val="00A46462"/>
    <w:rsid w:val="00A47339"/>
    <w:rsid w:val="00A47536"/>
    <w:rsid w:val="00A51399"/>
    <w:rsid w:val="00A520CC"/>
    <w:rsid w:val="00A52BA6"/>
    <w:rsid w:val="00A5445A"/>
    <w:rsid w:val="00A552DA"/>
    <w:rsid w:val="00A574A9"/>
    <w:rsid w:val="00A6113D"/>
    <w:rsid w:val="00A6164F"/>
    <w:rsid w:val="00A6235A"/>
    <w:rsid w:val="00A62805"/>
    <w:rsid w:val="00A6716E"/>
    <w:rsid w:val="00A671E1"/>
    <w:rsid w:val="00A700D6"/>
    <w:rsid w:val="00A729DC"/>
    <w:rsid w:val="00A7538B"/>
    <w:rsid w:val="00A76001"/>
    <w:rsid w:val="00A805C2"/>
    <w:rsid w:val="00A806F1"/>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2480"/>
    <w:rsid w:val="00AC6009"/>
    <w:rsid w:val="00AD0DF6"/>
    <w:rsid w:val="00AD2826"/>
    <w:rsid w:val="00AD4944"/>
    <w:rsid w:val="00AD5849"/>
    <w:rsid w:val="00AD7CF0"/>
    <w:rsid w:val="00AE05F1"/>
    <w:rsid w:val="00AE1659"/>
    <w:rsid w:val="00AE4EB6"/>
    <w:rsid w:val="00AE51EC"/>
    <w:rsid w:val="00AE6E0C"/>
    <w:rsid w:val="00AF1E99"/>
    <w:rsid w:val="00AF78EE"/>
    <w:rsid w:val="00B014C2"/>
    <w:rsid w:val="00B02CBD"/>
    <w:rsid w:val="00B033B8"/>
    <w:rsid w:val="00B0347F"/>
    <w:rsid w:val="00B04FAA"/>
    <w:rsid w:val="00B06ED7"/>
    <w:rsid w:val="00B121E8"/>
    <w:rsid w:val="00B12DEF"/>
    <w:rsid w:val="00B13499"/>
    <w:rsid w:val="00B1662F"/>
    <w:rsid w:val="00B20342"/>
    <w:rsid w:val="00B20D39"/>
    <w:rsid w:val="00B221CA"/>
    <w:rsid w:val="00B22CC4"/>
    <w:rsid w:val="00B274BB"/>
    <w:rsid w:val="00B30133"/>
    <w:rsid w:val="00B37577"/>
    <w:rsid w:val="00B45711"/>
    <w:rsid w:val="00B46B34"/>
    <w:rsid w:val="00B5655C"/>
    <w:rsid w:val="00B56EB8"/>
    <w:rsid w:val="00B57637"/>
    <w:rsid w:val="00B60083"/>
    <w:rsid w:val="00B60EEC"/>
    <w:rsid w:val="00B6151B"/>
    <w:rsid w:val="00B6163A"/>
    <w:rsid w:val="00B62197"/>
    <w:rsid w:val="00B63BE0"/>
    <w:rsid w:val="00B63BEB"/>
    <w:rsid w:val="00B6474E"/>
    <w:rsid w:val="00B65CFA"/>
    <w:rsid w:val="00B66159"/>
    <w:rsid w:val="00B70F42"/>
    <w:rsid w:val="00B74BCA"/>
    <w:rsid w:val="00B756EA"/>
    <w:rsid w:val="00B75B65"/>
    <w:rsid w:val="00B75FCA"/>
    <w:rsid w:val="00B7774A"/>
    <w:rsid w:val="00B81525"/>
    <w:rsid w:val="00B81E82"/>
    <w:rsid w:val="00B82499"/>
    <w:rsid w:val="00B84844"/>
    <w:rsid w:val="00B85C22"/>
    <w:rsid w:val="00B866E5"/>
    <w:rsid w:val="00B91EA5"/>
    <w:rsid w:val="00B931D1"/>
    <w:rsid w:val="00B943B1"/>
    <w:rsid w:val="00BA0556"/>
    <w:rsid w:val="00BA0A22"/>
    <w:rsid w:val="00BA14F4"/>
    <w:rsid w:val="00BA2E9B"/>
    <w:rsid w:val="00BA7189"/>
    <w:rsid w:val="00BB09C5"/>
    <w:rsid w:val="00BB1C9B"/>
    <w:rsid w:val="00BB2330"/>
    <w:rsid w:val="00BB4180"/>
    <w:rsid w:val="00BB6E67"/>
    <w:rsid w:val="00BB7960"/>
    <w:rsid w:val="00BC006D"/>
    <w:rsid w:val="00BC06E8"/>
    <w:rsid w:val="00BC2B4D"/>
    <w:rsid w:val="00BC4144"/>
    <w:rsid w:val="00BC4472"/>
    <w:rsid w:val="00BC51A3"/>
    <w:rsid w:val="00BC66EB"/>
    <w:rsid w:val="00BD1934"/>
    <w:rsid w:val="00BD1A48"/>
    <w:rsid w:val="00BD4752"/>
    <w:rsid w:val="00BD63E9"/>
    <w:rsid w:val="00BE0EC8"/>
    <w:rsid w:val="00BE4892"/>
    <w:rsid w:val="00BE649D"/>
    <w:rsid w:val="00BE6E9C"/>
    <w:rsid w:val="00BF13E2"/>
    <w:rsid w:val="00BF249C"/>
    <w:rsid w:val="00BF2F17"/>
    <w:rsid w:val="00BF4361"/>
    <w:rsid w:val="00BF6568"/>
    <w:rsid w:val="00C02217"/>
    <w:rsid w:val="00C044F2"/>
    <w:rsid w:val="00C04559"/>
    <w:rsid w:val="00C11C6A"/>
    <w:rsid w:val="00C16A63"/>
    <w:rsid w:val="00C16F7D"/>
    <w:rsid w:val="00C1739F"/>
    <w:rsid w:val="00C20A0F"/>
    <w:rsid w:val="00C20EF9"/>
    <w:rsid w:val="00C21A1E"/>
    <w:rsid w:val="00C24F0A"/>
    <w:rsid w:val="00C25337"/>
    <w:rsid w:val="00C307D2"/>
    <w:rsid w:val="00C31A26"/>
    <w:rsid w:val="00C327A5"/>
    <w:rsid w:val="00C32F05"/>
    <w:rsid w:val="00C33121"/>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4C83"/>
    <w:rsid w:val="00C65525"/>
    <w:rsid w:val="00C6637E"/>
    <w:rsid w:val="00C7152A"/>
    <w:rsid w:val="00C728A7"/>
    <w:rsid w:val="00C7500F"/>
    <w:rsid w:val="00C751EA"/>
    <w:rsid w:val="00C75A4F"/>
    <w:rsid w:val="00C772EA"/>
    <w:rsid w:val="00C77663"/>
    <w:rsid w:val="00C81DC6"/>
    <w:rsid w:val="00C8212B"/>
    <w:rsid w:val="00C83591"/>
    <w:rsid w:val="00C83878"/>
    <w:rsid w:val="00C84027"/>
    <w:rsid w:val="00C85068"/>
    <w:rsid w:val="00C86127"/>
    <w:rsid w:val="00C87B1B"/>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2B16"/>
    <w:rsid w:val="00CB45B6"/>
    <w:rsid w:val="00CB5D7B"/>
    <w:rsid w:val="00CB6882"/>
    <w:rsid w:val="00CB7A76"/>
    <w:rsid w:val="00CC2408"/>
    <w:rsid w:val="00CC39E5"/>
    <w:rsid w:val="00CC76C2"/>
    <w:rsid w:val="00CD291B"/>
    <w:rsid w:val="00CD40FD"/>
    <w:rsid w:val="00CD4E1C"/>
    <w:rsid w:val="00CE09F6"/>
    <w:rsid w:val="00CE128B"/>
    <w:rsid w:val="00CE46A5"/>
    <w:rsid w:val="00CF0131"/>
    <w:rsid w:val="00CF05DA"/>
    <w:rsid w:val="00CF370C"/>
    <w:rsid w:val="00CF4D9E"/>
    <w:rsid w:val="00CF50F6"/>
    <w:rsid w:val="00CF5C7C"/>
    <w:rsid w:val="00D0079F"/>
    <w:rsid w:val="00D03BE9"/>
    <w:rsid w:val="00D0470C"/>
    <w:rsid w:val="00D11E93"/>
    <w:rsid w:val="00D12D69"/>
    <w:rsid w:val="00D12F6E"/>
    <w:rsid w:val="00D215C9"/>
    <w:rsid w:val="00D23D51"/>
    <w:rsid w:val="00D23E53"/>
    <w:rsid w:val="00D24EDC"/>
    <w:rsid w:val="00D27671"/>
    <w:rsid w:val="00D277E5"/>
    <w:rsid w:val="00D315BC"/>
    <w:rsid w:val="00D31657"/>
    <w:rsid w:val="00D31FAE"/>
    <w:rsid w:val="00D419F1"/>
    <w:rsid w:val="00D422D1"/>
    <w:rsid w:val="00D478F2"/>
    <w:rsid w:val="00D50452"/>
    <w:rsid w:val="00D56DA8"/>
    <w:rsid w:val="00D62CCB"/>
    <w:rsid w:val="00D71175"/>
    <w:rsid w:val="00D7155A"/>
    <w:rsid w:val="00D71706"/>
    <w:rsid w:val="00D7256E"/>
    <w:rsid w:val="00D72F3D"/>
    <w:rsid w:val="00D74282"/>
    <w:rsid w:val="00D8286C"/>
    <w:rsid w:val="00D83021"/>
    <w:rsid w:val="00D9203E"/>
    <w:rsid w:val="00D9405A"/>
    <w:rsid w:val="00D94F4A"/>
    <w:rsid w:val="00DA0A55"/>
    <w:rsid w:val="00DA33A5"/>
    <w:rsid w:val="00DA3D82"/>
    <w:rsid w:val="00DA44B1"/>
    <w:rsid w:val="00DA4F89"/>
    <w:rsid w:val="00DA61A3"/>
    <w:rsid w:val="00DA6973"/>
    <w:rsid w:val="00DA775F"/>
    <w:rsid w:val="00DA7FAD"/>
    <w:rsid w:val="00DB0477"/>
    <w:rsid w:val="00DB1642"/>
    <w:rsid w:val="00DB28DC"/>
    <w:rsid w:val="00DB2ACC"/>
    <w:rsid w:val="00DB35ED"/>
    <w:rsid w:val="00DB46ED"/>
    <w:rsid w:val="00DB7168"/>
    <w:rsid w:val="00DC00DC"/>
    <w:rsid w:val="00DC0A98"/>
    <w:rsid w:val="00DC1068"/>
    <w:rsid w:val="00DC1FD6"/>
    <w:rsid w:val="00DC2009"/>
    <w:rsid w:val="00DC27BB"/>
    <w:rsid w:val="00DC2AFF"/>
    <w:rsid w:val="00DC614F"/>
    <w:rsid w:val="00DC7ACA"/>
    <w:rsid w:val="00DD0266"/>
    <w:rsid w:val="00DD0FE9"/>
    <w:rsid w:val="00DD21C0"/>
    <w:rsid w:val="00DD42C2"/>
    <w:rsid w:val="00DD5665"/>
    <w:rsid w:val="00DE01CE"/>
    <w:rsid w:val="00DE0762"/>
    <w:rsid w:val="00DE67FC"/>
    <w:rsid w:val="00DF00C1"/>
    <w:rsid w:val="00DF0637"/>
    <w:rsid w:val="00DF0A7E"/>
    <w:rsid w:val="00DF4BCE"/>
    <w:rsid w:val="00E03A78"/>
    <w:rsid w:val="00E042D4"/>
    <w:rsid w:val="00E07DF2"/>
    <w:rsid w:val="00E147E0"/>
    <w:rsid w:val="00E22252"/>
    <w:rsid w:val="00E22906"/>
    <w:rsid w:val="00E22D5A"/>
    <w:rsid w:val="00E22EBE"/>
    <w:rsid w:val="00E25884"/>
    <w:rsid w:val="00E26AAA"/>
    <w:rsid w:val="00E3385D"/>
    <w:rsid w:val="00E360B7"/>
    <w:rsid w:val="00E368B8"/>
    <w:rsid w:val="00E43842"/>
    <w:rsid w:val="00E44062"/>
    <w:rsid w:val="00E4416C"/>
    <w:rsid w:val="00E47CB5"/>
    <w:rsid w:val="00E51BA8"/>
    <w:rsid w:val="00E51BE9"/>
    <w:rsid w:val="00E52FCD"/>
    <w:rsid w:val="00E54741"/>
    <w:rsid w:val="00E56A1F"/>
    <w:rsid w:val="00E5743D"/>
    <w:rsid w:val="00E61D5C"/>
    <w:rsid w:val="00E62150"/>
    <w:rsid w:val="00E6447F"/>
    <w:rsid w:val="00E65F36"/>
    <w:rsid w:val="00E65F64"/>
    <w:rsid w:val="00E671E2"/>
    <w:rsid w:val="00E70B81"/>
    <w:rsid w:val="00E73425"/>
    <w:rsid w:val="00E73C02"/>
    <w:rsid w:val="00E7628E"/>
    <w:rsid w:val="00E77577"/>
    <w:rsid w:val="00E8006C"/>
    <w:rsid w:val="00E8125D"/>
    <w:rsid w:val="00E86AEA"/>
    <w:rsid w:val="00E90C7E"/>
    <w:rsid w:val="00E921F7"/>
    <w:rsid w:val="00E9274F"/>
    <w:rsid w:val="00EA2572"/>
    <w:rsid w:val="00EA2820"/>
    <w:rsid w:val="00EA6137"/>
    <w:rsid w:val="00EB03F5"/>
    <w:rsid w:val="00EB263C"/>
    <w:rsid w:val="00EB4862"/>
    <w:rsid w:val="00EC09FD"/>
    <w:rsid w:val="00EC1C10"/>
    <w:rsid w:val="00EC1CD1"/>
    <w:rsid w:val="00EC27C3"/>
    <w:rsid w:val="00EC4103"/>
    <w:rsid w:val="00ED175B"/>
    <w:rsid w:val="00ED29AD"/>
    <w:rsid w:val="00ED31EB"/>
    <w:rsid w:val="00ED377B"/>
    <w:rsid w:val="00ED49F3"/>
    <w:rsid w:val="00EE35DE"/>
    <w:rsid w:val="00EE4E64"/>
    <w:rsid w:val="00EE4FC3"/>
    <w:rsid w:val="00EF26A5"/>
    <w:rsid w:val="00EF335B"/>
    <w:rsid w:val="00EF4B50"/>
    <w:rsid w:val="00EF5FA2"/>
    <w:rsid w:val="00EF662A"/>
    <w:rsid w:val="00EF6CB9"/>
    <w:rsid w:val="00EF6E5B"/>
    <w:rsid w:val="00EF7435"/>
    <w:rsid w:val="00EF7544"/>
    <w:rsid w:val="00EF7A99"/>
    <w:rsid w:val="00F017F1"/>
    <w:rsid w:val="00F02F53"/>
    <w:rsid w:val="00F10EB1"/>
    <w:rsid w:val="00F12786"/>
    <w:rsid w:val="00F14553"/>
    <w:rsid w:val="00F154DF"/>
    <w:rsid w:val="00F15932"/>
    <w:rsid w:val="00F17FB6"/>
    <w:rsid w:val="00F20A3B"/>
    <w:rsid w:val="00F210C4"/>
    <w:rsid w:val="00F213B5"/>
    <w:rsid w:val="00F2244C"/>
    <w:rsid w:val="00F22471"/>
    <w:rsid w:val="00F23AB0"/>
    <w:rsid w:val="00F24053"/>
    <w:rsid w:val="00F25271"/>
    <w:rsid w:val="00F25DD3"/>
    <w:rsid w:val="00F27161"/>
    <w:rsid w:val="00F33C48"/>
    <w:rsid w:val="00F33E2D"/>
    <w:rsid w:val="00F3776D"/>
    <w:rsid w:val="00F4308E"/>
    <w:rsid w:val="00F45FC6"/>
    <w:rsid w:val="00F520CA"/>
    <w:rsid w:val="00F543D6"/>
    <w:rsid w:val="00F56864"/>
    <w:rsid w:val="00F573E5"/>
    <w:rsid w:val="00F61450"/>
    <w:rsid w:val="00F64547"/>
    <w:rsid w:val="00F65DC0"/>
    <w:rsid w:val="00F65EC5"/>
    <w:rsid w:val="00F67545"/>
    <w:rsid w:val="00F73E4D"/>
    <w:rsid w:val="00F73FBF"/>
    <w:rsid w:val="00F768B2"/>
    <w:rsid w:val="00F80221"/>
    <w:rsid w:val="00F81BA5"/>
    <w:rsid w:val="00F82D25"/>
    <w:rsid w:val="00F86F4B"/>
    <w:rsid w:val="00F90216"/>
    <w:rsid w:val="00F90307"/>
    <w:rsid w:val="00F9294A"/>
    <w:rsid w:val="00F92A3D"/>
    <w:rsid w:val="00F97A74"/>
    <w:rsid w:val="00FA2DB4"/>
    <w:rsid w:val="00FA2EB2"/>
    <w:rsid w:val="00FA371D"/>
    <w:rsid w:val="00FA6053"/>
    <w:rsid w:val="00FA6507"/>
    <w:rsid w:val="00FA6DB0"/>
    <w:rsid w:val="00FB0E25"/>
    <w:rsid w:val="00FB2FE8"/>
    <w:rsid w:val="00FB4555"/>
    <w:rsid w:val="00FB4F40"/>
    <w:rsid w:val="00FC02DA"/>
    <w:rsid w:val="00FC4CC7"/>
    <w:rsid w:val="00FD3BBA"/>
    <w:rsid w:val="00FD412E"/>
    <w:rsid w:val="00FD4326"/>
    <w:rsid w:val="00FD7D7A"/>
    <w:rsid w:val="00FE2734"/>
    <w:rsid w:val="00FE4A0B"/>
    <w:rsid w:val="00FF1D9A"/>
    <w:rsid w:val="00FF39F2"/>
    <w:rsid w:val="00FF3E15"/>
    <w:rsid w:val="00FF4A85"/>
    <w:rsid w:val="00FF5C79"/>
    <w:rsid w:val="00FF6971"/>
    <w:rsid w:val="00FF7B9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 w:type="paragraph" w:customStyle="1" w:styleId="tv2131">
    <w:name w:val="tv2131"/>
    <w:basedOn w:val="Normal"/>
    <w:rsid w:val="00436F9E"/>
    <w:pPr>
      <w:spacing w:line="360" w:lineRule="auto"/>
      <w:ind w:firstLine="335"/>
    </w:pPr>
    <w:rPr>
      <w:rFonts w:eastAsia="Times New Roman"/>
      <w:color w:val="414142"/>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 w:type="paragraph" w:customStyle="1" w:styleId="tv2131">
    <w:name w:val="tv2131"/>
    <w:basedOn w:val="Normal"/>
    <w:rsid w:val="00436F9E"/>
    <w:pPr>
      <w:spacing w:line="360" w:lineRule="auto"/>
      <w:ind w:firstLine="335"/>
    </w:pPr>
    <w:rPr>
      <w:rFonts w:eastAsia="Times New Roman"/>
      <w:color w:val="41414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268">
      <w:bodyDiv w:val="1"/>
      <w:marLeft w:val="0"/>
      <w:marRight w:val="0"/>
      <w:marTop w:val="0"/>
      <w:marBottom w:val="0"/>
      <w:divBdr>
        <w:top w:val="none" w:sz="0" w:space="0" w:color="auto"/>
        <w:left w:val="none" w:sz="0" w:space="0" w:color="auto"/>
        <w:bottom w:val="none" w:sz="0" w:space="0" w:color="auto"/>
        <w:right w:val="none" w:sz="0" w:space="0" w:color="auto"/>
      </w:divBdr>
      <w:divsChild>
        <w:div w:id="947204219">
          <w:marLeft w:val="0"/>
          <w:marRight w:val="0"/>
          <w:marTop w:val="0"/>
          <w:marBottom w:val="0"/>
          <w:divBdr>
            <w:top w:val="none" w:sz="0" w:space="0" w:color="auto"/>
            <w:left w:val="none" w:sz="0" w:space="0" w:color="auto"/>
            <w:bottom w:val="none" w:sz="0" w:space="0" w:color="auto"/>
            <w:right w:val="none" w:sz="0" w:space="0" w:color="auto"/>
          </w:divBdr>
          <w:divsChild>
            <w:div w:id="1437363499">
              <w:marLeft w:val="0"/>
              <w:marRight w:val="0"/>
              <w:marTop w:val="0"/>
              <w:marBottom w:val="0"/>
              <w:divBdr>
                <w:top w:val="none" w:sz="0" w:space="0" w:color="auto"/>
                <w:left w:val="none" w:sz="0" w:space="0" w:color="auto"/>
                <w:bottom w:val="none" w:sz="0" w:space="0" w:color="auto"/>
                <w:right w:val="none" w:sz="0" w:space="0" w:color="auto"/>
              </w:divBdr>
              <w:divsChild>
                <w:div w:id="795950093">
                  <w:marLeft w:val="0"/>
                  <w:marRight w:val="0"/>
                  <w:marTop w:val="0"/>
                  <w:marBottom w:val="0"/>
                  <w:divBdr>
                    <w:top w:val="none" w:sz="0" w:space="0" w:color="auto"/>
                    <w:left w:val="none" w:sz="0" w:space="0" w:color="auto"/>
                    <w:bottom w:val="none" w:sz="0" w:space="0" w:color="auto"/>
                    <w:right w:val="none" w:sz="0" w:space="0" w:color="auto"/>
                  </w:divBdr>
                  <w:divsChild>
                    <w:div w:id="735009996">
                      <w:marLeft w:val="0"/>
                      <w:marRight w:val="0"/>
                      <w:marTop w:val="0"/>
                      <w:marBottom w:val="0"/>
                      <w:divBdr>
                        <w:top w:val="none" w:sz="0" w:space="0" w:color="auto"/>
                        <w:left w:val="none" w:sz="0" w:space="0" w:color="auto"/>
                        <w:bottom w:val="none" w:sz="0" w:space="0" w:color="auto"/>
                        <w:right w:val="none" w:sz="0" w:space="0" w:color="auto"/>
                      </w:divBdr>
                      <w:divsChild>
                        <w:div w:id="1220943168">
                          <w:marLeft w:val="0"/>
                          <w:marRight w:val="0"/>
                          <w:marTop w:val="335"/>
                          <w:marBottom w:val="0"/>
                          <w:divBdr>
                            <w:top w:val="none" w:sz="0" w:space="0" w:color="auto"/>
                            <w:left w:val="none" w:sz="0" w:space="0" w:color="auto"/>
                            <w:bottom w:val="none" w:sz="0" w:space="0" w:color="auto"/>
                            <w:right w:val="none" w:sz="0" w:space="0" w:color="auto"/>
                          </w:divBdr>
                          <w:divsChild>
                            <w:div w:id="1036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06307984">
      <w:bodyDiv w:val="1"/>
      <w:marLeft w:val="0"/>
      <w:marRight w:val="0"/>
      <w:marTop w:val="0"/>
      <w:marBottom w:val="0"/>
      <w:divBdr>
        <w:top w:val="none" w:sz="0" w:space="0" w:color="auto"/>
        <w:left w:val="none" w:sz="0" w:space="0" w:color="auto"/>
        <w:bottom w:val="none" w:sz="0" w:space="0" w:color="auto"/>
        <w:right w:val="none" w:sz="0" w:space="0" w:color="auto"/>
      </w:divBdr>
      <w:divsChild>
        <w:div w:id="620722969">
          <w:marLeft w:val="0"/>
          <w:marRight w:val="0"/>
          <w:marTop w:val="0"/>
          <w:marBottom w:val="0"/>
          <w:divBdr>
            <w:top w:val="none" w:sz="0" w:space="0" w:color="auto"/>
            <w:left w:val="none" w:sz="0" w:space="0" w:color="auto"/>
            <w:bottom w:val="none" w:sz="0" w:space="0" w:color="auto"/>
            <w:right w:val="none" w:sz="0" w:space="0" w:color="auto"/>
          </w:divBdr>
          <w:divsChild>
            <w:div w:id="1216311999">
              <w:marLeft w:val="0"/>
              <w:marRight w:val="0"/>
              <w:marTop w:val="0"/>
              <w:marBottom w:val="0"/>
              <w:divBdr>
                <w:top w:val="none" w:sz="0" w:space="0" w:color="auto"/>
                <w:left w:val="none" w:sz="0" w:space="0" w:color="auto"/>
                <w:bottom w:val="none" w:sz="0" w:space="0" w:color="auto"/>
                <w:right w:val="none" w:sz="0" w:space="0" w:color="auto"/>
              </w:divBdr>
              <w:divsChild>
                <w:div w:id="1965771092">
                  <w:marLeft w:val="0"/>
                  <w:marRight w:val="0"/>
                  <w:marTop w:val="0"/>
                  <w:marBottom w:val="0"/>
                  <w:divBdr>
                    <w:top w:val="none" w:sz="0" w:space="0" w:color="auto"/>
                    <w:left w:val="none" w:sz="0" w:space="0" w:color="auto"/>
                    <w:bottom w:val="none" w:sz="0" w:space="0" w:color="auto"/>
                    <w:right w:val="none" w:sz="0" w:space="0" w:color="auto"/>
                  </w:divBdr>
                  <w:divsChild>
                    <w:div w:id="644041703">
                      <w:marLeft w:val="0"/>
                      <w:marRight w:val="0"/>
                      <w:marTop w:val="0"/>
                      <w:marBottom w:val="0"/>
                      <w:divBdr>
                        <w:top w:val="none" w:sz="0" w:space="0" w:color="auto"/>
                        <w:left w:val="none" w:sz="0" w:space="0" w:color="auto"/>
                        <w:bottom w:val="none" w:sz="0" w:space="0" w:color="auto"/>
                        <w:right w:val="none" w:sz="0" w:space="0" w:color="auto"/>
                      </w:divBdr>
                      <w:divsChild>
                        <w:div w:id="42752424">
                          <w:marLeft w:val="0"/>
                          <w:marRight w:val="0"/>
                          <w:marTop w:val="335"/>
                          <w:marBottom w:val="0"/>
                          <w:divBdr>
                            <w:top w:val="none" w:sz="0" w:space="0" w:color="auto"/>
                            <w:left w:val="none" w:sz="0" w:space="0" w:color="auto"/>
                            <w:bottom w:val="none" w:sz="0" w:space="0" w:color="auto"/>
                            <w:right w:val="none" w:sz="0" w:space="0" w:color="auto"/>
                          </w:divBdr>
                          <w:divsChild>
                            <w:div w:id="7857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918978398">
      <w:bodyDiv w:val="1"/>
      <w:marLeft w:val="0"/>
      <w:marRight w:val="0"/>
      <w:marTop w:val="0"/>
      <w:marBottom w:val="0"/>
      <w:divBdr>
        <w:top w:val="none" w:sz="0" w:space="0" w:color="auto"/>
        <w:left w:val="none" w:sz="0" w:space="0" w:color="auto"/>
        <w:bottom w:val="none" w:sz="0" w:space="0" w:color="auto"/>
        <w:right w:val="none" w:sz="0" w:space="0" w:color="auto"/>
      </w:divBdr>
      <w:divsChild>
        <w:div w:id="392433920">
          <w:marLeft w:val="0"/>
          <w:marRight w:val="0"/>
          <w:marTop w:val="0"/>
          <w:marBottom w:val="0"/>
          <w:divBdr>
            <w:top w:val="none" w:sz="0" w:space="0" w:color="auto"/>
            <w:left w:val="none" w:sz="0" w:space="0" w:color="auto"/>
            <w:bottom w:val="none" w:sz="0" w:space="0" w:color="auto"/>
            <w:right w:val="none" w:sz="0" w:space="0" w:color="auto"/>
          </w:divBdr>
          <w:divsChild>
            <w:div w:id="1403796491">
              <w:marLeft w:val="0"/>
              <w:marRight w:val="0"/>
              <w:marTop w:val="0"/>
              <w:marBottom w:val="0"/>
              <w:divBdr>
                <w:top w:val="none" w:sz="0" w:space="0" w:color="auto"/>
                <w:left w:val="none" w:sz="0" w:space="0" w:color="auto"/>
                <w:bottom w:val="none" w:sz="0" w:space="0" w:color="auto"/>
                <w:right w:val="none" w:sz="0" w:space="0" w:color="auto"/>
              </w:divBdr>
              <w:divsChild>
                <w:div w:id="589974542">
                  <w:marLeft w:val="0"/>
                  <w:marRight w:val="0"/>
                  <w:marTop w:val="0"/>
                  <w:marBottom w:val="0"/>
                  <w:divBdr>
                    <w:top w:val="none" w:sz="0" w:space="0" w:color="auto"/>
                    <w:left w:val="none" w:sz="0" w:space="0" w:color="auto"/>
                    <w:bottom w:val="none" w:sz="0" w:space="0" w:color="auto"/>
                    <w:right w:val="none" w:sz="0" w:space="0" w:color="auto"/>
                  </w:divBdr>
                  <w:divsChild>
                    <w:div w:id="670063727">
                      <w:marLeft w:val="0"/>
                      <w:marRight w:val="0"/>
                      <w:marTop w:val="0"/>
                      <w:marBottom w:val="0"/>
                      <w:divBdr>
                        <w:top w:val="none" w:sz="0" w:space="0" w:color="auto"/>
                        <w:left w:val="none" w:sz="0" w:space="0" w:color="auto"/>
                        <w:bottom w:val="none" w:sz="0" w:space="0" w:color="auto"/>
                        <w:right w:val="none" w:sz="0" w:space="0" w:color="auto"/>
                      </w:divBdr>
                      <w:divsChild>
                        <w:div w:id="318925018">
                          <w:marLeft w:val="0"/>
                          <w:marRight w:val="0"/>
                          <w:marTop w:val="335"/>
                          <w:marBottom w:val="0"/>
                          <w:divBdr>
                            <w:top w:val="none" w:sz="0" w:space="0" w:color="auto"/>
                            <w:left w:val="none" w:sz="0" w:space="0" w:color="auto"/>
                            <w:bottom w:val="none" w:sz="0" w:space="0" w:color="auto"/>
                            <w:right w:val="none" w:sz="0" w:space="0" w:color="auto"/>
                          </w:divBdr>
                          <w:divsChild>
                            <w:div w:id="13851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074878">
      <w:bodyDiv w:val="1"/>
      <w:marLeft w:val="0"/>
      <w:marRight w:val="0"/>
      <w:marTop w:val="0"/>
      <w:marBottom w:val="0"/>
      <w:divBdr>
        <w:top w:val="none" w:sz="0" w:space="0" w:color="auto"/>
        <w:left w:val="none" w:sz="0" w:space="0" w:color="auto"/>
        <w:bottom w:val="none" w:sz="0" w:space="0" w:color="auto"/>
        <w:right w:val="none" w:sz="0" w:space="0" w:color="auto"/>
      </w:divBdr>
      <w:divsChild>
        <w:div w:id="837383278">
          <w:marLeft w:val="0"/>
          <w:marRight w:val="0"/>
          <w:marTop w:val="0"/>
          <w:marBottom w:val="0"/>
          <w:divBdr>
            <w:top w:val="none" w:sz="0" w:space="0" w:color="auto"/>
            <w:left w:val="none" w:sz="0" w:space="0" w:color="auto"/>
            <w:bottom w:val="none" w:sz="0" w:space="0" w:color="auto"/>
            <w:right w:val="none" w:sz="0" w:space="0" w:color="auto"/>
          </w:divBdr>
          <w:divsChild>
            <w:div w:id="1125538683">
              <w:marLeft w:val="0"/>
              <w:marRight w:val="0"/>
              <w:marTop w:val="0"/>
              <w:marBottom w:val="0"/>
              <w:divBdr>
                <w:top w:val="none" w:sz="0" w:space="0" w:color="auto"/>
                <w:left w:val="none" w:sz="0" w:space="0" w:color="auto"/>
                <w:bottom w:val="none" w:sz="0" w:space="0" w:color="auto"/>
                <w:right w:val="none" w:sz="0" w:space="0" w:color="auto"/>
              </w:divBdr>
              <w:divsChild>
                <w:div w:id="1740059500">
                  <w:marLeft w:val="0"/>
                  <w:marRight w:val="0"/>
                  <w:marTop w:val="0"/>
                  <w:marBottom w:val="0"/>
                  <w:divBdr>
                    <w:top w:val="none" w:sz="0" w:space="0" w:color="auto"/>
                    <w:left w:val="none" w:sz="0" w:space="0" w:color="auto"/>
                    <w:bottom w:val="none" w:sz="0" w:space="0" w:color="auto"/>
                    <w:right w:val="none" w:sz="0" w:space="0" w:color="auto"/>
                  </w:divBdr>
                  <w:divsChild>
                    <w:div w:id="1091897804">
                      <w:marLeft w:val="0"/>
                      <w:marRight w:val="0"/>
                      <w:marTop w:val="0"/>
                      <w:marBottom w:val="0"/>
                      <w:divBdr>
                        <w:top w:val="none" w:sz="0" w:space="0" w:color="auto"/>
                        <w:left w:val="none" w:sz="0" w:space="0" w:color="auto"/>
                        <w:bottom w:val="none" w:sz="0" w:space="0" w:color="auto"/>
                        <w:right w:val="none" w:sz="0" w:space="0" w:color="auto"/>
                      </w:divBdr>
                      <w:divsChild>
                        <w:div w:id="1448087108">
                          <w:marLeft w:val="0"/>
                          <w:marRight w:val="0"/>
                          <w:marTop w:val="335"/>
                          <w:marBottom w:val="0"/>
                          <w:divBdr>
                            <w:top w:val="none" w:sz="0" w:space="0" w:color="auto"/>
                            <w:left w:val="none" w:sz="0" w:space="0" w:color="auto"/>
                            <w:bottom w:val="none" w:sz="0" w:space="0" w:color="auto"/>
                            <w:right w:val="none" w:sz="0" w:space="0" w:color="auto"/>
                          </w:divBdr>
                          <w:divsChild>
                            <w:div w:id="8031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405832350">
      <w:bodyDiv w:val="1"/>
      <w:marLeft w:val="0"/>
      <w:marRight w:val="0"/>
      <w:marTop w:val="0"/>
      <w:marBottom w:val="0"/>
      <w:divBdr>
        <w:top w:val="none" w:sz="0" w:space="0" w:color="auto"/>
        <w:left w:val="none" w:sz="0" w:space="0" w:color="auto"/>
        <w:bottom w:val="none" w:sz="0" w:space="0" w:color="auto"/>
        <w:right w:val="none" w:sz="0" w:space="0" w:color="auto"/>
      </w:divBdr>
      <w:divsChild>
        <w:div w:id="1237741715">
          <w:marLeft w:val="0"/>
          <w:marRight w:val="0"/>
          <w:marTop w:val="0"/>
          <w:marBottom w:val="0"/>
          <w:divBdr>
            <w:top w:val="none" w:sz="0" w:space="0" w:color="auto"/>
            <w:left w:val="none" w:sz="0" w:space="0" w:color="auto"/>
            <w:bottom w:val="none" w:sz="0" w:space="0" w:color="auto"/>
            <w:right w:val="none" w:sz="0" w:space="0" w:color="auto"/>
          </w:divBdr>
          <w:divsChild>
            <w:div w:id="1085491210">
              <w:marLeft w:val="0"/>
              <w:marRight w:val="0"/>
              <w:marTop w:val="0"/>
              <w:marBottom w:val="0"/>
              <w:divBdr>
                <w:top w:val="none" w:sz="0" w:space="0" w:color="auto"/>
                <w:left w:val="none" w:sz="0" w:space="0" w:color="auto"/>
                <w:bottom w:val="none" w:sz="0" w:space="0" w:color="auto"/>
                <w:right w:val="none" w:sz="0" w:space="0" w:color="auto"/>
              </w:divBdr>
              <w:divsChild>
                <w:div w:id="1619023569">
                  <w:marLeft w:val="0"/>
                  <w:marRight w:val="0"/>
                  <w:marTop w:val="0"/>
                  <w:marBottom w:val="0"/>
                  <w:divBdr>
                    <w:top w:val="none" w:sz="0" w:space="0" w:color="auto"/>
                    <w:left w:val="none" w:sz="0" w:space="0" w:color="auto"/>
                    <w:bottom w:val="none" w:sz="0" w:space="0" w:color="auto"/>
                    <w:right w:val="none" w:sz="0" w:space="0" w:color="auto"/>
                  </w:divBdr>
                  <w:divsChild>
                    <w:div w:id="2119179679">
                      <w:marLeft w:val="0"/>
                      <w:marRight w:val="0"/>
                      <w:marTop w:val="0"/>
                      <w:marBottom w:val="0"/>
                      <w:divBdr>
                        <w:top w:val="none" w:sz="0" w:space="0" w:color="auto"/>
                        <w:left w:val="none" w:sz="0" w:space="0" w:color="auto"/>
                        <w:bottom w:val="none" w:sz="0" w:space="0" w:color="auto"/>
                        <w:right w:val="none" w:sz="0" w:space="0" w:color="auto"/>
                      </w:divBdr>
                      <w:divsChild>
                        <w:div w:id="1702854508">
                          <w:marLeft w:val="0"/>
                          <w:marRight w:val="0"/>
                          <w:marTop w:val="335"/>
                          <w:marBottom w:val="0"/>
                          <w:divBdr>
                            <w:top w:val="none" w:sz="0" w:space="0" w:color="auto"/>
                            <w:left w:val="none" w:sz="0" w:space="0" w:color="auto"/>
                            <w:bottom w:val="none" w:sz="0" w:space="0" w:color="auto"/>
                            <w:right w:val="none" w:sz="0" w:space="0" w:color="auto"/>
                          </w:divBdr>
                          <w:divsChild>
                            <w:div w:id="8661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815820">
      <w:bodyDiv w:val="1"/>
      <w:marLeft w:val="0"/>
      <w:marRight w:val="0"/>
      <w:marTop w:val="0"/>
      <w:marBottom w:val="0"/>
      <w:divBdr>
        <w:top w:val="none" w:sz="0" w:space="0" w:color="auto"/>
        <w:left w:val="none" w:sz="0" w:space="0" w:color="auto"/>
        <w:bottom w:val="none" w:sz="0" w:space="0" w:color="auto"/>
        <w:right w:val="none" w:sz="0" w:space="0" w:color="auto"/>
      </w:divBdr>
      <w:divsChild>
        <w:div w:id="560561029">
          <w:marLeft w:val="0"/>
          <w:marRight w:val="0"/>
          <w:marTop w:val="0"/>
          <w:marBottom w:val="0"/>
          <w:divBdr>
            <w:top w:val="none" w:sz="0" w:space="0" w:color="auto"/>
            <w:left w:val="none" w:sz="0" w:space="0" w:color="auto"/>
            <w:bottom w:val="none" w:sz="0" w:space="0" w:color="auto"/>
            <w:right w:val="none" w:sz="0" w:space="0" w:color="auto"/>
          </w:divBdr>
          <w:divsChild>
            <w:div w:id="106318387">
              <w:marLeft w:val="0"/>
              <w:marRight w:val="0"/>
              <w:marTop w:val="0"/>
              <w:marBottom w:val="0"/>
              <w:divBdr>
                <w:top w:val="none" w:sz="0" w:space="0" w:color="auto"/>
                <w:left w:val="none" w:sz="0" w:space="0" w:color="auto"/>
                <w:bottom w:val="none" w:sz="0" w:space="0" w:color="auto"/>
                <w:right w:val="none" w:sz="0" w:space="0" w:color="auto"/>
              </w:divBdr>
              <w:divsChild>
                <w:div w:id="1904559349">
                  <w:marLeft w:val="0"/>
                  <w:marRight w:val="0"/>
                  <w:marTop w:val="0"/>
                  <w:marBottom w:val="0"/>
                  <w:divBdr>
                    <w:top w:val="none" w:sz="0" w:space="0" w:color="auto"/>
                    <w:left w:val="none" w:sz="0" w:space="0" w:color="auto"/>
                    <w:bottom w:val="none" w:sz="0" w:space="0" w:color="auto"/>
                    <w:right w:val="none" w:sz="0" w:space="0" w:color="auto"/>
                  </w:divBdr>
                  <w:divsChild>
                    <w:div w:id="2004620542">
                      <w:marLeft w:val="0"/>
                      <w:marRight w:val="0"/>
                      <w:marTop w:val="0"/>
                      <w:marBottom w:val="0"/>
                      <w:divBdr>
                        <w:top w:val="none" w:sz="0" w:space="0" w:color="auto"/>
                        <w:left w:val="none" w:sz="0" w:space="0" w:color="auto"/>
                        <w:bottom w:val="none" w:sz="0" w:space="0" w:color="auto"/>
                        <w:right w:val="none" w:sz="0" w:space="0" w:color="auto"/>
                      </w:divBdr>
                      <w:divsChild>
                        <w:div w:id="1535772722">
                          <w:marLeft w:val="0"/>
                          <w:marRight w:val="0"/>
                          <w:marTop w:val="335"/>
                          <w:marBottom w:val="0"/>
                          <w:divBdr>
                            <w:top w:val="none" w:sz="0" w:space="0" w:color="auto"/>
                            <w:left w:val="none" w:sz="0" w:space="0" w:color="auto"/>
                            <w:bottom w:val="none" w:sz="0" w:space="0" w:color="auto"/>
                            <w:right w:val="none" w:sz="0" w:space="0" w:color="auto"/>
                          </w:divBdr>
                          <w:divsChild>
                            <w:div w:id="1451655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2793-579D-4341-BB61-C233040C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987</Words>
  <Characters>6853</Characters>
  <Application>Microsoft Office Word</Application>
  <DocSecurity>0</DocSecurity>
  <Lines>489</Lines>
  <Paragraphs>182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2011.gada 2.augusta noteikumos Nr.614 „Noteikumi par darbības programmas „Uzņēmējdarbība un inovācijas” papildinājuma 2.2.1.4.2.apakšaktivitāti „Mezanīna aizdevumi investīcijām komersantu k</vt:lpstr>
    </vt:vector>
  </TitlesOfParts>
  <Company>LR Ekonomikas ministrija</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2.augusta noteikumos Nr.614 „Noteikumi par darbības programmas „Uzņēmējdarbība un inovācijas” papildinājuma 2.2.1.4.2.apakšaktivitāti „Mezanīna aizdevumi investīcijām komersantu konkurētspējas uzlabošanai”””</dc:title>
  <dc:subject>Ministru kabineta noteikumu projekta „Grozījumi Ministru kabineta 2011.gada 2.augusta noteikumos Nr.614 „Noteikumi par darbības programmas „Uzņēmējdarbība un inovācijas” papildinājuma 2.2.1.4.2.apakšaktivitāti „Mezanīna aizdevumi investīcijām komersantu konkurētspējas uzlabošanai””” sākotnējās ietekmes novērtējuma ziņojums sākotnējās ietekmes novērtējuma ziņojums (anotācija)</dc:subject>
  <dc:creator>Agita Nicmane</dc:creator>
  <dc:description>67013203, Agita.Nicmane@em.gov.lv</dc:description>
  <cp:lastModifiedBy>Agita Nicmane</cp:lastModifiedBy>
  <cp:revision>3</cp:revision>
  <cp:lastPrinted>2013-11-22T13:52:00Z</cp:lastPrinted>
  <dcterms:created xsi:type="dcterms:W3CDTF">2013-12-11T20:59:00Z</dcterms:created>
  <dcterms:modified xsi:type="dcterms:W3CDTF">2013-12-12T08:06:00Z</dcterms:modified>
</cp:coreProperties>
</file>