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63" w:rsidRDefault="00BB09C5" w:rsidP="00F22471">
      <w:pPr>
        <w:pStyle w:val="BodyText"/>
        <w:jc w:val="center"/>
        <w:rPr>
          <w:b/>
          <w:sz w:val="26"/>
          <w:szCs w:val="26"/>
        </w:rPr>
      </w:pPr>
      <w:bookmarkStart w:id="0" w:name="OLE_LINK3"/>
      <w:bookmarkStart w:id="1" w:name="OLE_LINK1"/>
      <w:bookmarkStart w:id="2" w:name="OLE_LINK2"/>
      <w:r w:rsidRPr="00F5798D">
        <w:rPr>
          <w:b/>
          <w:sz w:val="26"/>
          <w:szCs w:val="26"/>
        </w:rPr>
        <w:t xml:space="preserve">Ministru kabineta </w:t>
      </w:r>
      <w:r w:rsidR="00C83591" w:rsidRPr="00F5798D">
        <w:rPr>
          <w:b/>
          <w:sz w:val="26"/>
          <w:szCs w:val="26"/>
        </w:rPr>
        <w:t>noteikumu</w:t>
      </w:r>
      <w:r w:rsidR="004312AE">
        <w:rPr>
          <w:b/>
          <w:sz w:val="26"/>
          <w:szCs w:val="26"/>
        </w:rPr>
        <w:t xml:space="preserve"> </w:t>
      </w:r>
      <w:r w:rsidRPr="00F5798D">
        <w:rPr>
          <w:b/>
          <w:sz w:val="26"/>
          <w:szCs w:val="26"/>
        </w:rPr>
        <w:t xml:space="preserve">projekta </w:t>
      </w:r>
      <w:r w:rsidR="0040578F" w:rsidRPr="00F5798D">
        <w:rPr>
          <w:b/>
          <w:sz w:val="26"/>
          <w:szCs w:val="26"/>
        </w:rPr>
        <w:t>„</w:t>
      </w:r>
      <w:r w:rsidR="001E1C63">
        <w:rPr>
          <w:b/>
          <w:sz w:val="26"/>
          <w:szCs w:val="26"/>
        </w:rPr>
        <w:t>Grozījum</w:t>
      </w:r>
      <w:r w:rsidR="004312AE">
        <w:rPr>
          <w:b/>
          <w:sz w:val="26"/>
          <w:szCs w:val="26"/>
        </w:rPr>
        <w:t>i Ministru kabineta 2013</w:t>
      </w:r>
      <w:r w:rsidR="00EF5FA2" w:rsidRPr="00F5798D">
        <w:rPr>
          <w:b/>
          <w:sz w:val="26"/>
          <w:szCs w:val="26"/>
        </w:rPr>
        <w:t xml:space="preserve">.gada </w:t>
      </w:r>
      <w:r w:rsidR="004312AE">
        <w:rPr>
          <w:b/>
          <w:sz w:val="26"/>
          <w:szCs w:val="26"/>
        </w:rPr>
        <w:t>18.jūnij</w:t>
      </w:r>
      <w:r w:rsidR="001E1C63">
        <w:rPr>
          <w:b/>
          <w:sz w:val="26"/>
          <w:szCs w:val="26"/>
        </w:rPr>
        <w:t>a noteikumos Nr.</w:t>
      </w:r>
      <w:r w:rsidR="004312AE">
        <w:rPr>
          <w:b/>
          <w:sz w:val="26"/>
          <w:szCs w:val="26"/>
        </w:rPr>
        <w:t>327</w:t>
      </w:r>
      <w:r w:rsidR="00F347AC">
        <w:rPr>
          <w:b/>
          <w:sz w:val="26"/>
          <w:szCs w:val="26"/>
        </w:rPr>
        <w:t xml:space="preserve"> </w:t>
      </w:r>
      <w:r w:rsidR="00EF5FA2" w:rsidRPr="00F5798D">
        <w:rPr>
          <w:b/>
          <w:sz w:val="26"/>
          <w:szCs w:val="26"/>
        </w:rPr>
        <w:t xml:space="preserve">„Noteikumi par </w:t>
      </w:r>
      <w:r w:rsidR="004312AE">
        <w:rPr>
          <w:b/>
          <w:sz w:val="26"/>
          <w:szCs w:val="26"/>
        </w:rPr>
        <w:t>mikroaizdevumiem</w:t>
      </w:r>
      <w:r w:rsidR="001E1C63">
        <w:rPr>
          <w:b/>
          <w:sz w:val="26"/>
          <w:szCs w:val="26"/>
        </w:rPr>
        <w:t xml:space="preserve"> saimnieciskās darbības veicēju konkurētspējas uzlabošanai</w:t>
      </w:r>
      <w:r w:rsidR="00EF5FA2" w:rsidRPr="00F5798D">
        <w:rPr>
          <w:b/>
          <w:sz w:val="26"/>
          <w:szCs w:val="26"/>
        </w:rPr>
        <w:t>”</w:t>
      </w:r>
      <w:r w:rsidR="008F230C" w:rsidRPr="00F5798D">
        <w:rPr>
          <w:b/>
          <w:sz w:val="26"/>
          <w:szCs w:val="26"/>
        </w:rPr>
        <w:t>”</w:t>
      </w:r>
      <w:r w:rsidR="00F347AC">
        <w:rPr>
          <w:b/>
          <w:sz w:val="26"/>
          <w:szCs w:val="26"/>
        </w:rPr>
        <w:t xml:space="preserve"> </w:t>
      </w:r>
      <w:r w:rsidR="003000F0" w:rsidRPr="00F5798D">
        <w:rPr>
          <w:b/>
          <w:sz w:val="26"/>
          <w:szCs w:val="26"/>
        </w:rPr>
        <w:t xml:space="preserve">sākotnējās ietekmes novērtējuma </w:t>
      </w:r>
      <w:smartTag w:uri="schemas-tilde-lv/tildestengine" w:element="veidnes">
        <w:smartTagPr>
          <w:attr w:name="text" w:val="ziņojums"/>
          <w:attr w:name="baseform" w:val="ziņojums"/>
          <w:attr w:name="id" w:val="-1"/>
        </w:smartTagPr>
        <w:r w:rsidR="003000F0" w:rsidRPr="00F5798D">
          <w:rPr>
            <w:b/>
            <w:sz w:val="26"/>
            <w:szCs w:val="26"/>
          </w:rPr>
          <w:t>ziņojums</w:t>
        </w:r>
      </w:smartTag>
      <w:r w:rsidR="003000F0" w:rsidRPr="00F5798D">
        <w:rPr>
          <w:b/>
          <w:sz w:val="26"/>
          <w:szCs w:val="26"/>
        </w:rPr>
        <w:t>(</w:t>
      </w:r>
      <w:r w:rsidR="00E73425" w:rsidRPr="00F5798D">
        <w:rPr>
          <w:b/>
          <w:sz w:val="26"/>
          <w:szCs w:val="26"/>
        </w:rPr>
        <w:t>anotācija</w:t>
      </w:r>
      <w:r w:rsidR="003000F0" w:rsidRPr="00F5798D">
        <w:rPr>
          <w:b/>
          <w:sz w:val="26"/>
          <w:szCs w:val="26"/>
        </w:rPr>
        <w:t>)</w:t>
      </w:r>
    </w:p>
    <w:p w:rsidR="00E54ED0" w:rsidRPr="00F5798D" w:rsidRDefault="00E54ED0"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332B15"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F5798D" w:rsidRDefault="00A31FDC" w:rsidP="00F22471">
            <w:pPr>
              <w:ind w:firstLine="720"/>
              <w:jc w:val="both"/>
              <w:rPr>
                <w:rFonts w:eastAsia="Times New Roman"/>
                <w:b/>
                <w:sz w:val="26"/>
                <w:szCs w:val="26"/>
                <w:lang w:val="lv-LV" w:eastAsia="lv-LV"/>
              </w:rPr>
            </w:pPr>
            <w:r w:rsidRPr="00F5798D">
              <w:rPr>
                <w:rFonts w:eastAsia="Times New Roman"/>
                <w:b/>
                <w:sz w:val="26"/>
                <w:szCs w:val="26"/>
                <w:lang w:val="lv-LV" w:eastAsia="lv-LV"/>
              </w:rPr>
              <w:t>I.Tiesību akta projekta izstrādes nepieciešamība</w:t>
            </w:r>
          </w:p>
        </w:tc>
      </w:tr>
      <w:tr w:rsidR="00A31FDC" w:rsidRPr="00332B15"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C5E" w:rsidRDefault="0016543A" w:rsidP="0016543A">
            <w:pPr>
              <w:pStyle w:val="naislab"/>
              <w:tabs>
                <w:tab w:val="left" w:pos="750"/>
                <w:tab w:val="right" w:pos="6885"/>
              </w:tabs>
              <w:spacing w:before="0" w:after="120"/>
              <w:jc w:val="both"/>
            </w:pPr>
            <w:r>
              <w:tab/>
            </w:r>
            <w:r w:rsidR="00154C5E">
              <w:t xml:space="preserve"> </w:t>
            </w:r>
            <w:r w:rsidR="00154C5E" w:rsidRPr="00154C5E">
              <w:rPr>
                <w:sz w:val="26"/>
                <w:szCs w:val="26"/>
              </w:rPr>
              <w:t>Ministru kabineta</w:t>
            </w:r>
            <w:r w:rsidR="00154C5E">
              <w:rPr>
                <w:sz w:val="26"/>
                <w:szCs w:val="26"/>
              </w:rPr>
              <w:t xml:space="preserve"> 2013.gada 18.jūnija noteikumi</w:t>
            </w:r>
            <w:r w:rsidR="00154C5E" w:rsidRPr="00154C5E">
              <w:rPr>
                <w:sz w:val="26"/>
                <w:szCs w:val="26"/>
              </w:rPr>
              <w:t xml:space="preserve"> Nr.327 „Noteikumi par mikroaizdevumiem saimnieciskās darbības veicēju konkurētspējas uzlabošanai” (turpmāk – MK noteikumi Nr.327)</w:t>
            </w:r>
            <w:r w:rsidR="00154C5E">
              <w:rPr>
                <w:sz w:val="26"/>
                <w:szCs w:val="26"/>
              </w:rPr>
              <w:t xml:space="preserve"> izdoti saskaņā ar Ministru kabineta iekārtas likuma 31.panta pirmās daļas 3.punktu. </w:t>
            </w:r>
          </w:p>
          <w:p w:rsidR="0016543A" w:rsidRPr="0016543A" w:rsidRDefault="0001626D" w:rsidP="00154C5E">
            <w:pPr>
              <w:pStyle w:val="naislab"/>
              <w:tabs>
                <w:tab w:val="left" w:pos="750"/>
                <w:tab w:val="right" w:pos="6885"/>
              </w:tabs>
              <w:spacing w:before="0" w:after="120"/>
              <w:ind w:firstLine="850"/>
              <w:jc w:val="both"/>
              <w:rPr>
                <w:rFonts w:eastAsia="Calibri"/>
                <w:sz w:val="26"/>
                <w:szCs w:val="26"/>
                <w:lang w:eastAsia="en-US"/>
              </w:rPr>
            </w:pPr>
            <w:r w:rsidRPr="00BD641D">
              <w:rPr>
                <w:sz w:val="26"/>
                <w:szCs w:val="26"/>
              </w:rPr>
              <w:t xml:space="preserve">Noteikumu projekts sagatavots, pamatojoties uz </w:t>
            </w:r>
            <w:r w:rsidR="00332B15" w:rsidRPr="004312AE">
              <w:rPr>
                <w:sz w:val="26"/>
                <w:szCs w:val="26"/>
              </w:rPr>
              <w:t>Euro ieviešanas kārtības likuma 30.panta pirmā daļa</w:t>
            </w:r>
            <w:r w:rsidR="004312AE">
              <w:rPr>
                <w:sz w:val="26"/>
                <w:szCs w:val="26"/>
              </w:rPr>
              <w:t>s</w:t>
            </w:r>
            <w:r w:rsidR="00332B15" w:rsidRPr="004312AE">
              <w:rPr>
                <w:sz w:val="26"/>
                <w:szCs w:val="26"/>
              </w:rPr>
              <w:t xml:space="preserve"> un Ministru kabineta 2012.gada 27.jūnija rīkojuma Nr.282 „Par „Koncepciju par normatīvo aktu sakārtošanu saistībā ar eiro ieviešanu L</w:t>
            </w:r>
            <w:r w:rsidR="004312AE">
              <w:rPr>
                <w:sz w:val="26"/>
                <w:szCs w:val="26"/>
              </w:rPr>
              <w:t>atvijā”” 7.1.apakšpunktu</w:t>
            </w:r>
            <w:r w:rsidR="0016543A">
              <w:rPr>
                <w:sz w:val="26"/>
                <w:szCs w:val="26"/>
              </w:rPr>
              <w:t xml:space="preserve">, kā arī </w:t>
            </w:r>
            <w:r w:rsidR="0016543A" w:rsidRPr="003131B9">
              <w:rPr>
                <w:sz w:val="26"/>
                <w:szCs w:val="26"/>
              </w:rPr>
              <w:t>Komisijas Regul</w:t>
            </w:r>
            <w:r w:rsidR="00085339">
              <w:rPr>
                <w:sz w:val="26"/>
                <w:szCs w:val="26"/>
              </w:rPr>
              <w:t>as</w:t>
            </w:r>
            <w:r w:rsidR="0016543A" w:rsidRPr="003131B9">
              <w:rPr>
                <w:sz w:val="26"/>
                <w:szCs w:val="26"/>
              </w:rPr>
              <w:t xml:space="preserve"> (EK) Nr. 1998/2006 (2006. gada 15. decembris) par Līguma 87. un 88. panta piemērošanu de minimis atbalstam</w:t>
            </w:r>
            <w:r w:rsidR="00154C5E">
              <w:rPr>
                <w:sz w:val="26"/>
                <w:szCs w:val="26"/>
              </w:rPr>
              <w:t xml:space="preserve"> (turpmāk – Regula </w:t>
            </w:r>
            <w:r w:rsidR="00F347AC">
              <w:rPr>
                <w:sz w:val="26"/>
                <w:szCs w:val="26"/>
              </w:rPr>
              <w:t>Nr.</w:t>
            </w:r>
            <w:r w:rsidR="00154C5E">
              <w:rPr>
                <w:sz w:val="26"/>
                <w:szCs w:val="26"/>
              </w:rPr>
              <w:t>1998/2006)</w:t>
            </w:r>
            <w:r w:rsidR="00D07138">
              <w:rPr>
                <w:sz w:val="26"/>
                <w:szCs w:val="26"/>
              </w:rPr>
              <w:t xml:space="preserve"> 5</w:t>
            </w:r>
            <w:r w:rsidR="00A516E4">
              <w:rPr>
                <w:sz w:val="26"/>
                <w:szCs w:val="26"/>
              </w:rPr>
              <w:t>.panta 3.punktu</w:t>
            </w:r>
            <w:r w:rsidR="0016543A">
              <w:rPr>
                <w:sz w:val="26"/>
                <w:szCs w:val="26"/>
              </w:rPr>
              <w:t>.</w:t>
            </w:r>
          </w:p>
        </w:tc>
      </w:tr>
      <w:tr w:rsidR="00A31FDC" w:rsidRPr="00332B15"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2B1CC6" w:rsidRDefault="002C3DCC" w:rsidP="008D1537">
            <w:pPr>
              <w:spacing w:before="60" w:after="60"/>
              <w:ind w:firstLine="709"/>
              <w:jc w:val="both"/>
              <w:rPr>
                <w:sz w:val="26"/>
                <w:szCs w:val="26"/>
                <w:lang w:val="lv-LV"/>
              </w:rPr>
            </w:pPr>
            <w:r>
              <w:rPr>
                <w:sz w:val="26"/>
                <w:szCs w:val="26"/>
                <w:lang w:val="lv-LV"/>
              </w:rPr>
              <w:t xml:space="preserve">Saskaņā ar </w:t>
            </w:r>
            <w:r w:rsidR="00154C5E">
              <w:rPr>
                <w:sz w:val="26"/>
                <w:szCs w:val="26"/>
                <w:lang w:val="lv-LV"/>
              </w:rPr>
              <w:t>MK</w:t>
            </w:r>
            <w:r w:rsidR="004312AE">
              <w:rPr>
                <w:sz w:val="26"/>
                <w:szCs w:val="26"/>
                <w:lang w:val="lv-LV"/>
              </w:rPr>
              <w:t xml:space="preserve"> noteikumiem</w:t>
            </w:r>
            <w:r>
              <w:rPr>
                <w:sz w:val="26"/>
                <w:szCs w:val="26"/>
                <w:lang w:val="lv-LV"/>
              </w:rPr>
              <w:t xml:space="preserve"> Nr.</w:t>
            </w:r>
            <w:r w:rsidR="004312AE">
              <w:rPr>
                <w:sz w:val="26"/>
                <w:szCs w:val="26"/>
                <w:lang w:val="lv-LV"/>
              </w:rPr>
              <w:t>327</w:t>
            </w:r>
            <w:r>
              <w:rPr>
                <w:sz w:val="26"/>
                <w:szCs w:val="26"/>
                <w:lang w:val="lv-LV"/>
              </w:rPr>
              <w:t xml:space="preserve"> </w:t>
            </w:r>
            <w:r w:rsidR="00972B86">
              <w:rPr>
                <w:sz w:val="26"/>
                <w:szCs w:val="26"/>
                <w:lang w:val="lv-LV"/>
              </w:rPr>
              <w:t xml:space="preserve"> </w:t>
            </w:r>
            <w:r w:rsidR="004312AE">
              <w:rPr>
                <w:sz w:val="26"/>
                <w:szCs w:val="26"/>
                <w:lang w:val="lv-LV"/>
              </w:rPr>
              <w:t>kopējais aizdevumu fonda un viena aizdevuma apmērs izteikts eiro un latu valūta.</w:t>
            </w:r>
            <w:r>
              <w:rPr>
                <w:sz w:val="26"/>
                <w:szCs w:val="26"/>
                <w:lang w:val="lv-LV"/>
              </w:rPr>
              <w:t xml:space="preserve"> </w:t>
            </w:r>
            <w:r w:rsidR="004312AE">
              <w:rPr>
                <w:sz w:val="26"/>
                <w:szCs w:val="26"/>
                <w:lang w:val="lv-LV"/>
              </w:rPr>
              <w:t>Ņemot vērā eiro ieviešanu Latvijā līdz ar 2014.gada 1.janvāri, jāveic grozījumi MK noteikumos Nr.327, norādot aizdevumu fonda un vie</w:t>
            </w:r>
            <w:r w:rsidR="00584745">
              <w:rPr>
                <w:sz w:val="26"/>
                <w:szCs w:val="26"/>
                <w:lang w:val="lv-LV"/>
              </w:rPr>
              <w:t xml:space="preserve">na aizdevuma apmēru </w:t>
            </w:r>
            <w:r w:rsidR="00584745" w:rsidRPr="00085339">
              <w:rPr>
                <w:i/>
                <w:sz w:val="26"/>
                <w:szCs w:val="26"/>
                <w:u w:val="single"/>
                <w:lang w:val="lv-LV"/>
              </w:rPr>
              <w:t>eiro valūtā</w:t>
            </w:r>
            <w:r w:rsidR="00584745">
              <w:rPr>
                <w:sz w:val="26"/>
                <w:szCs w:val="26"/>
                <w:lang w:val="lv-LV"/>
              </w:rPr>
              <w:t>, kā arī</w:t>
            </w:r>
            <w:r w:rsidR="004312AE">
              <w:rPr>
                <w:sz w:val="26"/>
                <w:szCs w:val="26"/>
                <w:lang w:val="lv-LV"/>
              </w:rPr>
              <w:t xml:space="preserve"> </w:t>
            </w:r>
            <w:r w:rsidR="00584745">
              <w:rPr>
                <w:sz w:val="26"/>
                <w:szCs w:val="26"/>
                <w:lang w:val="lv-LV"/>
              </w:rPr>
              <w:t xml:space="preserve">jāsvītro atsauce par </w:t>
            </w:r>
            <w:r w:rsidR="007F6FA2">
              <w:rPr>
                <w:sz w:val="26"/>
                <w:szCs w:val="26"/>
                <w:lang w:val="lv-LV"/>
              </w:rPr>
              <w:t>subsīdijas ekvi</w:t>
            </w:r>
            <w:r w:rsidR="002B1CC6">
              <w:rPr>
                <w:sz w:val="26"/>
                <w:szCs w:val="26"/>
                <w:lang w:val="lv-LV"/>
              </w:rPr>
              <w:t>valenta</w:t>
            </w:r>
            <w:r w:rsidR="007F6FA2">
              <w:rPr>
                <w:sz w:val="26"/>
                <w:szCs w:val="26"/>
                <w:lang w:val="lv-LV"/>
              </w:rPr>
              <w:t xml:space="preserve"> </w:t>
            </w:r>
            <w:r w:rsidR="00584745">
              <w:rPr>
                <w:sz w:val="26"/>
                <w:szCs w:val="26"/>
                <w:lang w:val="lv-LV"/>
              </w:rPr>
              <w:t xml:space="preserve">uzskaiti </w:t>
            </w:r>
            <w:r w:rsidR="007F6FA2">
              <w:rPr>
                <w:sz w:val="26"/>
                <w:szCs w:val="26"/>
                <w:lang w:val="lv-LV"/>
              </w:rPr>
              <w:t>latos</w:t>
            </w:r>
            <w:r w:rsidR="00584745">
              <w:rPr>
                <w:sz w:val="26"/>
                <w:szCs w:val="26"/>
                <w:lang w:val="lv-LV"/>
              </w:rPr>
              <w:t xml:space="preserve">. Noteikumu projektā norādītās summas </w:t>
            </w:r>
            <w:r w:rsidR="000A2A54">
              <w:rPr>
                <w:sz w:val="26"/>
                <w:szCs w:val="26"/>
                <w:lang w:val="lv-LV"/>
              </w:rPr>
              <w:t xml:space="preserve">jau sākotnēji noteiktas eiro un </w:t>
            </w:r>
            <w:r w:rsidR="00584745" w:rsidRPr="00584745">
              <w:rPr>
                <w:sz w:val="26"/>
                <w:szCs w:val="26"/>
                <w:lang w:val="lv-LV"/>
              </w:rPr>
              <w:t xml:space="preserve">aprēķins uz </w:t>
            </w:r>
            <w:r w:rsidR="000A2A54">
              <w:rPr>
                <w:sz w:val="26"/>
                <w:szCs w:val="26"/>
                <w:lang w:val="lv-LV"/>
              </w:rPr>
              <w:t>latiem</w:t>
            </w:r>
            <w:r w:rsidR="00584745" w:rsidRPr="00584745">
              <w:rPr>
                <w:sz w:val="26"/>
                <w:szCs w:val="26"/>
                <w:lang w:val="lv-LV"/>
              </w:rPr>
              <w:t xml:space="preserve"> veikts pēc kursa  </w:t>
            </w:r>
            <w:r w:rsidR="00584745" w:rsidRPr="00085339">
              <w:rPr>
                <w:i/>
                <w:sz w:val="26"/>
                <w:szCs w:val="26"/>
                <w:lang w:val="lv-LV"/>
              </w:rPr>
              <w:t>1eiro</w:t>
            </w:r>
            <w:r w:rsidR="00584745" w:rsidRPr="00584745">
              <w:rPr>
                <w:sz w:val="26"/>
                <w:szCs w:val="26"/>
                <w:lang w:val="lv-LV"/>
              </w:rPr>
              <w:t xml:space="preserve">  = 0,702804 lati</w:t>
            </w:r>
            <w:r w:rsidR="002B1CC6">
              <w:rPr>
                <w:sz w:val="26"/>
                <w:szCs w:val="26"/>
                <w:lang w:val="lv-LV"/>
              </w:rPr>
              <w:t xml:space="preserve">. MK noteikumu Nr.327 2.punktā norādītais </w:t>
            </w:r>
            <w:r w:rsidR="002B1CC6" w:rsidRPr="002B1CC6">
              <w:rPr>
                <w:sz w:val="26"/>
                <w:szCs w:val="26"/>
                <w:lang w:val="lv-LV"/>
              </w:rPr>
              <w:t>Eiro</w:t>
            </w:r>
            <w:r w:rsidR="002B1CC6">
              <w:rPr>
                <w:sz w:val="26"/>
                <w:szCs w:val="26"/>
                <w:lang w:val="lv-LV"/>
              </w:rPr>
              <w:t xml:space="preserve">pas Reģionālās attīstības fonda </w:t>
            </w:r>
            <w:r w:rsidR="002B1CC6" w:rsidRPr="002B1CC6">
              <w:rPr>
                <w:sz w:val="26"/>
                <w:szCs w:val="26"/>
                <w:lang w:val="lv-LV"/>
              </w:rPr>
              <w:t xml:space="preserve">finansējums </w:t>
            </w:r>
            <w:r w:rsidR="00BE7FDD">
              <w:rPr>
                <w:sz w:val="26"/>
                <w:szCs w:val="26"/>
                <w:lang w:val="lv-LV"/>
              </w:rPr>
              <w:t xml:space="preserve">(turpmāk – ERAF) </w:t>
            </w:r>
            <w:r w:rsidR="002B1CC6" w:rsidRPr="002B1CC6">
              <w:rPr>
                <w:sz w:val="26"/>
                <w:szCs w:val="26"/>
                <w:lang w:val="lv-LV"/>
              </w:rPr>
              <w:t>4 610</w:t>
            </w:r>
            <w:r w:rsidR="002B1CC6">
              <w:rPr>
                <w:sz w:val="26"/>
                <w:szCs w:val="26"/>
                <w:lang w:val="lv-LV"/>
              </w:rPr>
              <w:t> </w:t>
            </w:r>
            <w:r w:rsidR="002B1CC6" w:rsidRPr="002B1CC6">
              <w:rPr>
                <w:sz w:val="26"/>
                <w:szCs w:val="26"/>
                <w:lang w:val="lv-LV"/>
              </w:rPr>
              <w:t>736</w:t>
            </w:r>
            <w:r w:rsidR="002B1CC6">
              <w:rPr>
                <w:sz w:val="26"/>
                <w:szCs w:val="26"/>
                <w:lang w:val="lv-LV"/>
              </w:rPr>
              <w:t xml:space="preserve"> eiro norādīts kā ekvivalents  3 240 443 latiem. </w:t>
            </w:r>
            <w:r w:rsidR="00BE7FDD">
              <w:rPr>
                <w:sz w:val="26"/>
                <w:szCs w:val="26"/>
                <w:lang w:val="lv-LV"/>
              </w:rPr>
              <w:t>Finansējuma sadalījuma proporcijai publiskā finansējuma ietvaros (proporcija starp ERAF un valsts budžetu) jābūt atbilstošai Ministru kabineta 2011.gada 19.oktobra noteikumiem Nr.818 „N</w:t>
            </w:r>
            <w:r w:rsidR="00BE7FDD" w:rsidRPr="00BE7FDD">
              <w:rPr>
                <w:sz w:val="26"/>
                <w:szCs w:val="26"/>
                <w:lang w:val="lv-LV"/>
              </w:rPr>
              <w:t>ot</w:t>
            </w:r>
            <w:r w:rsidR="00BE7FDD">
              <w:rPr>
                <w:sz w:val="26"/>
                <w:szCs w:val="26"/>
                <w:lang w:val="lv-LV"/>
              </w:rPr>
              <w:t>eikumi par darbības programmas „Uzņēmējdarbība un inovācijas”</w:t>
            </w:r>
            <w:r w:rsidR="00BE7FDD" w:rsidRPr="00BE7FDD">
              <w:rPr>
                <w:sz w:val="26"/>
                <w:szCs w:val="26"/>
                <w:lang w:val="lv-LV"/>
              </w:rPr>
              <w:t xml:space="preserve"> pa</w:t>
            </w:r>
            <w:r w:rsidR="00BE7FDD">
              <w:rPr>
                <w:sz w:val="26"/>
                <w:szCs w:val="26"/>
                <w:lang w:val="lv-LV"/>
              </w:rPr>
              <w:t>pildinājuma 2.2.1.1.aktivitāti „</w:t>
            </w:r>
            <w:r w:rsidR="00BE7FDD" w:rsidRPr="00BE7FDD">
              <w:rPr>
                <w:sz w:val="26"/>
                <w:szCs w:val="26"/>
                <w:lang w:val="lv-LV"/>
              </w:rPr>
              <w:t xml:space="preserve">Ieguldījumu fonds investīcijām garantijās, paaugstināta riska aizdevumos, riska kapitāla fondos un </w:t>
            </w:r>
            <w:r w:rsidR="00BE7FDD">
              <w:rPr>
                <w:sz w:val="26"/>
                <w:szCs w:val="26"/>
                <w:lang w:val="lv-LV"/>
              </w:rPr>
              <w:t>cita veida finanšu instrumentos”</w:t>
            </w:r>
            <w:r w:rsidR="00154C5E">
              <w:rPr>
                <w:sz w:val="26"/>
                <w:szCs w:val="26"/>
                <w:lang w:val="lv-LV"/>
              </w:rPr>
              <w:t xml:space="preserve"> (turpmāk – MK noteikumi Nr.818)</w:t>
            </w:r>
            <w:r w:rsidR="00BE7FDD">
              <w:rPr>
                <w:sz w:val="26"/>
                <w:szCs w:val="26"/>
                <w:lang w:val="lv-LV"/>
              </w:rPr>
              <w:t>, kurā ERAF daļa ir 0,9221472355. Tādejādi secināms, ka MK noteikumu Nr.327 no</w:t>
            </w:r>
            <w:r w:rsidR="00AE095B">
              <w:rPr>
                <w:sz w:val="26"/>
                <w:szCs w:val="26"/>
                <w:lang w:val="lv-LV"/>
              </w:rPr>
              <w:t>rādītais</w:t>
            </w:r>
            <w:r w:rsidR="00BE7FDD">
              <w:rPr>
                <w:sz w:val="26"/>
                <w:szCs w:val="26"/>
                <w:lang w:val="lv-LV"/>
              </w:rPr>
              <w:t xml:space="preserve"> ERAF un valsts budžeta finansējums </w:t>
            </w:r>
            <w:r w:rsidR="00BE7FDD" w:rsidRPr="00085339">
              <w:rPr>
                <w:i/>
                <w:sz w:val="26"/>
                <w:szCs w:val="26"/>
                <w:u w:val="single"/>
                <w:lang w:val="lv-LV"/>
              </w:rPr>
              <w:t>eiro</w:t>
            </w:r>
            <w:r w:rsidR="00BE7FDD" w:rsidRPr="00154C5E">
              <w:rPr>
                <w:sz w:val="26"/>
                <w:szCs w:val="26"/>
                <w:u w:val="single"/>
                <w:lang w:val="lv-LV"/>
              </w:rPr>
              <w:t xml:space="preserve"> valūtā</w:t>
            </w:r>
            <w:r w:rsidR="00BE7FDD">
              <w:rPr>
                <w:sz w:val="26"/>
                <w:szCs w:val="26"/>
                <w:lang w:val="lv-LV"/>
              </w:rPr>
              <w:t xml:space="preserve"> </w:t>
            </w:r>
            <w:r w:rsidR="000A2A54">
              <w:rPr>
                <w:sz w:val="26"/>
                <w:szCs w:val="26"/>
                <w:lang w:val="lv-LV"/>
              </w:rPr>
              <w:t xml:space="preserve">jau sākotnēji norādīts </w:t>
            </w:r>
            <w:r w:rsidR="00BE7FDD">
              <w:rPr>
                <w:sz w:val="26"/>
                <w:szCs w:val="26"/>
                <w:lang w:val="lv-LV"/>
              </w:rPr>
              <w:t xml:space="preserve"> </w:t>
            </w:r>
            <w:r w:rsidR="000A2A54">
              <w:rPr>
                <w:sz w:val="26"/>
                <w:szCs w:val="26"/>
                <w:lang w:val="lv-LV"/>
              </w:rPr>
              <w:t>pareizi</w:t>
            </w:r>
            <w:r w:rsidR="00AE095B">
              <w:rPr>
                <w:sz w:val="26"/>
                <w:szCs w:val="26"/>
                <w:lang w:val="lv-LV"/>
              </w:rPr>
              <w:t>, savukārt, veicot pārrēķinu uz latiem, 3 240 443 latu vietā parei</w:t>
            </w:r>
            <w:r w:rsidR="000A2A54">
              <w:rPr>
                <w:sz w:val="26"/>
                <w:szCs w:val="26"/>
                <w:lang w:val="lv-LV"/>
              </w:rPr>
              <w:t>zi būtu norādīt 3 240 444 latus. Ņ</w:t>
            </w:r>
            <w:r w:rsidR="00AE095B">
              <w:rPr>
                <w:sz w:val="26"/>
                <w:szCs w:val="26"/>
                <w:lang w:val="lv-LV"/>
              </w:rPr>
              <w:t xml:space="preserve">emot vērā, ka summas latos tiek svītrotas no MK noteikumiem Nr.327, </w:t>
            </w:r>
            <w:r w:rsidR="000A2A54">
              <w:rPr>
                <w:sz w:val="26"/>
                <w:szCs w:val="26"/>
                <w:lang w:val="lv-LV"/>
              </w:rPr>
              <w:t>augstāk minētā</w:t>
            </w:r>
            <w:r w:rsidR="00AE095B">
              <w:rPr>
                <w:sz w:val="26"/>
                <w:szCs w:val="26"/>
                <w:lang w:val="lv-LV"/>
              </w:rPr>
              <w:t xml:space="preserve"> summa </w:t>
            </w:r>
            <w:r w:rsidR="00AE095B">
              <w:rPr>
                <w:sz w:val="26"/>
                <w:szCs w:val="26"/>
                <w:lang w:val="lv-LV"/>
              </w:rPr>
              <w:lastRenderedPageBreak/>
              <w:t>latos nav jākoriģē.</w:t>
            </w:r>
          </w:p>
          <w:p w:rsidR="008101B4" w:rsidRPr="00805719" w:rsidRDefault="00805719" w:rsidP="00D07138">
            <w:pPr>
              <w:spacing w:before="60" w:after="60"/>
              <w:ind w:firstLine="709"/>
              <w:jc w:val="both"/>
              <w:rPr>
                <w:sz w:val="26"/>
                <w:szCs w:val="26"/>
                <w:lang w:val="lv-LV"/>
              </w:rPr>
            </w:pPr>
            <w:r w:rsidRPr="00805719">
              <w:rPr>
                <w:sz w:val="26"/>
                <w:szCs w:val="26"/>
                <w:lang w:val="lv-LV"/>
              </w:rPr>
              <w:t>Tāpat arī Ministru kabineta noteikumu projekts „Grozījumi Ministru kabineta 2013.gada 18.jūnija noteikumos Nr.327</w:t>
            </w:r>
            <w:r w:rsidR="00154C5E">
              <w:rPr>
                <w:sz w:val="26"/>
                <w:szCs w:val="26"/>
                <w:lang w:val="lv-LV"/>
              </w:rPr>
              <w:t xml:space="preserve"> </w:t>
            </w:r>
            <w:r w:rsidRPr="00805719">
              <w:rPr>
                <w:sz w:val="26"/>
                <w:szCs w:val="26"/>
                <w:lang w:val="lv-LV"/>
              </w:rPr>
              <w:t xml:space="preserve">„Noteikumi par mikroaizdevumiem saimnieciskās darbības veicēju konkurētspējas uzlabošanai” </w:t>
            </w:r>
            <w:r>
              <w:rPr>
                <w:sz w:val="26"/>
                <w:szCs w:val="26"/>
                <w:lang w:val="lv-LV"/>
              </w:rPr>
              <w:t>(turpmāk – noteikumu projekt</w:t>
            </w:r>
            <w:r w:rsidR="003131B9">
              <w:rPr>
                <w:sz w:val="26"/>
                <w:szCs w:val="26"/>
                <w:lang w:val="lv-LV"/>
              </w:rPr>
              <w:t>s</w:t>
            </w:r>
            <w:r>
              <w:rPr>
                <w:sz w:val="26"/>
                <w:szCs w:val="26"/>
                <w:lang w:val="lv-LV"/>
              </w:rPr>
              <w:t xml:space="preserve">) </w:t>
            </w:r>
            <w:r w:rsidRPr="00805719">
              <w:rPr>
                <w:sz w:val="26"/>
                <w:szCs w:val="26"/>
                <w:lang w:val="lv-LV"/>
              </w:rPr>
              <w:t xml:space="preserve">paredz </w:t>
            </w:r>
            <w:r w:rsidR="003131B9">
              <w:rPr>
                <w:sz w:val="26"/>
                <w:szCs w:val="26"/>
                <w:lang w:val="lv-LV"/>
              </w:rPr>
              <w:t xml:space="preserve">termiņa </w:t>
            </w:r>
            <w:r w:rsidRPr="00805719">
              <w:rPr>
                <w:sz w:val="26"/>
                <w:szCs w:val="26"/>
                <w:lang w:val="lv-LV"/>
              </w:rPr>
              <w:t xml:space="preserve">aizdevumu </w:t>
            </w:r>
            <w:r w:rsidR="003131B9">
              <w:rPr>
                <w:sz w:val="26"/>
                <w:szCs w:val="26"/>
                <w:lang w:val="lv-LV"/>
              </w:rPr>
              <w:t>līguma noslēgšanai ar saimnieciskās darbības veicēju</w:t>
            </w:r>
            <w:r>
              <w:rPr>
                <w:sz w:val="26"/>
                <w:szCs w:val="26"/>
                <w:lang w:val="lv-LV"/>
              </w:rPr>
              <w:t xml:space="preserve"> pagarinājumu</w:t>
            </w:r>
            <w:r w:rsidR="00E8473B">
              <w:rPr>
                <w:sz w:val="26"/>
                <w:szCs w:val="26"/>
                <w:lang w:val="lv-LV"/>
              </w:rPr>
              <w:t xml:space="preserve"> – </w:t>
            </w:r>
            <w:r w:rsidR="00E8473B" w:rsidRPr="00B47549">
              <w:rPr>
                <w:sz w:val="26"/>
                <w:szCs w:val="26"/>
                <w:u w:val="single"/>
                <w:lang w:val="lv-LV"/>
              </w:rPr>
              <w:t xml:space="preserve">līdz </w:t>
            </w:r>
            <w:r w:rsidRPr="00B47549">
              <w:rPr>
                <w:sz w:val="26"/>
                <w:szCs w:val="26"/>
                <w:u w:val="single"/>
                <w:lang w:val="lv-LV"/>
              </w:rPr>
              <w:t>2014.gada 30.jūnij</w:t>
            </w:r>
            <w:r w:rsidR="00E8473B" w:rsidRPr="00B47549">
              <w:rPr>
                <w:sz w:val="26"/>
                <w:szCs w:val="26"/>
                <w:u w:val="single"/>
                <w:lang w:val="lv-LV"/>
              </w:rPr>
              <w:t>am</w:t>
            </w:r>
            <w:r>
              <w:rPr>
                <w:sz w:val="26"/>
                <w:szCs w:val="26"/>
                <w:lang w:val="lv-LV"/>
              </w:rPr>
              <w:t xml:space="preserve">. </w:t>
            </w:r>
            <w:r w:rsidR="003131B9">
              <w:rPr>
                <w:sz w:val="26"/>
                <w:szCs w:val="26"/>
                <w:lang w:val="lv-LV"/>
              </w:rPr>
              <w:t xml:space="preserve">MK noteikumu Nr.327 aizdevumu līguma noslēgšanas termiņš 2013.gada 31.decembris noteikts, ņemot vērā </w:t>
            </w:r>
            <w:r w:rsidR="00B47549">
              <w:rPr>
                <w:sz w:val="26"/>
                <w:szCs w:val="26"/>
                <w:lang w:val="lv-LV"/>
              </w:rPr>
              <w:t xml:space="preserve">Regulas </w:t>
            </w:r>
            <w:r w:rsidR="00F347AC">
              <w:rPr>
                <w:sz w:val="26"/>
                <w:szCs w:val="26"/>
                <w:lang w:val="lv-LV"/>
              </w:rPr>
              <w:t>Nr.</w:t>
            </w:r>
            <w:r w:rsidR="00B47549">
              <w:rPr>
                <w:sz w:val="26"/>
                <w:szCs w:val="26"/>
                <w:lang w:val="lv-LV"/>
              </w:rPr>
              <w:t>1998/2006</w:t>
            </w:r>
            <w:r w:rsidR="003131B9">
              <w:rPr>
                <w:sz w:val="26"/>
                <w:szCs w:val="26"/>
                <w:lang w:val="lv-LV"/>
              </w:rPr>
              <w:t xml:space="preserve"> </w:t>
            </w:r>
            <w:r w:rsidR="00D07138">
              <w:rPr>
                <w:sz w:val="26"/>
                <w:szCs w:val="26"/>
                <w:lang w:val="lv-LV"/>
              </w:rPr>
              <w:t>6.pantu, kas nosaka, ka regulu piemēro no 2007.gada 1.janvāra līdz 2013.gada 31.decembrim</w:t>
            </w:r>
            <w:r w:rsidR="003131B9">
              <w:rPr>
                <w:sz w:val="26"/>
                <w:szCs w:val="26"/>
                <w:lang w:val="lv-LV"/>
              </w:rPr>
              <w:t>. Ņemot vērā, ka jaunā Regula</w:t>
            </w:r>
            <w:r w:rsidR="00B47549">
              <w:rPr>
                <w:sz w:val="26"/>
                <w:szCs w:val="26"/>
                <w:lang w:val="lv-LV"/>
              </w:rPr>
              <w:t>, kas regulē</w:t>
            </w:r>
            <w:r w:rsidR="003131B9">
              <w:rPr>
                <w:sz w:val="26"/>
                <w:szCs w:val="26"/>
                <w:lang w:val="lv-LV"/>
              </w:rPr>
              <w:t xml:space="preserve"> </w:t>
            </w:r>
            <w:r w:rsidR="003131B9" w:rsidRPr="00D07138">
              <w:rPr>
                <w:i/>
                <w:sz w:val="26"/>
                <w:szCs w:val="26"/>
                <w:lang w:val="lv-LV"/>
              </w:rPr>
              <w:t>de minimis</w:t>
            </w:r>
            <w:r w:rsidR="003131B9">
              <w:rPr>
                <w:sz w:val="26"/>
                <w:szCs w:val="26"/>
                <w:lang w:val="lv-LV"/>
              </w:rPr>
              <w:t xml:space="preserve"> atbalst</w:t>
            </w:r>
            <w:r w:rsidR="00B47549">
              <w:rPr>
                <w:sz w:val="26"/>
                <w:szCs w:val="26"/>
                <w:lang w:val="lv-LV"/>
              </w:rPr>
              <w:t>u,</w:t>
            </w:r>
            <w:r w:rsidR="003131B9">
              <w:rPr>
                <w:sz w:val="26"/>
                <w:szCs w:val="26"/>
                <w:lang w:val="lv-LV"/>
              </w:rPr>
              <w:t xml:space="preserve"> vēl ir izstrādes stadijā,</w:t>
            </w:r>
            <w:r w:rsidR="00A516E4">
              <w:rPr>
                <w:sz w:val="26"/>
                <w:szCs w:val="26"/>
                <w:lang w:val="lv-LV"/>
              </w:rPr>
              <w:t xml:space="preserve"> </w:t>
            </w:r>
            <w:r w:rsidR="003131B9">
              <w:rPr>
                <w:sz w:val="26"/>
                <w:szCs w:val="26"/>
                <w:lang w:val="lv-LV"/>
              </w:rPr>
              <w:t>l</w:t>
            </w:r>
            <w:r>
              <w:rPr>
                <w:sz w:val="26"/>
                <w:szCs w:val="26"/>
                <w:lang w:val="lv-LV"/>
              </w:rPr>
              <w:t xml:space="preserve">ai nodrošinātu </w:t>
            </w:r>
            <w:r w:rsidR="000A2A54">
              <w:rPr>
                <w:sz w:val="26"/>
                <w:szCs w:val="26"/>
                <w:lang w:val="lv-LV"/>
              </w:rPr>
              <w:t>mikroaizdevumu</w:t>
            </w:r>
            <w:r w:rsidR="003131B9">
              <w:rPr>
                <w:sz w:val="26"/>
                <w:szCs w:val="26"/>
                <w:lang w:val="lv-LV"/>
              </w:rPr>
              <w:t xml:space="preserve"> pieejamību</w:t>
            </w:r>
            <w:r w:rsidR="0024504A">
              <w:rPr>
                <w:sz w:val="26"/>
                <w:szCs w:val="26"/>
                <w:lang w:val="lv-LV"/>
              </w:rPr>
              <w:t xml:space="preserve"> </w:t>
            </w:r>
            <w:r w:rsidR="000A2A54">
              <w:rPr>
                <w:sz w:val="26"/>
                <w:szCs w:val="26"/>
                <w:lang w:val="lv-LV"/>
              </w:rPr>
              <w:t>saimnieciskās darbības veicējiem</w:t>
            </w:r>
            <w:r w:rsidR="0024504A">
              <w:rPr>
                <w:sz w:val="26"/>
                <w:szCs w:val="26"/>
                <w:lang w:val="lv-LV"/>
              </w:rPr>
              <w:t xml:space="preserve"> pēc 2013.gada, nepieciešams pagarināt </w:t>
            </w:r>
            <w:r w:rsidR="00D07138">
              <w:rPr>
                <w:sz w:val="26"/>
                <w:szCs w:val="26"/>
                <w:lang w:val="lv-LV"/>
              </w:rPr>
              <w:t>atbalsta piešķiršanas</w:t>
            </w:r>
            <w:r w:rsidR="0024504A">
              <w:rPr>
                <w:sz w:val="26"/>
                <w:szCs w:val="26"/>
                <w:lang w:val="lv-LV"/>
              </w:rPr>
              <w:t xml:space="preserve"> termiņu</w:t>
            </w:r>
            <w:r w:rsidR="00E8473B">
              <w:rPr>
                <w:sz w:val="26"/>
                <w:szCs w:val="26"/>
                <w:lang w:val="lv-LV"/>
              </w:rPr>
              <w:t xml:space="preserve"> atbilstoši Regulas Nr.1998/2006 </w:t>
            </w:r>
            <w:r w:rsidR="00D07138">
              <w:rPr>
                <w:sz w:val="26"/>
                <w:szCs w:val="26"/>
                <w:lang w:val="lv-LV"/>
              </w:rPr>
              <w:t xml:space="preserve">5.panta 3.punktam, kas nosaka, ka Regulas </w:t>
            </w:r>
            <w:r w:rsidR="00F347AC">
              <w:rPr>
                <w:sz w:val="26"/>
                <w:szCs w:val="26"/>
                <w:lang w:val="lv-LV"/>
              </w:rPr>
              <w:t>Nr.</w:t>
            </w:r>
            <w:r w:rsidR="00D07138">
              <w:rPr>
                <w:sz w:val="26"/>
                <w:szCs w:val="26"/>
                <w:lang w:val="lv-LV"/>
              </w:rPr>
              <w:t xml:space="preserve">1998/2006 spēkā esamības laika beigās jebkuru </w:t>
            </w:r>
            <w:proofErr w:type="spellStart"/>
            <w:r w:rsidR="00D07138" w:rsidRPr="00A516E4">
              <w:rPr>
                <w:i/>
                <w:sz w:val="26"/>
                <w:szCs w:val="26"/>
                <w:lang w:val="lv-LV"/>
              </w:rPr>
              <w:t>de</w:t>
            </w:r>
            <w:proofErr w:type="spellEnd"/>
            <w:r w:rsidR="00D07138" w:rsidRPr="00A516E4">
              <w:rPr>
                <w:i/>
                <w:sz w:val="26"/>
                <w:szCs w:val="26"/>
                <w:lang w:val="lv-LV"/>
              </w:rPr>
              <w:t xml:space="preserve"> </w:t>
            </w:r>
            <w:proofErr w:type="spellStart"/>
            <w:r w:rsidR="00D07138" w:rsidRPr="00A516E4">
              <w:rPr>
                <w:i/>
                <w:sz w:val="26"/>
                <w:szCs w:val="26"/>
                <w:lang w:val="lv-LV"/>
              </w:rPr>
              <w:t>minimis</w:t>
            </w:r>
            <w:proofErr w:type="spellEnd"/>
            <w:r w:rsidR="00D07138">
              <w:rPr>
                <w:sz w:val="26"/>
                <w:szCs w:val="26"/>
                <w:lang w:val="lv-LV"/>
              </w:rPr>
              <w:t xml:space="preserve"> atbalstu, kurš atbilst šīs regulas nosacījumiem, var likumīgi īstenot turpmākajos sešos mēnešos, proti, līdz 2014.gada 30.jūnijam. Attiecīgā pieeja ar elektroniskā pasta vēstuli ir saskaņota arī ar Eiropas Komisijas DG Competition pārstāvjiem, kas norāda, ka Regulas 5.panta 3.punkts attiecināms arī uz jauna atbalsta lēmuma pieņemšanu</w:t>
            </w:r>
            <w:r w:rsidR="00E8473B">
              <w:rPr>
                <w:sz w:val="26"/>
                <w:szCs w:val="26"/>
                <w:lang w:val="lv-LV"/>
              </w:rPr>
              <w:t xml:space="preserve">. </w:t>
            </w:r>
            <w:r w:rsidR="00B47549">
              <w:rPr>
                <w:sz w:val="26"/>
                <w:szCs w:val="26"/>
                <w:lang w:val="lv-LV"/>
              </w:rPr>
              <w:t>Jaunajā</w:t>
            </w:r>
            <w:r w:rsidR="000A2A54">
              <w:rPr>
                <w:sz w:val="26"/>
                <w:szCs w:val="26"/>
                <w:lang w:val="lv-LV"/>
              </w:rPr>
              <w:t xml:space="preserve"> </w:t>
            </w:r>
            <w:r w:rsidR="000A2A54" w:rsidRPr="00A516E4">
              <w:rPr>
                <w:i/>
                <w:sz w:val="26"/>
                <w:szCs w:val="26"/>
                <w:lang w:val="lv-LV"/>
              </w:rPr>
              <w:t>de minimis</w:t>
            </w:r>
            <w:r w:rsidR="000A2A54">
              <w:rPr>
                <w:sz w:val="26"/>
                <w:szCs w:val="26"/>
                <w:lang w:val="lv-LV"/>
              </w:rPr>
              <w:t xml:space="preserve"> atbalsta regulējumā ietvertie nosacījumi tiks iestrādāti </w:t>
            </w:r>
            <w:r w:rsidR="00E8473B">
              <w:rPr>
                <w:sz w:val="26"/>
                <w:szCs w:val="26"/>
                <w:lang w:val="lv-LV"/>
              </w:rPr>
              <w:t>MK noteikum</w:t>
            </w:r>
            <w:r w:rsidR="000A2A54">
              <w:rPr>
                <w:sz w:val="26"/>
                <w:szCs w:val="26"/>
                <w:lang w:val="lv-LV"/>
              </w:rPr>
              <w:t>os</w:t>
            </w:r>
            <w:r w:rsidR="00E8473B">
              <w:rPr>
                <w:sz w:val="26"/>
                <w:szCs w:val="26"/>
                <w:lang w:val="lv-LV"/>
              </w:rPr>
              <w:t xml:space="preserve"> Nr.327 </w:t>
            </w:r>
            <w:r w:rsidR="00A52A78">
              <w:rPr>
                <w:sz w:val="26"/>
                <w:szCs w:val="26"/>
                <w:lang w:val="lv-LV"/>
              </w:rPr>
              <w:t>līdz ar</w:t>
            </w:r>
            <w:r w:rsidR="000A2A54">
              <w:rPr>
                <w:sz w:val="26"/>
                <w:szCs w:val="26"/>
                <w:lang w:val="lv-LV"/>
              </w:rPr>
              <w:t xml:space="preserve"> jaunā</w:t>
            </w:r>
            <w:r w:rsidR="00B47549">
              <w:rPr>
                <w:sz w:val="26"/>
                <w:szCs w:val="26"/>
                <w:lang w:val="lv-LV"/>
              </w:rPr>
              <w:t>s</w:t>
            </w:r>
            <w:r w:rsidR="000A2A54">
              <w:rPr>
                <w:sz w:val="26"/>
                <w:szCs w:val="26"/>
                <w:lang w:val="lv-LV"/>
              </w:rPr>
              <w:t xml:space="preserve"> </w:t>
            </w:r>
            <w:r w:rsidR="00A516E4" w:rsidRPr="00A516E4">
              <w:rPr>
                <w:i/>
                <w:sz w:val="26"/>
                <w:szCs w:val="26"/>
                <w:lang w:val="lv-LV"/>
              </w:rPr>
              <w:t>de minimis</w:t>
            </w:r>
            <w:r w:rsidR="00A516E4">
              <w:rPr>
                <w:sz w:val="26"/>
                <w:szCs w:val="26"/>
                <w:lang w:val="lv-LV"/>
              </w:rPr>
              <w:t xml:space="preserve"> </w:t>
            </w:r>
            <w:r w:rsidR="00B47549">
              <w:rPr>
                <w:sz w:val="26"/>
                <w:szCs w:val="26"/>
                <w:lang w:val="lv-LV"/>
              </w:rPr>
              <w:t>regulas spēkā stāšano</w:t>
            </w:r>
            <w:r w:rsidR="00E8473B">
              <w:rPr>
                <w:sz w:val="26"/>
                <w:szCs w:val="26"/>
                <w:lang w:val="lv-LV"/>
              </w:rPr>
              <w:t>s.</w:t>
            </w:r>
            <w:r w:rsidR="0024504A">
              <w:rPr>
                <w:sz w:val="26"/>
                <w:szCs w:val="26"/>
                <w:lang w:val="lv-LV"/>
              </w:rPr>
              <w:t xml:space="preserve"> </w:t>
            </w:r>
          </w:p>
        </w:tc>
      </w:tr>
      <w:tr w:rsidR="00A31FDC" w:rsidRPr="00F5798D"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ind w:firstLine="720"/>
              <w:jc w:val="both"/>
              <w:rPr>
                <w:bCs/>
                <w:sz w:val="26"/>
                <w:szCs w:val="26"/>
                <w:lang w:val="lv-LV"/>
              </w:rPr>
            </w:pPr>
            <w:r w:rsidRPr="00F5798D">
              <w:rPr>
                <w:iCs/>
                <w:sz w:val="26"/>
                <w:szCs w:val="26"/>
                <w:lang w:val="lv-LV"/>
              </w:rPr>
              <w:t>Projekts šo jomu neskar</w:t>
            </w:r>
            <w:r w:rsidRPr="00F5798D">
              <w:rPr>
                <w:color w:val="000000"/>
                <w:sz w:val="26"/>
                <w:szCs w:val="26"/>
                <w:lang w:val="lv-LV"/>
              </w:rPr>
              <w:t xml:space="preserve">. </w:t>
            </w:r>
          </w:p>
        </w:tc>
      </w:tr>
    </w:tbl>
    <w:p w:rsidR="00C97F6E" w:rsidRPr="00F5798D" w:rsidRDefault="00C97F6E" w:rsidP="00F22471">
      <w:pPr>
        <w:jc w:val="both"/>
        <w:rPr>
          <w:rFonts w:eastAsia="Times New Roman"/>
          <w:sz w:val="26"/>
          <w:szCs w:val="26"/>
          <w:lang w:val="lv-LV" w:eastAsia="lv-LV"/>
        </w:rPr>
        <w:sectPr w:rsidR="00C97F6E" w:rsidRPr="00F5798D" w:rsidSect="00C97F6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332B15"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C1C5C" w:rsidRPr="0016543A" w:rsidRDefault="00E9274F" w:rsidP="0016543A">
            <w:pPr>
              <w:spacing w:before="60" w:after="60"/>
              <w:ind w:firstLine="709"/>
              <w:jc w:val="both"/>
              <w:rPr>
                <w:sz w:val="26"/>
                <w:szCs w:val="26"/>
                <w:lang w:val="lv-LV"/>
              </w:rPr>
            </w:pPr>
            <w:r w:rsidRPr="00F5798D">
              <w:rPr>
                <w:sz w:val="26"/>
                <w:szCs w:val="26"/>
                <w:lang w:val="lv-LV"/>
              </w:rPr>
              <w:t>E</w:t>
            </w:r>
            <w:r w:rsidR="00B74681">
              <w:rPr>
                <w:sz w:val="26"/>
                <w:szCs w:val="26"/>
                <w:lang w:val="lv-LV"/>
              </w:rPr>
              <w:t>konomikas ministrija (turpmāk – E</w:t>
            </w:r>
            <w:r w:rsidRPr="00F5798D">
              <w:rPr>
                <w:sz w:val="26"/>
                <w:szCs w:val="26"/>
                <w:lang w:val="lv-LV"/>
              </w:rPr>
              <w:t>M</w:t>
            </w:r>
            <w:r w:rsidR="00B74681">
              <w:rPr>
                <w:sz w:val="26"/>
                <w:szCs w:val="26"/>
                <w:lang w:val="lv-LV"/>
              </w:rPr>
              <w:t>)</w:t>
            </w:r>
            <w:r w:rsidRPr="00F5798D">
              <w:rPr>
                <w:sz w:val="26"/>
                <w:szCs w:val="26"/>
                <w:lang w:val="lv-LV"/>
              </w:rPr>
              <w:t xml:space="preserve"> ir izstrādājusi grozī</w:t>
            </w:r>
            <w:r w:rsidR="003E0002">
              <w:rPr>
                <w:sz w:val="26"/>
                <w:szCs w:val="26"/>
                <w:lang w:val="lv-LV"/>
              </w:rPr>
              <w:t>jumu</w:t>
            </w:r>
            <w:r w:rsidR="0016543A">
              <w:rPr>
                <w:sz w:val="26"/>
                <w:szCs w:val="26"/>
                <w:lang w:val="lv-LV"/>
              </w:rPr>
              <w:t xml:space="preserve">s </w:t>
            </w:r>
            <w:r w:rsidR="00A94DCD">
              <w:rPr>
                <w:sz w:val="26"/>
                <w:szCs w:val="26"/>
                <w:lang w:val="lv-LV"/>
              </w:rPr>
              <w:t>MK</w:t>
            </w:r>
            <w:r w:rsidR="00766C95" w:rsidRPr="00766C95">
              <w:rPr>
                <w:sz w:val="26"/>
                <w:szCs w:val="26"/>
                <w:lang w:val="lv-LV"/>
              </w:rPr>
              <w:t xml:space="preserve"> noteikumos Nr.</w:t>
            </w:r>
            <w:r w:rsidR="0016543A">
              <w:rPr>
                <w:sz w:val="26"/>
                <w:szCs w:val="26"/>
                <w:lang w:val="lv-LV"/>
              </w:rPr>
              <w:t>327</w:t>
            </w:r>
            <w:r w:rsidR="00766C95">
              <w:rPr>
                <w:sz w:val="26"/>
                <w:szCs w:val="26"/>
                <w:lang w:val="lv-LV"/>
              </w:rPr>
              <w:t xml:space="preserve">, </w:t>
            </w:r>
            <w:r w:rsidR="0016543A">
              <w:rPr>
                <w:sz w:val="26"/>
                <w:szCs w:val="26"/>
                <w:lang w:val="lv-LV"/>
              </w:rPr>
              <w:t xml:space="preserve">pielāgojot noteikumus eiro valūtas ieviešanai, kas nerada finansējuma saņēmējam </w:t>
            </w:r>
            <w:r w:rsidR="0016543A" w:rsidRPr="0016543A">
              <w:rPr>
                <w:sz w:val="26"/>
                <w:szCs w:val="26"/>
                <w:lang w:val="lv-LV"/>
              </w:rPr>
              <w:t xml:space="preserve"> nelabvēlīgāk</w:t>
            </w:r>
            <w:r w:rsidR="0016543A">
              <w:rPr>
                <w:sz w:val="26"/>
                <w:szCs w:val="26"/>
                <w:lang w:val="lv-LV"/>
              </w:rPr>
              <w:t xml:space="preserve">us apstākļus, kā arī </w:t>
            </w:r>
            <w:r w:rsidR="0016543A" w:rsidRPr="0016543A">
              <w:rPr>
                <w:sz w:val="26"/>
                <w:szCs w:val="26"/>
                <w:lang w:val="lv-LV"/>
              </w:rPr>
              <w:t>negatīvu ietekmi uz valsts budžetu.</w:t>
            </w:r>
          </w:p>
          <w:p w:rsidR="0016543A" w:rsidRPr="00F5798D" w:rsidRDefault="0016543A" w:rsidP="00A516E4">
            <w:pPr>
              <w:spacing w:before="60" w:after="60"/>
              <w:ind w:firstLine="709"/>
              <w:jc w:val="both"/>
              <w:rPr>
                <w:sz w:val="26"/>
                <w:szCs w:val="26"/>
                <w:lang w:val="lv-LV"/>
              </w:rPr>
            </w:pPr>
            <w:r>
              <w:rPr>
                <w:sz w:val="26"/>
                <w:szCs w:val="26"/>
                <w:lang w:val="lv-LV"/>
              </w:rPr>
              <w:t xml:space="preserve">Tāpat arī noteikumu projekts paredz aizdevumu izsniegšanas termiņa </w:t>
            </w:r>
            <w:r w:rsidR="00B47549">
              <w:rPr>
                <w:sz w:val="26"/>
                <w:szCs w:val="26"/>
                <w:lang w:val="lv-LV"/>
              </w:rPr>
              <w:t>pagarinājumu</w:t>
            </w:r>
            <w:r>
              <w:rPr>
                <w:sz w:val="26"/>
                <w:szCs w:val="26"/>
                <w:lang w:val="lv-LV"/>
              </w:rPr>
              <w:t xml:space="preserve"> atbilstoši Regulas Nr.1998/2006 </w:t>
            </w:r>
            <w:r w:rsidR="00A516E4">
              <w:rPr>
                <w:sz w:val="26"/>
                <w:szCs w:val="26"/>
                <w:lang w:val="lv-LV"/>
              </w:rPr>
              <w:t>5.panta 3.punktam.</w:t>
            </w:r>
          </w:p>
        </w:tc>
      </w:tr>
      <w:tr w:rsidR="00A31FDC" w:rsidRPr="00F5798D"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pStyle w:val="BodyText"/>
              <w:ind w:right="142" w:firstLine="720"/>
              <w:rPr>
                <w:sz w:val="26"/>
                <w:szCs w:val="26"/>
              </w:rPr>
            </w:pPr>
            <w:r w:rsidRPr="00F5798D">
              <w:rPr>
                <w:iCs/>
                <w:sz w:val="26"/>
                <w:szCs w:val="26"/>
              </w:rPr>
              <w:t>Projekts šo jomu neskar</w:t>
            </w:r>
            <w:r w:rsidRPr="00F5798D">
              <w:rPr>
                <w:sz w:val="26"/>
                <w:szCs w:val="26"/>
              </w:rPr>
              <w:t>.</w:t>
            </w:r>
          </w:p>
        </w:tc>
      </w:tr>
      <w:tr w:rsidR="00A31FDC" w:rsidRPr="00F5798D"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lastRenderedPageBreak/>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pStyle w:val="BodyText"/>
              <w:ind w:right="142" w:firstLine="720"/>
              <w:rPr>
                <w:sz w:val="26"/>
                <w:szCs w:val="26"/>
              </w:rPr>
            </w:pPr>
            <w:r w:rsidRPr="00F5798D">
              <w:rPr>
                <w:iCs/>
                <w:sz w:val="26"/>
                <w:szCs w:val="26"/>
              </w:rPr>
              <w:t>Projekts šo jomu neskar</w:t>
            </w:r>
            <w:r w:rsidRPr="00F5798D">
              <w:rPr>
                <w:sz w:val="26"/>
                <w:szCs w:val="26"/>
              </w:rPr>
              <w:t>.</w:t>
            </w:r>
          </w:p>
          <w:p w:rsidR="00A31FDC" w:rsidRPr="00F5798D" w:rsidRDefault="00A31FDC" w:rsidP="00F22471">
            <w:pPr>
              <w:pStyle w:val="BodyText"/>
              <w:ind w:right="142" w:firstLine="720"/>
              <w:rPr>
                <w:sz w:val="26"/>
                <w:szCs w:val="26"/>
              </w:rPr>
            </w:pPr>
          </w:p>
        </w:tc>
      </w:tr>
      <w:tr w:rsidR="00A31FDC" w:rsidRPr="00F5798D"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A31FDC"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F5798D" w:rsidRDefault="00543052" w:rsidP="00F22471">
            <w:pPr>
              <w:ind w:left="142" w:firstLine="567"/>
              <w:jc w:val="both"/>
              <w:rPr>
                <w:sz w:val="26"/>
                <w:szCs w:val="26"/>
                <w:lang w:val="lv-LV"/>
              </w:rPr>
            </w:pPr>
            <w:r w:rsidRPr="00F5798D">
              <w:rPr>
                <w:sz w:val="26"/>
                <w:szCs w:val="26"/>
                <w:lang w:val="lv-LV"/>
              </w:rPr>
              <w:t>Nav.</w:t>
            </w:r>
          </w:p>
        </w:tc>
      </w:tr>
    </w:tbl>
    <w:p w:rsidR="00E54ED0" w:rsidRPr="00F5798D" w:rsidRDefault="00E54ED0"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332B15"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ind w:firstLine="720"/>
              <w:jc w:val="both"/>
              <w:rPr>
                <w:rFonts w:eastAsia="Times New Roman"/>
                <w:b/>
                <w:sz w:val="26"/>
                <w:szCs w:val="26"/>
                <w:lang w:val="lv-LV" w:eastAsia="lv-LV"/>
              </w:rPr>
            </w:pPr>
            <w:r w:rsidRPr="00F5798D">
              <w:rPr>
                <w:rFonts w:eastAsia="Times New Roman"/>
                <w:b/>
                <w:sz w:val="26"/>
                <w:szCs w:val="26"/>
                <w:lang w:val="lv-LV" w:eastAsia="lv-LV"/>
              </w:rPr>
              <w:t>II. Tiesību akta projekta ietekme uz sabiedrību</w:t>
            </w: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F5798D" w:rsidRDefault="00B74681" w:rsidP="0016543A">
            <w:pPr>
              <w:ind w:firstLine="567"/>
              <w:jc w:val="both"/>
              <w:rPr>
                <w:sz w:val="26"/>
                <w:szCs w:val="26"/>
                <w:lang w:val="lv-LV"/>
              </w:rPr>
            </w:pPr>
            <w:r>
              <w:rPr>
                <w:sz w:val="26"/>
                <w:szCs w:val="26"/>
                <w:lang w:val="lv-LV"/>
              </w:rPr>
              <w:t xml:space="preserve">Sabiedrība ar ierobežotu atbildību „Latvijas Garantiju aģentūra” (turpmāk – </w:t>
            </w:r>
            <w:r w:rsidR="00A94DCD">
              <w:rPr>
                <w:sz w:val="26"/>
                <w:szCs w:val="26"/>
                <w:lang w:val="lv-LV"/>
              </w:rPr>
              <w:t>LGA</w:t>
            </w:r>
            <w:r>
              <w:rPr>
                <w:sz w:val="26"/>
                <w:szCs w:val="26"/>
                <w:lang w:val="lv-LV"/>
              </w:rPr>
              <w:t>).</w:t>
            </w: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F5798D" w:rsidRDefault="00840961" w:rsidP="0016543A">
            <w:pPr>
              <w:pStyle w:val="BodyText"/>
              <w:ind w:right="142" w:firstLine="567"/>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332B15"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16543A" w:rsidP="0016543A">
            <w:pPr>
              <w:pStyle w:val="BodyText"/>
              <w:ind w:right="142" w:firstLine="567"/>
              <w:rPr>
                <w:sz w:val="26"/>
                <w:szCs w:val="26"/>
              </w:rPr>
            </w:pPr>
            <w:r>
              <w:rPr>
                <w:sz w:val="26"/>
                <w:szCs w:val="26"/>
              </w:rPr>
              <w:t>MK noteikumu Nr.327 pielāgošana pārejai uz eiro valūtu nerada ietekmi uz pieejamā finansējuma apmēru.</w:t>
            </w: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F5798D" w:rsidRDefault="00C1739F" w:rsidP="0016543A">
            <w:pPr>
              <w:pStyle w:val="BodyText"/>
              <w:ind w:right="142" w:firstLine="567"/>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16543A">
            <w:pPr>
              <w:pStyle w:val="BodyText"/>
              <w:ind w:right="142" w:firstLine="567"/>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16543A">
            <w:pPr>
              <w:pStyle w:val="BodyText"/>
              <w:ind w:right="142" w:firstLine="567"/>
              <w:rPr>
                <w:sz w:val="26"/>
                <w:szCs w:val="26"/>
              </w:rPr>
            </w:pPr>
            <w:r w:rsidRPr="00F5798D">
              <w:rPr>
                <w:iCs/>
                <w:sz w:val="26"/>
                <w:szCs w:val="26"/>
              </w:rPr>
              <w:t>Projekts šo jomu neskar</w:t>
            </w:r>
            <w:r w:rsidRPr="00F5798D">
              <w:rPr>
                <w:sz w:val="26"/>
                <w:szCs w:val="26"/>
              </w:rPr>
              <w:t>.</w:t>
            </w:r>
          </w:p>
          <w:p w:rsidR="00F22471" w:rsidRPr="00F5798D" w:rsidRDefault="00F22471" w:rsidP="00F22471">
            <w:pPr>
              <w:ind w:firstLine="720"/>
              <w:jc w:val="both"/>
              <w:rPr>
                <w:rFonts w:eastAsia="Times New Roman"/>
                <w:sz w:val="26"/>
                <w:szCs w:val="26"/>
                <w:lang w:val="lv-LV" w:eastAsia="lv-LV"/>
              </w:rPr>
            </w:pPr>
          </w:p>
        </w:tc>
      </w:tr>
      <w:tr w:rsidR="00F22471" w:rsidRPr="00F5798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F5798D" w:rsidRDefault="00F22471" w:rsidP="0016543A">
            <w:pPr>
              <w:ind w:firstLine="567"/>
              <w:jc w:val="both"/>
              <w:rPr>
                <w:rFonts w:eastAsia="Times New Roman"/>
                <w:sz w:val="26"/>
                <w:szCs w:val="26"/>
                <w:lang w:val="lv-LV" w:eastAsia="lv-LV"/>
              </w:rPr>
            </w:pPr>
            <w:r w:rsidRPr="00F5798D">
              <w:rPr>
                <w:rFonts w:eastAsia="Times New Roman"/>
                <w:sz w:val="26"/>
                <w:szCs w:val="26"/>
                <w:lang w:val="lv-LV" w:eastAsia="lv-LV"/>
              </w:rPr>
              <w:t>Nav.</w:t>
            </w:r>
          </w:p>
        </w:tc>
      </w:tr>
    </w:tbl>
    <w:p w:rsidR="00E54ED0" w:rsidRPr="00F5798D" w:rsidRDefault="00E54ED0"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332B15"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ind w:firstLine="720"/>
              <w:jc w:val="both"/>
              <w:rPr>
                <w:rFonts w:eastAsia="Times New Roman"/>
                <w:b/>
                <w:sz w:val="26"/>
                <w:szCs w:val="26"/>
                <w:lang w:val="lv-LV" w:eastAsia="lv-LV"/>
              </w:rPr>
            </w:pPr>
            <w:r w:rsidRPr="00F5798D">
              <w:rPr>
                <w:rFonts w:eastAsia="Times New Roman"/>
                <w:b/>
                <w:sz w:val="26"/>
                <w:szCs w:val="26"/>
                <w:lang w:val="lv-LV" w:eastAsia="lv-LV"/>
              </w:rPr>
              <w:t>IV. Tiesību akta projekta ietekme uz spēkā esošo tiesību normu sistēmu</w:t>
            </w:r>
          </w:p>
        </w:tc>
      </w:tr>
      <w:tr w:rsidR="003A7D89" w:rsidRPr="00332B15"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876ABF" w:rsidRPr="00F5798D" w:rsidRDefault="009F6E0D" w:rsidP="00F44F11">
            <w:pPr>
              <w:pStyle w:val="BodyText"/>
              <w:ind w:right="142" w:firstLine="720"/>
              <w:rPr>
                <w:sz w:val="26"/>
                <w:szCs w:val="26"/>
              </w:rPr>
            </w:pPr>
            <w:r>
              <w:rPr>
                <w:sz w:val="26"/>
                <w:szCs w:val="26"/>
              </w:rPr>
              <w:t>Tiks virzīti grozījumi Ministru kabineta 2011.gada 19.oktobra noteikumos Nr.818 „N</w:t>
            </w:r>
            <w:r w:rsidRPr="00BE7FDD">
              <w:rPr>
                <w:sz w:val="26"/>
                <w:szCs w:val="26"/>
              </w:rPr>
              <w:t>ot</w:t>
            </w:r>
            <w:r>
              <w:rPr>
                <w:sz w:val="26"/>
                <w:szCs w:val="26"/>
              </w:rPr>
              <w:t>eikumi par darbības programmas „Uzņēmējdarbība un inovācijas”</w:t>
            </w:r>
            <w:r w:rsidRPr="00BE7FDD">
              <w:rPr>
                <w:sz w:val="26"/>
                <w:szCs w:val="26"/>
              </w:rPr>
              <w:t xml:space="preserve"> pa</w:t>
            </w:r>
            <w:r>
              <w:rPr>
                <w:sz w:val="26"/>
                <w:szCs w:val="26"/>
              </w:rPr>
              <w:t>pildinājuma 2.2.1.1.aktivitāti „</w:t>
            </w:r>
            <w:r w:rsidRPr="00BE7FDD">
              <w:rPr>
                <w:sz w:val="26"/>
                <w:szCs w:val="26"/>
              </w:rPr>
              <w:t xml:space="preserve">Ieguldījumu fonds investīcijām garantijās, paaugstināta riska aizdevumos, riska kapitāla fondos un </w:t>
            </w:r>
            <w:r>
              <w:rPr>
                <w:sz w:val="26"/>
                <w:szCs w:val="26"/>
              </w:rPr>
              <w:t>cita veida finanšu instrumentos”</w:t>
            </w:r>
            <w:r w:rsidR="00B74681">
              <w:rPr>
                <w:sz w:val="26"/>
                <w:szCs w:val="26"/>
              </w:rPr>
              <w:t>”</w:t>
            </w:r>
            <w:r>
              <w:rPr>
                <w:sz w:val="26"/>
                <w:szCs w:val="26"/>
              </w:rPr>
              <w:t>, pielāgojot t</w:t>
            </w:r>
            <w:r w:rsidR="00B47549">
              <w:rPr>
                <w:sz w:val="26"/>
                <w:szCs w:val="26"/>
              </w:rPr>
              <w:t>os pārejas uz eiro nosacījumiem</w:t>
            </w:r>
            <w:r w:rsidR="00F44F11">
              <w:rPr>
                <w:sz w:val="26"/>
                <w:szCs w:val="26"/>
              </w:rPr>
              <w:t>.</w:t>
            </w:r>
          </w:p>
        </w:tc>
      </w:tr>
      <w:tr w:rsidR="003A7D89" w:rsidRPr="00332B15"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9F6E0D" w:rsidP="009F6E0D">
            <w:pPr>
              <w:ind w:firstLine="720"/>
              <w:jc w:val="both"/>
              <w:rPr>
                <w:rFonts w:eastAsia="Times New Roman"/>
                <w:sz w:val="26"/>
                <w:szCs w:val="26"/>
                <w:lang w:val="lv-LV" w:eastAsia="lv-LV"/>
              </w:rPr>
            </w:pPr>
            <w:r>
              <w:rPr>
                <w:rFonts w:eastAsia="Times New Roman"/>
                <w:sz w:val="26"/>
                <w:szCs w:val="26"/>
                <w:lang w:val="lv-LV" w:eastAsia="lv-LV"/>
              </w:rPr>
              <w:t xml:space="preserve">Pēc noteikumu projekta ietvaros paredzēto grozījumu spēkā stāšanās, tiks veikti atbilstoši grozījumi </w:t>
            </w:r>
            <w:r w:rsidR="004671D7" w:rsidRPr="00F5798D">
              <w:rPr>
                <w:rFonts w:eastAsia="Times New Roman"/>
                <w:sz w:val="26"/>
                <w:szCs w:val="26"/>
                <w:lang w:val="lv-LV" w:eastAsia="lv-LV"/>
              </w:rPr>
              <w:t xml:space="preserve">līgumā </w:t>
            </w:r>
            <w:r w:rsidR="007D7038">
              <w:rPr>
                <w:rFonts w:eastAsia="Times New Roman"/>
                <w:sz w:val="26"/>
                <w:szCs w:val="26"/>
                <w:lang w:val="lv-LV" w:eastAsia="lv-LV"/>
              </w:rPr>
              <w:t xml:space="preserve">ar LGA </w:t>
            </w:r>
            <w:r w:rsidR="004671D7" w:rsidRPr="00F5798D">
              <w:rPr>
                <w:rFonts w:eastAsia="Times New Roman"/>
                <w:sz w:val="26"/>
                <w:szCs w:val="26"/>
                <w:lang w:val="lv-LV" w:eastAsia="lv-LV"/>
              </w:rPr>
              <w:t>par projekta īstenošanu.</w:t>
            </w:r>
          </w:p>
        </w:tc>
      </w:tr>
    </w:tbl>
    <w:p w:rsidR="0016139B" w:rsidRDefault="0016139B" w:rsidP="00C9779A">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984"/>
        <w:gridCol w:w="869"/>
        <w:gridCol w:w="1212"/>
        <w:gridCol w:w="1596"/>
        <w:gridCol w:w="2907"/>
      </w:tblGrid>
      <w:tr w:rsidR="0016139B" w:rsidRPr="009F052F" w:rsidTr="00A868E7">
        <w:trPr>
          <w:tblCellSpacing w:w="15" w:type="dxa"/>
        </w:trPr>
        <w:tc>
          <w:tcPr>
            <w:tcW w:w="4966" w:type="pct"/>
            <w:gridSpan w:val="6"/>
            <w:shd w:val="clear" w:color="auto" w:fill="auto"/>
            <w:hideMark/>
          </w:tcPr>
          <w:p w:rsidR="0016139B" w:rsidRPr="001F6D46" w:rsidRDefault="0016139B" w:rsidP="008E4133">
            <w:pPr>
              <w:jc w:val="center"/>
              <w:rPr>
                <w:rFonts w:eastAsia="Times New Roman"/>
                <w:b/>
                <w:bCs/>
                <w:sz w:val="26"/>
                <w:szCs w:val="26"/>
                <w:lang w:val="lv-LV" w:eastAsia="lv-LV"/>
              </w:rPr>
            </w:pPr>
            <w:r w:rsidRPr="001F6D46">
              <w:rPr>
                <w:rFonts w:eastAsia="Times New Roman"/>
                <w:b/>
                <w:bCs/>
                <w:sz w:val="26"/>
                <w:szCs w:val="26"/>
                <w:lang w:val="lv-LV" w:eastAsia="lv-LV"/>
              </w:rPr>
              <w:t>V. Tiesību akta projekta atbilstība Latvijas Republikas starptautiskajām saistībām</w:t>
            </w:r>
          </w:p>
        </w:tc>
      </w:tr>
      <w:tr w:rsidR="00A868E7" w:rsidRPr="009F052F" w:rsidTr="00375E65">
        <w:trPr>
          <w:tblCellSpacing w:w="15" w:type="dxa"/>
        </w:trPr>
        <w:tc>
          <w:tcPr>
            <w:tcW w:w="185" w:type="pct"/>
            <w:shd w:val="clear" w:color="auto" w:fill="auto"/>
            <w:hideMark/>
          </w:tcPr>
          <w:p w:rsidR="0016139B" w:rsidRPr="001F6D46" w:rsidRDefault="0016139B" w:rsidP="008E4133">
            <w:pPr>
              <w:jc w:val="center"/>
              <w:rPr>
                <w:rFonts w:eastAsia="Times New Roman"/>
                <w:sz w:val="26"/>
                <w:szCs w:val="26"/>
                <w:lang w:val="lv-LV" w:eastAsia="lv-LV"/>
              </w:rPr>
            </w:pPr>
            <w:r w:rsidRPr="001F6D46">
              <w:rPr>
                <w:rFonts w:eastAsia="Times New Roman"/>
                <w:sz w:val="26"/>
                <w:szCs w:val="26"/>
                <w:lang w:val="lv-LV" w:eastAsia="lv-LV"/>
              </w:rPr>
              <w:t>1.</w:t>
            </w:r>
          </w:p>
        </w:tc>
        <w:tc>
          <w:tcPr>
            <w:tcW w:w="1590" w:type="pct"/>
            <w:gridSpan w:val="2"/>
            <w:shd w:val="clear" w:color="auto" w:fill="auto"/>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 xml:space="preserve">Saistības pret Eiropas </w:t>
            </w:r>
            <w:r w:rsidRPr="001F6D46">
              <w:rPr>
                <w:rFonts w:eastAsia="Times New Roman"/>
                <w:sz w:val="26"/>
                <w:szCs w:val="26"/>
                <w:lang w:val="lv-LV" w:eastAsia="lv-LV"/>
              </w:rPr>
              <w:lastRenderedPageBreak/>
              <w:t>Savienību</w:t>
            </w:r>
          </w:p>
        </w:tc>
        <w:tc>
          <w:tcPr>
            <w:tcW w:w="3158" w:type="pct"/>
            <w:gridSpan w:val="3"/>
            <w:shd w:val="clear" w:color="auto" w:fill="auto"/>
            <w:hideMark/>
          </w:tcPr>
          <w:p w:rsidR="0016139B" w:rsidRPr="001F6D46" w:rsidRDefault="00603B6E" w:rsidP="00B74681">
            <w:pPr>
              <w:ind w:firstLine="364"/>
              <w:jc w:val="both"/>
              <w:rPr>
                <w:rFonts w:eastAsia="Times New Roman"/>
                <w:sz w:val="26"/>
                <w:szCs w:val="26"/>
                <w:lang w:val="lv-LV" w:eastAsia="lv-LV"/>
              </w:rPr>
            </w:pPr>
            <w:r>
              <w:rPr>
                <w:rFonts w:eastAsia="Times New Roman"/>
                <w:sz w:val="26"/>
                <w:szCs w:val="26"/>
                <w:lang w:val="lv-LV" w:eastAsia="lv-LV"/>
              </w:rPr>
              <w:lastRenderedPageBreak/>
              <w:t xml:space="preserve">Noteikumu projekts paredz </w:t>
            </w:r>
            <w:r>
              <w:rPr>
                <w:sz w:val="26"/>
                <w:szCs w:val="26"/>
                <w:lang w:val="lv-LV"/>
              </w:rPr>
              <w:t xml:space="preserve">Regulas </w:t>
            </w:r>
            <w:r w:rsidR="00B74681">
              <w:rPr>
                <w:sz w:val="26"/>
                <w:szCs w:val="26"/>
                <w:lang w:val="lv-LV"/>
              </w:rPr>
              <w:lastRenderedPageBreak/>
              <w:t>Nr.</w:t>
            </w:r>
            <w:r>
              <w:rPr>
                <w:sz w:val="26"/>
                <w:szCs w:val="26"/>
                <w:lang w:val="lv-LV"/>
              </w:rPr>
              <w:t xml:space="preserve">1998/2006 5.panta 3.punktā ietverto </w:t>
            </w:r>
            <w:r w:rsidR="00A868E7">
              <w:rPr>
                <w:sz w:val="26"/>
                <w:szCs w:val="26"/>
                <w:lang w:val="lv-LV"/>
              </w:rPr>
              <w:t>nosacījumu</w:t>
            </w:r>
            <w:r>
              <w:rPr>
                <w:sz w:val="26"/>
                <w:szCs w:val="26"/>
                <w:lang w:val="lv-LV"/>
              </w:rPr>
              <w:t xml:space="preserve"> ieviešanu.</w:t>
            </w:r>
          </w:p>
        </w:tc>
      </w:tr>
      <w:tr w:rsidR="00A868E7" w:rsidRPr="001F6D46" w:rsidTr="00375E65">
        <w:trPr>
          <w:tblCellSpacing w:w="15" w:type="dxa"/>
        </w:trPr>
        <w:tc>
          <w:tcPr>
            <w:tcW w:w="185" w:type="pct"/>
            <w:shd w:val="clear" w:color="auto" w:fill="auto"/>
            <w:hideMark/>
          </w:tcPr>
          <w:p w:rsidR="0016139B" w:rsidRPr="001F6D46" w:rsidRDefault="0016139B" w:rsidP="008E4133">
            <w:pPr>
              <w:jc w:val="center"/>
              <w:rPr>
                <w:rFonts w:eastAsia="Times New Roman"/>
                <w:sz w:val="26"/>
                <w:szCs w:val="26"/>
                <w:lang w:val="lv-LV" w:eastAsia="lv-LV"/>
              </w:rPr>
            </w:pPr>
            <w:r w:rsidRPr="001F6D46">
              <w:rPr>
                <w:rFonts w:eastAsia="Times New Roman"/>
                <w:sz w:val="26"/>
                <w:szCs w:val="26"/>
                <w:lang w:val="lv-LV" w:eastAsia="lv-LV"/>
              </w:rPr>
              <w:lastRenderedPageBreak/>
              <w:t>2.</w:t>
            </w:r>
          </w:p>
        </w:tc>
        <w:tc>
          <w:tcPr>
            <w:tcW w:w="1590" w:type="pct"/>
            <w:gridSpan w:val="2"/>
            <w:shd w:val="clear" w:color="auto" w:fill="auto"/>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Citas starptautiskās saistības</w:t>
            </w:r>
          </w:p>
        </w:tc>
        <w:tc>
          <w:tcPr>
            <w:tcW w:w="3158" w:type="pct"/>
            <w:gridSpan w:val="3"/>
            <w:shd w:val="clear" w:color="auto" w:fill="auto"/>
            <w:hideMark/>
          </w:tcPr>
          <w:p w:rsidR="0016139B" w:rsidRPr="001F6D46" w:rsidRDefault="0016139B" w:rsidP="008E4133">
            <w:pPr>
              <w:ind w:firstLine="341"/>
              <w:jc w:val="both"/>
              <w:rPr>
                <w:rFonts w:eastAsia="Times New Roman"/>
                <w:sz w:val="26"/>
                <w:szCs w:val="26"/>
                <w:lang w:val="lv-LV" w:eastAsia="lv-LV"/>
              </w:rPr>
            </w:pPr>
            <w:r w:rsidRPr="001F6D46">
              <w:rPr>
                <w:rFonts w:eastAsia="Times New Roman"/>
                <w:sz w:val="26"/>
                <w:szCs w:val="26"/>
                <w:lang w:val="lv-LV" w:eastAsia="lv-LV"/>
              </w:rPr>
              <w:t>Projekts šo jomu neskar.</w:t>
            </w:r>
          </w:p>
        </w:tc>
      </w:tr>
      <w:tr w:rsidR="00A868E7" w:rsidRPr="009F052F" w:rsidTr="00375E65">
        <w:trPr>
          <w:tblCellSpacing w:w="15" w:type="dxa"/>
        </w:trPr>
        <w:tc>
          <w:tcPr>
            <w:tcW w:w="185" w:type="pct"/>
            <w:shd w:val="clear" w:color="auto" w:fill="auto"/>
            <w:hideMark/>
          </w:tcPr>
          <w:p w:rsidR="0016139B" w:rsidRPr="001F6D46" w:rsidRDefault="0016139B" w:rsidP="008E4133">
            <w:pPr>
              <w:jc w:val="center"/>
              <w:rPr>
                <w:rFonts w:eastAsia="Times New Roman"/>
                <w:sz w:val="26"/>
                <w:szCs w:val="26"/>
                <w:lang w:val="lv-LV" w:eastAsia="lv-LV"/>
              </w:rPr>
            </w:pPr>
            <w:r w:rsidRPr="001F6D46">
              <w:rPr>
                <w:rFonts w:eastAsia="Times New Roman"/>
                <w:sz w:val="26"/>
                <w:szCs w:val="26"/>
                <w:lang w:val="lv-LV" w:eastAsia="lv-LV"/>
              </w:rPr>
              <w:t>3.</w:t>
            </w:r>
          </w:p>
        </w:tc>
        <w:tc>
          <w:tcPr>
            <w:tcW w:w="1590" w:type="pct"/>
            <w:gridSpan w:val="2"/>
            <w:shd w:val="clear" w:color="auto" w:fill="auto"/>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158" w:type="pct"/>
            <w:gridSpan w:val="3"/>
            <w:shd w:val="clear" w:color="auto" w:fill="auto"/>
            <w:hideMark/>
          </w:tcPr>
          <w:p w:rsidR="0016139B" w:rsidRPr="001F6D46" w:rsidRDefault="0016139B" w:rsidP="008E4133">
            <w:pPr>
              <w:ind w:firstLine="341"/>
              <w:jc w:val="both"/>
              <w:rPr>
                <w:rFonts w:eastAsia="Times New Roman"/>
                <w:sz w:val="26"/>
                <w:szCs w:val="26"/>
                <w:lang w:val="lv-LV" w:eastAsia="lv-LV"/>
              </w:rPr>
            </w:pPr>
          </w:p>
        </w:tc>
      </w:tr>
      <w:tr w:rsidR="0016139B" w:rsidRPr="009F052F" w:rsidTr="00A868E7">
        <w:trPr>
          <w:tblCellSpacing w:w="15" w:type="dxa"/>
        </w:trPr>
        <w:tc>
          <w:tcPr>
            <w:tcW w:w="4966" w:type="pct"/>
            <w:gridSpan w:val="6"/>
            <w:shd w:val="clear" w:color="auto" w:fill="auto"/>
            <w:vAlign w:val="center"/>
            <w:hideMark/>
          </w:tcPr>
          <w:p w:rsidR="0016139B" w:rsidRPr="001F6D46" w:rsidRDefault="0016139B" w:rsidP="008E4133">
            <w:pPr>
              <w:jc w:val="center"/>
              <w:rPr>
                <w:rFonts w:eastAsia="Times New Roman"/>
                <w:b/>
                <w:bCs/>
                <w:sz w:val="26"/>
                <w:szCs w:val="26"/>
                <w:lang w:val="lv-LV" w:eastAsia="lv-LV"/>
              </w:rPr>
            </w:pPr>
            <w:r w:rsidRPr="001F6D46">
              <w:rPr>
                <w:rFonts w:eastAsia="Times New Roman"/>
                <w:b/>
                <w:bCs/>
                <w:sz w:val="26"/>
                <w:szCs w:val="26"/>
                <w:lang w:val="lv-LV" w:eastAsia="lv-LV"/>
              </w:rPr>
              <w:t>1.tabula</w:t>
            </w:r>
            <w:r w:rsidRPr="001F6D46">
              <w:rPr>
                <w:rFonts w:eastAsia="Times New Roman"/>
                <w:b/>
                <w:bCs/>
                <w:sz w:val="26"/>
                <w:szCs w:val="26"/>
                <w:lang w:val="lv-LV" w:eastAsia="lv-LV"/>
              </w:rPr>
              <w:br/>
              <w:t>Tiesību akta projekta atbilstība ES tiesību aktiem</w:t>
            </w:r>
          </w:p>
        </w:tc>
      </w:tr>
      <w:tr w:rsidR="0016139B" w:rsidRPr="009F052F" w:rsidTr="00375E65">
        <w:trPr>
          <w:tblCellSpacing w:w="15" w:type="dxa"/>
        </w:trPr>
        <w:tc>
          <w:tcPr>
            <w:tcW w:w="1297" w:type="pct"/>
            <w:gridSpan w:val="2"/>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Attiecīgā ES tiesību akta datums, numurs un nosaukums</w:t>
            </w:r>
          </w:p>
        </w:tc>
        <w:tc>
          <w:tcPr>
            <w:tcW w:w="3653" w:type="pct"/>
            <w:gridSpan w:val="4"/>
            <w:shd w:val="clear" w:color="auto" w:fill="auto"/>
            <w:vAlign w:val="center"/>
            <w:hideMark/>
          </w:tcPr>
          <w:p w:rsidR="0016139B" w:rsidRPr="001F6D46" w:rsidRDefault="0016139B" w:rsidP="00375E65">
            <w:pPr>
              <w:spacing w:after="120"/>
              <w:jc w:val="both"/>
              <w:rPr>
                <w:sz w:val="26"/>
                <w:szCs w:val="26"/>
                <w:lang w:val="lv-LV"/>
              </w:rPr>
            </w:pPr>
            <w:r w:rsidRPr="001F6D46">
              <w:rPr>
                <w:sz w:val="26"/>
                <w:szCs w:val="26"/>
                <w:lang w:val="lv-LV"/>
              </w:rPr>
              <w:t xml:space="preserve">Komisijas 2006.gada 15.decembra Regula (EK) Nr. 1998/2006 par Līguma 87. un 88.panta piemērošanu </w:t>
            </w:r>
            <w:r w:rsidRPr="001F6D46">
              <w:rPr>
                <w:i/>
                <w:sz w:val="26"/>
                <w:szCs w:val="26"/>
                <w:lang w:val="lv-LV"/>
              </w:rPr>
              <w:t>de</w:t>
            </w:r>
            <w:r>
              <w:rPr>
                <w:i/>
                <w:sz w:val="26"/>
                <w:szCs w:val="26"/>
                <w:lang w:val="lv-LV"/>
              </w:rPr>
              <w:t xml:space="preserve"> </w:t>
            </w:r>
            <w:r w:rsidRPr="001F6D46">
              <w:rPr>
                <w:i/>
                <w:sz w:val="26"/>
                <w:szCs w:val="26"/>
                <w:lang w:val="lv-LV"/>
              </w:rPr>
              <w:t>minimis</w:t>
            </w:r>
            <w:r w:rsidRPr="001F6D46">
              <w:rPr>
                <w:sz w:val="26"/>
                <w:szCs w:val="26"/>
                <w:lang w:val="lv-LV"/>
              </w:rPr>
              <w:t xml:space="preserve"> atbalstam (Eiropas Savienības Oficiālais Vēstnesis, 2006.gada 28.decembris, L 379)</w:t>
            </w:r>
            <w:r w:rsidR="00375E65">
              <w:rPr>
                <w:sz w:val="26"/>
                <w:szCs w:val="26"/>
                <w:lang w:val="lv-LV"/>
              </w:rPr>
              <w:t>.</w:t>
            </w:r>
          </w:p>
        </w:tc>
      </w:tr>
      <w:tr w:rsidR="00A868E7" w:rsidRPr="001F6D46" w:rsidTr="00375E65">
        <w:trPr>
          <w:tblCellSpacing w:w="15" w:type="dxa"/>
        </w:trPr>
        <w:tc>
          <w:tcPr>
            <w:tcW w:w="1297" w:type="pct"/>
            <w:gridSpan w:val="2"/>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A</w:t>
            </w:r>
          </w:p>
        </w:tc>
        <w:tc>
          <w:tcPr>
            <w:tcW w:w="1150" w:type="pct"/>
            <w:gridSpan w:val="2"/>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B</w:t>
            </w:r>
          </w:p>
        </w:tc>
        <w:tc>
          <w:tcPr>
            <w:tcW w:w="891" w:type="pct"/>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C</w:t>
            </w:r>
          </w:p>
        </w:tc>
        <w:tc>
          <w:tcPr>
            <w:tcW w:w="1578" w:type="pct"/>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D</w:t>
            </w:r>
          </w:p>
        </w:tc>
      </w:tr>
      <w:tr w:rsidR="00A868E7" w:rsidRPr="009F052F" w:rsidTr="00375E65">
        <w:trPr>
          <w:tblCellSpacing w:w="15" w:type="dxa"/>
        </w:trPr>
        <w:tc>
          <w:tcPr>
            <w:tcW w:w="1297" w:type="pct"/>
            <w:gridSpan w:val="2"/>
            <w:shd w:val="clear" w:color="auto" w:fill="auto"/>
            <w:hideMark/>
          </w:tcPr>
          <w:p w:rsidR="0016139B" w:rsidRPr="001F6D46" w:rsidRDefault="0016139B" w:rsidP="008E4133">
            <w:pPr>
              <w:pStyle w:val="naiskr"/>
              <w:spacing w:before="0" w:after="0"/>
              <w:jc w:val="both"/>
              <w:rPr>
                <w:sz w:val="26"/>
                <w:szCs w:val="26"/>
              </w:rPr>
            </w:pPr>
            <w:r w:rsidRPr="001F6D46">
              <w:rPr>
                <w:sz w:val="26"/>
                <w:szCs w:val="26"/>
              </w:rPr>
              <w:t xml:space="preserve">Attiecīgā ES tiesību akta panta numurs (uzskaitot katru tiesību akta </w:t>
            </w:r>
            <w:r w:rsidRPr="001F6D46">
              <w:rPr>
                <w:sz w:val="26"/>
                <w:szCs w:val="26"/>
              </w:rPr>
              <w:br/>
              <w:t>vienību – pantu, daļu, punktu, apakšpunktu)</w:t>
            </w:r>
          </w:p>
        </w:tc>
        <w:tc>
          <w:tcPr>
            <w:tcW w:w="1150" w:type="pct"/>
            <w:gridSpan w:val="2"/>
            <w:shd w:val="clear" w:color="auto" w:fill="auto"/>
            <w:hideMark/>
          </w:tcPr>
          <w:p w:rsidR="0016139B" w:rsidRPr="001F6D46" w:rsidRDefault="0016139B" w:rsidP="008E4133">
            <w:pPr>
              <w:pStyle w:val="naiskr"/>
              <w:spacing w:before="0" w:after="0"/>
              <w:jc w:val="both"/>
              <w:rPr>
                <w:sz w:val="26"/>
                <w:szCs w:val="26"/>
              </w:rPr>
            </w:pPr>
            <w:r w:rsidRPr="001F6D46">
              <w:rPr>
                <w:sz w:val="26"/>
                <w:szCs w:val="26"/>
              </w:rPr>
              <w:t>Projekta vienība, kas pārņem vai ievieš katru šīs tabulas A ailē minēto ES tiesību akta vienību</w:t>
            </w:r>
          </w:p>
        </w:tc>
        <w:tc>
          <w:tcPr>
            <w:tcW w:w="891" w:type="pct"/>
            <w:shd w:val="clear" w:color="auto" w:fill="auto"/>
            <w:hideMark/>
          </w:tcPr>
          <w:p w:rsidR="0016139B" w:rsidRPr="001F6D46" w:rsidRDefault="0016139B" w:rsidP="008E4133">
            <w:pPr>
              <w:pStyle w:val="naiskr"/>
              <w:spacing w:before="0" w:after="0"/>
              <w:jc w:val="both"/>
              <w:rPr>
                <w:sz w:val="26"/>
                <w:szCs w:val="26"/>
              </w:rPr>
            </w:pPr>
            <w:r w:rsidRPr="001F6D46">
              <w:rPr>
                <w:sz w:val="26"/>
                <w:szCs w:val="26"/>
              </w:rPr>
              <w:t>Informācija par to, vai šīs tabulas A ailē minētās ES tiesību akta vienības tiek pārņemtas vai ieviestas pilnībā vai daļēji.</w:t>
            </w:r>
          </w:p>
          <w:p w:rsidR="0016139B" w:rsidRPr="001F6D46" w:rsidRDefault="0016139B" w:rsidP="008E4133">
            <w:pPr>
              <w:pStyle w:val="naiskr"/>
              <w:spacing w:before="0" w:after="0"/>
              <w:jc w:val="both"/>
              <w:rPr>
                <w:sz w:val="26"/>
                <w:szCs w:val="26"/>
              </w:rPr>
            </w:pPr>
            <w:r w:rsidRPr="001F6D46">
              <w:rPr>
                <w:sz w:val="26"/>
                <w:szCs w:val="26"/>
              </w:rPr>
              <w:t>Ja attiecīgā ES tiesību akta vienība tiek pārņemta vai ieviesta daļēji, – sniedz attiecīgu skaidrojumu, kā arī precīzi norāda, kad un kādā veidā ES tiesību akta vienība tiks pārņemta vai ieviesta pilnībā.</w:t>
            </w:r>
          </w:p>
          <w:p w:rsidR="0016139B" w:rsidRPr="001F6D46" w:rsidRDefault="0016139B" w:rsidP="008E4133">
            <w:pPr>
              <w:pStyle w:val="naiskr"/>
              <w:spacing w:before="0" w:after="0"/>
              <w:jc w:val="both"/>
              <w:rPr>
                <w:sz w:val="26"/>
                <w:szCs w:val="26"/>
              </w:rPr>
            </w:pPr>
            <w:r w:rsidRPr="001F6D46">
              <w:rPr>
                <w:sz w:val="26"/>
                <w:szCs w:val="26"/>
              </w:rPr>
              <w:t xml:space="preserve">Norāda institūciju, kas ir </w:t>
            </w:r>
            <w:r w:rsidRPr="001F6D46">
              <w:rPr>
                <w:sz w:val="26"/>
                <w:szCs w:val="26"/>
              </w:rPr>
              <w:lastRenderedPageBreak/>
              <w:t>atbildīga par šo saistību izpildi pilnībā</w:t>
            </w:r>
          </w:p>
        </w:tc>
        <w:tc>
          <w:tcPr>
            <w:tcW w:w="1578" w:type="pct"/>
            <w:shd w:val="clear" w:color="auto" w:fill="auto"/>
            <w:hideMark/>
          </w:tcPr>
          <w:p w:rsidR="0016139B" w:rsidRPr="001F6D46" w:rsidRDefault="0016139B" w:rsidP="008E4133">
            <w:pPr>
              <w:pStyle w:val="naiskr"/>
              <w:spacing w:before="0" w:after="0"/>
              <w:jc w:val="both"/>
              <w:rPr>
                <w:sz w:val="26"/>
                <w:szCs w:val="26"/>
              </w:rPr>
            </w:pPr>
            <w:r w:rsidRPr="001F6D46">
              <w:rPr>
                <w:sz w:val="26"/>
                <w:szCs w:val="26"/>
              </w:rPr>
              <w:lastRenderedPageBreak/>
              <w:t>Informācija par to, vai šīs tabulas B ailē minētās projekta vienības paredz stingrākas prasības nekā šīs tabulas A ailē minētās ES tiesību akta vienības.</w:t>
            </w:r>
          </w:p>
          <w:p w:rsidR="0016139B" w:rsidRPr="001F6D46" w:rsidRDefault="0016139B" w:rsidP="008E4133">
            <w:pPr>
              <w:pStyle w:val="naiskr"/>
              <w:spacing w:before="0" w:after="0"/>
              <w:jc w:val="both"/>
              <w:rPr>
                <w:sz w:val="26"/>
                <w:szCs w:val="26"/>
              </w:rPr>
            </w:pPr>
            <w:r w:rsidRPr="001F6D46">
              <w:rPr>
                <w:sz w:val="26"/>
                <w:szCs w:val="26"/>
              </w:rPr>
              <w:t xml:space="preserve">Ja projekts satur stingrākas prasības nekā attiecīgais ES tiesību </w:t>
            </w:r>
            <w:smartTag w:uri="schemas-tilde-lv/tildestengine" w:element="veidnes">
              <w:smartTagPr>
                <w:attr w:name="id" w:val="-1"/>
                <w:attr w:name="baseform" w:val="akts"/>
                <w:attr w:name="text" w:val="akts"/>
              </w:smartTagPr>
              <w:r w:rsidRPr="001F6D46">
                <w:rPr>
                  <w:sz w:val="26"/>
                  <w:szCs w:val="26"/>
                </w:rPr>
                <w:t>akts</w:t>
              </w:r>
            </w:smartTag>
            <w:r w:rsidRPr="001F6D46">
              <w:rPr>
                <w:sz w:val="26"/>
                <w:szCs w:val="26"/>
              </w:rPr>
              <w:t>, – norāda pamatojumu un samērīgumu.</w:t>
            </w:r>
          </w:p>
          <w:p w:rsidR="0016139B" w:rsidRPr="001F6D46" w:rsidRDefault="0016139B" w:rsidP="008E4133">
            <w:pPr>
              <w:pStyle w:val="naiskr"/>
              <w:spacing w:before="0" w:after="0"/>
              <w:jc w:val="both"/>
              <w:rPr>
                <w:sz w:val="26"/>
                <w:szCs w:val="26"/>
              </w:rPr>
            </w:pPr>
            <w:r w:rsidRPr="001F6D46">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A868E7" w:rsidRPr="009F052F" w:rsidTr="00375E65">
        <w:trPr>
          <w:tblCellSpacing w:w="15" w:type="dxa"/>
        </w:trPr>
        <w:tc>
          <w:tcPr>
            <w:tcW w:w="1297" w:type="pct"/>
            <w:gridSpan w:val="2"/>
            <w:shd w:val="clear" w:color="auto" w:fill="auto"/>
          </w:tcPr>
          <w:p w:rsidR="0016139B" w:rsidRPr="001F6D46" w:rsidRDefault="0016139B" w:rsidP="00A868E7">
            <w:pPr>
              <w:pStyle w:val="naiskr"/>
              <w:spacing w:before="0" w:after="0"/>
              <w:jc w:val="both"/>
              <w:rPr>
                <w:i/>
                <w:color w:val="000000" w:themeColor="text1"/>
                <w:sz w:val="26"/>
                <w:szCs w:val="26"/>
              </w:rPr>
            </w:pPr>
            <w:r w:rsidRPr="001F6D46">
              <w:rPr>
                <w:i/>
                <w:color w:val="000000" w:themeColor="text1"/>
                <w:sz w:val="26"/>
                <w:szCs w:val="26"/>
              </w:rPr>
              <w:lastRenderedPageBreak/>
              <w:t xml:space="preserve">Regulas </w:t>
            </w:r>
            <w:r w:rsidR="00A868E7">
              <w:rPr>
                <w:i/>
                <w:color w:val="000000" w:themeColor="text1"/>
                <w:sz w:val="26"/>
                <w:szCs w:val="26"/>
              </w:rPr>
              <w:t>1998/2006</w:t>
            </w:r>
            <w:r w:rsidRPr="001F6D46">
              <w:rPr>
                <w:i/>
                <w:color w:val="000000" w:themeColor="text1"/>
                <w:sz w:val="26"/>
                <w:szCs w:val="26"/>
              </w:rPr>
              <w:t xml:space="preserve"> </w:t>
            </w:r>
            <w:r w:rsidR="00A868E7">
              <w:rPr>
                <w:i/>
                <w:color w:val="000000" w:themeColor="text1"/>
                <w:sz w:val="26"/>
                <w:szCs w:val="26"/>
              </w:rPr>
              <w:t>5.panta 3.punkts</w:t>
            </w:r>
          </w:p>
        </w:tc>
        <w:tc>
          <w:tcPr>
            <w:tcW w:w="1150" w:type="pct"/>
            <w:gridSpan w:val="2"/>
            <w:shd w:val="clear" w:color="auto" w:fill="auto"/>
          </w:tcPr>
          <w:p w:rsidR="0016139B" w:rsidRPr="00A868E7" w:rsidRDefault="0016139B" w:rsidP="008E4133">
            <w:pPr>
              <w:pStyle w:val="naiskr"/>
              <w:spacing w:before="0" w:after="0"/>
              <w:jc w:val="both"/>
              <w:rPr>
                <w:sz w:val="26"/>
                <w:szCs w:val="26"/>
              </w:rPr>
            </w:pPr>
            <w:r w:rsidRPr="00A868E7">
              <w:rPr>
                <w:sz w:val="26"/>
                <w:szCs w:val="26"/>
              </w:rPr>
              <w:t xml:space="preserve">Noteikumu projekta </w:t>
            </w:r>
            <w:r w:rsidR="00A868E7" w:rsidRPr="00A868E7">
              <w:rPr>
                <w:sz w:val="26"/>
                <w:szCs w:val="26"/>
              </w:rPr>
              <w:t>1</w:t>
            </w:r>
            <w:r w:rsidRPr="00A868E7">
              <w:rPr>
                <w:sz w:val="26"/>
                <w:szCs w:val="26"/>
              </w:rPr>
              <w:t>.2.apakšpunkts</w:t>
            </w:r>
          </w:p>
        </w:tc>
        <w:tc>
          <w:tcPr>
            <w:tcW w:w="891" w:type="pct"/>
            <w:shd w:val="clear" w:color="auto" w:fill="auto"/>
          </w:tcPr>
          <w:p w:rsidR="0016139B" w:rsidRPr="00A868E7" w:rsidRDefault="00A868E7" w:rsidP="008E4133">
            <w:pPr>
              <w:pStyle w:val="naiskr"/>
              <w:spacing w:before="0" w:after="0"/>
              <w:jc w:val="both"/>
              <w:rPr>
                <w:sz w:val="26"/>
                <w:szCs w:val="26"/>
              </w:rPr>
            </w:pPr>
            <w:r w:rsidRPr="00A868E7">
              <w:rPr>
                <w:sz w:val="26"/>
                <w:szCs w:val="26"/>
              </w:rPr>
              <w:t>Ieviests</w:t>
            </w:r>
            <w:r w:rsidR="0016139B" w:rsidRPr="00A868E7">
              <w:rPr>
                <w:sz w:val="26"/>
                <w:szCs w:val="26"/>
              </w:rPr>
              <w:t xml:space="preserve"> pilnībā</w:t>
            </w:r>
          </w:p>
        </w:tc>
        <w:tc>
          <w:tcPr>
            <w:tcW w:w="1578" w:type="pct"/>
            <w:shd w:val="clear" w:color="auto" w:fill="auto"/>
          </w:tcPr>
          <w:p w:rsidR="0016139B" w:rsidRPr="00A868E7" w:rsidRDefault="0016139B" w:rsidP="00A868E7">
            <w:pPr>
              <w:pStyle w:val="naiskr"/>
              <w:spacing w:before="0" w:after="0"/>
              <w:jc w:val="both"/>
              <w:rPr>
                <w:sz w:val="26"/>
                <w:szCs w:val="26"/>
              </w:rPr>
            </w:pPr>
            <w:r w:rsidRPr="00A868E7">
              <w:rPr>
                <w:sz w:val="26"/>
                <w:szCs w:val="26"/>
              </w:rPr>
              <w:t>Neparedz stingrākas prasības</w:t>
            </w:r>
            <w:r w:rsidR="00A868E7" w:rsidRPr="00A868E7">
              <w:rPr>
                <w:sz w:val="26"/>
                <w:szCs w:val="26"/>
              </w:rPr>
              <w:t>.</w:t>
            </w:r>
          </w:p>
        </w:tc>
      </w:tr>
      <w:tr w:rsidR="0016139B" w:rsidRPr="001F6D46" w:rsidTr="00375E65">
        <w:trPr>
          <w:tblCellSpacing w:w="15" w:type="dxa"/>
        </w:trPr>
        <w:tc>
          <w:tcPr>
            <w:tcW w:w="1297" w:type="pct"/>
            <w:gridSpan w:val="2"/>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Kā ir izmantota ES tiesību aktā paredzētā rīcības brīvība dalībvalstij pārņemt vai ieviest noteiktas ES tiesību akta normas.</w:t>
            </w:r>
          </w:p>
        </w:tc>
        <w:tc>
          <w:tcPr>
            <w:tcW w:w="3653" w:type="pct"/>
            <w:gridSpan w:val="4"/>
            <w:shd w:val="clear" w:color="auto" w:fill="auto"/>
            <w:hideMark/>
          </w:tcPr>
          <w:p w:rsidR="0016139B" w:rsidRPr="001F6D46" w:rsidRDefault="0016139B" w:rsidP="00375E65">
            <w:pPr>
              <w:pStyle w:val="naiskr"/>
              <w:jc w:val="both"/>
              <w:rPr>
                <w:iCs/>
                <w:sz w:val="26"/>
                <w:szCs w:val="26"/>
              </w:rPr>
            </w:pPr>
            <w:r w:rsidRPr="001F6D46">
              <w:rPr>
                <w:iCs/>
                <w:sz w:val="26"/>
                <w:szCs w:val="26"/>
              </w:rPr>
              <w:t xml:space="preserve">Lai sniegtu </w:t>
            </w:r>
            <w:r w:rsidRPr="001F6D46">
              <w:rPr>
                <w:i/>
                <w:iCs/>
                <w:sz w:val="26"/>
                <w:szCs w:val="26"/>
              </w:rPr>
              <w:t>de</w:t>
            </w:r>
            <w:r>
              <w:rPr>
                <w:i/>
                <w:iCs/>
                <w:sz w:val="26"/>
                <w:szCs w:val="26"/>
              </w:rPr>
              <w:t xml:space="preserve"> </w:t>
            </w:r>
            <w:r w:rsidRPr="001F6D46">
              <w:rPr>
                <w:i/>
                <w:iCs/>
                <w:sz w:val="26"/>
                <w:szCs w:val="26"/>
              </w:rPr>
              <w:t>minimis</w:t>
            </w:r>
            <w:r w:rsidRPr="001F6D46">
              <w:rPr>
                <w:iCs/>
                <w:sz w:val="26"/>
                <w:szCs w:val="26"/>
              </w:rPr>
              <w:t xml:space="preserve"> valsts atbalstu,  dalī</w:t>
            </w:r>
            <w:r w:rsidR="00375E65">
              <w:rPr>
                <w:iCs/>
                <w:sz w:val="26"/>
                <w:szCs w:val="26"/>
              </w:rPr>
              <w:t xml:space="preserve">bvalstij ir obligāti jāpiemēro </w:t>
            </w:r>
            <w:r w:rsidRPr="001F6D46">
              <w:rPr>
                <w:iCs/>
                <w:sz w:val="26"/>
                <w:szCs w:val="26"/>
              </w:rPr>
              <w:t>Regula Nr.1998/2006</w:t>
            </w:r>
            <w:r>
              <w:rPr>
                <w:iCs/>
                <w:sz w:val="26"/>
                <w:szCs w:val="26"/>
              </w:rPr>
              <w:t>.</w:t>
            </w:r>
          </w:p>
          <w:p w:rsidR="0016139B" w:rsidRPr="001F6D46" w:rsidRDefault="0016139B" w:rsidP="008E4133">
            <w:pPr>
              <w:autoSpaceDE w:val="0"/>
              <w:autoSpaceDN w:val="0"/>
              <w:adjustRightInd w:val="0"/>
              <w:jc w:val="both"/>
              <w:rPr>
                <w:rFonts w:ascii="EUAlbertina" w:hAnsi="EUAlbertina" w:cs="EUAlbertina"/>
                <w:sz w:val="26"/>
                <w:szCs w:val="26"/>
                <w:lang w:val="lv-LV"/>
              </w:rPr>
            </w:pPr>
          </w:p>
          <w:p w:rsidR="0016139B" w:rsidRPr="001F6D46" w:rsidRDefault="0016139B" w:rsidP="008E4133">
            <w:pPr>
              <w:jc w:val="both"/>
              <w:rPr>
                <w:rFonts w:eastAsia="Times New Roman"/>
                <w:sz w:val="26"/>
                <w:szCs w:val="26"/>
                <w:lang w:val="lv-LV" w:eastAsia="lv-LV"/>
              </w:rPr>
            </w:pPr>
          </w:p>
        </w:tc>
      </w:tr>
      <w:tr w:rsidR="0016139B" w:rsidRPr="009F052F" w:rsidTr="00375E65">
        <w:trPr>
          <w:tblCellSpacing w:w="15" w:type="dxa"/>
        </w:trPr>
        <w:tc>
          <w:tcPr>
            <w:tcW w:w="1297" w:type="pct"/>
            <w:gridSpan w:val="2"/>
            <w:shd w:val="clear" w:color="auto" w:fill="auto"/>
            <w:vAlign w:val="center"/>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3" w:type="pct"/>
            <w:gridSpan w:val="4"/>
            <w:shd w:val="clear" w:color="auto" w:fill="auto"/>
            <w:hideMark/>
          </w:tcPr>
          <w:p w:rsidR="0016139B" w:rsidRPr="001F6D46" w:rsidRDefault="00375E65" w:rsidP="008E4133">
            <w:pPr>
              <w:jc w:val="both"/>
              <w:rPr>
                <w:rFonts w:eastAsia="Times New Roman"/>
                <w:iCs/>
                <w:sz w:val="26"/>
                <w:szCs w:val="26"/>
                <w:lang w:val="lv-LV" w:eastAsia="lv-LV"/>
              </w:rPr>
            </w:pPr>
            <w:r>
              <w:rPr>
                <w:rFonts w:eastAsia="Times New Roman"/>
                <w:iCs/>
                <w:sz w:val="26"/>
                <w:szCs w:val="26"/>
                <w:lang w:val="lv-LV" w:eastAsia="lv-LV"/>
              </w:rPr>
              <w:t>Ņemot vērā, ka</w:t>
            </w:r>
            <w:r w:rsidR="0016139B" w:rsidRPr="001F6D46">
              <w:rPr>
                <w:rFonts w:eastAsia="Times New Roman"/>
                <w:iCs/>
                <w:sz w:val="26"/>
                <w:szCs w:val="26"/>
                <w:lang w:val="lv-LV" w:eastAsia="lv-LV"/>
              </w:rPr>
              <w:t xml:space="preserve"> noteikumu projekts saskaņā ar </w:t>
            </w:r>
            <w:r w:rsidR="0016139B" w:rsidRPr="001F6D46">
              <w:rPr>
                <w:sz w:val="26"/>
                <w:szCs w:val="26"/>
                <w:lang w:val="lv-LV"/>
              </w:rPr>
              <w:t xml:space="preserve">Regulas Nr.1998/2006 2.pantu </w:t>
            </w:r>
            <w:r w:rsidR="0016139B" w:rsidRPr="001F6D46">
              <w:rPr>
                <w:rFonts w:eastAsia="Times New Roman"/>
                <w:iCs/>
                <w:sz w:val="26"/>
                <w:szCs w:val="26"/>
                <w:lang w:val="lv-LV" w:eastAsia="lv-LV"/>
              </w:rPr>
              <w:t>ir atbrīvots</w:t>
            </w:r>
            <w:r>
              <w:rPr>
                <w:rFonts w:eastAsia="Times New Roman"/>
                <w:iCs/>
                <w:sz w:val="26"/>
                <w:szCs w:val="26"/>
                <w:lang w:val="lv-LV" w:eastAsia="lv-LV"/>
              </w:rPr>
              <w:t xml:space="preserve"> no iepriekšējas paziņošanas Eiropas Komisijai,</w:t>
            </w:r>
            <w:r w:rsidR="0016139B" w:rsidRPr="001F6D46">
              <w:rPr>
                <w:rFonts w:eastAsia="Times New Roman"/>
                <w:iCs/>
                <w:sz w:val="26"/>
                <w:szCs w:val="26"/>
                <w:lang w:val="lv-LV" w:eastAsia="lv-LV"/>
              </w:rPr>
              <w:t xml:space="preserve"> </w:t>
            </w:r>
            <w:r>
              <w:rPr>
                <w:rFonts w:eastAsia="Times New Roman"/>
                <w:iCs/>
                <w:sz w:val="26"/>
                <w:szCs w:val="26"/>
                <w:lang w:val="lv-LV" w:eastAsia="lv-LV"/>
              </w:rPr>
              <w:t>p</w:t>
            </w:r>
            <w:r w:rsidRPr="001F6D46">
              <w:rPr>
                <w:rFonts w:eastAsia="Times New Roman"/>
                <w:iCs/>
                <w:sz w:val="26"/>
                <w:szCs w:val="26"/>
                <w:lang w:val="lv-LV" w:eastAsia="lv-LV"/>
              </w:rPr>
              <w:t xml:space="preserve">aziņojumu </w:t>
            </w:r>
            <w:r>
              <w:rPr>
                <w:rFonts w:eastAsia="Times New Roman"/>
                <w:iCs/>
                <w:sz w:val="26"/>
                <w:szCs w:val="26"/>
                <w:lang w:val="lv-LV" w:eastAsia="lv-LV"/>
              </w:rPr>
              <w:t xml:space="preserve">par noteikumu projektu </w:t>
            </w:r>
            <w:r w:rsidRPr="001F6D46">
              <w:rPr>
                <w:rFonts w:eastAsia="Times New Roman"/>
                <w:iCs/>
                <w:sz w:val="26"/>
                <w:szCs w:val="26"/>
                <w:lang w:val="lv-LV" w:eastAsia="lv-LV"/>
              </w:rPr>
              <w:t>Eiropas Komisijai nav nepieciešams sniegt</w:t>
            </w:r>
            <w:r w:rsidR="00EC7395">
              <w:rPr>
                <w:rFonts w:eastAsia="Times New Roman"/>
                <w:iCs/>
                <w:sz w:val="26"/>
                <w:szCs w:val="26"/>
                <w:lang w:val="lv-LV" w:eastAsia="lv-LV"/>
              </w:rPr>
              <w:t>.</w:t>
            </w:r>
          </w:p>
          <w:p w:rsidR="0016139B" w:rsidRPr="001F6D46" w:rsidRDefault="0016139B" w:rsidP="008E4133">
            <w:pPr>
              <w:jc w:val="both"/>
              <w:rPr>
                <w:rFonts w:eastAsia="Times New Roman"/>
                <w:iCs/>
                <w:sz w:val="26"/>
                <w:szCs w:val="26"/>
                <w:lang w:val="lv-LV" w:eastAsia="lv-LV"/>
              </w:rPr>
            </w:pPr>
          </w:p>
          <w:p w:rsidR="0016139B" w:rsidRPr="001F6D46" w:rsidRDefault="0016139B" w:rsidP="008E4133">
            <w:pPr>
              <w:jc w:val="both"/>
              <w:rPr>
                <w:rFonts w:eastAsia="Times New Roman"/>
                <w:sz w:val="26"/>
                <w:szCs w:val="26"/>
                <w:lang w:val="lv-LV" w:eastAsia="lv-LV"/>
              </w:rPr>
            </w:pPr>
          </w:p>
        </w:tc>
      </w:tr>
      <w:tr w:rsidR="0016139B" w:rsidRPr="001F6D46" w:rsidTr="00375E65">
        <w:trPr>
          <w:tblCellSpacing w:w="15" w:type="dxa"/>
        </w:trPr>
        <w:tc>
          <w:tcPr>
            <w:tcW w:w="1297" w:type="pct"/>
            <w:gridSpan w:val="2"/>
            <w:shd w:val="clear" w:color="auto" w:fill="auto"/>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Cita informācija</w:t>
            </w:r>
          </w:p>
        </w:tc>
        <w:tc>
          <w:tcPr>
            <w:tcW w:w="3653" w:type="pct"/>
            <w:gridSpan w:val="4"/>
            <w:shd w:val="clear" w:color="auto" w:fill="auto"/>
            <w:hideMark/>
          </w:tcPr>
          <w:p w:rsidR="0016139B" w:rsidRPr="001F6D46" w:rsidRDefault="0016139B" w:rsidP="008E4133">
            <w:pPr>
              <w:jc w:val="both"/>
              <w:rPr>
                <w:rFonts w:eastAsia="Times New Roman"/>
                <w:sz w:val="26"/>
                <w:szCs w:val="26"/>
                <w:lang w:val="lv-LV" w:eastAsia="lv-LV"/>
              </w:rPr>
            </w:pPr>
            <w:r w:rsidRPr="001F6D46">
              <w:rPr>
                <w:rFonts w:eastAsia="Times New Roman"/>
                <w:sz w:val="26"/>
                <w:szCs w:val="26"/>
                <w:lang w:val="lv-LV" w:eastAsia="lv-LV"/>
              </w:rPr>
              <w:t>Nav</w:t>
            </w:r>
          </w:p>
        </w:tc>
      </w:tr>
    </w:tbl>
    <w:p w:rsidR="00375E65" w:rsidRDefault="00375E65"/>
    <w:tbl>
      <w:tblPr>
        <w:tblW w:w="4898" w:type="pct"/>
        <w:tblInd w:w="12"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764"/>
        <w:gridCol w:w="2796"/>
        <w:gridCol w:w="5385"/>
      </w:tblGrid>
      <w:tr w:rsidR="003A7D89" w:rsidRPr="00332B15" w:rsidTr="00375E65">
        <w:trPr>
          <w:trHeight w:val="304"/>
        </w:trPr>
        <w:tc>
          <w:tcPr>
            <w:tcW w:w="5000" w:type="pct"/>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ind w:firstLine="720"/>
              <w:jc w:val="both"/>
              <w:rPr>
                <w:rFonts w:eastAsia="Times New Roman"/>
                <w:b/>
                <w:sz w:val="26"/>
                <w:szCs w:val="26"/>
                <w:lang w:val="lv-LV" w:eastAsia="lv-LV"/>
              </w:rPr>
            </w:pPr>
            <w:r w:rsidRPr="00F5798D">
              <w:rPr>
                <w:rFonts w:eastAsia="Times New Roman"/>
                <w:b/>
                <w:sz w:val="26"/>
                <w:szCs w:val="26"/>
                <w:lang w:val="lv-LV" w:eastAsia="lv-LV"/>
              </w:rPr>
              <w:t>VII. Tiesību akta projekta izpildes nodrošināšana un tās ietekme uz institūcijām</w:t>
            </w:r>
          </w:p>
        </w:tc>
      </w:tr>
      <w:tr w:rsidR="003A7D89" w:rsidRPr="00332B15" w:rsidTr="00375E65">
        <w:trPr>
          <w:trHeight w:val="347"/>
        </w:trPr>
        <w:tc>
          <w:tcPr>
            <w:tcW w:w="427" w:type="pct"/>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1.</w:t>
            </w:r>
          </w:p>
        </w:tc>
        <w:tc>
          <w:tcPr>
            <w:tcW w:w="1563"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izpildē iesaistītās institūcijas</w:t>
            </w:r>
          </w:p>
        </w:tc>
        <w:tc>
          <w:tcPr>
            <w:tcW w:w="3010" w:type="pct"/>
            <w:tcBorders>
              <w:top w:val="thickThinLargeGap" w:sz="6" w:space="0" w:color="C0C0C0"/>
              <w:left w:val="thickThinLargeGap" w:sz="6" w:space="0" w:color="C0C0C0"/>
              <w:bottom w:val="thickThinLargeGap" w:sz="6" w:space="0" w:color="C0C0C0"/>
              <w:right w:val="thickThinLargeGap" w:sz="6" w:space="0" w:color="C0C0C0"/>
            </w:tcBorders>
            <w:hideMark/>
          </w:tcPr>
          <w:p w:rsidR="00F614BD" w:rsidRPr="00F5798D" w:rsidRDefault="00F614BD" w:rsidP="00A94DCD">
            <w:pPr>
              <w:ind w:firstLine="720"/>
              <w:jc w:val="both"/>
              <w:rPr>
                <w:rFonts w:eastAsia="Times New Roman"/>
                <w:sz w:val="26"/>
                <w:szCs w:val="26"/>
                <w:lang w:val="lv-LV" w:eastAsia="lv-LV"/>
              </w:rPr>
            </w:pPr>
            <w:r w:rsidRPr="00F614BD">
              <w:rPr>
                <w:rFonts w:eastAsia="Times New Roman"/>
                <w:sz w:val="26"/>
                <w:szCs w:val="26"/>
                <w:lang w:val="lv-LV" w:eastAsia="lv-LV"/>
              </w:rPr>
              <w:t xml:space="preserve">Ministru kabineta noteikumu projekta izpildi nodrošinās </w:t>
            </w:r>
            <w:r w:rsidR="00A94DCD">
              <w:rPr>
                <w:rFonts w:eastAsia="Times New Roman"/>
                <w:sz w:val="26"/>
                <w:szCs w:val="26"/>
                <w:lang w:val="lv-LV" w:eastAsia="lv-LV"/>
              </w:rPr>
              <w:t>EM un LGA.</w:t>
            </w:r>
          </w:p>
        </w:tc>
      </w:tr>
      <w:tr w:rsidR="003A7D89" w:rsidRPr="00332B15" w:rsidTr="00375E65">
        <w:trPr>
          <w:trHeight w:val="955"/>
        </w:trPr>
        <w:tc>
          <w:tcPr>
            <w:tcW w:w="427" w:type="pct"/>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2.</w:t>
            </w:r>
          </w:p>
        </w:tc>
        <w:tc>
          <w:tcPr>
            <w:tcW w:w="1563"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 uz pārvaldes funkcijām</w:t>
            </w:r>
          </w:p>
        </w:tc>
        <w:tc>
          <w:tcPr>
            <w:tcW w:w="3010"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F614BD" w:rsidP="00A94DCD">
            <w:pPr>
              <w:ind w:firstLine="720"/>
              <w:jc w:val="both"/>
              <w:rPr>
                <w:rFonts w:eastAsia="Times New Roman"/>
                <w:sz w:val="26"/>
                <w:szCs w:val="26"/>
                <w:lang w:val="lv-LV" w:eastAsia="lv-LV"/>
              </w:rPr>
            </w:pPr>
            <w:r w:rsidRPr="00F614BD">
              <w:rPr>
                <w:rFonts w:eastAsia="Times New Roman"/>
                <w:sz w:val="26"/>
                <w:szCs w:val="26"/>
                <w:lang w:val="lv-LV" w:eastAsia="lv-LV"/>
              </w:rPr>
              <w:t xml:space="preserve">Ministru kabineta noteikumu projekta izpilde tiks nodrošināta </w:t>
            </w:r>
            <w:r w:rsidR="00A94DCD">
              <w:rPr>
                <w:rFonts w:eastAsia="Times New Roman"/>
                <w:sz w:val="26"/>
                <w:szCs w:val="26"/>
                <w:lang w:val="lv-LV" w:eastAsia="lv-LV"/>
              </w:rPr>
              <w:t>EM un LGA</w:t>
            </w:r>
            <w:r w:rsidRPr="00F614BD">
              <w:rPr>
                <w:rFonts w:eastAsia="Times New Roman"/>
                <w:sz w:val="26"/>
                <w:szCs w:val="26"/>
                <w:lang w:val="lv-LV" w:eastAsia="lv-LV"/>
              </w:rPr>
              <w:t xml:space="preserve"> esošo funkciju ietvaros.</w:t>
            </w:r>
          </w:p>
        </w:tc>
      </w:tr>
      <w:tr w:rsidR="003A7D89" w:rsidRPr="00332B15" w:rsidTr="00375E65">
        <w:trPr>
          <w:trHeight w:val="976"/>
        </w:trPr>
        <w:tc>
          <w:tcPr>
            <w:tcW w:w="427" w:type="pct"/>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3.</w:t>
            </w:r>
          </w:p>
        </w:tc>
        <w:tc>
          <w:tcPr>
            <w:tcW w:w="1563"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 uz pārvaldes institucionālo struktūru. Jaunu institūciju izveide</w:t>
            </w:r>
          </w:p>
        </w:tc>
        <w:tc>
          <w:tcPr>
            <w:tcW w:w="3010"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sz w:val="26"/>
                <w:szCs w:val="26"/>
                <w:lang w:val="lv-LV"/>
              </w:rPr>
              <w:t xml:space="preserve">Ministru kabineta </w:t>
            </w:r>
            <w:r w:rsidR="00A46462" w:rsidRPr="00F5798D">
              <w:rPr>
                <w:sz w:val="26"/>
                <w:szCs w:val="26"/>
                <w:lang w:val="lv-LV"/>
              </w:rPr>
              <w:t>noteikumu</w:t>
            </w:r>
            <w:r w:rsidRPr="00F5798D">
              <w:rPr>
                <w:sz w:val="26"/>
                <w:szCs w:val="26"/>
                <w:lang w:val="lv-LV"/>
              </w:rPr>
              <w:t xml:space="preserve"> projekta izpildei nav nepieciešams izveidot jaunas institūcijas</w:t>
            </w:r>
            <w:r w:rsidRPr="00F5798D">
              <w:rPr>
                <w:rFonts w:eastAsia="Times New Roman"/>
                <w:sz w:val="26"/>
                <w:szCs w:val="26"/>
                <w:lang w:val="lv-LV" w:eastAsia="lv-LV"/>
              </w:rPr>
              <w:t>.</w:t>
            </w:r>
          </w:p>
        </w:tc>
      </w:tr>
      <w:tr w:rsidR="003A7D89" w:rsidRPr="00332B15" w:rsidTr="00375E65">
        <w:trPr>
          <w:trHeight w:val="976"/>
        </w:trPr>
        <w:tc>
          <w:tcPr>
            <w:tcW w:w="427" w:type="pct"/>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lastRenderedPageBreak/>
              <w:t>4.</w:t>
            </w:r>
          </w:p>
        </w:tc>
        <w:tc>
          <w:tcPr>
            <w:tcW w:w="1563"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ietekmes uz pārvaldes institucionālo struktūru. Esošu institūciju likvidācija</w:t>
            </w:r>
          </w:p>
        </w:tc>
        <w:tc>
          <w:tcPr>
            <w:tcW w:w="3010"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sz w:val="26"/>
                <w:szCs w:val="26"/>
                <w:lang w:val="lv-LV"/>
              </w:rPr>
              <w:t xml:space="preserve">Ministru kabineta </w:t>
            </w:r>
            <w:r w:rsidR="00A46462" w:rsidRPr="00F5798D">
              <w:rPr>
                <w:sz w:val="26"/>
                <w:szCs w:val="26"/>
                <w:lang w:val="lv-LV"/>
              </w:rPr>
              <w:t>noteikumu</w:t>
            </w:r>
            <w:r w:rsidRPr="00F5798D">
              <w:rPr>
                <w:sz w:val="26"/>
                <w:szCs w:val="26"/>
                <w:lang w:val="lv-LV"/>
              </w:rPr>
              <w:t xml:space="preserve"> projekta izpildei nav nepieciešams likvidēt esošās institūcijas</w:t>
            </w:r>
            <w:r w:rsidRPr="00F5798D">
              <w:rPr>
                <w:rFonts w:eastAsia="Times New Roman"/>
                <w:sz w:val="26"/>
                <w:szCs w:val="26"/>
                <w:lang w:val="lv-LV" w:eastAsia="lv-LV"/>
              </w:rPr>
              <w:t>.</w:t>
            </w:r>
          </w:p>
        </w:tc>
      </w:tr>
      <w:tr w:rsidR="003A7D89" w:rsidRPr="00332B15" w:rsidTr="00375E65">
        <w:trPr>
          <w:trHeight w:val="508"/>
        </w:trPr>
        <w:tc>
          <w:tcPr>
            <w:tcW w:w="427" w:type="pct"/>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5.</w:t>
            </w:r>
          </w:p>
        </w:tc>
        <w:tc>
          <w:tcPr>
            <w:tcW w:w="1563"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Projekta izpildes ietekmes uz pārvaldes institucionālo struktūru. Esošu institūciju reorganizācija</w:t>
            </w:r>
          </w:p>
        </w:tc>
        <w:tc>
          <w:tcPr>
            <w:tcW w:w="3010"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rFonts w:eastAsia="Times New Roman"/>
                <w:sz w:val="26"/>
                <w:szCs w:val="26"/>
                <w:lang w:val="lv-LV" w:eastAsia="lv-LV"/>
              </w:rPr>
              <w:t xml:space="preserve">Ministru kabineta </w:t>
            </w:r>
            <w:r w:rsidR="00A46462" w:rsidRPr="00F5798D">
              <w:rPr>
                <w:sz w:val="26"/>
                <w:szCs w:val="26"/>
                <w:lang w:val="lv-LV"/>
              </w:rPr>
              <w:t>noteikumu</w:t>
            </w:r>
            <w:r w:rsidRPr="00F5798D">
              <w:rPr>
                <w:sz w:val="26"/>
                <w:szCs w:val="26"/>
                <w:lang w:val="lv-LV"/>
              </w:rPr>
              <w:t xml:space="preserve"> projekta izpildei nav nepieciešams reorganizēt esošās institūcijas</w:t>
            </w:r>
            <w:r w:rsidRPr="00F5798D">
              <w:rPr>
                <w:rFonts w:eastAsia="Times New Roman"/>
                <w:sz w:val="26"/>
                <w:szCs w:val="26"/>
                <w:lang w:val="lv-LV" w:eastAsia="lv-LV"/>
              </w:rPr>
              <w:t>.</w:t>
            </w:r>
          </w:p>
        </w:tc>
      </w:tr>
      <w:tr w:rsidR="003A7D89" w:rsidRPr="00F5798D" w:rsidTr="00375E65">
        <w:trPr>
          <w:trHeight w:val="242"/>
        </w:trPr>
        <w:tc>
          <w:tcPr>
            <w:tcW w:w="427" w:type="pct"/>
            <w:tcBorders>
              <w:top w:val="thickThinLargeGap" w:sz="6" w:space="0" w:color="C0C0C0"/>
              <w:left w:val="thickThinLargeGap" w:sz="6" w:space="0" w:color="C0C0C0"/>
              <w:bottom w:val="thickThinLargeGap" w:sz="6" w:space="0" w:color="C0C0C0"/>
              <w:right w:val="thickThinLargeGap" w:sz="6" w:space="0" w:color="C0C0C0"/>
            </w:tcBorders>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6.</w:t>
            </w:r>
          </w:p>
        </w:tc>
        <w:tc>
          <w:tcPr>
            <w:tcW w:w="1563"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jc w:val="both"/>
              <w:rPr>
                <w:rFonts w:eastAsia="Times New Roman"/>
                <w:sz w:val="26"/>
                <w:szCs w:val="26"/>
                <w:lang w:val="lv-LV" w:eastAsia="lv-LV"/>
              </w:rPr>
            </w:pPr>
            <w:r w:rsidRPr="00F5798D">
              <w:rPr>
                <w:rFonts w:eastAsia="Times New Roman"/>
                <w:sz w:val="26"/>
                <w:szCs w:val="26"/>
                <w:lang w:val="lv-LV" w:eastAsia="lv-LV"/>
              </w:rPr>
              <w:t>Cita informācija</w:t>
            </w:r>
          </w:p>
        </w:tc>
        <w:tc>
          <w:tcPr>
            <w:tcW w:w="3010" w:type="pct"/>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F5798D" w:rsidRDefault="003A7D89" w:rsidP="00F22471">
            <w:pPr>
              <w:ind w:firstLine="720"/>
              <w:jc w:val="both"/>
              <w:rPr>
                <w:rFonts w:eastAsia="Times New Roman"/>
                <w:sz w:val="26"/>
                <w:szCs w:val="26"/>
                <w:lang w:val="lv-LV" w:eastAsia="lv-LV"/>
              </w:rPr>
            </w:pPr>
            <w:r w:rsidRPr="00F5798D">
              <w:rPr>
                <w:rFonts w:eastAsia="Times New Roman"/>
                <w:sz w:val="26"/>
                <w:szCs w:val="26"/>
                <w:lang w:val="lv-LV" w:eastAsia="lv-LV"/>
              </w:rPr>
              <w:t>Nav.</w:t>
            </w:r>
          </w:p>
        </w:tc>
      </w:tr>
    </w:tbl>
    <w:p w:rsidR="00E54ED0" w:rsidRDefault="00E54ED0" w:rsidP="0030260D">
      <w:pPr>
        <w:tabs>
          <w:tab w:val="left" w:pos="7655"/>
        </w:tabs>
        <w:jc w:val="both"/>
        <w:rPr>
          <w:sz w:val="26"/>
          <w:szCs w:val="26"/>
          <w:lang w:val="lv-LV"/>
        </w:rPr>
      </w:pPr>
    </w:p>
    <w:p w:rsidR="00E54ED0" w:rsidRDefault="00E54ED0" w:rsidP="0030260D">
      <w:pPr>
        <w:tabs>
          <w:tab w:val="left" w:pos="7655"/>
        </w:tabs>
        <w:jc w:val="both"/>
        <w:rPr>
          <w:sz w:val="26"/>
          <w:szCs w:val="26"/>
          <w:lang w:val="lv-LV"/>
        </w:rPr>
      </w:pPr>
    </w:p>
    <w:p w:rsidR="005256F2" w:rsidRDefault="0088512F" w:rsidP="00A43665">
      <w:pPr>
        <w:tabs>
          <w:tab w:val="right" w:pos="9072"/>
        </w:tabs>
        <w:rPr>
          <w:sz w:val="26"/>
          <w:szCs w:val="26"/>
          <w:lang w:val="lv-LV"/>
        </w:rPr>
      </w:pPr>
      <w:r w:rsidRPr="00F5798D">
        <w:rPr>
          <w:sz w:val="26"/>
          <w:szCs w:val="26"/>
          <w:lang w:val="lv-LV"/>
        </w:rPr>
        <w:t xml:space="preserve">Anotācijas </w:t>
      </w:r>
      <w:r w:rsidR="00511ADB" w:rsidRPr="00F5798D">
        <w:rPr>
          <w:sz w:val="26"/>
          <w:szCs w:val="26"/>
          <w:lang w:val="lv-LV"/>
        </w:rPr>
        <w:t>III</w:t>
      </w:r>
      <w:r w:rsidR="00375E65">
        <w:rPr>
          <w:sz w:val="26"/>
          <w:szCs w:val="26"/>
          <w:lang w:val="lv-LV"/>
        </w:rPr>
        <w:t xml:space="preserve"> </w:t>
      </w:r>
      <w:r w:rsidR="001D4E7C" w:rsidRPr="00F5798D">
        <w:rPr>
          <w:rFonts w:ascii="Times" w:hAnsi="Times"/>
          <w:sz w:val="26"/>
          <w:szCs w:val="26"/>
          <w:lang w:val="lv-LV"/>
        </w:rPr>
        <w:t>un</w:t>
      </w:r>
      <w:r w:rsidRPr="00F5798D">
        <w:rPr>
          <w:sz w:val="26"/>
          <w:szCs w:val="26"/>
          <w:lang w:val="lv-LV"/>
        </w:rPr>
        <w:t xml:space="preserve"> VI sadaļa – </w:t>
      </w:r>
      <w:r w:rsidRPr="00F5798D">
        <w:rPr>
          <w:iCs/>
          <w:sz w:val="26"/>
          <w:szCs w:val="26"/>
          <w:lang w:val="lv-LV"/>
        </w:rPr>
        <w:t>projekts šīs jomas neskar</w:t>
      </w:r>
      <w:r w:rsidRPr="00F5798D">
        <w:rPr>
          <w:sz w:val="26"/>
          <w:szCs w:val="26"/>
          <w:lang w:val="lv-LV"/>
        </w:rPr>
        <w:t>.</w:t>
      </w:r>
    </w:p>
    <w:p w:rsidR="005256F2" w:rsidRDefault="005256F2" w:rsidP="00A43665">
      <w:pPr>
        <w:tabs>
          <w:tab w:val="right" w:pos="9072"/>
        </w:tabs>
        <w:rPr>
          <w:sz w:val="26"/>
          <w:szCs w:val="26"/>
          <w:lang w:val="lv-LV"/>
        </w:rPr>
      </w:pPr>
    </w:p>
    <w:p w:rsidR="00375E65" w:rsidRDefault="00375E65" w:rsidP="00A43665">
      <w:pPr>
        <w:tabs>
          <w:tab w:val="right" w:pos="9072"/>
        </w:tabs>
        <w:rPr>
          <w:sz w:val="26"/>
          <w:szCs w:val="26"/>
          <w:lang w:val="lv-LV"/>
        </w:rPr>
      </w:pPr>
    </w:p>
    <w:p w:rsidR="00375E65" w:rsidRDefault="00375E65" w:rsidP="00A43665">
      <w:pPr>
        <w:tabs>
          <w:tab w:val="right" w:pos="9072"/>
        </w:tabs>
        <w:rPr>
          <w:sz w:val="26"/>
          <w:szCs w:val="26"/>
          <w:lang w:val="lv-LV"/>
        </w:rPr>
      </w:pPr>
    </w:p>
    <w:p w:rsidR="00375E65" w:rsidRDefault="00375E65" w:rsidP="00A43665">
      <w:pPr>
        <w:tabs>
          <w:tab w:val="right" w:pos="9072"/>
        </w:tabs>
        <w:rPr>
          <w:sz w:val="26"/>
          <w:szCs w:val="26"/>
          <w:lang w:val="lv-LV"/>
        </w:rPr>
      </w:pPr>
    </w:p>
    <w:p w:rsidR="005256F2" w:rsidRDefault="005256F2" w:rsidP="00A43665">
      <w:pPr>
        <w:tabs>
          <w:tab w:val="right" w:pos="9072"/>
        </w:tabs>
        <w:rPr>
          <w:sz w:val="26"/>
          <w:szCs w:val="26"/>
          <w:lang w:val="lv-LV"/>
        </w:rPr>
      </w:pPr>
    </w:p>
    <w:p w:rsidR="00522B62" w:rsidRPr="00F5798D" w:rsidRDefault="00F44F11" w:rsidP="00A43665">
      <w:pPr>
        <w:tabs>
          <w:tab w:val="right" w:pos="9072"/>
        </w:tabs>
        <w:rPr>
          <w:sz w:val="26"/>
          <w:szCs w:val="26"/>
          <w:lang w:val="lv-LV"/>
        </w:rPr>
      </w:pPr>
      <w:r>
        <w:rPr>
          <w:sz w:val="26"/>
          <w:szCs w:val="26"/>
          <w:lang w:val="lv-LV"/>
        </w:rPr>
        <w:t>Ekonomikas ministrs</w:t>
      </w:r>
      <w:r>
        <w:rPr>
          <w:sz w:val="26"/>
          <w:szCs w:val="26"/>
          <w:lang w:val="lv-LV"/>
        </w:rPr>
        <w:tab/>
        <w:t>D.Pavļuts</w:t>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r w:rsidR="00A43665" w:rsidRPr="00F5798D">
        <w:rPr>
          <w:sz w:val="26"/>
          <w:szCs w:val="26"/>
          <w:lang w:val="lv-LV"/>
        </w:rPr>
        <w:tab/>
      </w:r>
    </w:p>
    <w:p w:rsidR="009D5C1D" w:rsidRPr="00F5798D" w:rsidRDefault="009D5C1D" w:rsidP="00F22471">
      <w:pPr>
        <w:tabs>
          <w:tab w:val="left" w:pos="8222"/>
        </w:tabs>
        <w:rPr>
          <w:sz w:val="26"/>
          <w:szCs w:val="26"/>
          <w:lang w:val="lv-LV"/>
        </w:rPr>
      </w:pPr>
    </w:p>
    <w:p w:rsidR="00BE6E9C" w:rsidRDefault="00BE6E9C" w:rsidP="008E5F7D">
      <w:pPr>
        <w:tabs>
          <w:tab w:val="right" w:pos="9072"/>
        </w:tabs>
        <w:rPr>
          <w:sz w:val="26"/>
          <w:szCs w:val="26"/>
          <w:lang w:val="lv-LV"/>
        </w:rPr>
      </w:pPr>
    </w:p>
    <w:p w:rsidR="00375E65" w:rsidRPr="00F5798D" w:rsidRDefault="00375E65" w:rsidP="008E5F7D">
      <w:pPr>
        <w:tabs>
          <w:tab w:val="right" w:pos="9072"/>
        </w:tabs>
        <w:rPr>
          <w:sz w:val="26"/>
          <w:szCs w:val="26"/>
          <w:lang w:val="lv-LV"/>
        </w:rPr>
      </w:pPr>
    </w:p>
    <w:p w:rsidR="00E54ED0" w:rsidRPr="00EC7395" w:rsidRDefault="00822D27" w:rsidP="00F22471">
      <w:pPr>
        <w:jc w:val="both"/>
        <w:rPr>
          <w:sz w:val="26"/>
          <w:szCs w:val="26"/>
          <w:lang w:val="lv-LV"/>
        </w:rPr>
      </w:pPr>
      <w:r>
        <w:rPr>
          <w:sz w:val="26"/>
          <w:szCs w:val="26"/>
          <w:lang w:val="lv-LV"/>
        </w:rPr>
        <w:t>Vīza: V</w:t>
      </w:r>
      <w:r w:rsidR="00B74BCA" w:rsidRPr="00F5798D">
        <w:rPr>
          <w:sz w:val="26"/>
          <w:szCs w:val="26"/>
          <w:lang w:val="lv-LV"/>
        </w:rPr>
        <w:t>alsts sekretār</w:t>
      </w:r>
      <w:r w:rsidR="00EC7395">
        <w:rPr>
          <w:sz w:val="26"/>
          <w:szCs w:val="26"/>
          <w:lang w:val="lv-LV"/>
        </w:rPr>
        <w:t xml:space="preserve">s </w:t>
      </w:r>
      <w:r w:rsidR="00EC7395">
        <w:rPr>
          <w:sz w:val="26"/>
          <w:szCs w:val="26"/>
          <w:lang w:val="lv-LV"/>
        </w:rPr>
        <w:tab/>
      </w:r>
      <w:r w:rsidR="00EC7395">
        <w:rPr>
          <w:sz w:val="26"/>
          <w:szCs w:val="26"/>
          <w:lang w:val="lv-LV"/>
        </w:rPr>
        <w:tab/>
      </w:r>
      <w:r w:rsidR="00EC7395">
        <w:rPr>
          <w:sz w:val="26"/>
          <w:szCs w:val="26"/>
          <w:lang w:val="lv-LV"/>
        </w:rPr>
        <w:tab/>
      </w:r>
      <w:r w:rsidR="00EC7395">
        <w:rPr>
          <w:sz w:val="26"/>
          <w:szCs w:val="26"/>
          <w:lang w:val="lv-LV"/>
        </w:rPr>
        <w:tab/>
      </w:r>
      <w:r w:rsidR="00EC7395">
        <w:rPr>
          <w:sz w:val="26"/>
          <w:szCs w:val="26"/>
          <w:lang w:val="lv-LV"/>
        </w:rPr>
        <w:tab/>
      </w:r>
      <w:r w:rsidR="00EC7395">
        <w:rPr>
          <w:sz w:val="26"/>
          <w:szCs w:val="26"/>
          <w:lang w:val="lv-LV"/>
        </w:rPr>
        <w:tab/>
      </w:r>
      <w:r w:rsidR="00EC7395">
        <w:rPr>
          <w:sz w:val="26"/>
          <w:szCs w:val="26"/>
          <w:lang w:val="lv-LV"/>
        </w:rPr>
        <w:tab/>
      </w:r>
      <w:r w:rsidR="00EC7395">
        <w:rPr>
          <w:sz w:val="26"/>
          <w:szCs w:val="26"/>
          <w:lang w:val="lv-LV"/>
        </w:rPr>
        <w:tab/>
        <w:t xml:space="preserve">  J.Pūce</w:t>
      </w:r>
    </w:p>
    <w:p w:rsidR="0030260D" w:rsidRDefault="0030260D" w:rsidP="00F22471">
      <w:pPr>
        <w:jc w:val="both"/>
        <w:rPr>
          <w:color w:val="000000"/>
          <w:sz w:val="28"/>
          <w:szCs w:val="28"/>
          <w:lang w:val="lv-LV"/>
        </w:rPr>
      </w:pPr>
    </w:p>
    <w:p w:rsidR="005256F2" w:rsidRDefault="005256F2" w:rsidP="00F22471">
      <w:pPr>
        <w:jc w:val="both"/>
        <w:rPr>
          <w:color w:val="000000"/>
          <w:sz w:val="28"/>
          <w:szCs w:val="28"/>
          <w:lang w:val="lv-LV"/>
        </w:rPr>
      </w:pPr>
    </w:p>
    <w:p w:rsidR="00375E65" w:rsidRDefault="00375E65" w:rsidP="00F22471">
      <w:pPr>
        <w:jc w:val="both"/>
        <w:rPr>
          <w:color w:val="000000"/>
          <w:sz w:val="28"/>
          <w:szCs w:val="28"/>
          <w:lang w:val="lv-LV"/>
        </w:rPr>
      </w:pPr>
    </w:p>
    <w:p w:rsidR="00375E65" w:rsidRDefault="00375E65" w:rsidP="00F22471">
      <w:pPr>
        <w:jc w:val="both"/>
        <w:rPr>
          <w:color w:val="000000"/>
          <w:sz w:val="28"/>
          <w:szCs w:val="28"/>
          <w:lang w:val="lv-LV"/>
        </w:rPr>
      </w:pPr>
    </w:p>
    <w:p w:rsidR="00375E65" w:rsidRDefault="00375E65" w:rsidP="00F22471">
      <w:pPr>
        <w:jc w:val="both"/>
        <w:rPr>
          <w:color w:val="000000"/>
          <w:sz w:val="28"/>
          <w:szCs w:val="28"/>
          <w:lang w:val="lv-LV"/>
        </w:rPr>
      </w:pPr>
    </w:p>
    <w:p w:rsidR="005256F2" w:rsidRPr="00332B15" w:rsidRDefault="00EC7395" w:rsidP="00F22471">
      <w:pPr>
        <w:jc w:val="both"/>
        <w:rPr>
          <w:sz w:val="22"/>
          <w:szCs w:val="22"/>
          <w:lang w:val="lv-LV"/>
        </w:rPr>
      </w:pPr>
      <w:r>
        <w:rPr>
          <w:sz w:val="22"/>
          <w:szCs w:val="22"/>
          <w:lang w:val="lv-LV"/>
        </w:rPr>
        <w:t>13.11</w:t>
      </w:r>
      <w:r w:rsidR="003E0002">
        <w:rPr>
          <w:sz w:val="22"/>
          <w:szCs w:val="22"/>
          <w:lang w:val="lv-LV"/>
        </w:rPr>
        <w:t xml:space="preserve">.2013 </w:t>
      </w:r>
      <w:r>
        <w:rPr>
          <w:sz w:val="22"/>
          <w:szCs w:val="22"/>
          <w:lang w:val="lv-LV"/>
        </w:rPr>
        <w:t>11:13</w:t>
      </w:r>
    </w:p>
    <w:p w:rsidR="00BF2F17" w:rsidRPr="00332B15" w:rsidRDefault="00375E65" w:rsidP="00F22471">
      <w:pPr>
        <w:jc w:val="both"/>
        <w:rPr>
          <w:sz w:val="22"/>
          <w:szCs w:val="22"/>
          <w:lang w:val="de-DE"/>
        </w:rPr>
      </w:pPr>
      <w:fldSimple w:instr=" NUMWORDS   \* MERGEFORMAT ">
        <w:r w:rsidR="00EC7395" w:rsidRPr="00EC7395">
          <w:rPr>
            <w:noProof/>
            <w:sz w:val="22"/>
            <w:szCs w:val="22"/>
            <w:lang w:val="de-DE"/>
          </w:rPr>
          <w:t>1203</w:t>
        </w:r>
      </w:fldSimple>
    </w:p>
    <w:p w:rsidR="00643B54" w:rsidRPr="00586EA2" w:rsidRDefault="001E1C63" w:rsidP="00F22471">
      <w:pPr>
        <w:jc w:val="both"/>
        <w:rPr>
          <w:color w:val="000000"/>
          <w:sz w:val="22"/>
          <w:szCs w:val="22"/>
          <w:lang w:val="lv-LV"/>
        </w:rPr>
      </w:pPr>
      <w:r w:rsidRPr="00586EA2">
        <w:rPr>
          <w:color w:val="000000"/>
          <w:sz w:val="22"/>
          <w:szCs w:val="22"/>
          <w:lang w:val="lv-LV"/>
        </w:rPr>
        <w:t>Agita Nicmane</w:t>
      </w:r>
    </w:p>
    <w:p w:rsidR="00097583" w:rsidRPr="0030260D" w:rsidRDefault="00B74BCA" w:rsidP="0030260D">
      <w:pPr>
        <w:jc w:val="both"/>
        <w:rPr>
          <w:color w:val="000000"/>
          <w:sz w:val="22"/>
          <w:szCs w:val="22"/>
          <w:lang w:val="lv-LV"/>
        </w:rPr>
      </w:pPr>
      <w:r w:rsidRPr="00586EA2">
        <w:rPr>
          <w:sz w:val="22"/>
          <w:szCs w:val="22"/>
          <w:lang w:val="lv-LV"/>
        </w:rPr>
        <w:t>67013</w:t>
      </w:r>
      <w:r w:rsidR="001E1C63" w:rsidRPr="00586EA2">
        <w:rPr>
          <w:sz w:val="22"/>
          <w:szCs w:val="22"/>
          <w:lang w:val="lv-LV"/>
        </w:rPr>
        <w:t>203</w:t>
      </w:r>
      <w:r w:rsidR="00386053" w:rsidRPr="00586EA2">
        <w:rPr>
          <w:sz w:val="22"/>
          <w:szCs w:val="22"/>
          <w:lang w:val="lv-LV"/>
        </w:rPr>
        <w:t>,</w:t>
      </w:r>
      <w:hyperlink r:id="rId15" w:history="1">
        <w:r w:rsidR="001E1C63" w:rsidRPr="00586EA2">
          <w:rPr>
            <w:rStyle w:val="Hyperlink"/>
            <w:sz w:val="22"/>
            <w:szCs w:val="22"/>
            <w:lang w:val="lv-LV"/>
          </w:rPr>
          <w:t>Agita.Nicmane@em.gov.lv</w:t>
        </w:r>
      </w:hyperlink>
    </w:p>
    <w:sectPr w:rsidR="00097583" w:rsidRPr="0030260D"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9F" w:rsidRDefault="00496B9F" w:rsidP="00B014C2">
      <w:r>
        <w:separator/>
      </w:r>
    </w:p>
  </w:endnote>
  <w:endnote w:type="continuationSeparator" w:id="0">
    <w:p w:rsidR="00496B9F" w:rsidRDefault="00496B9F"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5F" w:rsidRDefault="00E55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85" w:rsidRPr="00F347AC" w:rsidRDefault="00476D85" w:rsidP="00476D85">
    <w:pPr>
      <w:pStyle w:val="BodyText"/>
      <w:rPr>
        <w:sz w:val="22"/>
        <w:szCs w:val="22"/>
      </w:rPr>
    </w:pPr>
    <w:r w:rsidRPr="00F347AC">
      <w:rPr>
        <w:sz w:val="22"/>
        <w:szCs w:val="22"/>
      </w:rPr>
      <w:fldChar w:fldCharType="begin"/>
    </w:r>
    <w:r w:rsidRPr="00F347AC">
      <w:rPr>
        <w:sz w:val="22"/>
        <w:szCs w:val="22"/>
      </w:rPr>
      <w:instrText xml:space="preserve"> FILENAME   \* MERGEFORMAT </w:instrText>
    </w:r>
    <w:r w:rsidRPr="00F347AC">
      <w:rPr>
        <w:sz w:val="22"/>
        <w:szCs w:val="22"/>
      </w:rPr>
      <w:fldChar w:fldCharType="separate"/>
    </w:r>
    <w:r w:rsidR="00F347AC" w:rsidRPr="00F347AC">
      <w:rPr>
        <w:noProof/>
        <w:sz w:val="22"/>
        <w:szCs w:val="22"/>
      </w:rPr>
      <w:t>EMANOT_131113_GROZ327</w:t>
    </w:r>
    <w:r w:rsidRPr="00F347AC">
      <w:rPr>
        <w:sz w:val="22"/>
        <w:szCs w:val="22"/>
      </w:rPr>
      <w:fldChar w:fldCharType="end"/>
    </w:r>
    <w:r w:rsidRPr="00F347AC">
      <w:rPr>
        <w:sz w:val="22"/>
        <w:szCs w:val="22"/>
      </w:rPr>
      <w:t>; Ministru kabineta noteikumu projekta „Grozījumi Ministru kabineta 2013.gada 18.jūnija noteikumos Nr.327 „Noteikumi par mikroaizdevumiem  saimnieciskās darbības veicēju konkurētspējas uzlabošanai”” sākotnējās ietekmes novērtējuma ziņojums (anotācija)</w:t>
    </w:r>
  </w:p>
  <w:p w:rsidR="00496B9F" w:rsidRPr="00634095" w:rsidRDefault="00496B9F" w:rsidP="00634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9F" w:rsidRPr="00F347AC" w:rsidRDefault="00496B9F" w:rsidP="00B47549">
    <w:pPr>
      <w:pStyle w:val="BodyText"/>
      <w:rPr>
        <w:sz w:val="22"/>
        <w:szCs w:val="22"/>
      </w:rPr>
    </w:pPr>
    <w:r w:rsidRPr="00F347AC">
      <w:rPr>
        <w:sz w:val="22"/>
        <w:szCs w:val="22"/>
      </w:rPr>
      <w:fldChar w:fldCharType="begin"/>
    </w:r>
    <w:r w:rsidRPr="00F347AC">
      <w:rPr>
        <w:sz w:val="22"/>
        <w:szCs w:val="22"/>
      </w:rPr>
      <w:instrText xml:space="preserve"> FILENAME   \* MERGEFORMAT </w:instrText>
    </w:r>
    <w:r w:rsidRPr="00F347AC">
      <w:rPr>
        <w:sz w:val="22"/>
        <w:szCs w:val="22"/>
      </w:rPr>
      <w:fldChar w:fldCharType="separate"/>
    </w:r>
    <w:r w:rsidR="00F347AC" w:rsidRPr="00F347AC">
      <w:rPr>
        <w:noProof/>
        <w:sz w:val="22"/>
        <w:szCs w:val="22"/>
      </w:rPr>
      <w:t>EMANOT_131113_GROZ327</w:t>
    </w:r>
    <w:r w:rsidRPr="00F347AC">
      <w:rPr>
        <w:sz w:val="22"/>
        <w:szCs w:val="22"/>
      </w:rPr>
      <w:fldChar w:fldCharType="end"/>
    </w:r>
    <w:r w:rsidRPr="00F347AC">
      <w:rPr>
        <w:sz w:val="22"/>
        <w:szCs w:val="22"/>
      </w:rPr>
      <w:t xml:space="preserve">; </w:t>
    </w:r>
    <w:bookmarkStart w:id="3" w:name="_GoBack"/>
    <w:r w:rsidRPr="00F347AC">
      <w:rPr>
        <w:sz w:val="22"/>
        <w:szCs w:val="22"/>
      </w:rPr>
      <w:t>Ministru kabineta noteikumu projekta „Grozījum</w:t>
    </w:r>
    <w:r w:rsidR="00476D85" w:rsidRPr="00F347AC">
      <w:rPr>
        <w:sz w:val="22"/>
        <w:szCs w:val="22"/>
      </w:rPr>
      <w:t>i Ministru kabineta 2013.gada 18.jūnij</w:t>
    </w:r>
    <w:r w:rsidRPr="00F347AC">
      <w:rPr>
        <w:sz w:val="22"/>
        <w:szCs w:val="22"/>
      </w:rPr>
      <w:t>a noteikumos Nr.</w:t>
    </w:r>
    <w:r w:rsidR="00476D85" w:rsidRPr="00F347AC">
      <w:rPr>
        <w:sz w:val="22"/>
        <w:szCs w:val="22"/>
      </w:rPr>
      <w:t>327</w:t>
    </w:r>
    <w:r w:rsidRPr="00F347AC">
      <w:rPr>
        <w:sz w:val="22"/>
        <w:szCs w:val="22"/>
      </w:rPr>
      <w:t xml:space="preserve"> „Noteikumi par </w:t>
    </w:r>
    <w:r w:rsidR="00476D85" w:rsidRPr="00F347AC">
      <w:rPr>
        <w:sz w:val="22"/>
        <w:szCs w:val="22"/>
      </w:rPr>
      <w:t xml:space="preserve">mikroaizdevumiem </w:t>
    </w:r>
    <w:r w:rsidRPr="00F347AC">
      <w:rPr>
        <w:sz w:val="22"/>
        <w:szCs w:val="22"/>
      </w:rPr>
      <w:t xml:space="preserve"> saimnieciskās darbības veicēju konkurētspējas uzlabošanai”” </w:t>
    </w:r>
    <w:bookmarkEnd w:id="3"/>
    <w:r w:rsidRPr="00F347AC">
      <w:rPr>
        <w:sz w:val="22"/>
        <w:szCs w:val="22"/>
      </w:rPr>
      <w:t>sākotnējās ietekmes novērtējuma ziņojums (anotācija)</w:t>
    </w:r>
  </w:p>
  <w:p w:rsidR="00496B9F" w:rsidRPr="00FF25D6" w:rsidRDefault="00496B9F" w:rsidP="00FF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9F" w:rsidRDefault="00496B9F" w:rsidP="00B014C2">
      <w:r>
        <w:separator/>
      </w:r>
    </w:p>
  </w:footnote>
  <w:footnote w:type="continuationSeparator" w:id="0">
    <w:p w:rsidR="00496B9F" w:rsidRDefault="00496B9F"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5F" w:rsidRDefault="00E5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496B9F" w:rsidRPr="00B014C2" w:rsidRDefault="00496B9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E5575F">
          <w:rPr>
            <w:noProof/>
            <w:sz w:val="24"/>
            <w:szCs w:val="24"/>
          </w:rPr>
          <w:t>2</w:t>
        </w:r>
        <w:r w:rsidRPr="00B014C2">
          <w:rPr>
            <w:sz w:val="24"/>
            <w:szCs w:val="24"/>
          </w:rPr>
          <w:fldChar w:fldCharType="end"/>
        </w:r>
      </w:p>
    </w:sdtContent>
  </w:sdt>
  <w:p w:rsidR="00496B9F" w:rsidRDefault="00496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5F" w:rsidRDefault="00E5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652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51E3"/>
    <w:rsid w:val="0001626D"/>
    <w:rsid w:val="0001764D"/>
    <w:rsid w:val="00020A02"/>
    <w:rsid w:val="000214DF"/>
    <w:rsid w:val="00026AAD"/>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64EDB"/>
    <w:rsid w:val="000658BF"/>
    <w:rsid w:val="0006720B"/>
    <w:rsid w:val="00071114"/>
    <w:rsid w:val="000729ED"/>
    <w:rsid w:val="00072ECD"/>
    <w:rsid w:val="00081C1D"/>
    <w:rsid w:val="00081F44"/>
    <w:rsid w:val="00083704"/>
    <w:rsid w:val="000847AE"/>
    <w:rsid w:val="0008486C"/>
    <w:rsid w:val="00085339"/>
    <w:rsid w:val="00086412"/>
    <w:rsid w:val="00087524"/>
    <w:rsid w:val="00091DBA"/>
    <w:rsid w:val="00097583"/>
    <w:rsid w:val="000A164A"/>
    <w:rsid w:val="000A2A54"/>
    <w:rsid w:val="000A402E"/>
    <w:rsid w:val="000A4AED"/>
    <w:rsid w:val="000A5FB9"/>
    <w:rsid w:val="000B0719"/>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17ECC"/>
    <w:rsid w:val="00120651"/>
    <w:rsid w:val="0012067B"/>
    <w:rsid w:val="001232D1"/>
    <w:rsid w:val="001254CC"/>
    <w:rsid w:val="001267F1"/>
    <w:rsid w:val="001305B3"/>
    <w:rsid w:val="00130B42"/>
    <w:rsid w:val="00130D33"/>
    <w:rsid w:val="00131980"/>
    <w:rsid w:val="00131C62"/>
    <w:rsid w:val="00134E0F"/>
    <w:rsid w:val="00140F16"/>
    <w:rsid w:val="001428EB"/>
    <w:rsid w:val="00142A69"/>
    <w:rsid w:val="00142AC2"/>
    <w:rsid w:val="00142CBB"/>
    <w:rsid w:val="00143DEB"/>
    <w:rsid w:val="00144D39"/>
    <w:rsid w:val="00153C1A"/>
    <w:rsid w:val="00154358"/>
    <w:rsid w:val="00154C5E"/>
    <w:rsid w:val="001611D0"/>
    <w:rsid w:val="0016139B"/>
    <w:rsid w:val="0016543A"/>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4E7C"/>
    <w:rsid w:val="001D5E9C"/>
    <w:rsid w:val="001D76FC"/>
    <w:rsid w:val="001E1C63"/>
    <w:rsid w:val="001E3BD0"/>
    <w:rsid w:val="001E5031"/>
    <w:rsid w:val="001E7BB7"/>
    <w:rsid w:val="001F02C1"/>
    <w:rsid w:val="001F6151"/>
    <w:rsid w:val="001F6356"/>
    <w:rsid w:val="001F7527"/>
    <w:rsid w:val="001F7FBA"/>
    <w:rsid w:val="00200612"/>
    <w:rsid w:val="00205FEE"/>
    <w:rsid w:val="0021241F"/>
    <w:rsid w:val="00213D6A"/>
    <w:rsid w:val="002149CB"/>
    <w:rsid w:val="00216B96"/>
    <w:rsid w:val="00221058"/>
    <w:rsid w:val="00221205"/>
    <w:rsid w:val="00221561"/>
    <w:rsid w:val="00221CAE"/>
    <w:rsid w:val="00222C0B"/>
    <w:rsid w:val="00224C7C"/>
    <w:rsid w:val="0023085A"/>
    <w:rsid w:val="00230FB6"/>
    <w:rsid w:val="00231EB0"/>
    <w:rsid w:val="00233657"/>
    <w:rsid w:val="00233F7A"/>
    <w:rsid w:val="0023462C"/>
    <w:rsid w:val="00234C58"/>
    <w:rsid w:val="00234DDC"/>
    <w:rsid w:val="0024504A"/>
    <w:rsid w:val="00245D09"/>
    <w:rsid w:val="00247529"/>
    <w:rsid w:val="002507A0"/>
    <w:rsid w:val="002543B5"/>
    <w:rsid w:val="0025484B"/>
    <w:rsid w:val="00257EAE"/>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A7AB0"/>
    <w:rsid w:val="002B1CC6"/>
    <w:rsid w:val="002B30A6"/>
    <w:rsid w:val="002B34B0"/>
    <w:rsid w:val="002B4D01"/>
    <w:rsid w:val="002B667D"/>
    <w:rsid w:val="002B68BD"/>
    <w:rsid w:val="002B768A"/>
    <w:rsid w:val="002C0E0E"/>
    <w:rsid w:val="002C20C8"/>
    <w:rsid w:val="002C3DCC"/>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0CE1"/>
    <w:rsid w:val="0030260D"/>
    <w:rsid w:val="003041AC"/>
    <w:rsid w:val="003124BE"/>
    <w:rsid w:val="003131B9"/>
    <w:rsid w:val="00314594"/>
    <w:rsid w:val="00320EB0"/>
    <w:rsid w:val="00321E80"/>
    <w:rsid w:val="00322A15"/>
    <w:rsid w:val="00324F11"/>
    <w:rsid w:val="00330AF0"/>
    <w:rsid w:val="00332B15"/>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75B42"/>
    <w:rsid w:val="00375E65"/>
    <w:rsid w:val="00383500"/>
    <w:rsid w:val="00384799"/>
    <w:rsid w:val="00385DB0"/>
    <w:rsid w:val="00386053"/>
    <w:rsid w:val="00390449"/>
    <w:rsid w:val="00391942"/>
    <w:rsid w:val="00396D2E"/>
    <w:rsid w:val="003A4A87"/>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D7779"/>
    <w:rsid w:val="003E0002"/>
    <w:rsid w:val="003E0167"/>
    <w:rsid w:val="003E0BD3"/>
    <w:rsid w:val="003E284A"/>
    <w:rsid w:val="003E2968"/>
    <w:rsid w:val="003E3604"/>
    <w:rsid w:val="003E6CB3"/>
    <w:rsid w:val="003F0C4F"/>
    <w:rsid w:val="003F17ED"/>
    <w:rsid w:val="003F4E09"/>
    <w:rsid w:val="00401C5F"/>
    <w:rsid w:val="00402B2B"/>
    <w:rsid w:val="00404C10"/>
    <w:rsid w:val="00404D4B"/>
    <w:rsid w:val="0040578F"/>
    <w:rsid w:val="00406C83"/>
    <w:rsid w:val="004074FD"/>
    <w:rsid w:val="00407E6B"/>
    <w:rsid w:val="00410FEE"/>
    <w:rsid w:val="00414CC7"/>
    <w:rsid w:val="00415C03"/>
    <w:rsid w:val="00416C3A"/>
    <w:rsid w:val="00420FC8"/>
    <w:rsid w:val="0042129F"/>
    <w:rsid w:val="004232D7"/>
    <w:rsid w:val="0042395B"/>
    <w:rsid w:val="0042472B"/>
    <w:rsid w:val="004312AE"/>
    <w:rsid w:val="00431CB5"/>
    <w:rsid w:val="00434ACC"/>
    <w:rsid w:val="00435CDA"/>
    <w:rsid w:val="00436E46"/>
    <w:rsid w:val="00436E6A"/>
    <w:rsid w:val="004406E4"/>
    <w:rsid w:val="004413C4"/>
    <w:rsid w:val="004426FC"/>
    <w:rsid w:val="00442884"/>
    <w:rsid w:val="00443B04"/>
    <w:rsid w:val="0044567A"/>
    <w:rsid w:val="004465FC"/>
    <w:rsid w:val="004522D7"/>
    <w:rsid w:val="004527EA"/>
    <w:rsid w:val="0045318E"/>
    <w:rsid w:val="00457B62"/>
    <w:rsid w:val="00460A29"/>
    <w:rsid w:val="004671D7"/>
    <w:rsid w:val="00467A25"/>
    <w:rsid w:val="00472EF3"/>
    <w:rsid w:val="00475A76"/>
    <w:rsid w:val="00476D85"/>
    <w:rsid w:val="004775F4"/>
    <w:rsid w:val="00484C10"/>
    <w:rsid w:val="00485E0B"/>
    <w:rsid w:val="00486BD6"/>
    <w:rsid w:val="00487753"/>
    <w:rsid w:val="0049013B"/>
    <w:rsid w:val="00491F0A"/>
    <w:rsid w:val="004960FB"/>
    <w:rsid w:val="00496B9F"/>
    <w:rsid w:val="00497086"/>
    <w:rsid w:val="004A16A0"/>
    <w:rsid w:val="004A22E5"/>
    <w:rsid w:val="004A554F"/>
    <w:rsid w:val="004A5BA0"/>
    <w:rsid w:val="004B18A4"/>
    <w:rsid w:val="004B1FE7"/>
    <w:rsid w:val="004B77C0"/>
    <w:rsid w:val="004C1463"/>
    <w:rsid w:val="004D4997"/>
    <w:rsid w:val="004D54CD"/>
    <w:rsid w:val="004D6EF0"/>
    <w:rsid w:val="004D790D"/>
    <w:rsid w:val="004E01F5"/>
    <w:rsid w:val="004E3075"/>
    <w:rsid w:val="004E41B4"/>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256F2"/>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4745"/>
    <w:rsid w:val="0058679B"/>
    <w:rsid w:val="00586EA2"/>
    <w:rsid w:val="005877DA"/>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D7AA4"/>
    <w:rsid w:val="005E4730"/>
    <w:rsid w:val="005E713D"/>
    <w:rsid w:val="005F09EC"/>
    <w:rsid w:val="00603B6E"/>
    <w:rsid w:val="00607722"/>
    <w:rsid w:val="00610DDF"/>
    <w:rsid w:val="00614602"/>
    <w:rsid w:val="00615446"/>
    <w:rsid w:val="006218A6"/>
    <w:rsid w:val="00624FCB"/>
    <w:rsid w:val="00625D54"/>
    <w:rsid w:val="00626F78"/>
    <w:rsid w:val="00630367"/>
    <w:rsid w:val="006309F5"/>
    <w:rsid w:val="00630BAA"/>
    <w:rsid w:val="00631039"/>
    <w:rsid w:val="00634095"/>
    <w:rsid w:val="00636440"/>
    <w:rsid w:val="00641379"/>
    <w:rsid w:val="00643B54"/>
    <w:rsid w:val="006456BB"/>
    <w:rsid w:val="00645F73"/>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A2BCD"/>
    <w:rsid w:val="006A3A28"/>
    <w:rsid w:val="006A3A2B"/>
    <w:rsid w:val="006A668E"/>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78E"/>
    <w:rsid w:val="00706EC2"/>
    <w:rsid w:val="00720EE5"/>
    <w:rsid w:val="007217E4"/>
    <w:rsid w:val="00721D6C"/>
    <w:rsid w:val="00721E50"/>
    <w:rsid w:val="00725107"/>
    <w:rsid w:val="00725B16"/>
    <w:rsid w:val="007278CF"/>
    <w:rsid w:val="00732F77"/>
    <w:rsid w:val="007363F2"/>
    <w:rsid w:val="00737AB8"/>
    <w:rsid w:val="00743E33"/>
    <w:rsid w:val="00744513"/>
    <w:rsid w:val="0075648C"/>
    <w:rsid w:val="00766C95"/>
    <w:rsid w:val="00767185"/>
    <w:rsid w:val="00767E0F"/>
    <w:rsid w:val="007715A2"/>
    <w:rsid w:val="00771E40"/>
    <w:rsid w:val="0077435A"/>
    <w:rsid w:val="00781C31"/>
    <w:rsid w:val="00790E90"/>
    <w:rsid w:val="00791433"/>
    <w:rsid w:val="00793496"/>
    <w:rsid w:val="00793A6B"/>
    <w:rsid w:val="00794B98"/>
    <w:rsid w:val="00797D6F"/>
    <w:rsid w:val="007A0D95"/>
    <w:rsid w:val="007A14D0"/>
    <w:rsid w:val="007A2498"/>
    <w:rsid w:val="007A5115"/>
    <w:rsid w:val="007B0767"/>
    <w:rsid w:val="007B461A"/>
    <w:rsid w:val="007C1582"/>
    <w:rsid w:val="007C2960"/>
    <w:rsid w:val="007C2992"/>
    <w:rsid w:val="007C62F5"/>
    <w:rsid w:val="007C7357"/>
    <w:rsid w:val="007C7B92"/>
    <w:rsid w:val="007D054D"/>
    <w:rsid w:val="007D14B7"/>
    <w:rsid w:val="007D45FD"/>
    <w:rsid w:val="007D4A66"/>
    <w:rsid w:val="007D6721"/>
    <w:rsid w:val="007D6900"/>
    <w:rsid w:val="007D7038"/>
    <w:rsid w:val="007D7A8A"/>
    <w:rsid w:val="007E0403"/>
    <w:rsid w:val="007E0A01"/>
    <w:rsid w:val="007E1DC0"/>
    <w:rsid w:val="007E27E6"/>
    <w:rsid w:val="007E63F8"/>
    <w:rsid w:val="007E7623"/>
    <w:rsid w:val="007F0242"/>
    <w:rsid w:val="007F0C15"/>
    <w:rsid w:val="007F6FA2"/>
    <w:rsid w:val="008029B5"/>
    <w:rsid w:val="00805719"/>
    <w:rsid w:val="008101B4"/>
    <w:rsid w:val="00810BB4"/>
    <w:rsid w:val="00812990"/>
    <w:rsid w:val="00814B24"/>
    <w:rsid w:val="00815CC0"/>
    <w:rsid w:val="008173C3"/>
    <w:rsid w:val="00817839"/>
    <w:rsid w:val="00822D27"/>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3CE5"/>
    <w:rsid w:val="00864EFE"/>
    <w:rsid w:val="008657D2"/>
    <w:rsid w:val="00865B99"/>
    <w:rsid w:val="00866076"/>
    <w:rsid w:val="00872381"/>
    <w:rsid w:val="00874C25"/>
    <w:rsid w:val="0087682B"/>
    <w:rsid w:val="00876ABF"/>
    <w:rsid w:val="00877FED"/>
    <w:rsid w:val="00880F80"/>
    <w:rsid w:val="008822A5"/>
    <w:rsid w:val="008833AC"/>
    <w:rsid w:val="0088512F"/>
    <w:rsid w:val="00885C85"/>
    <w:rsid w:val="00890CFA"/>
    <w:rsid w:val="00891DAA"/>
    <w:rsid w:val="00891EFC"/>
    <w:rsid w:val="0089622A"/>
    <w:rsid w:val="00897C16"/>
    <w:rsid w:val="008A1F1E"/>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F7D"/>
    <w:rsid w:val="008E6217"/>
    <w:rsid w:val="008E7722"/>
    <w:rsid w:val="008E7CAD"/>
    <w:rsid w:val="008F230C"/>
    <w:rsid w:val="008F48C1"/>
    <w:rsid w:val="008F4C9D"/>
    <w:rsid w:val="008F5394"/>
    <w:rsid w:val="008F636C"/>
    <w:rsid w:val="008F6397"/>
    <w:rsid w:val="009002C8"/>
    <w:rsid w:val="0090048A"/>
    <w:rsid w:val="009041C1"/>
    <w:rsid w:val="0090449A"/>
    <w:rsid w:val="00904995"/>
    <w:rsid w:val="00904A06"/>
    <w:rsid w:val="0090536A"/>
    <w:rsid w:val="00911D0C"/>
    <w:rsid w:val="0091291A"/>
    <w:rsid w:val="00914CB3"/>
    <w:rsid w:val="00916328"/>
    <w:rsid w:val="00917324"/>
    <w:rsid w:val="00920CC5"/>
    <w:rsid w:val="009223CF"/>
    <w:rsid w:val="009223E3"/>
    <w:rsid w:val="0092468A"/>
    <w:rsid w:val="009260C5"/>
    <w:rsid w:val="00930CFF"/>
    <w:rsid w:val="00932B78"/>
    <w:rsid w:val="00932D9E"/>
    <w:rsid w:val="00933744"/>
    <w:rsid w:val="0094012A"/>
    <w:rsid w:val="00940388"/>
    <w:rsid w:val="009429B7"/>
    <w:rsid w:val="00944903"/>
    <w:rsid w:val="009450CF"/>
    <w:rsid w:val="00945AEE"/>
    <w:rsid w:val="0094732D"/>
    <w:rsid w:val="00947CF8"/>
    <w:rsid w:val="0095099A"/>
    <w:rsid w:val="009520C3"/>
    <w:rsid w:val="0095680E"/>
    <w:rsid w:val="0095696B"/>
    <w:rsid w:val="00962693"/>
    <w:rsid w:val="00962CEA"/>
    <w:rsid w:val="00971B45"/>
    <w:rsid w:val="00972275"/>
    <w:rsid w:val="00972B86"/>
    <w:rsid w:val="00977A1D"/>
    <w:rsid w:val="0098472B"/>
    <w:rsid w:val="00986AB5"/>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9F5FC6"/>
    <w:rsid w:val="009F6E0D"/>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16E4"/>
    <w:rsid w:val="00A520CC"/>
    <w:rsid w:val="00A52A78"/>
    <w:rsid w:val="00A52BA6"/>
    <w:rsid w:val="00A5445A"/>
    <w:rsid w:val="00A552DA"/>
    <w:rsid w:val="00A571A0"/>
    <w:rsid w:val="00A6113D"/>
    <w:rsid w:val="00A6164F"/>
    <w:rsid w:val="00A6235A"/>
    <w:rsid w:val="00A62805"/>
    <w:rsid w:val="00A6716E"/>
    <w:rsid w:val="00A700D6"/>
    <w:rsid w:val="00A805C2"/>
    <w:rsid w:val="00A806F1"/>
    <w:rsid w:val="00A85E4F"/>
    <w:rsid w:val="00A868E7"/>
    <w:rsid w:val="00A87BE9"/>
    <w:rsid w:val="00A9241A"/>
    <w:rsid w:val="00A94DCD"/>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2E6A"/>
    <w:rsid w:val="00AC6009"/>
    <w:rsid w:val="00AD0DF6"/>
    <w:rsid w:val="00AD2826"/>
    <w:rsid w:val="00AD4944"/>
    <w:rsid w:val="00AD5849"/>
    <w:rsid w:val="00AD7071"/>
    <w:rsid w:val="00AD7CF0"/>
    <w:rsid w:val="00AE05F1"/>
    <w:rsid w:val="00AE095B"/>
    <w:rsid w:val="00AE1659"/>
    <w:rsid w:val="00AE4EB6"/>
    <w:rsid w:val="00AE51EC"/>
    <w:rsid w:val="00AE6E0C"/>
    <w:rsid w:val="00AF1E99"/>
    <w:rsid w:val="00AF4043"/>
    <w:rsid w:val="00AF7E12"/>
    <w:rsid w:val="00B014C2"/>
    <w:rsid w:val="00B033B8"/>
    <w:rsid w:val="00B0347F"/>
    <w:rsid w:val="00B04FAA"/>
    <w:rsid w:val="00B121E8"/>
    <w:rsid w:val="00B13499"/>
    <w:rsid w:val="00B1662F"/>
    <w:rsid w:val="00B20342"/>
    <w:rsid w:val="00B20D39"/>
    <w:rsid w:val="00B221CA"/>
    <w:rsid w:val="00B274BB"/>
    <w:rsid w:val="00B30133"/>
    <w:rsid w:val="00B37577"/>
    <w:rsid w:val="00B37644"/>
    <w:rsid w:val="00B45711"/>
    <w:rsid w:val="00B46B34"/>
    <w:rsid w:val="00B47549"/>
    <w:rsid w:val="00B5655C"/>
    <w:rsid w:val="00B56EB8"/>
    <w:rsid w:val="00B57637"/>
    <w:rsid w:val="00B60083"/>
    <w:rsid w:val="00B60EEC"/>
    <w:rsid w:val="00B6151B"/>
    <w:rsid w:val="00B6163A"/>
    <w:rsid w:val="00B62197"/>
    <w:rsid w:val="00B63BE0"/>
    <w:rsid w:val="00B6474E"/>
    <w:rsid w:val="00B65CFA"/>
    <w:rsid w:val="00B66159"/>
    <w:rsid w:val="00B70F42"/>
    <w:rsid w:val="00B74681"/>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3AFB"/>
    <w:rsid w:val="00BD4752"/>
    <w:rsid w:val="00BD63E9"/>
    <w:rsid w:val="00BD641D"/>
    <w:rsid w:val="00BE0EC8"/>
    <w:rsid w:val="00BE4892"/>
    <w:rsid w:val="00BE649D"/>
    <w:rsid w:val="00BE6E9C"/>
    <w:rsid w:val="00BE7FDD"/>
    <w:rsid w:val="00BF13E2"/>
    <w:rsid w:val="00BF249C"/>
    <w:rsid w:val="00BF2F17"/>
    <w:rsid w:val="00BF4361"/>
    <w:rsid w:val="00BF54A6"/>
    <w:rsid w:val="00BF5807"/>
    <w:rsid w:val="00BF6568"/>
    <w:rsid w:val="00C02217"/>
    <w:rsid w:val="00C044F2"/>
    <w:rsid w:val="00C11C6A"/>
    <w:rsid w:val="00C16A63"/>
    <w:rsid w:val="00C16F7D"/>
    <w:rsid w:val="00C1739F"/>
    <w:rsid w:val="00C20A0F"/>
    <w:rsid w:val="00C20EF9"/>
    <w:rsid w:val="00C21A1E"/>
    <w:rsid w:val="00C24F0A"/>
    <w:rsid w:val="00C25337"/>
    <w:rsid w:val="00C3030C"/>
    <w:rsid w:val="00C307D2"/>
    <w:rsid w:val="00C31A26"/>
    <w:rsid w:val="00C327A5"/>
    <w:rsid w:val="00C32F05"/>
    <w:rsid w:val="00C33F2C"/>
    <w:rsid w:val="00C34377"/>
    <w:rsid w:val="00C34941"/>
    <w:rsid w:val="00C37B14"/>
    <w:rsid w:val="00C40FDA"/>
    <w:rsid w:val="00C42633"/>
    <w:rsid w:val="00C44943"/>
    <w:rsid w:val="00C44C95"/>
    <w:rsid w:val="00C4549D"/>
    <w:rsid w:val="00C45AB4"/>
    <w:rsid w:val="00C5082A"/>
    <w:rsid w:val="00C52C5E"/>
    <w:rsid w:val="00C5549D"/>
    <w:rsid w:val="00C564C7"/>
    <w:rsid w:val="00C56DEA"/>
    <w:rsid w:val="00C61BDC"/>
    <w:rsid w:val="00C61FF9"/>
    <w:rsid w:val="00C627A2"/>
    <w:rsid w:val="00C65525"/>
    <w:rsid w:val="00C6637E"/>
    <w:rsid w:val="00C7152A"/>
    <w:rsid w:val="00C728A7"/>
    <w:rsid w:val="00C7500F"/>
    <w:rsid w:val="00C751EA"/>
    <w:rsid w:val="00C75A4F"/>
    <w:rsid w:val="00C772EA"/>
    <w:rsid w:val="00C817B6"/>
    <w:rsid w:val="00C8212B"/>
    <w:rsid w:val="00C83591"/>
    <w:rsid w:val="00C83878"/>
    <w:rsid w:val="00C84027"/>
    <w:rsid w:val="00C85068"/>
    <w:rsid w:val="00C86127"/>
    <w:rsid w:val="00C87353"/>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5A2"/>
    <w:rsid w:val="00CC76C2"/>
    <w:rsid w:val="00CD40FD"/>
    <w:rsid w:val="00CD4E1C"/>
    <w:rsid w:val="00CD626F"/>
    <w:rsid w:val="00CD7E33"/>
    <w:rsid w:val="00CE09F6"/>
    <w:rsid w:val="00CE128B"/>
    <w:rsid w:val="00CE1DEF"/>
    <w:rsid w:val="00CE2776"/>
    <w:rsid w:val="00CE46A5"/>
    <w:rsid w:val="00CF0131"/>
    <w:rsid w:val="00CF05DA"/>
    <w:rsid w:val="00CF370C"/>
    <w:rsid w:val="00CF4D9E"/>
    <w:rsid w:val="00CF50F6"/>
    <w:rsid w:val="00CF5C7C"/>
    <w:rsid w:val="00D0079F"/>
    <w:rsid w:val="00D03BE9"/>
    <w:rsid w:val="00D07138"/>
    <w:rsid w:val="00D11E93"/>
    <w:rsid w:val="00D12D69"/>
    <w:rsid w:val="00D12F6E"/>
    <w:rsid w:val="00D215C9"/>
    <w:rsid w:val="00D23D51"/>
    <w:rsid w:val="00D23E53"/>
    <w:rsid w:val="00D24EDC"/>
    <w:rsid w:val="00D264A2"/>
    <w:rsid w:val="00D277E5"/>
    <w:rsid w:val="00D315BC"/>
    <w:rsid w:val="00D31657"/>
    <w:rsid w:val="00D31FAE"/>
    <w:rsid w:val="00D32AB6"/>
    <w:rsid w:val="00D419F1"/>
    <w:rsid w:val="00D478F2"/>
    <w:rsid w:val="00D50452"/>
    <w:rsid w:val="00D52D4A"/>
    <w:rsid w:val="00D5601B"/>
    <w:rsid w:val="00D56DA8"/>
    <w:rsid w:val="00D62CCB"/>
    <w:rsid w:val="00D66C18"/>
    <w:rsid w:val="00D71175"/>
    <w:rsid w:val="00D7155A"/>
    <w:rsid w:val="00D71706"/>
    <w:rsid w:val="00D7256E"/>
    <w:rsid w:val="00D72F3D"/>
    <w:rsid w:val="00D74282"/>
    <w:rsid w:val="00D8286C"/>
    <w:rsid w:val="00D83021"/>
    <w:rsid w:val="00D94F4A"/>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4D7E"/>
    <w:rsid w:val="00DD5665"/>
    <w:rsid w:val="00DE01CE"/>
    <w:rsid w:val="00DE0762"/>
    <w:rsid w:val="00DE67FC"/>
    <w:rsid w:val="00DF00C1"/>
    <w:rsid w:val="00DF0637"/>
    <w:rsid w:val="00DF0A7E"/>
    <w:rsid w:val="00DF4BCE"/>
    <w:rsid w:val="00E03A78"/>
    <w:rsid w:val="00E042D4"/>
    <w:rsid w:val="00E07DF2"/>
    <w:rsid w:val="00E147E0"/>
    <w:rsid w:val="00E22906"/>
    <w:rsid w:val="00E22D5A"/>
    <w:rsid w:val="00E22EBE"/>
    <w:rsid w:val="00E25884"/>
    <w:rsid w:val="00E26AAA"/>
    <w:rsid w:val="00E3385D"/>
    <w:rsid w:val="00E360B7"/>
    <w:rsid w:val="00E43842"/>
    <w:rsid w:val="00E44062"/>
    <w:rsid w:val="00E4416C"/>
    <w:rsid w:val="00E51BA8"/>
    <w:rsid w:val="00E51BE9"/>
    <w:rsid w:val="00E52FCD"/>
    <w:rsid w:val="00E54741"/>
    <w:rsid w:val="00E54ED0"/>
    <w:rsid w:val="00E5575F"/>
    <w:rsid w:val="00E56A1F"/>
    <w:rsid w:val="00E5743D"/>
    <w:rsid w:val="00E62150"/>
    <w:rsid w:val="00E6447F"/>
    <w:rsid w:val="00E65F36"/>
    <w:rsid w:val="00E65F64"/>
    <w:rsid w:val="00E671E2"/>
    <w:rsid w:val="00E70B81"/>
    <w:rsid w:val="00E73425"/>
    <w:rsid w:val="00E73C02"/>
    <w:rsid w:val="00E7628E"/>
    <w:rsid w:val="00E77577"/>
    <w:rsid w:val="00E8006C"/>
    <w:rsid w:val="00E8473B"/>
    <w:rsid w:val="00E90C7E"/>
    <w:rsid w:val="00E921F7"/>
    <w:rsid w:val="00E9274F"/>
    <w:rsid w:val="00EA2820"/>
    <w:rsid w:val="00EA6137"/>
    <w:rsid w:val="00EB03F5"/>
    <w:rsid w:val="00EB263C"/>
    <w:rsid w:val="00EB4862"/>
    <w:rsid w:val="00EC09FD"/>
    <w:rsid w:val="00EC1C10"/>
    <w:rsid w:val="00EC1CD1"/>
    <w:rsid w:val="00EC4103"/>
    <w:rsid w:val="00EC7395"/>
    <w:rsid w:val="00ED175B"/>
    <w:rsid w:val="00ED29AD"/>
    <w:rsid w:val="00ED346D"/>
    <w:rsid w:val="00ED377B"/>
    <w:rsid w:val="00ED49F3"/>
    <w:rsid w:val="00ED5E40"/>
    <w:rsid w:val="00EE35DE"/>
    <w:rsid w:val="00EE4E64"/>
    <w:rsid w:val="00EE4FC3"/>
    <w:rsid w:val="00EF26A5"/>
    <w:rsid w:val="00EF312B"/>
    <w:rsid w:val="00EF335B"/>
    <w:rsid w:val="00EF4B50"/>
    <w:rsid w:val="00EF5FA2"/>
    <w:rsid w:val="00EF662A"/>
    <w:rsid w:val="00EF6CB9"/>
    <w:rsid w:val="00EF6E5B"/>
    <w:rsid w:val="00EF7435"/>
    <w:rsid w:val="00EF74C8"/>
    <w:rsid w:val="00EF7A99"/>
    <w:rsid w:val="00F017F1"/>
    <w:rsid w:val="00F02F53"/>
    <w:rsid w:val="00F10EB1"/>
    <w:rsid w:val="00F112E5"/>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3C48"/>
    <w:rsid w:val="00F33E2D"/>
    <w:rsid w:val="00F347AC"/>
    <w:rsid w:val="00F42E7B"/>
    <w:rsid w:val="00F44F11"/>
    <w:rsid w:val="00F45FC6"/>
    <w:rsid w:val="00F543D6"/>
    <w:rsid w:val="00F56864"/>
    <w:rsid w:val="00F573E5"/>
    <w:rsid w:val="00F5798D"/>
    <w:rsid w:val="00F614BD"/>
    <w:rsid w:val="00F63930"/>
    <w:rsid w:val="00F64547"/>
    <w:rsid w:val="00F65DC0"/>
    <w:rsid w:val="00F65EC5"/>
    <w:rsid w:val="00F67545"/>
    <w:rsid w:val="00F72E9B"/>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B0E25"/>
    <w:rsid w:val="00FB4555"/>
    <w:rsid w:val="00FC02DA"/>
    <w:rsid w:val="00FC4CC7"/>
    <w:rsid w:val="00FD3374"/>
    <w:rsid w:val="00FD3BBA"/>
    <w:rsid w:val="00FD4326"/>
    <w:rsid w:val="00FD7D7A"/>
    <w:rsid w:val="00FE2734"/>
    <w:rsid w:val="00FF1D9A"/>
    <w:rsid w:val="00FF25D6"/>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paragraph" w:customStyle="1" w:styleId="naislab">
    <w:name w:val="naislab"/>
    <w:basedOn w:val="Normal"/>
    <w:rsid w:val="0016543A"/>
    <w:pPr>
      <w:spacing w:before="84" w:after="84"/>
      <w:jc w:val="right"/>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paragraph" w:customStyle="1" w:styleId="naislab">
    <w:name w:val="naislab"/>
    <w:basedOn w:val="Normal"/>
    <w:rsid w:val="0016543A"/>
    <w:pPr>
      <w:spacing w:before="84" w:after="84"/>
      <w:jc w:val="right"/>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187522251">
      <w:bodyDiv w:val="1"/>
      <w:marLeft w:val="0"/>
      <w:marRight w:val="0"/>
      <w:marTop w:val="0"/>
      <w:marBottom w:val="0"/>
      <w:divBdr>
        <w:top w:val="none" w:sz="0" w:space="0" w:color="auto"/>
        <w:left w:val="none" w:sz="0" w:space="0" w:color="auto"/>
        <w:bottom w:val="none" w:sz="0" w:space="0" w:color="auto"/>
        <w:right w:val="none" w:sz="0" w:space="0" w:color="auto"/>
      </w:divBdr>
      <w:divsChild>
        <w:div w:id="1581284956">
          <w:marLeft w:val="0"/>
          <w:marRight w:val="0"/>
          <w:marTop w:val="0"/>
          <w:marBottom w:val="0"/>
          <w:divBdr>
            <w:top w:val="none" w:sz="0" w:space="0" w:color="auto"/>
            <w:left w:val="none" w:sz="0" w:space="0" w:color="auto"/>
            <w:bottom w:val="none" w:sz="0" w:space="0" w:color="auto"/>
            <w:right w:val="none" w:sz="0" w:space="0" w:color="auto"/>
          </w:divBdr>
          <w:divsChild>
            <w:div w:id="1963420822">
              <w:marLeft w:val="0"/>
              <w:marRight w:val="0"/>
              <w:marTop w:val="0"/>
              <w:marBottom w:val="0"/>
              <w:divBdr>
                <w:top w:val="none" w:sz="0" w:space="0" w:color="auto"/>
                <w:left w:val="none" w:sz="0" w:space="0" w:color="auto"/>
                <w:bottom w:val="none" w:sz="0" w:space="0" w:color="auto"/>
                <w:right w:val="none" w:sz="0" w:space="0" w:color="auto"/>
              </w:divBdr>
              <w:divsChild>
                <w:div w:id="2137330912">
                  <w:marLeft w:val="0"/>
                  <w:marRight w:val="0"/>
                  <w:marTop w:val="0"/>
                  <w:marBottom w:val="0"/>
                  <w:divBdr>
                    <w:top w:val="none" w:sz="0" w:space="0" w:color="auto"/>
                    <w:left w:val="none" w:sz="0" w:space="0" w:color="auto"/>
                    <w:bottom w:val="none" w:sz="0" w:space="0" w:color="auto"/>
                    <w:right w:val="none" w:sz="0" w:space="0" w:color="auto"/>
                  </w:divBdr>
                  <w:divsChild>
                    <w:div w:id="285089911">
                      <w:marLeft w:val="0"/>
                      <w:marRight w:val="0"/>
                      <w:marTop w:val="0"/>
                      <w:marBottom w:val="0"/>
                      <w:divBdr>
                        <w:top w:val="none" w:sz="0" w:space="0" w:color="auto"/>
                        <w:left w:val="none" w:sz="0" w:space="0" w:color="auto"/>
                        <w:bottom w:val="none" w:sz="0" w:space="0" w:color="auto"/>
                        <w:right w:val="none" w:sz="0" w:space="0" w:color="auto"/>
                      </w:divBdr>
                      <w:divsChild>
                        <w:div w:id="1683706573">
                          <w:marLeft w:val="0"/>
                          <w:marRight w:val="0"/>
                          <w:marTop w:val="300"/>
                          <w:marBottom w:val="0"/>
                          <w:divBdr>
                            <w:top w:val="none" w:sz="0" w:space="0" w:color="auto"/>
                            <w:left w:val="none" w:sz="0" w:space="0" w:color="auto"/>
                            <w:bottom w:val="none" w:sz="0" w:space="0" w:color="auto"/>
                            <w:right w:val="none" w:sz="0" w:space="0" w:color="auto"/>
                          </w:divBdr>
                          <w:divsChild>
                            <w:div w:id="8697297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gita.Nicmane@em.gov.l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0E6B-8BC5-4037-9B6A-D801B1D9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1227</Words>
  <Characters>8484</Characters>
  <Application>Microsoft Office Word</Application>
  <DocSecurity>0</DocSecurity>
  <Lines>385</Lines>
  <Paragraphs>133</Paragraphs>
  <ScaleCrop>false</ScaleCrop>
  <HeadingPairs>
    <vt:vector size="2" baseType="variant">
      <vt:variant>
        <vt:lpstr>Title</vt:lpstr>
      </vt:variant>
      <vt:variant>
        <vt:i4>1</vt:i4>
      </vt:variant>
    </vt:vector>
  </HeadingPairs>
  <TitlesOfParts>
    <vt:vector size="1" baseType="lpstr">
      <vt:lpstr>Grozījums Ministru kabineta 2011.gada 2.augusta noteikumos Nr.613 „Noteikumi par mezanīna aizdevumiem saimnieciskās darbības veicēju konkurētspējas uzlabošanai”</vt:lpstr>
    </vt:vector>
  </TitlesOfParts>
  <Company>LR Ekonomikas ministrija</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18.jūnija noteikumos Nr.327 „Noteikumi par mikroaizdevumiem  saimnieciskās darbības veicēju konkurētspējas uzlabošanai”” </dc:title>
  <dc:subject>Ministru kabineta noteikumu projekta „Grozījumi Ministru kabineta 2013.gada 18.jūnija noteikumos Nr.327 „Noteikumi par mikroaizdevumiem  saimnieciskās darbības veicēju konkurētspējas uzlabošanai”” sākotnējās ietekmes novērtējuma ziņojums (anotācija)</dc:subject>
  <dc:creator>Agita Nicmane</dc:creator>
  <dc:description>67013203, Agita.Nicmane@em.gov.lv</dc:description>
  <cp:lastModifiedBy>Agita Nicmane</cp:lastModifiedBy>
  <cp:revision>6</cp:revision>
  <cp:lastPrinted>2013-05-28T07:33:00Z</cp:lastPrinted>
  <dcterms:created xsi:type="dcterms:W3CDTF">2013-10-17T06:41:00Z</dcterms:created>
  <dcterms:modified xsi:type="dcterms:W3CDTF">2013-11-13T09:13:00Z</dcterms:modified>
</cp:coreProperties>
</file>