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65" w:rsidRPr="000C1BF1" w:rsidRDefault="000C6B65">
      <w:pPr>
        <w:pStyle w:val="Footer"/>
        <w:tabs>
          <w:tab w:val="clear" w:pos="4153"/>
          <w:tab w:val="clear" w:pos="8306"/>
        </w:tabs>
        <w:spacing w:after="12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0C1BF1">
        <w:rPr>
          <w:b/>
          <w:sz w:val="28"/>
          <w:lang w:val="lv-LV"/>
        </w:rPr>
        <w:t xml:space="preserve">Ministru kabineta </w:t>
      </w:r>
      <w:r w:rsidR="007E3559" w:rsidRPr="000C1BF1">
        <w:rPr>
          <w:b/>
          <w:sz w:val="28"/>
          <w:lang w:val="lv-LV"/>
        </w:rPr>
        <w:t>noteikumu</w:t>
      </w:r>
      <w:r w:rsidRPr="000C1BF1">
        <w:rPr>
          <w:b/>
          <w:sz w:val="28"/>
          <w:lang w:val="lv-LV"/>
        </w:rPr>
        <w:t xml:space="preserve"> projekta „</w:t>
      </w:r>
      <w:r w:rsidR="00B365B1" w:rsidRPr="000C1BF1">
        <w:rPr>
          <w:b/>
          <w:sz w:val="28"/>
          <w:lang w:val="lv-LV"/>
        </w:rPr>
        <w:t>Grozījums Ministru kabineta 2003. gada 11. februāra noteikumos Nr. 71 „Privatizācijas sertifikātu piešķiršanas un privatizācijas sertifikātu kontu atvēršanas noteikumi”</w:t>
      </w:r>
      <w:r w:rsidRPr="000C1BF1">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095"/>
      </w:tblGrid>
      <w:tr w:rsidR="000C6B65" w:rsidRPr="000C1BF1">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0C6B65" w:rsidRPr="000C1BF1" w:rsidRDefault="000C6B65">
            <w:pPr>
              <w:ind w:firstLine="720"/>
              <w:jc w:val="both"/>
              <w:rPr>
                <w:b/>
                <w:sz w:val="28"/>
                <w:lang w:val="lv-LV"/>
              </w:rPr>
            </w:pPr>
            <w:r w:rsidRPr="000C1BF1">
              <w:rPr>
                <w:b/>
                <w:sz w:val="28"/>
                <w:lang w:val="lv-LV"/>
              </w:rPr>
              <w:t> I. Tiesību akta projekta izstrādes nepieciešamība</w:t>
            </w:r>
          </w:p>
        </w:tc>
      </w:tr>
      <w:tr w:rsidR="000C6B65" w:rsidRPr="000C1BF1">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jc w:val="both"/>
              <w:rPr>
                <w:sz w:val="28"/>
                <w:lang w:val="lv-LV"/>
              </w:rPr>
            </w:pPr>
            <w:r w:rsidRPr="000C1BF1">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F54CA3" w:rsidP="00F54CA3">
            <w:pPr>
              <w:spacing w:before="120" w:after="120"/>
              <w:ind w:firstLine="720"/>
              <w:jc w:val="both"/>
              <w:rPr>
                <w:sz w:val="28"/>
                <w:lang w:val="lv-LV"/>
              </w:rPr>
            </w:pPr>
            <w:r w:rsidRPr="000C1BF1">
              <w:rPr>
                <w:sz w:val="28"/>
                <w:lang w:val="lv-LV"/>
              </w:rPr>
              <w:t>Ministru kabineta noteikumu projekts „</w:t>
            </w:r>
            <w:r w:rsidR="00B365B1" w:rsidRPr="000C1BF1">
              <w:rPr>
                <w:sz w:val="28"/>
                <w:lang w:val="lv-LV"/>
              </w:rPr>
              <w:t>Grozījums Ministru kabineta 2003. gada 11. februāra noteikumos Nr. 71 „Privatizācijas sertifikātu piešķiršanas un privatizācijas sertifikātu kontu atvēršanas noteikumi”</w:t>
            </w:r>
            <w:r w:rsidRPr="000C1BF1">
              <w:rPr>
                <w:sz w:val="28"/>
                <w:lang w:val="lv-LV"/>
              </w:rPr>
              <w:t>”</w:t>
            </w:r>
            <w:r w:rsidRPr="000C1BF1">
              <w:rPr>
                <w:sz w:val="28"/>
                <w:szCs w:val="28"/>
                <w:lang w:val="lv-LV"/>
              </w:rPr>
              <w:t xml:space="preserve"> (turpmāk – Ministru kabineta noteikumu projekts) izstrādāts, pamatojoties uz Ministru kabineta 2011.</w:t>
            </w:r>
            <w:r w:rsidR="009674B8" w:rsidRPr="000C1BF1">
              <w:rPr>
                <w:sz w:val="28"/>
                <w:szCs w:val="28"/>
                <w:lang w:val="lv-LV"/>
              </w:rPr>
              <w:t> </w:t>
            </w:r>
            <w:r w:rsidRPr="000C1BF1">
              <w:rPr>
                <w:sz w:val="28"/>
                <w:szCs w:val="28"/>
                <w:lang w:val="lv-LV"/>
              </w:rPr>
              <w:t>gada 12.</w:t>
            </w:r>
            <w:r w:rsidR="009674B8" w:rsidRPr="000C1BF1">
              <w:rPr>
                <w:sz w:val="28"/>
                <w:szCs w:val="28"/>
                <w:lang w:val="lv-LV"/>
              </w:rPr>
              <w:t> </w:t>
            </w:r>
            <w:r w:rsidRPr="000C1BF1">
              <w:rPr>
                <w:sz w:val="28"/>
                <w:szCs w:val="28"/>
                <w:lang w:val="lv-LV"/>
              </w:rPr>
              <w:t>jūlija sēdē (prot.Nr.</w:t>
            </w:r>
            <w:r w:rsidR="009674B8" w:rsidRPr="000C1BF1">
              <w:rPr>
                <w:sz w:val="28"/>
                <w:szCs w:val="28"/>
                <w:lang w:val="lv-LV"/>
              </w:rPr>
              <w:t> </w:t>
            </w:r>
            <w:r w:rsidRPr="000C1BF1">
              <w:rPr>
                <w:sz w:val="28"/>
                <w:szCs w:val="28"/>
                <w:lang w:val="lv-LV"/>
              </w:rPr>
              <w:t>43, 30.§, 2.</w:t>
            </w:r>
            <w:r w:rsidR="009674B8" w:rsidRPr="000C1BF1">
              <w:rPr>
                <w:sz w:val="28"/>
                <w:szCs w:val="28"/>
                <w:lang w:val="lv-LV"/>
              </w:rPr>
              <w:t> </w:t>
            </w:r>
            <w:r w:rsidRPr="000C1BF1">
              <w:rPr>
                <w:sz w:val="28"/>
                <w:szCs w:val="28"/>
                <w:lang w:val="lv-LV"/>
              </w:rPr>
              <w:t>punkts) doto uzdevumu.</w:t>
            </w:r>
          </w:p>
        </w:tc>
      </w:tr>
      <w:tr w:rsidR="000C6B65" w:rsidRPr="000C1BF1">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rsidP="007F19F3">
            <w:pPr>
              <w:spacing w:before="120"/>
              <w:ind w:right="119"/>
              <w:jc w:val="both"/>
              <w:rPr>
                <w:sz w:val="28"/>
                <w:lang w:val="lv-LV"/>
              </w:rPr>
            </w:pPr>
            <w:r w:rsidRPr="000C1BF1">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3F1D63" w:rsidRPr="000C1BF1" w:rsidRDefault="00F54CA3" w:rsidP="001A1498">
            <w:pPr>
              <w:spacing w:before="120" w:after="120"/>
              <w:ind w:firstLine="720"/>
              <w:jc w:val="both"/>
              <w:rPr>
                <w:sz w:val="28"/>
                <w:szCs w:val="28"/>
                <w:lang w:val="lv-LV"/>
              </w:rPr>
            </w:pPr>
            <w:r w:rsidRPr="000C1BF1">
              <w:rPr>
                <w:sz w:val="28"/>
                <w:szCs w:val="28"/>
                <w:lang w:val="lv-LV"/>
              </w:rPr>
              <w:t>Ministru kabineta 2011.</w:t>
            </w:r>
            <w:r w:rsidR="009674B8" w:rsidRPr="000C1BF1">
              <w:rPr>
                <w:sz w:val="28"/>
                <w:szCs w:val="28"/>
                <w:lang w:val="lv-LV"/>
              </w:rPr>
              <w:t> </w:t>
            </w:r>
            <w:r w:rsidRPr="000C1BF1">
              <w:rPr>
                <w:sz w:val="28"/>
                <w:szCs w:val="28"/>
                <w:lang w:val="lv-LV"/>
              </w:rPr>
              <w:t>gada 12.</w:t>
            </w:r>
            <w:r w:rsidR="009674B8" w:rsidRPr="000C1BF1">
              <w:rPr>
                <w:sz w:val="28"/>
                <w:szCs w:val="28"/>
                <w:lang w:val="lv-LV"/>
              </w:rPr>
              <w:t> jūlija sēdē (p</w:t>
            </w:r>
            <w:r w:rsidRPr="000C1BF1">
              <w:rPr>
                <w:sz w:val="28"/>
                <w:szCs w:val="28"/>
                <w:lang w:val="lv-LV"/>
              </w:rPr>
              <w:t>rot.Nr.</w:t>
            </w:r>
            <w:r w:rsidR="009674B8" w:rsidRPr="000C1BF1">
              <w:rPr>
                <w:sz w:val="28"/>
                <w:szCs w:val="28"/>
                <w:lang w:val="lv-LV"/>
              </w:rPr>
              <w:t> </w:t>
            </w:r>
            <w:r w:rsidRPr="000C1BF1">
              <w:rPr>
                <w:sz w:val="28"/>
                <w:szCs w:val="28"/>
                <w:lang w:val="lv-LV"/>
              </w:rPr>
              <w:t xml:space="preserve">43, 30.§) tika skatīts Tieslietu ministrijas sagatavotais </w:t>
            </w:r>
            <w:r w:rsidR="0092648C" w:rsidRPr="000C1BF1">
              <w:rPr>
                <w:sz w:val="28"/>
                <w:szCs w:val="28"/>
                <w:lang w:val="lv-LV"/>
              </w:rPr>
              <w:t>i</w:t>
            </w:r>
            <w:r w:rsidR="009674B8" w:rsidRPr="000C1BF1">
              <w:rPr>
                <w:sz w:val="28"/>
                <w:szCs w:val="28"/>
                <w:lang w:val="lv-LV"/>
              </w:rPr>
              <w:t>nformatīvais ziņojums „</w:t>
            </w:r>
            <w:r w:rsidRPr="000C1BF1">
              <w:rPr>
                <w:sz w:val="28"/>
                <w:szCs w:val="28"/>
                <w:lang w:val="lv-LV"/>
              </w:rPr>
              <w:t>Par turpmāko rīcību regulējuma par tiesību subjekta reģistrācijas apliecības izsniegšanu tikai pēc tā rakstveida pieprasījuma nodrošināšanai</w:t>
            </w:r>
            <w:r w:rsidR="009674B8" w:rsidRPr="000C1BF1">
              <w:rPr>
                <w:sz w:val="28"/>
                <w:szCs w:val="28"/>
                <w:lang w:val="lv-LV"/>
              </w:rPr>
              <w:t>”</w:t>
            </w:r>
            <w:r w:rsidR="00C96AFA" w:rsidRPr="000C1BF1">
              <w:rPr>
                <w:sz w:val="28"/>
                <w:szCs w:val="28"/>
                <w:lang w:val="lv-LV"/>
              </w:rPr>
              <w:t xml:space="preserve"> (turpmāk – informatīvais ziņojums)</w:t>
            </w:r>
            <w:r w:rsidRPr="000C1BF1">
              <w:rPr>
                <w:sz w:val="28"/>
                <w:szCs w:val="28"/>
                <w:lang w:val="lv-LV"/>
              </w:rPr>
              <w:t xml:space="preserve">, kas paredz </w:t>
            </w:r>
            <w:r w:rsidR="0092648C" w:rsidRPr="000C1BF1">
              <w:rPr>
                <w:sz w:val="28"/>
                <w:szCs w:val="28"/>
                <w:lang w:val="lv-LV"/>
              </w:rPr>
              <w:t xml:space="preserve">atteikties no obligātas </w:t>
            </w:r>
            <w:r w:rsidR="0092648C" w:rsidRPr="000C1BF1">
              <w:rPr>
                <w:rFonts w:eastAsia="Calibri"/>
                <w:sz w:val="28"/>
                <w:szCs w:val="28"/>
                <w:lang w:val="lv-LV"/>
              </w:rPr>
              <w:t xml:space="preserve">Uzņēmumu reģistra vestajos reģistros reģistrēta tiesību subjekta </w:t>
            </w:r>
            <w:r w:rsidR="0092648C" w:rsidRPr="000C1BF1">
              <w:rPr>
                <w:sz w:val="28"/>
                <w:szCs w:val="28"/>
                <w:lang w:val="lv-LV"/>
              </w:rPr>
              <w:t xml:space="preserve">reģistrācijas apliecības izsniegšanas </w:t>
            </w:r>
            <w:r w:rsidRPr="000C1BF1">
              <w:rPr>
                <w:sz w:val="28"/>
                <w:szCs w:val="28"/>
                <w:lang w:val="lv-LV"/>
              </w:rPr>
              <w:t xml:space="preserve">papīra formā, paredzot </w:t>
            </w:r>
            <w:r w:rsidR="0092648C" w:rsidRPr="000C1BF1">
              <w:rPr>
                <w:sz w:val="28"/>
                <w:szCs w:val="28"/>
                <w:lang w:val="lv-LV"/>
              </w:rPr>
              <w:t xml:space="preserve">reģistrācijas </w:t>
            </w:r>
            <w:r w:rsidRPr="000C1BF1">
              <w:rPr>
                <w:sz w:val="28"/>
                <w:szCs w:val="28"/>
                <w:lang w:val="lv-LV"/>
              </w:rPr>
              <w:t>apliecīb</w:t>
            </w:r>
            <w:r w:rsidR="0092648C" w:rsidRPr="000C1BF1">
              <w:rPr>
                <w:sz w:val="28"/>
                <w:szCs w:val="28"/>
                <w:lang w:val="lv-LV"/>
              </w:rPr>
              <w:t>as</w:t>
            </w:r>
            <w:r w:rsidRPr="000C1BF1">
              <w:rPr>
                <w:sz w:val="28"/>
                <w:szCs w:val="28"/>
                <w:lang w:val="lv-LV"/>
              </w:rPr>
              <w:t xml:space="preserve"> izsniegšanu papīra formā tikai pēc attiecīgā </w:t>
            </w:r>
            <w:r w:rsidR="0092648C" w:rsidRPr="000C1BF1">
              <w:rPr>
                <w:sz w:val="28"/>
                <w:szCs w:val="28"/>
                <w:lang w:val="lv-LV"/>
              </w:rPr>
              <w:t xml:space="preserve">tiesību </w:t>
            </w:r>
            <w:r w:rsidRPr="000C1BF1">
              <w:rPr>
                <w:sz w:val="28"/>
                <w:szCs w:val="28"/>
                <w:lang w:val="lv-LV"/>
              </w:rPr>
              <w:t xml:space="preserve">subjekta rakstveida pieprasījuma. </w:t>
            </w:r>
            <w:r w:rsidR="00C96AFA" w:rsidRPr="000C1BF1">
              <w:rPr>
                <w:sz w:val="28"/>
                <w:szCs w:val="28"/>
                <w:lang w:val="lv-LV"/>
              </w:rPr>
              <w:t xml:space="preserve">Informatīvā ziņojuma 6.2. punktā ir noteikts, ka grozījumi Ministru kabineta noteikumu regulējumā, kas paredz reģistrācijas apliecības uzrādīšanu, tās kopijas iesniegšanu vai citas atsauces uz reģistrācijas apliecību norādīšanu, iesniedzot dokumentus </w:t>
            </w:r>
            <w:r w:rsidR="00C96AFA" w:rsidRPr="000C1BF1">
              <w:rPr>
                <w:sz w:val="28"/>
                <w:szCs w:val="28"/>
                <w:u w:val="single"/>
                <w:lang w:val="lv-LV"/>
              </w:rPr>
              <w:t>valsts vai pašvaldību institūcijai</w:t>
            </w:r>
            <w:r w:rsidR="00C96AFA" w:rsidRPr="000C1BF1">
              <w:rPr>
                <w:sz w:val="28"/>
                <w:szCs w:val="28"/>
                <w:lang w:val="lv-LV"/>
              </w:rPr>
              <w:t>, kompetentajā ministrijā izstrādājami un virzāmi izskatīšanai Ministru kabinetā, nosakot to spēkā stāšanās laiku 2012. gada 1. janvārī.</w:t>
            </w:r>
          </w:p>
          <w:p w:rsidR="002B399C" w:rsidRPr="000C1BF1" w:rsidRDefault="00295497" w:rsidP="00C329C5">
            <w:pPr>
              <w:spacing w:after="120"/>
              <w:ind w:firstLine="720"/>
              <w:jc w:val="both"/>
              <w:rPr>
                <w:sz w:val="28"/>
                <w:szCs w:val="28"/>
                <w:lang w:val="lv-LV"/>
              </w:rPr>
            </w:pPr>
            <w:r w:rsidRPr="000C1BF1">
              <w:rPr>
                <w:sz w:val="28"/>
                <w:szCs w:val="28"/>
                <w:lang w:val="lv-LV"/>
              </w:rPr>
              <w:t xml:space="preserve">Ministru kabinets nolēma, ka turpmāk nepastāvēs normatīvais regulējums par Uzņēmumu reģistra izsniegtas tiesību subjekta reģistrācijas apliecības uzrādīšanu, tās kopijas iesniegšanu, kā arī regulējums, kas satur citas norādes uz Uzņēmumu </w:t>
            </w:r>
            <w:r w:rsidRPr="000C1BF1">
              <w:rPr>
                <w:sz w:val="28"/>
                <w:szCs w:val="28"/>
                <w:lang w:val="lv-LV"/>
              </w:rPr>
              <w:lastRenderedPageBreak/>
              <w:t>reģistra izsniegtu reģistrācijas apliecību.</w:t>
            </w:r>
            <w:r w:rsidR="002B399C" w:rsidRPr="000C1BF1">
              <w:rPr>
                <w:sz w:val="28"/>
                <w:szCs w:val="28"/>
                <w:lang w:val="lv-LV"/>
              </w:rPr>
              <w:t xml:space="preserve"> Ņemot vērā minēto, Ministru kabineta 2011.gada 12.jūlija sēdē (prot.Nr.43, 30.§, 2.punkts) tika uzdots atbildīgajām ministrijām atbilstoši kompetencei izstrādāt un noteiktā kārtībā iesniegt izskatīšanai Ministru kabinetā informatīvā ziņojuma 6.2. punktā noteikto normatīvo aktu projektus pēc iespējas vienlaicīgi ar citiem būtiskiem grozījumiem attiecīgajos normatīvajos aktos un nosakot to spēkā stāšanās laiku 2012.gada 1.janvārī.</w:t>
            </w:r>
          </w:p>
          <w:p w:rsidR="006003DA" w:rsidRPr="000C1BF1" w:rsidRDefault="00F54CA3" w:rsidP="000C1BF1">
            <w:pPr>
              <w:spacing w:after="120"/>
              <w:ind w:firstLine="720"/>
              <w:jc w:val="both"/>
              <w:rPr>
                <w:sz w:val="28"/>
                <w:lang w:val="lv-LV"/>
              </w:rPr>
            </w:pPr>
            <w:r w:rsidRPr="000C1BF1">
              <w:rPr>
                <w:sz w:val="28"/>
                <w:szCs w:val="28"/>
                <w:lang w:val="lv-LV"/>
              </w:rPr>
              <w:t>Līdz ar to</w:t>
            </w:r>
            <w:r w:rsidR="0092648C" w:rsidRPr="000C1BF1">
              <w:rPr>
                <w:sz w:val="28"/>
                <w:szCs w:val="28"/>
                <w:lang w:val="lv-LV"/>
              </w:rPr>
              <w:t>,</w:t>
            </w:r>
            <w:r w:rsidRPr="000C1BF1">
              <w:rPr>
                <w:sz w:val="28"/>
                <w:szCs w:val="28"/>
                <w:lang w:val="lv-LV"/>
              </w:rPr>
              <w:t xml:space="preserve"> </w:t>
            </w:r>
            <w:r w:rsidR="0092648C" w:rsidRPr="000C1BF1">
              <w:rPr>
                <w:sz w:val="28"/>
                <w:szCs w:val="28"/>
                <w:lang w:val="lv-LV"/>
              </w:rPr>
              <w:t xml:space="preserve">ir </w:t>
            </w:r>
            <w:r w:rsidRPr="000C1BF1">
              <w:rPr>
                <w:sz w:val="28"/>
                <w:szCs w:val="28"/>
                <w:lang w:val="lv-LV"/>
              </w:rPr>
              <w:t xml:space="preserve">nepieciešams veikt grozījumu </w:t>
            </w:r>
            <w:r w:rsidR="00B365B1" w:rsidRPr="000C1BF1">
              <w:rPr>
                <w:sz w:val="28"/>
                <w:lang w:val="lv-LV"/>
              </w:rPr>
              <w:t>Ministru kabineta 2003. gada 11. februāra noteik</w:t>
            </w:r>
            <w:r w:rsidR="000C1BF1" w:rsidRPr="000C1BF1">
              <w:rPr>
                <w:sz w:val="28"/>
                <w:lang w:val="lv-LV"/>
              </w:rPr>
              <w:t>umu</w:t>
            </w:r>
            <w:r w:rsidR="00B365B1" w:rsidRPr="000C1BF1">
              <w:rPr>
                <w:sz w:val="28"/>
                <w:lang w:val="lv-LV"/>
              </w:rPr>
              <w:t xml:space="preserve"> Nr. 71 „Privatizācijas sertifikātu piešķiršanas un privatizācijas sertifikātu kontu atvēršanas noteikumi”</w:t>
            </w:r>
            <w:r w:rsidR="00B365B1" w:rsidRPr="000C1BF1">
              <w:rPr>
                <w:sz w:val="28"/>
                <w:szCs w:val="28"/>
                <w:lang w:val="lv-LV"/>
              </w:rPr>
              <w:t xml:space="preserve"> </w:t>
            </w:r>
            <w:r w:rsidR="002B399C" w:rsidRPr="000C1BF1">
              <w:rPr>
                <w:sz w:val="28"/>
                <w:szCs w:val="28"/>
                <w:lang w:val="lv-LV"/>
              </w:rPr>
              <w:t xml:space="preserve">(turpmāk – noteikumi Nr. 71) </w:t>
            </w:r>
            <w:r w:rsidR="00B365B1" w:rsidRPr="000C1BF1">
              <w:rPr>
                <w:sz w:val="28"/>
                <w:szCs w:val="28"/>
                <w:lang w:val="lv-LV"/>
              </w:rPr>
              <w:t>5.</w:t>
            </w:r>
            <w:r w:rsidR="00B365B1" w:rsidRPr="000C1BF1">
              <w:rPr>
                <w:sz w:val="28"/>
                <w:szCs w:val="28"/>
                <w:vertAlign w:val="superscript"/>
                <w:lang w:val="lv-LV"/>
              </w:rPr>
              <w:t>4 </w:t>
            </w:r>
            <w:r w:rsidR="00B365B1" w:rsidRPr="000C1BF1">
              <w:rPr>
                <w:sz w:val="28"/>
                <w:szCs w:val="28"/>
                <w:lang w:val="lv-LV"/>
              </w:rPr>
              <w:t>punktā</w:t>
            </w:r>
            <w:r w:rsidR="002B399C" w:rsidRPr="000C1BF1">
              <w:rPr>
                <w:sz w:val="28"/>
                <w:szCs w:val="28"/>
                <w:lang w:val="lv-LV"/>
              </w:rPr>
              <w:t xml:space="preserve">. Noteikumu Nr. 71 </w:t>
            </w:r>
            <w:r w:rsidR="00B365B1" w:rsidRPr="000C1BF1">
              <w:rPr>
                <w:sz w:val="28"/>
                <w:szCs w:val="28"/>
                <w:lang w:val="lv-LV"/>
              </w:rPr>
              <w:t>5.</w:t>
            </w:r>
            <w:r w:rsidR="00B365B1" w:rsidRPr="000C1BF1">
              <w:rPr>
                <w:sz w:val="28"/>
                <w:szCs w:val="28"/>
                <w:vertAlign w:val="superscript"/>
                <w:lang w:val="lv-LV"/>
              </w:rPr>
              <w:t>4 </w:t>
            </w:r>
            <w:r w:rsidR="00B365B1" w:rsidRPr="000C1BF1">
              <w:rPr>
                <w:sz w:val="28"/>
                <w:szCs w:val="28"/>
                <w:lang w:val="lv-LV"/>
              </w:rPr>
              <w:t>punkts</w:t>
            </w:r>
            <w:r w:rsidR="002B399C" w:rsidRPr="000C1BF1">
              <w:rPr>
                <w:sz w:val="28"/>
                <w:szCs w:val="28"/>
                <w:lang w:val="lv-LV"/>
              </w:rPr>
              <w:t xml:space="preserve"> </w:t>
            </w:r>
            <w:r w:rsidR="00B365B1" w:rsidRPr="000C1BF1">
              <w:rPr>
                <w:sz w:val="28"/>
                <w:szCs w:val="28"/>
                <w:lang w:val="lv-LV"/>
              </w:rPr>
              <w:t xml:space="preserve">paredz, ka pašvaldībai ir rakstiski jāpaziņo valsts akciju sabiedrībai „Privatizācijas aģentūra”, cita starpā, juridiskas personas reģistrācijas apliecības izdošanas datums, ja juridiskā persona nav reģistrēta Uzņēmuma reģistra vestajos reģistros un tai </w:t>
            </w:r>
            <w:r w:rsidR="000C1BF1" w:rsidRPr="000C1BF1">
              <w:rPr>
                <w:sz w:val="28"/>
                <w:szCs w:val="28"/>
                <w:lang w:val="lv-LV"/>
              </w:rPr>
              <w:t>līdz ar to ir nepieciešams</w:t>
            </w:r>
            <w:r w:rsidR="00B365B1" w:rsidRPr="000C1BF1">
              <w:rPr>
                <w:sz w:val="28"/>
                <w:szCs w:val="28"/>
                <w:lang w:val="lv-LV"/>
              </w:rPr>
              <w:t xml:space="preserve"> identifikācijas numurs</w:t>
            </w:r>
            <w:r w:rsidR="000C1BF1" w:rsidRPr="000C1BF1">
              <w:rPr>
                <w:sz w:val="28"/>
                <w:szCs w:val="28"/>
                <w:lang w:val="lv-LV"/>
              </w:rPr>
              <w:t>, kuru piešķir valsts akciju sabiedrība „Privatizācijas aģentūra”</w:t>
            </w:r>
            <w:r w:rsidR="00B365B1" w:rsidRPr="000C1BF1">
              <w:rPr>
                <w:sz w:val="28"/>
                <w:szCs w:val="28"/>
                <w:lang w:val="lv-LV"/>
              </w:rPr>
              <w:t>.</w:t>
            </w:r>
          </w:p>
        </w:tc>
      </w:tr>
      <w:tr w:rsidR="000C6B65" w:rsidRPr="000C1BF1">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snapToGrid w:val="0"/>
              <w:jc w:val="both"/>
              <w:rPr>
                <w:color w:val="000000"/>
                <w:sz w:val="28"/>
                <w:lang w:val="lv-LV"/>
              </w:rPr>
            </w:pPr>
            <w:r w:rsidRPr="000C1BF1">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rsidP="00531637">
            <w:pPr>
              <w:pStyle w:val="Heading1"/>
              <w:spacing w:before="120" w:after="120"/>
              <w:ind w:firstLine="425"/>
            </w:pPr>
            <w:r w:rsidRPr="000C1BF1">
              <w:t>Projekts š</w:t>
            </w:r>
            <w:r w:rsidR="00531637" w:rsidRPr="000C1BF1">
              <w:t>o jomu</w:t>
            </w:r>
            <w:r w:rsidRPr="000C1BF1">
              <w:t xml:space="preserve"> neskar.</w:t>
            </w:r>
          </w:p>
        </w:tc>
      </w:tr>
      <w:tr w:rsidR="000C6B65" w:rsidRPr="000C1BF1">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jc w:val="both"/>
              <w:rPr>
                <w:sz w:val="28"/>
                <w:lang w:val="lv-LV"/>
              </w:rPr>
            </w:pPr>
            <w:r w:rsidRPr="000C1BF1">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FC684B" w:rsidRPr="000C1BF1" w:rsidRDefault="00654474" w:rsidP="00054E94">
            <w:pPr>
              <w:pStyle w:val="BodyTextIndent"/>
              <w:tabs>
                <w:tab w:val="left" w:pos="5210"/>
              </w:tabs>
              <w:spacing w:before="120"/>
              <w:ind w:left="0" w:firstLine="720"/>
              <w:jc w:val="both"/>
              <w:rPr>
                <w:sz w:val="28"/>
                <w:szCs w:val="28"/>
                <w:lang w:val="lv-LV"/>
              </w:rPr>
            </w:pPr>
            <w:r w:rsidRPr="000C1BF1">
              <w:rPr>
                <w:sz w:val="28"/>
                <w:szCs w:val="28"/>
                <w:lang w:val="lv-LV"/>
              </w:rPr>
              <w:t>Ministru kabineta noteikumu p</w:t>
            </w:r>
            <w:r w:rsidR="00F54CA3" w:rsidRPr="000C1BF1">
              <w:rPr>
                <w:sz w:val="28"/>
                <w:szCs w:val="28"/>
                <w:lang w:val="lv-LV"/>
              </w:rPr>
              <w:t xml:space="preserve">rojekta mērķis ir </w:t>
            </w:r>
            <w:r w:rsidRPr="000C1BF1">
              <w:rPr>
                <w:sz w:val="28"/>
                <w:szCs w:val="28"/>
                <w:lang w:val="lv-LV"/>
              </w:rPr>
              <w:t xml:space="preserve">svītrot noteikumu Nr. 71 </w:t>
            </w:r>
            <w:r w:rsidR="000C1BF1" w:rsidRPr="000C1BF1">
              <w:rPr>
                <w:sz w:val="28"/>
                <w:szCs w:val="28"/>
                <w:lang w:val="lv-LV"/>
              </w:rPr>
              <w:t>5.</w:t>
            </w:r>
            <w:r w:rsidR="000C1BF1" w:rsidRPr="000C1BF1">
              <w:rPr>
                <w:sz w:val="28"/>
                <w:szCs w:val="28"/>
                <w:vertAlign w:val="superscript"/>
                <w:lang w:val="lv-LV"/>
              </w:rPr>
              <w:t>4 </w:t>
            </w:r>
            <w:r w:rsidR="000C1BF1" w:rsidRPr="000C1BF1">
              <w:rPr>
                <w:sz w:val="28"/>
                <w:szCs w:val="28"/>
                <w:lang w:val="lv-LV"/>
              </w:rPr>
              <w:t>punktā vārdus „apliecības izdošanas”</w:t>
            </w:r>
            <w:r w:rsidRPr="000C1BF1">
              <w:rPr>
                <w:sz w:val="28"/>
                <w:szCs w:val="28"/>
                <w:lang w:val="lv-LV"/>
              </w:rPr>
              <w:t>.</w:t>
            </w:r>
            <w:r w:rsidR="000C1BF1" w:rsidRPr="000C1BF1">
              <w:rPr>
                <w:sz w:val="28"/>
                <w:szCs w:val="28"/>
                <w:lang w:val="lv-LV"/>
              </w:rPr>
              <w:t xml:space="preserve"> Valsts akciju sabiedrība „Privatizācijas aģentūra” veido 5.</w:t>
            </w:r>
            <w:r w:rsidR="000C1BF1" w:rsidRPr="000C1BF1">
              <w:rPr>
                <w:sz w:val="28"/>
                <w:szCs w:val="28"/>
                <w:vertAlign w:val="superscript"/>
                <w:lang w:val="lv-LV"/>
              </w:rPr>
              <w:t>4 </w:t>
            </w:r>
            <w:r w:rsidR="000C1BF1" w:rsidRPr="000C1BF1">
              <w:rPr>
                <w:sz w:val="28"/>
                <w:szCs w:val="28"/>
                <w:lang w:val="lv-LV"/>
              </w:rPr>
              <w:t xml:space="preserve">punktā minēto identifikācijas numuru, izmantojot juridiskās personas reģistrācijas datumu, </w:t>
            </w:r>
            <w:r w:rsidR="000C1BF1">
              <w:rPr>
                <w:sz w:val="28"/>
                <w:szCs w:val="28"/>
                <w:lang w:val="lv-LV"/>
              </w:rPr>
              <w:t>tādējādi faktiski reģistrācijas apliecības izdošanas datums nav nepieciešams.</w:t>
            </w:r>
          </w:p>
        </w:tc>
      </w:tr>
      <w:tr w:rsidR="000C6B65" w:rsidRPr="000C1BF1">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snapToGrid w:val="0"/>
              <w:jc w:val="both"/>
              <w:rPr>
                <w:color w:val="000000"/>
                <w:sz w:val="28"/>
                <w:lang w:val="lv-LV"/>
              </w:rPr>
            </w:pPr>
            <w:r w:rsidRPr="000C1BF1">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531637" w:rsidRPr="000C1BF1" w:rsidRDefault="00F54CA3" w:rsidP="00531637">
            <w:pPr>
              <w:snapToGrid w:val="0"/>
              <w:spacing w:before="120" w:after="120"/>
              <w:ind w:firstLine="425"/>
              <w:jc w:val="both"/>
              <w:rPr>
                <w:color w:val="000000"/>
                <w:sz w:val="28"/>
                <w:szCs w:val="28"/>
                <w:lang w:val="lv-LV"/>
              </w:rPr>
            </w:pPr>
            <w:r w:rsidRPr="000C1BF1">
              <w:rPr>
                <w:sz w:val="28"/>
                <w:szCs w:val="28"/>
                <w:lang w:val="lv-LV"/>
              </w:rPr>
              <w:t>Projekts šo jomu neskar.</w:t>
            </w:r>
          </w:p>
        </w:tc>
      </w:tr>
      <w:tr w:rsidR="000C6B65" w:rsidRPr="000C1BF1">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snapToGrid w:val="0"/>
              <w:jc w:val="both"/>
              <w:rPr>
                <w:color w:val="000000"/>
                <w:sz w:val="28"/>
                <w:lang w:val="lv-LV"/>
              </w:rPr>
            </w:pPr>
            <w:r w:rsidRPr="000C1BF1">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531637">
            <w:pPr>
              <w:snapToGrid w:val="0"/>
              <w:spacing w:before="120" w:after="120"/>
              <w:ind w:firstLine="425"/>
              <w:jc w:val="both"/>
              <w:rPr>
                <w:sz w:val="28"/>
                <w:szCs w:val="28"/>
                <w:lang w:val="lv-LV"/>
              </w:rPr>
            </w:pPr>
            <w:r w:rsidRPr="000C1BF1">
              <w:rPr>
                <w:sz w:val="28"/>
                <w:szCs w:val="28"/>
                <w:lang w:val="lv-LV"/>
              </w:rPr>
              <w:t>Projekts šo jomu neskar.</w:t>
            </w:r>
          </w:p>
        </w:tc>
      </w:tr>
      <w:tr w:rsidR="000C6B65" w:rsidRPr="000C1BF1">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0C6B65">
            <w:pPr>
              <w:jc w:val="both"/>
              <w:rPr>
                <w:sz w:val="28"/>
                <w:lang w:val="lv-LV"/>
              </w:rPr>
            </w:pPr>
            <w:r w:rsidRPr="000C1BF1">
              <w:rPr>
                <w:sz w:val="28"/>
                <w:lang w:val="lv-LV"/>
              </w:rPr>
              <w:lastRenderedPageBreak/>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C6B65" w:rsidRPr="000C1BF1" w:rsidRDefault="004738AB" w:rsidP="00E83220">
            <w:pPr>
              <w:tabs>
                <w:tab w:val="left" w:pos="5210"/>
              </w:tabs>
              <w:spacing w:before="120" w:after="120"/>
              <w:ind w:firstLine="425"/>
              <w:jc w:val="both"/>
              <w:rPr>
                <w:sz w:val="28"/>
                <w:lang w:val="lv-LV"/>
              </w:rPr>
            </w:pPr>
            <w:r w:rsidRPr="000C1BF1">
              <w:rPr>
                <w:sz w:val="28"/>
                <w:lang w:val="lv-LV"/>
              </w:rPr>
              <w:t>Nav.</w:t>
            </w:r>
          </w:p>
        </w:tc>
      </w:tr>
    </w:tbl>
    <w:p w:rsidR="000C6B65" w:rsidRPr="000C1BF1" w:rsidRDefault="00E83220">
      <w:pPr>
        <w:spacing w:before="120"/>
        <w:ind w:firstLine="720"/>
        <w:jc w:val="both"/>
        <w:rPr>
          <w:sz w:val="28"/>
          <w:lang w:val="lv-LV"/>
        </w:rPr>
      </w:pPr>
      <w:r w:rsidRPr="000C1BF1">
        <w:rPr>
          <w:sz w:val="28"/>
          <w:lang w:val="lv-LV"/>
        </w:rPr>
        <w:t>Anotācijas II – VII sadaļa </w:t>
      </w:r>
      <w:r w:rsidR="000C6B65" w:rsidRPr="000C1BF1">
        <w:rPr>
          <w:sz w:val="28"/>
          <w:lang w:val="lv-LV"/>
        </w:rPr>
        <w:t>– projekts šīs jomas neskar.</w:t>
      </w:r>
    </w:p>
    <w:p w:rsidR="000C6B65" w:rsidRPr="000C1BF1" w:rsidRDefault="000C6B65" w:rsidP="00C74542">
      <w:pPr>
        <w:tabs>
          <w:tab w:val="left" w:pos="7797"/>
        </w:tabs>
        <w:spacing w:before="600"/>
        <w:rPr>
          <w:b/>
          <w:sz w:val="28"/>
          <w:lang w:val="lv-LV"/>
        </w:rPr>
      </w:pPr>
      <w:r w:rsidRPr="000C1BF1">
        <w:rPr>
          <w:b/>
          <w:sz w:val="28"/>
          <w:lang w:val="lv-LV"/>
        </w:rPr>
        <w:t>Ekonomikas ministrs</w:t>
      </w:r>
      <w:r w:rsidRPr="000C1BF1">
        <w:rPr>
          <w:b/>
          <w:sz w:val="28"/>
          <w:lang w:val="lv-LV"/>
        </w:rPr>
        <w:tab/>
      </w:r>
      <w:r w:rsidR="005D020D" w:rsidRPr="000C1BF1">
        <w:rPr>
          <w:b/>
          <w:sz w:val="28"/>
          <w:lang w:val="lv-LV"/>
        </w:rPr>
        <w:t>D</w:t>
      </w:r>
      <w:r w:rsidRPr="000C1BF1">
        <w:rPr>
          <w:b/>
          <w:sz w:val="28"/>
          <w:lang w:val="lv-LV"/>
        </w:rPr>
        <w:t>.</w:t>
      </w:r>
      <w:r w:rsidR="005D020D" w:rsidRPr="000C1BF1">
        <w:rPr>
          <w:b/>
          <w:sz w:val="28"/>
          <w:lang w:val="lv-LV"/>
        </w:rPr>
        <w:t>Pavļuts</w:t>
      </w:r>
    </w:p>
    <w:p w:rsidR="000C6B65" w:rsidRPr="000C1BF1" w:rsidRDefault="000C6B65" w:rsidP="005B345A">
      <w:pPr>
        <w:tabs>
          <w:tab w:val="left" w:pos="7938"/>
        </w:tabs>
        <w:spacing w:before="840"/>
        <w:rPr>
          <w:b/>
          <w:sz w:val="28"/>
          <w:lang w:val="lv-LV"/>
        </w:rPr>
      </w:pPr>
      <w:r w:rsidRPr="000C1BF1">
        <w:rPr>
          <w:b/>
          <w:sz w:val="28"/>
          <w:lang w:val="lv-LV"/>
        </w:rPr>
        <w:t>Vīza: valsts sekretārs</w:t>
      </w:r>
      <w:r w:rsidRPr="000C1BF1">
        <w:rPr>
          <w:b/>
          <w:sz w:val="28"/>
          <w:lang w:val="lv-LV"/>
        </w:rPr>
        <w:tab/>
        <w:t>J.Pūce</w:t>
      </w:r>
    </w:p>
    <w:p w:rsidR="000C6B65" w:rsidRPr="000C1BF1" w:rsidRDefault="00A54756" w:rsidP="005D020D">
      <w:pPr>
        <w:spacing w:before="1200"/>
        <w:rPr>
          <w:lang w:val="lv-LV"/>
        </w:rPr>
      </w:pPr>
      <w:r w:rsidRPr="000C1BF1">
        <w:rPr>
          <w:lang w:val="lv-LV"/>
        </w:rPr>
        <w:t>0</w:t>
      </w:r>
      <w:r w:rsidR="000669CC">
        <w:rPr>
          <w:lang w:val="lv-LV"/>
        </w:rPr>
        <w:t>2</w:t>
      </w:r>
      <w:r w:rsidR="000C6B65" w:rsidRPr="000C1BF1">
        <w:rPr>
          <w:lang w:val="lv-LV"/>
        </w:rPr>
        <w:t>.</w:t>
      </w:r>
      <w:r w:rsidR="000669CC">
        <w:rPr>
          <w:lang w:val="lv-LV"/>
        </w:rPr>
        <w:t>01</w:t>
      </w:r>
      <w:r w:rsidR="000C6B65" w:rsidRPr="000C1BF1">
        <w:rPr>
          <w:lang w:val="lv-LV"/>
        </w:rPr>
        <w:t>.201</w:t>
      </w:r>
      <w:r w:rsidR="000669CC">
        <w:rPr>
          <w:lang w:val="lv-LV"/>
        </w:rPr>
        <w:t>2</w:t>
      </w:r>
      <w:r w:rsidR="000C6B65" w:rsidRPr="000C1BF1">
        <w:rPr>
          <w:lang w:val="lv-LV"/>
        </w:rPr>
        <w:t>. 1</w:t>
      </w:r>
      <w:r w:rsidR="00BB7ADD">
        <w:rPr>
          <w:lang w:val="lv-LV"/>
        </w:rPr>
        <w:t>1</w:t>
      </w:r>
      <w:r w:rsidR="000C6B65" w:rsidRPr="000C1BF1">
        <w:rPr>
          <w:lang w:val="lv-LV"/>
        </w:rPr>
        <w:t>:</w:t>
      </w:r>
      <w:r w:rsidR="000669CC">
        <w:rPr>
          <w:lang w:val="lv-LV"/>
        </w:rPr>
        <w:t>25</w:t>
      </w:r>
    </w:p>
    <w:p w:rsidR="000C6B65" w:rsidRPr="000C1BF1" w:rsidRDefault="00E9099A">
      <w:pPr>
        <w:rPr>
          <w:lang w:val="lv-LV"/>
        </w:rPr>
      </w:pPr>
      <w:r>
        <w:rPr>
          <w:lang w:val="lv-LV"/>
        </w:rPr>
        <w:t>467</w:t>
      </w:r>
    </w:p>
    <w:p w:rsidR="000C6B65" w:rsidRPr="000C1BF1" w:rsidRDefault="000C6B65">
      <w:pPr>
        <w:rPr>
          <w:lang w:val="lv-LV"/>
        </w:rPr>
      </w:pPr>
      <w:r w:rsidRPr="000C1BF1">
        <w:rPr>
          <w:lang w:val="lv-LV"/>
        </w:rPr>
        <w:t>Ņesterenko</w:t>
      </w:r>
    </w:p>
    <w:p w:rsidR="000C6B65" w:rsidRPr="000C1BF1" w:rsidRDefault="000C6B65">
      <w:pPr>
        <w:rPr>
          <w:lang w:val="lv-LV"/>
        </w:rPr>
      </w:pPr>
      <w:r w:rsidRPr="000C1BF1">
        <w:rPr>
          <w:lang w:val="lv-LV"/>
        </w:rPr>
        <w:t>67013162, diana.nesterenko@em.gov.lv</w:t>
      </w:r>
    </w:p>
    <w:sectPr w:rsidR="000C6B65" w:rsidRPr="000C1BF1" w:rsidSect="00126462">
      <w:headerReference w:type="default" r:id="rId6"/>
      <w:footerReference w:type="default" r:id="rId7"/>
      <w:footerReference w:type="first" r:id="rId8"/>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CB" w:rsidRDefault="00026CCB">
      <w:r>
        <w:separator/>
      </w:r>
    </w:p>
  </w:endnote>
  <w:endnote w:type="continuationSeparator" w:id="0">
    <w:p w:rsidR="00026CCB" w:rsidRDefault="00026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65" w:rsidRDefault="000C1BF1">
    <w:pPr>
      <w:pStyle w:val="Footer"/>
      <w:jc w:val="both"/>
      <w:rPr>
        <w:sz w:val="22"/>
        <w:lang w:val="lv-LV"/>
      </w:rPr>
    </w:pPr>
    <w:r w:rsidRPr="000C1BF1">
      <w:rPr>
        <w:sz w:val="24"/>
        <w:szCs w:val="24"/>
        <w:lang w:val="lv-LV"/>
      </w:rPr>
      <w:t>EMAnot_</w:t>
    </w:r>
    <w:r w:rsidR="00F85F4B" w:rsidRPr="000C1BF1">
      <w:rPr>
        <w:sz w:val="24"/>
        <w:szCs w:val="24"/>
        <w:lang w:val="lv-LV"/>
      </w:rPr>
      <w:t>0</w:t>
    </w:r>
    <w:r w:rsidR="00F85F4B">
      <w:rPr>
        <w:sz w:val="24"/>
        <w:szCs w:val="24"/>
        <w:lang w:val="lv-LV"/>
      </w:rPr>
      <w:t>201</w:t>
    </w:r>
    <w:r w:rsidR="00F85F4B" w:rsidRPr="000C1BF1">
      <w:rPr>
        <w:sz w:val="24"/>
        <w:szCs w:val="24"/>
        <w:lang w:val="lv-LV"/>
      </w:rPr>
      <w:t>1</w:t>
    </w:r>
    <w:r w:rsidR="00F85F4B">
      <w:rPr>
        <w:sz w:val="24"/>
        <w:szCs w:val="24"/>
        <w:lang w:val="lv-LV"/>
      </w:rPr>
      <w:t>2</w:t>
    </w:r>
    <w:r w:rsidR="00F85F4B" w:rsidRPr="000C1BF1">
      <w:rPr>
        <w:sz w:val="24"/>
        <w:szCs w:val="24"/>
        <w:lang w:val="lv-LV"/>
      </w:rPr>
      <w:t>_</w:t>
    </w:r>
    <w:r w:rsidR="00F85F4B">
      <w:rPr>
        <w:sz w:val="24"/>
        <w:szCs w:val="24"/>
        <w:lang w:val="lv-LV"/>
      </w:rPr>
      <w:t>VSS-1366</w:t>
    </w:r>
    <w:r w:rsidRPr="000C1BF1">
      <w:rPr>
        <w:sz w:val="24"/>
        <w:szCs w:val="24"/>
        <w:lang w:val="lv-LV"/>
      </w:rPr>
      <w:t xml:space="preserve">; </w:t>
    </w:r>
    <w:bookmarkStart w:id="6" w:name="OLE_LINK7"/>
    <w:bookmarkStart w:id="7" w:name="OLE_LINK8"/>
    <w:r w:rsidRPr="000C1BF1">
      <w:rPr>
        <w:sz w:val="24"/>
        <w:szCs w:val="24"/>
        <w:lang w:val="lv-LV"/>
      </w:rPr>
      <w:t>Ministru kabineta noteikumu projekta „Grozījums Ministru kabineta 2003. gada 11. februāra noteikumos Nr. 71 „Privatizācijas sertifikātu piešķiršanas un privatizācijas sertifikātu kontu atvēršanas noteikumi”” sākotnējās ietekmes novērtējuma ziņojums (anotācija)</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65" w:rsidRPr="000C1BF1" w:rsidRDefault="000C6B65">
    <w:pPr>
      <w:pStyle w:val="Footer"/>
      <w:jc w:val="both"/>
      <w:rPr>
        <w:sz w:val="24"/>
        <w:szCs w:val="24"/>
        <w:lang w:val="lv-LV"/>
      </w:rPr>
    </w:pPr>
    <w:r w:rsidRPr="000C1BF1">
      <w:rPr>
        <w:sz w:val="24"/>
        <w:szCs w:val="24"/>
        <w:lang w:val="lv-LV"/>
      </w:rPr>
      <w:t>EMAnot_</w:t>
    </w:r>
    <w:r w:rsidR="00F54CA3" w:rsidRPr="000C1BF1">
      <w:rPr>
        <w:sz w:val="24"/>
        <w:szCs w:val="24"/>
        <w:lang w:val="lv-LV"/>
      </w:rPr>
      <w:t>0</w:t>
    </w:r>
    <w:r w:rsidR="00F85F4B">
      <w:rPr>
        <w:sz w:val="24"/>
        <w:szCs w:val="24"/>
        <w:lang w:val="lv-LV"/>
      </w:rPr>
      <w:t>201</w:t>
    </w:r>
    <w:r w:rsidRPr="000C1BF1">
      <w:rPr>
        <w:sz w:val="24"/>
        <w:szCs w:val="24"/>
        <w:lang w:val="lv-LV"/>
      </w:rPr>
      <w:t>1</w:t>
    </w:r>
    <w:r w:rsidR="00F85F4B">
      <w:rPr>
        <w:sz w:val="24"/>
        <w:szCs w:val="24"/>
        <w:lang w:val="lv-LV"/>
      </w:rPr>
      <w:t>2</w:t>
    </w:r>
    <w:r w:rsidRPr="000C1BF1">
      <w:rPr>
        <w:sz w:val="24"/>
        <w:szCs w:val="24"/>
        <w:lang w:val="lv-LV"/>
      </w:rPr>
      <w:t>_</w:t>
    </w:r>
    <w:r w:rsidR="00F85F4B">
      <w:rPr>
        <w:sz w:val="24"/>
        <w:szCs w:val="24"/>
        <w:lang w:val="lv-LV"/>
      </w:rPr>
      <w:t>VSS-1366</w:t>
    </w:r>
    <w:r w:rsidRPr="000C1BF1">
      <w:rPr>
        <w:sz w:val="24"/>
        <w:szCs w:val="24"/>
        <w:lang w:val="lv-LV"/>
      </w:rPr>
      <w:t xml:space="preserve">; </w:t>
    </w:r>
    <w:r w:rsidR="000C1BF1" w:rsidRPr="000C1BF1">
      <w:rPr>
        <w:sz w:val="24"/>
        <w:szCs w:val="24"/>
        <w:lang w:val="lv-LV"/>
      </w:rPr>
      <w:t>Ministru kabineta noteikumu projekta „Grozījums Ministru kabineta 2003. gada 11. februāra noteikumos Nr. 71 „Privatizācijas sertifikātu piešķiršanas un privatizācijas sertifikātu kontu atvēršanas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CB" w:rsidRDefault="00026CCB">
      <w:r>
        <w:separator/>
      </w:r>
    </w:p>
  </w:footnote>
  <w:footnote w:type="continuationSeparator" w:id="0">
    <w:p w:rsidR="00026CCB" w:rsidRDefault="00026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65" w:rsidRDefault="00F74407">
    <w:pPr>
      <w:pStyle w:val="Header"/>
      <w:jc w:val="center"/>
      <w:rPr>
        <w:sz w:val="28"/>
      </w:rPr>
    </w:pPr>
    <w:r>
      <w:rPr>
        <w:sz w:val="28"/>
      </w:rPr>
      <w:fldChar w:fldCharType="begin"/>
    </w:r>
    <w:r w:rsidR="000C6B65">
      <w:rPr>
        <w:sz w:val="28"/>
      </w:rPr>
      <w:instrText xml:space="preserve"> PAGE   \* MERGEFORMAT </w:instrText>
    </w:r>
    <w:r>
      <w:rPr>
        <w:sz w:val="28"/>
      </w:rPr>
      <w:fldChar w:fldCharType="separate"/>
    </w:r>
    <w:r w:rsidR="000669CC">
      <w:rPr>
        <w:noProof/>
        <w:sz w:val="28"/>
      </w:rPr>
      <w:t>3</w:t>
    </w:r>
    <w:r>
      <w:rPr>
        <w:sz w:val="28"/>
      </w:rPr>
      <w:fldChar w:fldCharType="end"/>
    </w:r>
  </w:p>
  <w:p w:rsidR="000C6B65" w:rsidRDefault="000C6B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3220"/>
    <w:rsid w:val="000022D7"/>
    <w:rsid w:val="0001618A"/>
    <w:rsid w:val="00026CCB"/>
    <w:rsid w:val="0003112F"/>
    <w:rsid w:val="00042E2E"/>
    <w:rsid w:val="00050BBC"/>
    <w:rsid w:val="00054E94"/>
    <w:rsid w:val="000669CC"/>
    <w:rsid w:val="00066E6D"/>
    <w:rsid w:val="000936FA"/>
    <w:rsid w:val="000B4854"/>
    <w:rsid w:val="000B4AE7"/>
    <w:rsid w:val="000C1BF1"/>
    <w:rsid w:val="000C6B65"/>
    <w:rsid w:val="00126462"/>
    <w:rsid w:val="00155F2B"/>
    <w:rsid w:val="0017163D"/>
    <w:rsid w:val="001A1498"/>
    <w:rsid w:val="001C334D"/>
    <w:rsid w:val="0020456D"/>
    <w:rsid w:val="002742EF"/>
    <w:rsid w:val="00284F21"/>
    <w:rsid w:val="00292C4A"/>
    <w:rsid w:val="00295497"/>
    <w:rsid w:val="002B399C"/>
    <w:rsid w:val="002D2AA8"/>
    <w:rsid w:val="002D48AA"/>
    <w:rsid w:val="00386312"/>
    <w:rsid w:val="003B1907"/>
    <w:rsid w:val="003C3487"/>
    <w:rsid w:val="003E4B6D"/>
    <w:rsid w:val="003F1D63"/>
    <w:rsid w:val="003F32ED"/>
    <w:rsid w:val="00424AE1"/>
    <w:rsid w:val="00447DB9"/>
    <w:rsid w:val="004738AB"/>
    <w:rsid w:val="00531637"/>
    <w:rsid w:val="005368B3"/>
    <w:rsid w:val="00557AC4"/>
    <w:rsid w:val="005805E8"/>
    <w:rsid w:val="005B345A"/>
    <w:rsid w:val="005D020D"/>
    <w:rsid w:val="005E710B"/>
    <w:rsid w:val="006003DA"/>
    <w:rsid w:val="00601A67"/>
    <w:rsid w:val="006174F7"/>
    <w:rsid w:val="00626A4E"/>
    <w:rsid w:val="006377E1"/>
    <w:rsid w:val="00652EAF"/>
    <w:rsid w:val="00654474"/>
    <w:rsid w:val="006C1052"/>
    <w:rsid w:val="007263F9"/>
    <w:rsid w:val="007817A5"/>
    <w:rsid w:val="00786B7D"/>
    <w:rsid w:val="007D357D"/>
    <w:rsid w:val="007E3559"/>
    <w:rsid w:val="007F19F3"/>
    <w:rsid w:val="007F44A7"/>
    <w:rsid w:val="00820840"/>
    <w:rsid w:val="00876287"/>
    <w:rsid w:val="008F3B46"/>
    <w:rsid w:val="0092648C"/>
    <w:rsid w:val="009674B8"/>
    <w:rsid w:val="009D4E7D"/>
    <w:rsid w:val="00A31500"/>
    <w:rsid w:val="00A54756"/>
    <w:rsid w:val="00A90730"/>
    <w:rsid w:val="00AA73B3"/>
    <w:rsid w:val="00AD4376"/>
    <w:rsid w:val="00B365B1"/>
    <w:rsid w:val="00B510DE"/>
    <w:rsid w:val="00B53738"/>
    <w:rsid w:val="00B66656"/>
    <w:rsid w:val="00B74866"/>
    <w:rsid w:val="00BA6366"/>
    <w:rsid w:val="00BB7ADD"/>
    <w:rsid w:val="00C019B3"/>
    <w:rsid w:val="00C115A0"/>
    <w:rsid w:val="00C329C5"/>
    <w:rsid w:val="00C61FEE"/>
    <w:rsid w:val="00C74542"/>
    <w:rsid w:val="00C96AFA"/>
    <w:rsid w:val="00CD3F86"/>
    <w:rsid w:val="00D0305F"/>
    <w:rsid w:val="00D5713E"/>
    <w:rsid w:val="00D808FE"/>
    <w:rsid w:val="00DA1637"/>
    <w:rsid w:val="00E83220"/>
    <w:rsid w:val="00E9099A"/>
    <w:rsid w:val="00EB4CBE"/>
    <w:rsid w:val="00ED10C9"/>
    <w:rsid w:val="00EF6572"/>
    <w:rsid w:val="00F54CA3"/>
    <w:rsid w:val="00F55AA1"/>
    <w:rsid w:val="00F73AFA"/>
    <w:rsid w:val="00F74407"/>
    <w:rsid w:val="00F85F4B"/>
    <w:rsid w:val="00FB5087"/>
    <w:rsid w:val="00FC68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62"/>
    <w:rPr>
      <w:sz w:val="24"/>
      <w:lang w:val="en-AU"/>
    </w:rPr>
  </w:style>
  <w:style w:type="paragraph" w:styleId="Heading1">
    <w:name w:val="heading 1"/>
    <w:basedOn w:val="Normal"/>
    <w:next w:val="Normal"/>
    <w:qFormat/>
    <w:rsid w:val="00126462"/>
    <w:pPr>
      <w:keepNext/>
      <w:snapToGrid w:val="0"/>
      <w:ind w:firstLine="222"/>
      <w:jc w:val="both"/>
      <w:outlineLvl w:val="0"/>
    </w:pPr>
    <w:rPr>
      <w:rFonts w:eastAsia="Calibri"/>
      <w:sz w:val="28"/>
      <w:lang w:val="lv-LV"/>
    </w:rPr>
  </w:style>
  <w:style w:type="paragraph" w:styleId="Heading2">
    <w:name w:val="heading 2"/>
    <w:basedOn w:val="Normal"/>
    <w:next w:val="Normal"/>
    <w:qFormat/>
    <w:rsid w:val="00126462"/>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26462"/>
    <w:pPr>
      <w:tabs>
        <w:tab w:val="center" w:pos="4153"/>
        <w:tab w:val="right" w:pos="8306"/>
      </w:tabs>
    </w:pPr>
    <w:rPr>
      <w:rFonts w:eastAsia="Calibri"/>
      <w:sz w:val="20"/>
    </w:rPr>
  </w:style>
  <w:style w:type="paragraph" w:styleId="Header">
    <w:name w:val="header"/>
    <w:basedOn w:val="Normal"/>
    <w:semiHidden/>
    <w:rsid w:val="00126462"/>
    <w:pPr>
      <w:tabs>
        <w:tab w:val="center" w:pos="4153"/>
        <w:tab w:val="right" w:pos="8306"/>
      </w:tabs>
    </w:pPr>
    <w:rPr>
      <w:rFonts w:eastAsia="Calibri"/>
      <w:sz w:val="20"/>
    </w:rPr>
  </w:style>
  <w:style w:type="paragraph" w:styleId="BodyTextIndent">
    <w:name w:val="Body Text Indent"/>
    <w:basedOn w:val="Normal"/>
    <w:semiHidden/>
    <w:rsid w:val="00126462"/>
    <w:pPr>
      <w:spacing w:after="120"/>
      <w:ind w:left="283"/>
    </w:pPr>
    <w:rPr>
      <w:rFonts w:eastAsia="Calibri"/>
      <w:sz w:val="20"/>
    </w:rPr>
  </w:style>
  <w:style w:type="character" w:styleId="CommentReference">
    <w:name w:val="annotation reference"/>
    <w:basedOn w:val="DefaultParagraphFont"/>
    <w:uiPriority w:val="99"/>
    <w:semiHidden/>
    <w:unhideWhenUsed/>
    <w:rsid w:val="00B74866"/>
    <w:rPr>
      <w:sz w:val="16"/>
      <w:szCs w:val="16"/>
    </w:rPr>
  </w:style>
  <w:style w:type="paragraph" w:styleId="CommentText">
    <w:name w:val="annotation text"/>
    <w:basedOn w:val="Normal"/>
    <w:link w:val="CommentTextChar"/>
    <w:uiPriority w:val="99"/>
    <w:semiHidden/>
    <w:unhideWhenUsed/>
    <w:rsid w:val="00B74866"/>
    <w:rPr>
      <w:sz w:val="20"/>
    </w:rPr>
  </w:style>
  <w:style w:type="character" w:customStyle="1" w:styleId="CommentTextChar">
    <w:name w:val="Comment Text Char"/>
    <w:basedOn w:val="DefaultParagraphFont"/>
    <w:link w:val="CommentText"/>
    <w:uiPriority w:val="99"/>
    <w:semiHidden/>
    <w:rsid w:val="00B74866"/>
    <w:rPr>
      <w:lang w:val="en-AU"/>
    </w:rPr>
  </w:style>
  <w:style w:type="paragraph" w:styleId="CommentSubject">
    <w:name w:val="annotation subject"/>
    <w:basedOn w:val="CommentText"/>
    <w:next w:val="CommentText"/>
    <w:link w:val="CommentSubjectChar"/>
    <w:uiPriority w:val="99"/>
    <w:semiHidden/>
    <w:unhideWhenUsed/>
    <w:rsid w:val="00B74866"/>
    <w:rPr>
      <w:b/>
      <w:bCs/>
    </w:rPr>
  </w:style>
  <w:style w:type="character" w:customStyle="1" w:styleId="CommentSubjectChar">
    <w:name w:val="Comment Subject Char"/>
    <w:basedOn w:val="CommentTextChar"/>
    <w:link w:val="CommentSubject"/>
    <w:uiPriority w:val="99"/>
    <w:semiHidden/>
    <w:rsid w:val="00B74866"/>
    <w:rPr>
      <w:b/>
      <w:bCs/>
    </w:rPr>
  </w:style>
  <w:style w:type="paragraph" w:styleId="BalloonText">
    <w:name w:val="Balloon Text"/>
    <w:basedOn w:val="Normal"/>
    <w:link w:val="BalloonTextChar"/>
    <w:uiPriority w:val="99"/>
    <w:semiHidden/>
    <w:unhideWhenUsed/>
    <w:rsid w:val="00B74866"/>
    <w:rPr>
      <w:rFonts w:ascii="Tahoma" w:hAnsi="Tahoma" w:cs="Tahoma"/>
      <w:sz w:val="16"/>
      <w:szCs w:val="16"/>
    </w:rPr>
  </w:style>
  <w:style w:type="character" w:customStyle="1" w:styleId="BalloonTextChar">
    <w:name w:val="Balloon Text Char"/>
    <w:basedOn w:val="DefaultParagraphFont"/>
    <w:link w:val="BalloonText"/>
    <w:uiPriority w:val="99"/>
    <w:semiHidden/>
    <w:rsid w:val="00B74866"/>
    <w:rPr>
      <w:rFonts w:ascii="Tahoma" w:hAnsi="Tahoma" w:cs="Tahoma"/>
      <w:sz w:val="16"/>
      <w:szCs w:val="16"/>
      <w:lang w:val="en-AU"/>
    </w:rPr>
  </w:style>
  <w:style w:type="paragraph" w:customStyle="1" w:styleId="naislab">
    <w:name w:val="naislab"/>
    <w:basedOn w:val="Normal"/>
    <w:rsid w:val="00F54CA3"/>
    <w:pPr>
      <w:spacing w:before="75" w:after="75"/>
      <w:jc w:val="right"/>
    </w:pPr>
    <w:rPr>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16.oktobra noteikumos Nr.712 „Privatizācijas sertifikātu izmantošanas noteikumi”” sākotnējās ietekmes novērtējuma ziņojums (anotācija)</vt:lpstr>
    </vt:vector>
  </TitlesOfParts>
  <Company>LR Ekonomikas ministrija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2003. gada 11. februāra noteikumos Nr. 71 „Privatizācijas sertifikātu piešķiršanas un privatizācijas sertifikātu kontu atvēršanas noteikumi”” sākotnējās ietekmes novērtējuma ziņojums (anotācija)</dc:title>
  <dc:subject>Anotācija</dc:subject>
  <dc:creator>Diana Ņesterenko</dc:creator>
  <cp:keywords/>
  <dc:description>67013162;_x000d_
Diana.Nesterenko@em.gov.lv</dc:description>
  <cp:lastModifiedBy>Diāna Ņesterenko</cp:lastModifiedBy>
  <cp:revision>7</cp:revision>
  <dcterms:created xsi:type="dcterms:W3CDTF">2011-12-07T15:01:00Z</dcterms:created>
  <dcterms:modified xsi:type="dcterms:W3CDTF">2012-01-02T09:25:00Z</dcterms:modified>
</cp:coreProperties>
</file>