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B90328" w:rsidRDefault="00880D7E" w:rsidP="003560C1">
      <w:pPr>
        <w:jc w:val="center"/>
        <w:outlineLvl w:val="0"/>
        <w:rPr>
          <w:rFonts w:eastAsia="Times New Roman"/>
          <w:b/>
          <w:sz w:val="24"/>
          <w:szCs w:val="24"/>
          <w:lang w:val="lv-LV" w:eastAsia="lv-LV"/>
        </w:rPr>
      </w:pPr>
      <w:bookmarkStart w:id="0" w:name="OLE_LINK6"/>
      <w:bookmarkStart w:id="1" w:name="OLE_LINK7"/>
      <w:bookmarkStart w:id="2" w:name="OLE_LINK4"/>
      <w:bookmarkStart w:id="3" w:name="OLE_LINK5"/>
      <w:bookmarkStart w:id="4" w:name="OLE_LINK8"/>
      <w:bookmarkStart w:id="5" w:name="OLE_LINK10"/>
      <w:bookmarkStart w:id="6" w:name="OLE_LINK9"/>
      <w:bookmarkStart w:id="7" w:name="OLE_LINK11"/>
      <w:bookmarkStart w:id="8" w:name="OLE_LINK3"/>
      <w:bookmarkStart w:id="9" w:name="OLE_LINK1"/>
      <w:bookmarkStart w:id="10" w:name="OLE_LINK2"/>
      <w:r w:rsidRPr="00B90328">
        <w:rPr>
          <w:b/>
          <w:sz w:val="24"/>
          <w:szCs w:val="24"/>
          <w:lang w:val="lv-LV"/>
        </w:rPr>
        <w:t>Ministru kabine</w:t>
      </w:r>
      <w:r w:rsidR="00B373EA" w:rsidRPr="00B90328">
        <w:rPr>
          <w:b/>
          <w:sz w:val="24"/>
          <w:szCs w:val="24"/>
          <w:lang w:val="lv-LV"/>
        </w:rPr>
        <w:t>ta noteikumu projekta „Grozījums Ministru kabineta 2010.gada 13.aprīļa noteikumos Nr.361 „</w:t>
      </w:r>
      <w:r w:rsidR="00B373EA" w:rsidRPr="00B90328">
        <w:rPr>
          <w:rFonts w:eastAsia="Times New Roman"/>
          <w:b/>
          <w:bCs/>
          <w:sz w:val="24"/>
          <w:szCs w:val="24"/>
          <w:lang w:val="lv-LV" w:eastAsia="lv-LV"/>
        </w:rPr>
        <w:t>Noteikumi par darbības programmas „Uzņēmējdarbība un inovācijas” papildinājuma 2.1.2.1.1.apakšaktivitāti „Kompetences centri””</w:t>
      </w:r>
      <w:r w:rsidR="00B373EA" w:rsidRPr="00B90328">
        <w:rPr>
          <w:b/>
          <w:bCs/>
          <w:sz w:val="24"/>
          <w:szCs w:val="24"/>
          <w:lang w:val="lv-LV" w:eastAsia="lv-LV"/>
        </w:rPr>
        <w:t>”</w:t>
      </w:r>
      <w:r w:rsidR="00B373EA" w:rsidRPr="00B90328">
        <w:rPr>
          <w:rFonts w:eastAsia="Times New Roman"/>
          <w:b/>
          <w:sz w:val="24"/>
          <w:szCs w:val="24"/>
          <w:lang w:val="lv-LV" w:eastAsia="lv-LV"/>
        </w:rPr>
        <w:t xml:space="preserve"> sākotnējās ietekmes novērtējuma ziņojums (anotācija)</w:t>
      </w:r>
      <w:bookmarkEnd w:id="0"/>
      <w:bookmarkEnd w:id="1"/>
      <w:bookmarkEnd w:id="2"/>
    </w:p>
    <w:bookmarkEnd w:id="3"/>
    <w:bookmarkEnd w:id="4"/>
    <w:bookmarkEnd w:id="5"/>
    <w:bookmarkEnd w:id="6"/>
    <w:bookmarkEnd w:id="7"/>
    <w:p w:rsidR="005E5B16" w:rsidRPr="00B90328" w:rsidRDefault="005E5B16">
      <w:pPr>
        <w:jc w:val="center"/>
        <w:rPr>
          <w:rFonts w:eastAsia="Times New Roman"/>
          <w:b/>
          <w:sz w:val="24"/>
          <w:szCs w:val="24"/>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BB09C5" w:rsidRPr="00D33ECA"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8"/>
          <w:bookmarkEnd w:id="9"/>
          <w:bookmarkEnd w:id="10"/>
          <w:p w:rsidR="005E5B16" w:rsidRPr="00B90328" w:rsidRDefault="00B373EA">
            <w:pPr>
              <w:jc w:val="center"/>
              <w:rPr>
                <w:rFonts w:eastAsia="Times New Roman"/>
                <w:b/>
                <w:sz w:val="24"/>
                <w:szCs w:val="24"/>
                <w:lang w:val="lv-LV" w:eastAsia="lv-LV"/>
              </w:rPr>
            </w:pPr>
            <w:r w:rsidRPr="00B90328">
              <w:rPr>
                <w:rFonts w:eastAsia="Times New Roman"/>
                <w:b/>
                <w:sz w:val="24"/>
                <w:szCs w:val="24"/>
                <w:lang w:val="lv-LV" w:eastAsia="lv-LV"/>
              </w:rPr>
              <w:t>I.Tiesību akta projekta izstrādes nepieciešamība</w:t>
            </w:r>
          </w:p>
        </w:tc>
      </w:tr>
      <w:tr w:rsidR="00BB09C5" w:rsidRPr="00D33ECA"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90328" w:rsidRDefault="00BB09C5" w:rsidP="003560C1">
            <w:pPr>
              <w:rPr>
                <w:rFonts w:eastAsia="Times New Roman"/>
                <w:sz w:val="24"/>
                <w:szCs w:val="24"/>
                <w:lang w:val="lv-LV" w:eastAsia="lv-LV"/>
              </w:rPr>
            </w:pPr>
            <w:r w:rsidRPr="00B90328">
              <w:rPr>
                <w:rFonts w:eastAsia="Times New Roman"/>
                <w:sz w:val="24"/>
                <w:szCs w:val="24"/>
                <w:lang w:val="lv-LV" w:eastAsia="lv-LV"/>
              </w:rPr>
              <w:t>1</w:t>
            </w:r>
            <w:r w:rsidR="00F15932" w:rsidRPr="00B90328">
              <w:rPr>
                <w:rFonts w:eastAsia="Times New Roman"/>
                <w:sz w:val="24"/>
                <w:szCs w:val="24"/>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B90328" w:rsidRDefault="00B373EA">
            <w:pPr>
              <w:jc w:val="both"/>
              <w:rPr>
                <w:sz w:val="24"/>
                <w:szCs w:val="24"/>
                <w:lang w:val="lv-LV"/>
              </w:rPr>
            </w:pPr>
            <w:r w:rsidRPr="00B90328">
              <w:rPr>
                <w:sz w:val="24"/>
                <w:szCs w:val="24"/>
                <w:lang w:val="lv-LV"/>
              </w:rPr>
              <w:t xml:space="preserve">Noteikumu projekts sagatavots, pamatojoties uz Eiropas Savienības struktūrfondu un </w:t>
            </w:r>
            <w:r w:rsidRPr="00B90328">
              <w:rPr>
                <w:sz w:val="24"/>
                <w:szCs w:val="24"/>
                <w:lang w:val="lv-LV"/>
              </w:rPr>
              <w:br/>
              <w:t xml:space="preserve">Kohēzijas fonda vadības likuma </w:t>
            </w:r>
            <w:r w:rsidRPr="00B90328">
              <w:rPr>
                <w:sz w:val="24"/>
                <w:szCs w:val="24"/>
                <w:lang w:val="lv-LV"/>
              </w:rPr>
              <w:br/>
              <w:t>18.panta 10.punktu.</w:t>
            </w:r>
          </w:p>
        </w:tc>
      </w:tr>
      <w:tr w:rsidR="00BB09C5" w:rsidRPr="00D33ECA"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90328" w:rsidRDefault="00BB09C5" w:rsidP="003560C1">
            <w:pPr>
              <w:rPr>
                <w:rFonts w:eastAsia="Times New Roman"/>
                <w:sz w:val="24"/>
                <w:szCs w:val="24"/>
                <w:lang w:val="lv-LV" w:eastAsia="lv-LV"/>
              </w:rPr>
            </w:pPr>
            <w:r w:rsidRPr="00B90328">
              <w:rPr>
                <w:rFonts w:eastAsia="Times New Roman"/>
                <w:sz w:val="24"/>
                <w:szCs w:val="24"/>
                <w:lang w:val="lv-LV" w:eastAsia="lv-LV"/>
              </w:rPr>
              <w:t>2</w:t>
            </w:r>
            <w:r w:rsidR="00F15932" w:rsidRPr="00B90328">
              <w:rPr>
                <w:rFonts w:eastAsia="Times New Roman"/>
                <w:sz w:val="24"/>
                <w:szCs w:val="24"/>
                <w:lang w:val="lv-LV" w:eastAsia="lv-LV"/>
              </w:rPr>
              <w:t>. Pašreizējā situācija un problēma</w:t>
            </w:r>
            <w:r w:rsidR="00B373EA" w:rsidRPr="00B90328">
              <w:rPr>
                <w:rFonts w:eastAsia="Times New Roman"/>
                <w:sz w:val="24"/>
                <w:szCs w:val="24"/>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B90328" w:rsidRDefault="00B373EA">
            <w:pPr>
              <w:jc w:val="both"/>
              <w:rPr>
                <w:rFonts w:eastAsia="Times New Roman"/>
                <w:bCs/>
                <w:sz w:val="24"/>
                <w:szCs w:val="24"/>
                <w:lang w:val="lv-LV" w:eastAsia="lv-LV"/>
              </w:rPr>
            </w:pPr>
            <w:r w:rsidRPr="00B90328">
              <w:rPr>
                <w:rFonts w:eastAsia="Times New Roman"/>
                <w:sz w:val="24"/>
                <w:szCs w:val="24"/>
                <w:lang w:val="lv-LV" w:eastAsia="lv-LV"/>
              </w:rPr>
              <w:t xml:space="preserve">2010.gada 13.aprīlī Ministru kabinets apstiprināja </w:t>
            </w:r>
            <w:r w:rsidRPr="00B90328">
              <w:rPr>
                <w:sz w:val="24"/>
                <w:szCs w:val="24"/>
                <w:lang w:val="lv-LV"/>
              </w:rPr>
              <w:t>Ministru kabineta noteikumus Nr.361 „</w:t>
            </w:r>
            <w:r w:rsidRPr="00B90328">
              <w:rPr>
                <w:rFonts w:eastAsia="Times New Roman"/>
                <w:bCs/>
                <w:sz w:val="24"/>
                <w:szCs w:val="24"/>
                <w:lang w:val="lv-LV" w:eastAsia="lv-LV"/>
              </w:rPr>
              <w:t>Noteikumi par darbības programmas „Uzņēmējdarbība un inovācijas” papildinājuma 2.1.2.1.1.apakšaktivitāti „Kompetences centri”” (turpmāk - MK noteikumi Nr.361).</w:t>
            </w:r>
          </w:p>
          <w:p w:rsidR="005E5B16" w:rsidRPr="00B90328" w:rsidRDefault="00B373EA">
            <w:pPr>
              <w:jc w:val="both"/>
              <w:rPr>
                <w:sz w:val="24"/>
                <w:szCs w:val="24"/>
                <w:lang w:val="lv-LV"/>
              </w:rPr>
            </w:pPr>
            <w:r w:rsidRPr="00B90328">
              <w:rPr>
                <w:sz w:val="24"/>
                <w:szCs w:val="24"/>
                <w:lang w:val="lv-LV"/>
              </w:rPr>
              <w:t>2011.gadā ir uzsākta sešu projektu īstenošana.</w:t>
            </w:r>
          </w:p>
          <w:p w:rsidR="005E5B16" w:rsidRPr="00B90328" w:rsidRDefault="00B373EA">
            <w:pPr>
              <w:jc w:val="both"/>
              <w:rPr>
                <w:sz w:val="24"/>
                <w:szCs w:val="24"/>
                <w:lang w:val="lv-LV"/>
              </w:rPr>
            </w:pPr>
            <w:r w:rsidRPr="00B90328">
              <w:rPr>
                <w:sz w:val="24"/>
                <w:szCs w:val="24"/>
                <w:lang w:val="lv-LV"/>
              </w:rPr>
              <w:t>2011.gada 6.decembrī Ekonomikas ministrija ir saņēmusi Finanšu ministrijas kā Revīzijas iestādes audita par 2.1.2.1.1.apakšaktivitātes „Kompetences centri” (turpmāk – aktivitāti) vadības un kontroles sistēmu novērtējumu (turpmāk – audits).</w:t>
            </w:r>
          </w:p>
          <w:p w:rsidR="005E5B16" w:rsidRPr="00B90328" w:rsidRDefault="00B373EA">
            <w:pPr>
              <w:jc w:val="both"/>
              <w:rPr>
                <w:sz w:val="24"/>
                <w:szCs w:val="24"/>
                <w:lang w:val="lv-LV"/>
              </w:rPr>
            </w:pPr>
            <w:r w:rsidRPr="00B90328">
              <w:rPr>
                <w:sz w:val="24"/>
                <w:szCs w:val="24"/>
                <w:lang w:val="lv-LV"/>
              </w:rPr>
              <w:t>Audita ietvaros tika konstatēti aktivitātes ieviešanu ietekmējošie riski:</w:t>
            </w:r>
          </w:p>
          <w:p w:rsidR="005E5B16" w:rsidRPr="00B90328" w:rsidRDefault="00B373EA">
            <w:pPr>
              <w:pStyle w:val="ListParagraph"/>
              <w:numPr>
                <w:ilvl w:val="0"/>
                <w:numId w:val="9"/>
              </w:numPr>
              <w:jc w:val="both"/>
              <w:rPr>
                <w:sz w:val="24"/>
                <w:szCs w:val="24"/>
                <w:lang w:val="lv-LV"/>
              </w:rPr>
            </w:pPr>
            <w:r w:rsidRPr="00B90328">
              <w:rPr>
                <w:sz w:val="24"/>
                <w:szCs w:val="24"/>
                <w:lang w:val="lv-LV"/>
              </w:rPr>
              <w:t>risks, ka netiks nodrošināta projektu ilgtspēja;</w:t>
            </w:r>
          </w:p>
          <w:p w:rsidR="005E5B16" w:rsidRPr="00B90328" w:rsidRDefault="00B373EA">
            <w:pPr>
              <w:pStyle w:val="ListParagraph"/>
              <w:numPr>
                <w:ilvl w:val="0"/>
                <w:numId w:val="9"/>
              </w:numPr>
              <w:jc w:val="both"/>
              <w:rPr>
                <w:sz w:val="24"/>
                <w:szCs w:val="24"/>
                <w:lang w:val="lv-LV"/>
              </w:rPr>
            </w:pPr>
            <w:r w:rsidRPr="00B90328">
              <w:rPr>
                <w:sz w:val="24"/>
                <w:szCs w:val="24"/>
                <w:lang w:val="lv-LV"/>
              </w:rPr>
              <w:t>aktivitātes un projektu mērķu nesasniegšanas risks;</w:t>
            </w:r>
          </w:p>
          <w:p w:rsidR="005E5B16" w:rsidRPr="00B90328" w:rsidRDefault="00B373EA">
            <w:pPr>
              <w:pStyle w:val="ListParagraph"/>
              <w:numPr>
                <w:ilvl w:val="0"/>
                <w:numId w:val="9"/>
              </w:numPr>
              <w:jc w:val="both"/>
              <w:rPr>
                <w:sz w:val="24"/>
                <w:szCs w:val="24"/>
                <w:lang w:val="lv-LV"/>
              </w:rPr>
            </w:pPr>
            <w:r w:rsidRPr="00B90328">
              <w:rPr>
                <w:sz w:val="24"/>
                <w:szCs w:val="24"/>
                <w:lang w:val="lv-LV"/>
              </w:rPr>
              <w:t>nesaskaņotas komercdarbības atbalsta risks;</w:t>
            </w:r>
          </w:p>
          <w:p w:rsidR="005E5B16" w:rsidRPr="00B90328" w:rsidRDefault="00B373EA">
            <w:pPr>
              <w:pStyle w:val="ListParagraph"/>
              <w:numPr>
                <w:ilvl w:val="0"/>
                <w:numId w:val="9"/>
              </w:numPr>
              <w:jc w:val="both"/>
              <w:rPr>
                <w:sz w:val="24"/>
                <w:szCs w:val="24"/>
                <w:lang w:val="lv-LV"/>
              </w:rPr>
            </w:pPr>
            <w:r w:rsidRPr="00B90328">
              <w:rPr>
                <w:sz w:val="24"/>
                <w:szCs w:val="24"/>
                <w:lang w:val="lv-LV"/>
              </w:rPr>
              <w:t>neatbilstoši veikto iepirkumu risks;</w:t>
            </w:r>
          </w:p>
          <w:p w:rsidR="005E5B16" w:rsidRPr="00B90328" w:rsidRDefault="00B373EA">
            <w:pPr>
              <w:pStyle w:val="ListParagraph"/>
              <w:numPr>
                <w:ilvl w:val="0"/>
                <w:numId w:val="9"/>
              </w:numPr>
              <w:jc w:val="both"/>
              <w:rPr>
                <w:sz w:val="24"/>
                <w:szCs w:val="24"/>
                <w:lang w:val="lv-LV"/>
              </w:rPr>
            </w:pPr>
            <w:r w:rsidRPr="00B90328">
              <w:rPr>
                <w:sz w:val="24"/>
                <w:szCs w:val="24"/>
                <w:lang w:val="lv-LV"/>
              </w:rPr>
              <w:t>dubultā finansējuma risks.</w:t>
            </w:r>
          </w:p>
          <w:p w:rsidR="005E5B16" w:rsidRPr="00B90328" w:rsidRDefault="00B373EA">
            <w:pPr>
              <w:jc w:val="both"/>
              <w:rPr>
                <w:sz w:val="24"/>
                <w:szCs w:val="24"/>
                <w:lang w:val="lv-LV"/>
              </w:rPr>
            </w:pPr>
            <w:r w:rsidRPr="00B90328">
              <w:rPr>
                <w:sz w:val="24"/>
                <w:szCs w:val="24"/>
                <w:lang w:val="lv-LV"/>
              </w:rPr>
              <w:t>2011.gada 19.decembrī Ekonomikas ministrija ir saņēmusi Finanšu ministrijas kā Vadošās iestādes vēstuli, pamatojoties uz Revīzijas iestādes audita laikā konstatēto.  Atbilstoši vēstulē norādītajam Vadošā iestāde secina, ka aktivitātes ieviešanu nav iespējams turpināt. Līdz ar to Vadošā iestāde uzdod Ekonomikas ministrijai uz laiku, kamēr nav novērsti Revīzijas iestādes konstatētie riski, apturēt aktivitātes ieviešanu, informējot par to finansējuma saņēmējus un veikt grozījumus MK noteikumos Nr.361.</w:t>
            </w:r>
          </w:p>
          <w:p w:rsidR="0079551A" w:rsidRPr="00B90328" w:rsidRDefault="00B373EA">
            <w:pPr>
              <w:jc w:val="both"/>
              <w:rPr>
                <w:sz w:val="24"/>
                <w:szCs w:val="24"/>
                <w:lang w:val="lv-LV"/>
              </w:rPr>
            </w:pPr>
            <w:r w:rsidRPr="00B90328">
              <w:rPr>
                <w:sz w:val="24"/>
                <w:szCs w:val="24"/>
                <w:lang w:val="lv-LV"/>
              </w:rPr>
              <w:t xml:space="preserve">2012.gada 23.marta vēstulē Nr.21-2-02/2020 Finanšu ministrija piedāvā aktivitātes tālākās īstenošanas modeli, kurš paredz novērst aktivitātē konstatētos riskus, vienlaikus pakāpeniski atjaunojot aktivitātes īstenošanu. Vispirms tiek atjaunota aktivitātes īstenošana attiecībā uz tiem pētījumiem, kuri bija uzsākti līdz 2011.gada 22.decembrim. </w:t>
            </w:r>
          </w:p>
          <w:p w:rsidR="00942CA9" w:rsidRPr="00B90328" w:rsidRDefault="00B373EA">
            <w:pPr>
              <w:jc w:val="both"/>
              <w:rPr>
                <w:sz w:val="24"/>
                <w:szCs w:val="24"/>
                <w:lang w:val="lv-LV"/>
              </w:rPr>
            </w:pPr>
            <w:r w:rsidRPr="00B90328">
              <w:rPr>
                <w:sz w:val="24"/>
                <w:szCs w:val="24"/>
                <w:lang w:val="lv-LV"/>
              </w:rPr>
              <w:t xml:space="preserve">Lai pilnvērtīgi turpinātu šos pētījumus, </w:t>
            </w:r>
            <w:r w:rsidR="00942CA9" w:rsidRPr="00B90328">
              <w:rPr>
                <w:sz w:val="24"/>
                <w:szCs w:val="24"/>
                <w:lang w:val="lv-LV"/>
              </w:rPr>
              <w:t xml:space="preserve">2012.gada 15.maijā tika veikti pirmie grozījumi </w:t>
            </w:r>
            <w:r w:rsidRPr="00B90328">
              <w:rPr>
                <w:sz w:val="24"/>
                <w:szCs w:val="24"/>
                <w:lang w:val="lv-LV"/>
              </w:rPr>
              <w:t>MK noteikumos Nr.361</w:t>
            </w:r>
            <w:r w:rsidR="00065797" w:rsidRPr="00B90328">
              <w:rPr>
                <w:sz w:val="24"/>
                <w:szCs w:val="24"/>
                <w:lang w:val="lv-LV"/>
              </w:rPr>
              <w:t>, kuri daļēji novērsa ilgtspējas nodrošināšanas, dubultā finansējuma un nesaskaņota komercdarbības atbalsts riskus.</w:t>
            </w:r>
          </w:p>
          <w:p w:rsidR="00942CA9" w:rsidRPr="00B90328" w:rsidRDefault="00065797">
            <w:pPr>
              <w:jc w:val="both"/>
              <w:rPr>
                <w:sz w:val="24"/>
                <w:szCs w:val="24"/>
                <w:lang w:val="lv-LV"/>
              </w:rPr>
            </w:pPr>
            <w:r w:rsidRPr="00B90328">
              <w:rPr>
                <w:sz w:val="24"/>
                <w:szCs w:val="24"/>
                <w:lang w:val="lv-LV"/>
              </w:rPr>
              <w:t xml:space="preserve">Lai pilnībā novērstu visus Revīzijas iestādes konstatētos </w:t>
            </w:r>
            <w:r w:rsidRPr="00B90328">
              <w:rPr>
                <w:sz w:val="24"/>
                <w:szCs w:val="24"/>
                <w:lang w:val="lv-LV"/>
              </w:rPr>
              <w:lastRenderedPageBreak/>
              <w:t xml:space="preserve">riskus, </w:t>
            </w:r>
            <w:r w:rsidR="00B373EA" w:rsidRPr="00B90328">
              <w:rPr>
                <w:sz w:val="24"/>
                <w:szCs w:val="24"/>
                <w:lang w:val="lv-LV"/>
              </w:rPr>
              <w:t xml:space="preserve">Ekonomikas ministrijas ir izstrādājusi </w:t>
            </w:r>
            <w:r w:rsidR="00975AAE" w:rsidRPr="00B90328">
              <w:rPr>
                <w:sz w:val="24"/>
                <w:szCs w:val="24"/>
                <w:lang w:val="lv-LV"/>
              </w:rPr>
              <w:t>šos (</w:t>
            </w:r>
            <w:r w:rsidRPr="00B90328">
              <w:rPr>
                <w:sz w:val="24"/>
                <w:szCs w:val="24"/>
                <w:lang w:val="lv-LV"/>
              </w:rPr>
              <w:t>otros</w:t>
            </w:r>
            <w:r w:rsidR="00975AAE" w:rsidRPr="00B90328">
              <w:rPr>
                <w:sz w:val="24"/>
                <w:szCs w:val="24"/>
                <w:lang w:val="lv-LV"/>
              </w:rPr>
              <w:t>)</w:t>
            </w:r>
            <w:r w:rsidRPr="00B90328">
              <w:rPr>
                <w:sz w:val="24"/>
                <w:szCs w:val="24"/>
                <w:lang w:val="lv-LV"/>
              </w:rPr>
              <w:t xml:space="preserve"> </w:t>
            </w:r>
            <w:r w:rsidR="00B373EA" w:rsidRPr="00B90328">
              <w:rPr>
                <w:sz w:val="24"/>
                <w:szCs w:val="24"/>
                <w:lang w:val="lv-LV"/>
              </w:rPr>
              <w:t xml:space="preserve">grozījumus MK noteikumos Nr.361. </w:t>
            </w:r>
          </w:p>
          <w:p w:rsidR="005E5B16" w:rsidRPr="00B90328" w:rsidRDefault="00B373EA">
            <w:pPr>
              <w:jc w:val="both"/>
              <w:rPr>
                <w:sz w:val="24"/>
                <w:szCs w:val="24"/>
                <w:lang w:val="lv-LV"/>
              </w:rPr>
            </w:pPr>
            <w:r w:rsidRPr="00B90328">
              <w:rPr>
                <w:sz w:val="24"/>
                <w:szCs w:val="24"/>
                <w:lang w:val="lv-LV"/>
              </w:rPr>
              <w:t>Ekonomikas ministrijas izstrādātie grozījumi ir vērsti uz pašreizējo projektu īstenošanas kārtību un ar grozījumiem noteiktais regulējums tiks piemērots uz finansējuma saņēmējiem, kas uz grozījumu projektā ietvertā regulējuma spēkā stāšanās brīdi jau būs iesnieguši projektu iesniegumus un ar kuriem sadarbības iestāde, proti, valsts aģentūra „Latvijas Investīciju un attīstības aģentūra” (turpmāk – sadarbības iestāde) būs noslēgusi civiltiesiskus līgumus par projekta īstenošanu. Tādejādi, lai nodrošinātu, ka attiecīgās normas tiks ievērotas sadarbības iestāde ierosinās veikt grozījumus noslēgtajos līgumos atbilstoši spēkā esošajam tiesiskajam regulējumam.</w:t>
            </w:r>
          </w:p>
          <w:p w:rsidR="005E5B16" w:rsidRPr="00B90328" w:rsidRDefault="00B373EA">
            <w:pPr>
              <w:jc w:val="both"/>
              <w:rPr>
                <w:sz w:val="24"/>
                <w:szCs w:val="24"/>
                <w:lang w:val="lv-LV"/>
              </w:rPr>
            </w:pPr>
            <w:r w:rsidRPr="00B90328">
              <w:rPr>
                <w:sz w:val="24"/>
                <w:szCs w:val="24"/>
                <w:lang w:val="lv-LV"/>
              </w:rPr>
              <w:t>Ekonomikas ministrija ir izvērtējusi iespējamos riskus, kas saistīti ar finansējuma saņēmēja tiesiskās paļāvības principa un tiesiskās noteiktības principa pārkāpumiem, ierosinot grozījumus MK noteikumos Nr.361. Ierosinātie grozījumi ir tiešā cēloņsakarībā ar nepieciešamību veikt grozījumus jau noslēgtajos līgumos par projektu īstenošanu, tādejādi mainot projekta īstenošanas nosacījumus. Līdz ar to MK noteikumos Nr.361 iekļautās normas ir attiecināmas jau uz nodibinātām līgumattiecībām, proti, jaunās normas tiks piemērotas uz jau nodibinātām un turpinātām tiesiskām attiecībām.</w:t>
            </w:r>
          </w:p>
          <w:p w:rsidR="003043CF" w:rsidRPr="00B90328" w:rsidRDefault="00B373EA" w:rsidP="003560C1">
            <w:pPr>
              <w:pStyle w:val="BodyText2"/>
              <w:spacing w:after="0" w:line="240" w:lineRule="auto"/>
              <w:jc w:val="both"/>
              <w:rPr>
                <w:sz w:val="24"/>
                <w:szCs w:val="24"/>
                <w:lang w:val="lv-LV"/>
              </w:rPr>
            </w:pPr>
            <w:r w:rsidRPr="00B90328">
              <w:rPr>
                <w:sz w:val="24"/>
                <w:szCs w:val="24"/>
                <w:lang w:val="lv-LV"/>
              </w:rPr>
              <w:t>Atbilstoši demokrātiskas republikas jēdzienam valsts pienākums savā rīcība ir ievērot tiesiskas valsts pamatprincipus, tai skaitā tiesiskās paļāvības un tiesiskās noteiktības principus. Ekonomikas ministrija norāda, ka atbilstoši Augstākās tiesas Senāta Administratīvo lietu departamenta 2011.gada 24.novembra spriedumam SKA – 708/2011 attiecīgo principu pastāvēšana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r w:rsidRPr="00B90328">
              <w:rPr>
                <w:i/>
                <w:sz w:val="24"/>
                <w:szCs w:val="24"/>
                <w:lang w:val="lv-LV"/>
              </w:rPr>
              <w:t>sk. Satversmes tiesas 2010.gada 6.decembra sprieduma lietā Nr.2010-25-01 4.punktu</w:t>
            </w:r>
            <w:r w:rsidRPr="00B90328">
              <w:rPr>
                <w:sz w:val="24"/>
                <w:szCs w:val="24"/>
                <w:lang w:val="lv-LV"/>
              </w:rPr>
              <w:t>).</w:t>
            </w:r>
          </w:p>
          <w:p w:rsidR="0008054E" w:rsidRPr="00B90328" w:rsidRDefault="00B373EA">
            <w:pPr>
              <w:jc w:val="both"/>
              <w:rPr>
                <w:sz w:val="24"/>
                <w:szCs w:val="24"/>
                <w:lang w:val="lv-LV"/>
              </w:rPr>
            </w:pPr>
            <w:r w:rsidRPr="00B90328">
              <w:rPr>
                <w:sz w:val="24"/>
                <w:szCs w:val="24"/>
                <w:lang w:val="lv-LV"/>
              </w:rPr>
              <w:t>Noteikumu projekts novērš Revīzijas iestāde un Vadošās iestādes konstatēto</w:t>
            </w:r>
            <w:r w:rsidR="00065797" w:rsidRPr="00B90328">
              <w:rPr>
                <w:sz w:val="24"/>
                <w:szCs w:val="24"/>
                <w:lang w:val="lv-LV"/>
              </w:rPr>
              <w:t>s</w:t>
            </w:r>
            <w:r w:rsidRPr="00B90328">
              <w:rPr>
                <w:sz w:val="24"/>
                <w:szCs w:val="24"/>
                <w:lang w:val="lv-LV"/>
              </w:rPr>
              <w:t xml:space="preserve"> </w:t>
            </w:r>
            <w:r w:rsidR="00065797" w:rsidRPr="00B90328">
              <w:rPr>
                <w:sz w:val="24"/>
                <w:szCs w:val="24"/>
                <w:lang w:val="lv-LV"/>
              </w:rPr>
              <w:t>riskus</w:t>
            </w:r>
            <w:r w:rsidRPr="00B90328">
              <w:rPr>
                <w:sz w:val="24"/>
                <w:szCs w:val="24"/>
                <w:lang w:val="lv-LV"/>
              </w:rPr>
              <w:t xml:space="preserve">, kas ir attaisnojami ar visas sabiedrības interešu aizsardzību, ņemot vērā, ka gadījumā, ja Eiropas Komisija konstatēs, ka aktivitātes īstenošana neatbilst Eiropas Savienības tiesiskajā regulējumā iekļautajām prasībām, aktivitātes ietvaros pieejamais finansējums būs jāsedz no valsts budžeta līdzekļiem. </w:t>
            </w:r>
          </w:p>
          <w:p w:rsidR="0008054E" w:rsidRPr="00B90328" w:rsidRDefault="00B373EA">
            <w:pPr>
              <w:jc w:val="both"/>
              <w:rPr>
                <w:sz w:val="24"/>
                <w:szCs w:val="24"/>
                <w:lang w:val="lv-LV"/>
              </w:rPr>
            </w:pPr>
            <w:r w:rsidRPr="00B90328">
              <w:rPr>
                <w:sz w:val="24"/>
                <w:szCs w:val="24"/>
                <w:lang w:val="lv-LV"/>
              </w:rPr>
              <w:t>Pamatojoties uz augstāk minēto Ekonomikas ministrija secina, ka objektīvi pastāv steidzams un sevišķi nepieciešams grozījumu izdošanas mērķis, ar kuru būtu attaisnojama tiesiskās noteiktības ierobežošana.</w:t>
            </w:r>
          </w:p>
          <w:p w:rsidR="0008054E" w:rsidRPr="00B90328" w:rsidRDefault="00B373EA" w:rsidP="00065797">
            <w:pPr>
              <w:jc w:val="both"/>
              <w:rPr>
                <w:sz w:val="24"/>
                <w:szCs w:val="24"/>
                <w:lang w:val="lv-LV"/>
              </w:rPr>
            </w:pPr>
            <w:r w:rsidRPr="00B90328">
              <w:rPr>
                <w:sz w:val="24"/>
                <w:szCs w:val="24"/>
                <w:lang w:val="lv-LV"/>
              </w:rPr>
              <w:t>Noteikumu projektā iekļautās prasības uzskatāmas par finansējuma saņēmējiem</w:t>
            </w:r>
            <w:r w:rsidR="00B83AC9" w:rsidRPr="00B90328">
              <w:rPr>
                <w:sz w:val="24"/>
                <w:szCs w:val="24"/>
                <w:lang w:val="lv-LV"/>
              </w:rPr>
              <w:t xml:space="preserve"> </w:t>
            </w:r>
            <w:r w:rsidR="00250ACD" w:rsidRPr="00B90328">
              <w:rPr>
                <w:b/>
                <w:sz w:val="24"/>
                <w:szCs w:val="24"/>
                <w:lang w:val="lv-LV"/>
              </w:rPr>
              <w:t>neitrālām vai</w:t>
            </w:r>
            <w:r w:rsidR="00250ACD" w:rsidRPr="00B90328">
              <w:rPr>
                <w:sz w:val="24"/>
                <w:szCs w:val="24"/>
                <w:lang w:val="lv-LV"/>
              </w:rPr>
              <w:t xml:space="preserve"> labvēlīgākām, proti, noteikumu projekts </w:t>
            </w:r>
            <w:r w:rsidR="00250ACD" w:rsidRPr="00B90328">
              <w:rPr>
                <w:b/>
                <w:sz w:val="24"/>
                <w:szCs w:val="24"/>
                <w:lang w:val="lv-LV"/>
              </w:rPr>
              <w:t>precīzāk izskaidro jau nozares pētījumu īstenošanas nosacījumus un</w:t>
            </w:r>
            <w:r w:rsidR="00B83AC9" w:rsidRPr="00B90328">
              <w:rPr>
                <w:sz w:val="24"/>
                <w:szCs w:val="24"/>
                <w:lang w:val="lv-LV"/>
              </w:rPr>
              <w:t xml:space="preserve"> </w:t>
            </w:r>
            <w:r w:rsidRPr="00B90328">
              <w:rPr>
                <w:sz w:val="24"/>
                <w:szCs w:val="24"/>
                <w:lang w:val="lv-LV"/>
              </w:rPr>
              <w:t xml:space="preserve">ļauj </w:t>
            </w:r>
            <w:r w:rsidR="00065797" w:rsidRPr="00B90328">
              <w:rPr>
                <w:sz w:val="24"/>
                <w:szCs w:val="24"/>
                <w:lang w:val="lv-LV"/>
              </w:rPr>
              <w:t xml:space="preserve">kompetences centra projekta ietvaros īstenot jaunu pētījumu veidu – individuālos pētījumus, kuru rezultātus uzreiz saņem komersants – individuālā pētījuma īstenotājs. </w:t>
            </w:r>
            <w:r w:rsidRPr="00B90328">
              <w:rPr>
                <w:sz w:val="24"/>
                <w:szCs w:val="24"/>
                <w:lang w:val="lv-LV"/>
              </w:rPr>
              <w:t>Tādējādi noteikumu grozījumu projekts nodrošina labvēlīgākus nosacījumus un ir atbalstāms jau uz nodibinātām tiesiskajām attiecībām.</w:t>
            </w:r>
          </w:p>
          <w:p w:rsidR="0008054E" w:rsidRPr="00B90328" w:rsidRDefault="00B373EA" w:rsidP="00975AAE">
            <w:pPr>
              <w:jc w:val="both"/>
              <w:rPr>
                <w:sz w:val="24"/>
                <w:szCs w:val="24"/>
                <w:lang w:val="lv-LV"/>
              </w:rPr>
            </w:pPr>
            <w:r w:rsidRPr="00B90328">
              <w:rPr>
                <w:sz w:val="24"/>
                <w:szCs w:val="24"/>
                <w:lang w:val="lv-LV"/>
              </w:rPr>
              <w:t xml:space="preserve">Papildu Ekonomikas ministrija norāda, ka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 </w:t>
            </w:r>
          </w:p>
        </w:tc>
      </w:tr>
      <w:tr w:rsidR="00537A29" w:rsidRPr="00B90328"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B90328" w:rsidRDefault="00537A29" w:rsidP="003560C1">
            <w:pPr>
              <w:rPr>
                <w:rFonts w:eastAsia="Times New Roman"/>
                <w:sz w:val="24"/>
                <w:szCs w:val="24"/>
                <w:lang w:val="lv-LV" w:eastAsia="lv-LV"/>
              </w:rPr>
            </w:pPr>
            <w:r w:rsidRPr="00B90328">
              <w:rPr>
                <w:rFonts w:eastAsia="Times New Roman"/>
                <w:sz w:val="24"/>
                <w:szCs w:val="24"/>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B90328" w:rsidRDefault="00B373EA">
            <w:pPr>
              <w:pStyle w:val="NormalWeb"/>
              <w:spacing w:before="0" w:beforeAutospacing="0" w:after="0" w:afterAutospacing="0"/>
              <w:rPr>
                <w:b/>
                <w:lang w:val="lv-LV"/>
              </w:rPr>
            </w:pPr>
            <w:r w:rsidRPr="00B90328">
              <w:rPr>
                <w:iCs/>
                <w:lang w:val="lv-LV"/>
              </w:rPr>
              <w:t>Projekts šo jomu neskar</w:t>
            </w:r>
            <w:r w:rsidRPr="00B90328">
              <w:rPr>
                <w:b/>
                <w:lang w:val="lv-LV"/>
              </w:rPr>
              <w:t>.</w:t>
            </w:r>
          </w:p>
          <w:p w:rsidR="005E5B16" w:rsidRPr="00B90328" w:rsidRDefault="005E5B16">
            <w:pPr>
              <w:jc w:val="both"/>
              <w:rPr>
                <w:color w:val="000000"/>
                <w:sz w:val="24"/>
                <w:szCs w:val="24"/>
                <w:lang w:val="lv-LV"/>
              </w:rPr>
            </w:pPr>
          </w:p>
        </w:tc>
      </w:tr>
      <w:tr w:rsidR="00BB09C5" w:rsidRPr="00D33ECA" w:rsidTr="00C257B7">
        <w:trPr>
          <w:trHeight w:val="106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90328" w:rsidRDefault="00537A29" w:rsidP="003560C1">
            <w:pPr>
              <w:rPr>
                <w:rFonts w:eastAsia="Times New Roman"/>
                <w:sz w:val="24"/>
                <w:szCs w:val="24"/>
                <w:lang w:val="lv-LV" w:eastAsia="lv-LV"/>
              </w:rPr>
            </w:pPr>
            <w:r w:rsidRPr="00B90328">
              <w:rPr>
                <w:rFonts w:eastAsia="Times New Roman"/>
                <w:sz w:val="24"/>
                <w:szCs w:val="24"/>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AD3839" w:rsidRPr="00B90328" w:rsidRDefault="00B373EA">
            <w:pPr>
              <w:jc w:val="both"/>
              <w:rPr>
                <w:color w:val="000000" w:themeColor="text1"/>
                <w:sz w:val="24"/>
                <w:szCs w:val="24"/>
                <w:lang w:val="lv-LV"/>
              </w:rPr>
            </w:pPr>
            <w:r w:rsidRPr="00B90328">
              <w:rPr>
                <w:color w:val="000000" w:themeColor="text1"/>
                <w:sz w:val="24"/>
                <w:szCs w:val="24"/>
                <w:lang w:val="lv-LV"/>
              </w:rPr>
              <w:t>Noteikumu projekts paredz veikt grozījumus MK noteikumos Nr.361, lai</w:t>
            </w:r>
            <w:r w:rsidR="00AD3839" w:rsidRPr="00B90328">
              <w:rPr>
                <w:color w:val="000000" w:themeColor="text1"/>
                <w:sz w:val="24"/>
                <w:szCs w:val="24"/>
                <w:lang w:val="lv-LV"/>
              </w:rPr>
              <w:t xml:space="preserve"> </w:t>
            </w:r>
            <w:r w:rsidR="00257001" w:rsidRPr="00B90328">
              <w:rPr>
                <w:color w:val="000000" w:themeColor="text1"/>
                <w:sz w:val="24"/>
                <w:szCs w:val="24"/>
                <w:lang w:val="lv-LV"/>
              </w:rPr>
              <w:t>iestrādātu jaunu pētījumu veidu – individuālie pētījumi, kurus īstenos un kuru rezultāti piederēs kompetences centra sadarbības partneriem.</w:t>
            </w:r>
            <w:r w:rsidR="00B36AEC" w:rsidRPr="00B90328">
              <w:rPr>
                <w:color w:val="000000" w:themeColor="text1"/>
                <w:sz w:val="24"/>
                <w:szCs w:val="24"/>
                <w:lang w:val="lv-LV"/>
              </w:rPr>
              <w:t xml:space="preserve"> </w:t>
            </w:r>
          </w:p>
          <w:p w:rsidR="00CD4509" w:rsidRPr="00B90328" w:rsidRDefault="00CD4509">
            <w:pPr>
              <w:jc w:val="both"/>
              <w:rPr>
                <w:color w:val="000000" w:themeColor="text1"/>
                <w:sz w:val="24"/>
                <w:szCs w:val="24"/>
                <w:lang w:val="lv-LV"/>
              </w:rPr>
            </w:pPr>
            <w:r w:rsidRPr="00B90328">
              <w:rPr>
                <w:color w:val="000000" w:themeColor="text1"/>
                <w:sz w:val="24"/>
                <w:szCs w:val="24"/>
                <w:lang w:val="lv-LV"/>
              </w:rPr>
              <w:t>MK noteikumos Nr.361 tiek iestrādāt</w:t>
            </w:r>
            <w:r w:rsidR="00A848E1" w:rsidRPr="00B90328">
              <w:rPr>
                <w:color w:val="000000" w:themeColor="text1"/>
                <w:sz w:val="24"/>
                <w:szCs w:val="24"/>
                <w:lang w:val="lv-LV"/>
              </w:rPr>
              <w:t xml:space="preserve">i terminu skaidrojumi, </w:t>
            </w:r>
            <w:r w:rsidRPr="00B90328">
              <w:rPr>
                <w:color w:val="000000" w:themeColor="text1"/>
                <w:sz w:val="24"/>
                <w:szCs w:val="24"/>
                <w:lang w:val="lv-LV"/>
              </w:rPr>
              <w:t xml:space="preserve"> prasības individuālā pētījuma īstenotājam un kārtība, kādā tiek īstenoti individuālie pētījumi. </w:t>
            </w:r>
          </w:p>
          <w:p w:rsidR="00664E9E" w:rsidRPr="00B90328" w:rsidRDefault="00CD4509" w:rsidP="00664E9E">
            <w:pPr>
              <w:jc w:val="both"/>
              <w:rPr>
                <w:color w:val="000000" w:themeColor="text1"/>
                <w:sz w:val="24"/>
                <w:szCs w:val="24"/>
                <w:lang w:val="lv-LV"/>
              </w:rPr>
            </w:pPr>
            <w:r w:rsidRPr="00B90328">
              <w:rPr>
                <w:color w:val="000000" w:themeColor="text1"/>
                <w:sz w:val="24"/>
                <w:szCs w:val="24"/>
                <w:lang w:val="lv-LV"/>
              </w:rPr>
              <w:t xml:space="preserve">Attiecīgi tiek </w:t>
            </w:r>
            <w:r w:rsidR="00F05A56" w:rsidRPr="00B90328">
              <w:rPr>
                <w:color w:val="000000" w:themeColor="text1"/>
                <w:sz w:val="24"/>
                <w:szCs w:val="24"/>
                <w:lang w:val="lv-LV"/>
              </w:rPr>
              <w:t>veikti precizējumi visā MK noteikumu Nr.361 tekstā, lai nodalītu normas (a) kuras attiecās uz visa kompeten</w:t>
            </w:r>
            <w:r w:rsidR="00151773" w:rsidRPr="00B90328">
              <w:rPr>
                <w:color w:val="000000" w:themeColor="text1"/>
                <w:sz w:val="24"/>
                <w:szCs w:val="24"/>
                <w:lang w:val="lv-LV"/>
              </w:rPr>
              <w:t xml:space="preserve">ces centra projekta īstenošanu, </w:t>
            </w:r>
            <w:r w:rsidR="00F05A56" w:rsidRPr="00B90328">
              <w:rPr>
                <w:color w:val="000000" w:themeColor="text1"/>
                <w:sz w:val="24"/>
                <w:szCs w:val="24"/>
                <w:lang w:val="lv-LV"/>
              </w:rPr>
              <w:t>(b) kuras attiecās</w:t>
            </w:r>
            <w:r w:rsidR="000623EA" w:rsidRPr="00B90328">
              <w:rPr>
                <w:color w:val="000000" w:themeColor="text1"/>
                <w:sz w:val="24"/>
                <w:szCs w:val="24"/>
                <w:lang w:val="lv-LV"/>
              </w:rPr>
              <w:t xml:space="preserve"> tikai </w:t>
            </w:r>
            <w:r w:rsidR="00F05A56" w:rsidRPr="00B90328">
              <w:rPr>
                <w:color w:val="000000" w:themeColor="text1"/>
                <w:sz w:val="24"/>
                <w:szCs w:val="24"/>
                <w:lang w:val="lv-LV"/>
              </w:rPr>
              <w:t xml:space="preserve">uz nozares pētījumu īstenošanu, </w:t>
            </w:r>
            <w:r w:rsidR="00151773" w:rsidRPr="00B90328">
              <w:rPr>
                <w:color w:val="000000" w:themeColor="text1"/>
                <w:sz w:val="24"/>
                <w:szCs w:val="24"/>
                <w:lang w:val="lv-LV"/>
              </w:rPr>
              <w:t xml:space="preserve">un normas </w:t>
            </w:r>
            <w:r w:rsidR="00F05A56" w:rsidRPr="00B90328">
              <w:rPr>
                <w:color w:val="000000" w:themeColor="text1"/>
                <w:sz w:val="24"/>
                <w:szCs w:val="24"/>
                <w:lang w:val="lv-LV"/>
              </w:rPr>
              <w:t xml:space="preserve">(c) kuras attiecās </w:t>
            </w:r>
            <w:r w:rsidR="000623EA" w:rsidRPr="00B90328">
              <w:rPr>
                <w:color w:val="000000" w:themeColor="text1"/>
                <w:sz w:val="24"/>
                <w:szCs w:val="24"/>
                <w:lang w:val="lv-LV"/>
              </w:rPr>
              <w:t xml:space="preserve">tikai </w:t>
            </w:r>
            <w:r w:rsidR="00F05A56" w:rsidRPr="00B90328">
              <w:rPr>
                <w:color w:val="000000" w:themeColor="text1"/>
                <w:sz w:val="24"/>
                <w:szCs w:val="24"/>
                <w:lang w:val="lv-LV"/>
              </w:rPr>
              <w:t>uz individuālo pētījumu īstenošanu.</w:t>
            </w:r>
            <w:r w:rsidR="00664E9E" w:rsidRPr="00B90328">
              <w:rPr>
                <w:color w:val="000000" w:themeColor="text1"/>
                <w:sz w:val="24"/>
                <w:szCs w:val="24"/>
                <w:lang w:val="lv-LV"/>
              </w:rPr>
              <w:t xml:space="preserve"> </w:t>
            </w:r>
          </w:p>
          <w:p w:rsidR="00664E9E" w:rsidRPr="00B90328" w:rsidRDefault="00664E9E" w:rsidP="00664E9E">
            <w:pPr>
              <w:jc w:val="both"/>
              <w:rPr>
                <w:color w:val="000000" w:themeColor="text1"/>
                <w:sz w:val="24"/>
                <w:szCs w:val="24"/>
                <w:lang w:val="lv-LV"/>
              </w:rPr>
            </w:pPr>
            <w:r w:rsidRPr="00B90328">
              <w:rPr>
                <w:color w:val="000000" w:themeColor="text1"/>
                <w:sz w:val="24"/>
                <w:szCs w:val="24"/>
                <w:lang w:val="lv-LV"/>
              </w:rPr>
              <w:t xml:space="preserve">Tiek precizēts, kārtībā, kādā pētījumiem nosaka publiskā finansējuma intensitāti, tai skaitā precizētas publicēšanas prasības. </w:t>
            </w:r>
          </w:p>
          <w:p w:rsidR="00664E9E" w:rsidRPr="00B90328" w:rsidRDefault="00664E9E" w:rsidP="00664E9E">
            <w:pPr>
              <w:jc w:val="both"/>
              <w:rPr>
                <w:color w:val="000000" w:themeColor="text1"/>
                <w:sz w:val="24"/>
                <w:szCs w:val="24"/>
                <w:lang w:val="lv-LV"/>
              </w:rPr>
            </w:pPr>
            <w:r w:rsidRPr="00B90328">
              <w:rPr>
                <w:color w:val="000000" w:themeColor="text1"/>
                <w:sz w:val="24"/>
                <w:szCs w:val="24"/>
                <w:lang w:val="lv-LV"/>
              </w:rPr>
              <w:t>Tiek precizēta nozares pētījumu rezultātu pārvaldība</w:t>
            </w:r>
            <w:r w:rsidR="00B83AC9" w:rsidRPr="00B90328">
              <w:rPr>
                <w:color w:val="000000" w:themeColor="text1"/>
                <w:sz w:val="24"/>
                <w:szCs w:val="24"/>
                <w:lang w:val="lv-LV"/>
              </w:rPr>
              <w:t xml:space="preserve"> </w:t>
            </w:r>
            <w:r w:rsidR="00250ACD" w:rsidRPr="00B90328">
              <w:rPr>
                <w:b/>
                <w:color w:val="000000" w:themeColor="text1"/>
                <w:sz w:val="24"/>
                <w:szCs w:val="24"/>
                <w:lang w:val="lv-LV"/>
              </w:rPr>
              <w:t>un tiek noteikts, ka kompetences centra likvidācijas gadījumā, tā īpašuma ieguvējs pārņem visas kompetences centra tiesības un saistības</w:t>
            </w:r>
            <w:r w:rsidR="00250ACD" w:rsidRPr="00B90328">
              <w:rPr>
                <w:color w:val="000000" w:themeColor="text1"/>
                <w:sz w:val="24"/>
                <w:szCs w:val="24"/>
                <w:lang w:val="lv-LV"/>
              </w:rPr>
              <w:t>.</w:t>
            </w:r>
            <w:r w:rsidR="00B83AC9" w:rsidRPr="00B90328">
              <w:rPr>
                <w:color w:val="000000" w:themeColor="text1"/>
                <w:sz w:val="24"/>
                <w:szCs w:val="24"/>
                <w:lang w:val="lv-LV"/>
              </w:rPr>
              <w:t xml:space="preserve"> </w:t>
            </w:r>
          </w:p>
          <w:p w:rsidR="00F05A56" w:rsidRPr="00B90328" w:rsidRDefault="00664E9E" w:rsidP="00664E9E">
            <w:pPr>
              <w:jc w:val="both"/>
              <w:rPr>
                <w:color w:val="000000" w:themeColor="text1"/>
                <w:sz w:val="24"/>
                <w:szCs w:val="24"/>
                <w:lang w:val="lv-LV"/>
              </w:rPr>
            </w:pPr>
            <w:r w:rsidRPr="00B90328">
              <w:rPr>
                <w:color w:val="000000" w:themeColor="text1"/>
                <w:sz w:val="24"/>
                <w:szCs w:val="24"/>
                <w:lang w:val="lv-LV"/>
              </w:rPr>
              <w:t>Tiek precizēta prasības par sadarbību starp pētniekiem un rūpniecības sektoru.</w:t>
            </w:r>
          </w:p>
          <w:p w:rsidR="00185774" w:rsidRPr="00B90328" w:rsidRDefault="00151773">
            <w:pPr>
              <w:jc w:val="both"/>
              <w:rPr>
                <w:color w:val="000000" w:themeColor="text1"/>
                <w:sz w:val="24"/>
                <w:szCs w:val="24"/>
                <w:lang w:val="lv-LV"/>
              </w:rPr>
            </w:pPr>
            <w:r w:rsidRPr="00B90328">
              <w:rPr>
                <w:color w:val="000000" w:themeColor="text1"/>
                <w:sz w:val="24"/>
                <w:szCs w:val="24"/>
                <w:lang w:val="lv-LV"/>
              </w:rPr>
              <w:t xml:space="preserve">Lai nodrošinātu demarkāciju </w:t>
            </w:r>
            <w:r w:rsidR="00185774" w:rsidRPr="00B90328">
              <w:rPr>
                <w:color w:val="000000" w:themeColor="text1"/>
                <w:sz w:val="24"/>
                <w:szCs w:val="24"/>
                <w:lang w:val="lv-LV"/>
              </w:rPr>
              <w:t xml:space="preserve">ar 2.1.1.1.aktivitātes „Atbalsts zinātnei un pētniecībai” 2.kārtu, MK noteikumos Nr.361 tiek noteikts, ka visi pētījumu rezultāti pieder komersantiem: kompetences centriem vai individuālo pētījumu īstenotājiem. </w:t>
            </w:r>
          </w:p>
          <w:p w:rsidR="00185774" w:rsidRPr="00B90328" w:rsidRDefault="00185774">
            <w:pPr>
              <w:jc w:val="both"/>
              <w:rPr>
                <w:color w:val="000000" w:themeColor="text1"/>
                <w:sz w:val="24"/>
                <w:szCs w:val="24"/>
                <w:lang w:val="lv-LV"/>
              </w:rPr>
            </w:pPr>
            <w:r w:rsidRPr="00B90328">
              <w:rPr>
                <w:color w:val="000000" w:themeColor="text1"/>
                <w:sz w:val="24"/>
                <w:szCs w:val="24"/>
                <w:lang w:val="lv-LV"/>
              </w:rPr>
              <w:t>Ja pētījuma īstenošanā piedalās zinātniskā institūcija, tā pilda apakšuzņēmēja lomu – saņem maksu par saviem pakalpojumiem un visus rezultātus nodod pasūtītājam – kompetences centram vai individuālā pētījuma īstenotājam.</w:t>
            </w:r>
          </w:p>
          <w:p w:rsidR="00151773" w:rsidRPr="00B90328" w:rsidRDefault="00185774">
            <w:pPr>
              <w:jc w:val="both"/>
              <w:rPr>
                <w:color w:val="000000" w:themeColor="text1"/>
                <w:sz w:val="24"/>
                <w:szCs w:val="24"/>
                <w:lang w:val="lv-LV"/>
              </w:rPr>
            </w:pPr>
            <w:r w:rsidRPr="00B90328">
              <w:rPr>
                <w:color w:val="000000" w:themeColor="text1"/>
                <w:sz w:val="24"/>
                <w:szCs w:val="24"/>
                <w:lang w:val="lv-LV"/>
              </w:rPr>
              <w:t xml:space="preserve">Savukārt MK noteikumos par 2.1.1.1.aktivitātes „Atbalsts zinātnei un pētniecībai” 2.kārtu tiks noteikts, ka pētījumu rezultātus </w:t>
            </w:r>
            <w:r w:rsidR="00A73155" w:rsidRPr="00B90328">
              <w:rPr>
                <w:color w:val="000000" w:themeColor="text1"/>
                <w:sz w:val="24"/>
                <w:szCs w:val="24"/>
                <w:lang w:val="lv-LV"/>
              </w:rPr>
              <w:t xml:space="preserve">saņem gan komersants, gan arī zinātniskā institūcija, tādējādi </w:t>
            </w:r>
            <w:r w:rsidR="007C521B" w:rsidRPr="00B90328">
              <w:rPr>
                <w:color w:val="000000" w:themeColor="text1"/>
                <w:sz w:val="24"/>
                <w:szCs w:val="24"/>
                <w:lang w:val="lv-LV"/>
              </w:rPr>
              <w:t xml:space="preserve">paaugstinot arī zinātniskās institūcijas kapacitāti. </w:t>
            </w:r>
          </w:p>
          <w:p w:rsidR="005E5B16" w:rsidRPr="00B90328" w:rsidRDefault="00F05A56" w:rsidP="007C521B">
            <w:pPr>
              <w:jc w:val="both"/>
              <w:rPr>
                <w:sz w:val="24"/>
                <w:szCs w:val="24"/>
                <w:lang w:val="lv-LV"/>
              </w:rPr>
            </w:pPr>
            <w:r w:rsidRPr="00B90328">
              <w:rPr>
                <w:color w:val="000000" w:themeColor="text1"/>
                <w:sz w:val="24"/>
                <w:szCs w:val="24"/>
                <w:lang w:val="lv-LV"/>
              </w:rPr>
              <w:t xml:space="preserve">Ar grozījumiem MK noteikumos Nr.361 tiek noteikts pārejas periods līdz 2012.gada </w:t>
            </w:r>
            <w:r w:rsidR="002A6936" w:rsidRPr="00B90328">
              <w:rPr>
                <w:b/>
                <w:color w:val="000000" w:themeColor="text1"/>
                <w:sz w:val="24"/>
                <w:szCs w:val="24"/>
                <w:lang w:val="lv-LV"/>
              </w:rPr>
              <w:t>31</w:t>
            </w:r>
            <w:r w:rsidRPr="00B90328">
              <w:rPr>
                <w:b/>
                <w:color w:val="000000" w:themeColor="text1"/>
                <w:sz w:val="24"/>
                <w:szCs w:val="24"/>
                <w:lang w:val="lv-LV"/>
              </w:rPr>
              <w:t>.</w:t>
            </w:r>
            <w:r w:rsidR="002A6936" w:rsidRPr="00B90328">
              <w:rPr>
                <w:b/>
                <w:color w:val="000000" w:themeColor="text1"/>
                <w:sz w:val="24"/>
                <w:szCs w:val="24"/>
                <w:lang w:val="lv-LV"/>
              </w:rPr>
              <w:t>decembrim</w:t>
            </w:r>
            <w:r w:rsidRPr="00B90328">
              <w:rPr>
                <w:color w:val="000000" w:themeColor="text1"/>
                <w:sz w:val="24"/>
                <w:szCs w:val="24"/>
                <w:lang w:val="lv-LV"/>
              </w:rPr>
              <w:t xml:space="preserve">, kura laikā </w:t>
            </w:r>
            <w:r w:rsidR="009C6EA9" w:rsidRPr="00B90328">
              <w:rPr>
                <w:color w:val="000000" w:themeColor="text1"/>
                <w:sz w:val="24"/>
                <w:szCs w:val="24"/>
                <w:lang w:val="lv-LV"/>
              </w:rPr>
              <w:t>tiek visi uzsāktie pētījumi tiek nodalīti nozares pētījumos un individuālos pētījumos.</w:t>
            </w:r>
            <w:r w:rsidR="00F071AA" w:rsidRPr="00B90328">
              <w:rPr>
                <w:color w:val="000000" w:themeColor="text1"/>
                <w:sz w:val="24"/>
                <w:szCs w:val="24"/>
                <w:lang w:val="lv-LV"/>
              </w:rPr>
              <w:t xml:space="preserve"> </w:t>
            </w:r>
            <w:r w:rsidR="00F071AA" w:rsidRPr="00B90328">
              <w:rPr>
                <w:sz w:val="24"/>
                <w:szCs w:val="24"/>
                <w:lang w:val="lv-LV"/>
              </w:rPr>
              <w:t xml:space="preserve"> </w:t>
            </w:r>
          </w:p>
          <w:p w:rsidR="00064533" w:rsidRPr="00B90328" w:rsidRDefault="00250ACD" w:rsidP="00064533">
            <w:pPr>
              <w:jc w:val="both"/>
              <w:rPr>
                <w:b/>
                <w:sz w:val="24"/>
                <w:szCs w:val="24"/>
                <w:lang w:val="lv-LV"/>
              </w:rPr>
            </w:pPr>
            <w:r w:rsidRPr="00B90328">
              <w:rPr>
                <w:b/>
                <w:sz w:val="24"/>
                <w:szCs w:val="24"/>
                <w:lang w:val="lv-LV"/>
              </w:rPr>
              <w:t>Papildus tam, tiek labota tehniska neprecizitāte MK noteikumu Nr.361 29.punktā, kur jābūt atsaucei uz 25.2.7.apakšpunktu.</w:t>
            </w:r>
          </w:p>
          <w:p w:rsidR="009B5B08" w:rsidRPr="00B90328" w:rsidRDefault="00B635E1" w:rsidP="00A85029">
            <w:pPr>
              <w:jc w:val="both"/>
              <w:rPr>
                <w:b/>
                <w:sz w:val="24"/>
                <w:szCs w:val="24"/>
                <w:lang w:val="lv-LV"/>
              </w:rPr>
            </w:pPr>
            <w:r w:rsidRPr="00B90328">
              <w:rPr>
                <w:b/>
                <w:sz w:val="24"/>
                <w:szCs w:val="24"/>
                <w:lang w:val="lv-LV"/>
              </w:rPr>
              <w:t>Attiecībā uz MK noteikumu projekta 3.punktu, ar kuru jaunā redakcijā tiek izteikts MK noteikumu 5.2.apakšpunkts, norādām, ka darbības programmā „Uzņēmējdarbība un inovācijas” ir noteikts šāds uzraudzības rādītājs - projektu skaits, kas ietver sadarbību starp komersantiem un zinātniskajām institūcijām – 50 (mērķis 2009.gadā – 10), ar sadarbību saprotot 'pētījumu pasūtīšanu'. Šāda piebilde nav minēta darbības programmas „Uzņēmējdarbība un inovācijas” papildinājumā, šādas piebildes esamība tiks nodrošināta, veicot grozījumus darbības programmas „Uzņēmējdarbība un inovācijas” papildinājumā. Vienlaicīgi, lai nodrošinātu uzraudzības rādītāja atbilstību darbības programmā „Uzņēmējdarbība un inovācijas” noteiktajai būtībai, kas paredz uzskaitīt pētījumu skaitu,  Ekonomikas ministrija piedāvā attiecīgo MK noteikumu apakšpunktu izteikts šādā redakcijā „līdz 2013.gadam ir pasūtīti 50 pētījumi, kas ietver sadarbību starp komersantiem un zinātniskajām institūcijām”.</w:t>
            </w:r>
          </w:p>
        </w:tc>
      </w:tr>
      <w:tr w:rsidR="00537A29" w:rsidRPr="00D33ECA"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B90328" w:rsidRDefault="00537A29" w:rsidP="003560C1">
            <w:pPr>
              <w:rPr>
                <w:rFonts w:eastAsia="Times New Roman"/>
                <w:sz w:val="24"/>
                <w:szCs w:val="24"/>
                <w:lang w:val="lv-LV" w:eastAsia="lv-LV"/>
              </w:rPr>
            </w:pPr>
            <w:r w:rsidRPr="00B90328">
              <w:rPr>
                <w:rFonts w:eastAsia="Times New Roman"/>
                <w:sz w:val="24"/>
                <w:szCs w:val="24"/>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B90328" w:rsidRDefault="00B373EA" w:rsidP="00D33ECA">
            <w:pPr>
              <w:pStyle w:val="NormalWeb"/>
              <w:spacing w:before="0" w:beforeAutospacing="0" w:after="0" w:afterAutospacing="0"/>
              <w:rPr>
                <w:lang w:val="lv-LV"/>
              </w:rPr>
            </w:pPr>
            <w:r w:rsidRPr="00B90328">
              <w:rPr>
                <w:iCs/>
                <w:lang w:val="lv-LV"/>
              </w:rPr>
              <w:t>Valsts aģentūra „Latvijas Investīciju un attīstības aģentūra”</w:t>
            </w:r>
            <w:r w:rsidR="002A1B7E" w:rsidRPr="00B90328">
              <w:rPr>
                <w:iCs/>
                <w:lang w:val="lv-LV"/>
              </w:rPr>
              <w:t xml:space="preserve"> </w:t>
            </w:r>
            <w:r w:rsidR="002A1B7E" w:rsidRPr="00B90328">
              <w:rPr>
                <w:b/>
                <w:iCs/>
                <w:lang w:val="lv-LV"/>
              </w:rPr>
              <w:t xml:space="preserve">un Eiropas Komisijas Konkurences ģenerāldirektorāts. </w:t>
            </w:r>
            <w:r w:rsidR="00DB358C" w:rsidRPr="00B90328">
              <w:rPr>
                <w:b/>
                <w:iCs/>
                <w:lang w:val="lv-LV"/>
              </w:rPr>
              <w:t xml:space="preserve">Eiropas Komisijas Konkurences ģenerāldirektorāts ir saskaņojis, ka noteikumu projekts joprojām ir saskaņā ar regulu 800/2008, kā rezultātā nav nepieciešams uzsākt valsts atbalsta notifikācijas procedūru un </w:t>
            </w:r>
            <w:r w:rsidR="00A221DB" w:rsidRPr="00B90328">
              <w:rPr>
                <w:b/>
                <w:iCs/>
                <w:lang w:val="lv-LV"/>
              </w:rPr>
              <w:t>noteikumu projektu var iesniegt apstiprināšanai Ministru kabinetā.</w:t>
            </w:r>
            <w:r w:rsidR="00D33ECA">
              <w:rPr>
                <w:b/>
                <w:iCs/>
                <w:lang w:val="lv-LV"/>
              </w:rPr>
              <w:t xml:space="preserve"> </w:t>
            </w:r>
          </w:p>
        </w:tc>
      </w:tr>
      <w:tr w:rsidR="00AB248D" w:rsidRPr="00D33ECA"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B90328" w:rsidRDefault="00250ACD" w:rsidP="003560C1">
            <w:pPr>
              <w:rPr>
                <w:rFonts w:eastAsia="Times New Roman"/>
                <w:sz w:val="24"/>
                <w:szCs w:val="24"/>
                <w:lang w:val="lv-LV" w:eastAsia="lv-LV"/>
              </w:rPr>
            </w:pPr>
            <w:r w:rsidRPr="00B90328">
              <w:rPr>
                <w:rFonts w:eastAsia="Times New Roman"/>
                <w:sz w:val="24"/>
                <w:szCs w:val="24"/>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B90328" w:rsidRDefault="00250ACD">
            <w:pPr>
              <w:pStyle w:val="BodyText"/>
              <w:ind w:right="142"/>
              <w:rPr>
                <w:sz w:val="24"/>
                <w:szCs w:val="24"/>
              </w:rPr>
            </w:pPr>
            <w:r w:rsidRPr="00B90328">
              <w:rPr>
                <w:rFonts w:eastAsia="Arial Unicode MS"/>
                <w:b/>
                <w:sz w:val="24"/>
                <w:szCs w:val="24"/>
              </w:rPr>
              <w:t xml:space="preserve">Ekonomikas ministrijas izstrādātie grozījumi ir vērsti uz pašreizējo projektu īstenošanas kārtību un ar grozījumiem noteiktais regulējums tiks piemērots uz finansējuma saņēmējiem, kas uz grozījumu projektā ietvertā regulējuma spēkā stāšanās brīdi jau būs iesnieguši projektu iesniegumus un ar kuriem sadarbības iestāde, proti, valsts aģentūra „Latvijas Investīciju un attīstības aģentūra” (turpmāk – sadarbības iestāde) būs noslēgusi civiltiesiskus līgumus par projekta īstenošanu. </w:t>
            </w:r>
          </w:p>
        </w:tc>
      </w:tr>
      <w:tr w:rsidR="00BB09C5" w:rsidRPr="00B90328"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90328" w:rsidRDefault="00D07CDB" w:rsidP="003560C1">
            <w:pPr>
              <w:rPr>
                <w:rFonts w:eastAsia="Times New Roman"/>
                <w:sz w:val="24"/>
                <w:szCs w:val="24"/>
                <w:lang w:val="lv-LV" w:eastAsia="lv-LV"/>
              </w:rPr>
            </w:pPr>
            <w:r w:rsidRPr="00B90328">
              <w:rPr>
                <w:rFonts w:eastAsia="Times New Roman"/>
                <w:sz w:val="24"/>
                <w:szCs w:val="24"/>
                <w:lang w:val="lv-LV" w:eastAsia="lv-LV"/>
              </w:rPr>
              <w:t> 7</w:t>
            </w:r>
            <w:r w:rsidR="00BB09C5" w:rsidRPr="00B90328">
              <w:rPr>
                <w:rFonts w:eastAsia="Times New Roman"/>
                <w:sz w:val="24"/>
                <w:szCs w:val="24"/>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B90328" w:rsidRDefault="00B373EA">
            <w:pPr>
              <w:jc w:val="both"/>
              <w:rPr>
                <w:sz w:val="24"/>
                <w:szCs w:val="24"/>
                <w:lang w:val="lv-LV"/>
              </w:rPr>
            </w:pPr>
            <w:r w:rsidRPr="00B90328">
              <w:rPr>
                <w:sz w:val="24"/>
                <w:szCs w:val="24"/>
                <w:lang w:val="lv-LV"/>
              </w:rPr>
              <w:t>Nav.</w:t>
            </w:r>
          </w:p>
        </w:tc>
      </w:tr>
    </w:tbl>
    <w:p w:rsidR="004B638C" w:rsidRPr="00B90328" w:rsidRDefault="004B638C" w:rsidP="003560C1">
      <w:pPr>
        <w:pStyle w:val="NormalWeb"/>
        <w:spacing w:before="0" w:beforeAutospacing="0" w:after="0" w:afterAutospacing="0"/>
        <w:jc w:val="center"/>
        <w:rPr>
          <w:b/>
          <w:lang w:val="lv-LV"/>
        </w:rPr>
      </w:pPr>
    </w:p>
    <w:p w:rsidR="00143E4D" w:rsidRPr="00B90328" w:rsidRDefault="00143E4D" w:rsidP="003560C1">
      <w:pPr>
        <w:pStyle w:val="NormalWeb"/>
        <w:spacing w:before="0" w:beforeAutospacing="0" w:after="0" w:afterAutospacing="0"/>
        <w:jc w:val="center"/>
        <w:rPr>
          <w:b/>
          <w:lang w:val="lv-LV"/>
        </w:rPr>
      </w:pPr>
    </w:p>
    <w:p w:rsidR="00143E4D" w:rsidRPr="00B90328" w:rsidRDefault="00143E4D" w:rsidP="003560C1">
      <w:pPr>
        <w:pStyle w:val="NormalWeb"/>
        <w:spacing w:before="0" w:beforeAutospacing="0" w:after="0" w:afterAutospacing="0"/>
        <w:jc w:val="center"/>
        <w:rPr>
          <w:b/>
          <w:lang w:val="lv-LV"/>
        </w:rPr>
      </w:pPr>
      <w:r w:rsidRPr="00B90328">
        <w:rPr>
          <w:b/>
          <w:lang w:val="lv-LV"/>
        </w:rPr>
        <w:br/>
      </w: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265"/>
        <w:gridCol w:w="5240"/>
      </w:tblGrid>
      <w:tr w:rsidR="00F621F0" w:rsidRPr="00D33ECA" w:rsidTr="00C35BF1">
        <w:tc>
          <w:tcPr>
            <w:tcW w:w="9356" w:type="dxa"/>
            <w:gridSpan w:val="3"/>
            <w:vAlign w:val="center"/>
          </w:tcPr>
          <w:p w:rsidR="005E5B16" w:rsidRPr="00B90328" w:rsidRDefault="00C82B27">
            <w:pPr>
              <w:pStyle w:val="naisnod"/>
              <w:spacing w:before="0" w:after="0"/>
            </w:pPr>
            <w:r w:rsidRPr="00B90328">
              <w:t xml:space="preserve">II. </w:t>
            </w:r>
            <w:r w:rsidR="00B373EA" w:rsidRPr="00B90328">
              <w:t>Tiesību akta projekta ietekme uz sabiedrību</w:t>
            </w:r>
          </w:p>
        </w:tc>
      </w:tr>
      <w:tr w:rsidR="00F621F0" w:rsidRPr="00D33ECA" w:rsidTr="00C35BF1">
        <w:trPr>
          <w:trHeight w:val="467"/>
        </w:trPr>
        <w:tc>
          <w:tcPr>
            <w:tcW w:w="851" w:type="dxa"/>
          </w:tcPr>
          <w:p w:rsidR="00F621F0" w:rsidRPr="00B90328" w:rsidRDefault="00C82B27" w:rsidP="003560C1">
            <w:pPr>
              <w:pStyle w:val="naiskr"/>
              <w:spacing w:before="0" w:after="0"/>
            </w:pPr>
            <w:r w:rsidRPr="00B90328">
              <w:t>1.</w:t>
            </w:r>
          </w:p>
        </w:tc>
        <w:tc>
          <w:tcPr>
            <w:tcW w:w="3265" w:type="dxa"/>
          </w:tcPr>
          <w:p w:rsidR="005E5B16" w:rsidRPr="00B90328" w:rsidRDefault="00B373EA">
            <w:pPr>
              <w:pStyle w:val="naiskr"/>
              <w:spacing w:before="0" w:after="0"/>
            </w:pPr>
            <w:r w:rsidRPr="00B90328">
              <w:t>Sabiedrības mērķgrupa</w:t>
            </w:r>
          </w:p>
        </w:tc>
        <w:tc>
          <w:tcPr>
            <w:tcW w:w="5240" w:type="dxa"/>
          </w:tcPr>
          <w:p w:rsidR="0008054E" w:rsidRPr="00B90328" w:rsidRDefault="00B373EA">
            <w:pPr>
              <w:pStyle w:val="naiskr"/>
              <w:spacing w:before="0" w:after="0"/>
              <w:jc w:val="both"/>
              <w:rPr>
                <w:iCs/>
              </w:rPr>
            </w:pPr>
            <w:r w:rsidRPr="00B90328">
              <w:rPr>
                <w:bCs/>
                <w:color w:val="000000"/>
              </w:rPr>
              <w:t xml:space="preserve">2.1.2.1.1.apakšaktivitātes mērķa grupa ir </w:t>
            </w:r>
            <w:r w:rsidRPr="00B90328">
              <w:t>komersanti, to apvienības (biedrības, nodibinājumi), zinātniskās institūcijas, kuras ir reģistrētas zinātnisko institūciju reģistrā.</w:t>
            </w:r>
          </w:p>
        </w:tc>
      </w:tr>
      <w:tr w:rsidR="00F621F0" w:rsidRPr="00B90328" w:rsidTr="00C35BF1">
        <w:trPr>
          <w:trHeight w:val="523"/>
        </w:trPr>
        <w:tc>
          <w:tcPr>
            <w:tcW w:w="851" w:type="dxa"/>
          </w:tcPr>
          <w:p w:rsidR="00F621F0" w:rsidRPr="00B90328" w:rsidRDefault="00C82B27" w:rsidP="003560C1">
            <w:pPr>
              <w:pStyle w:val="naiskr"/>
              <w:spacing w:before="0" w:after="0"/>
            </w:pPr>
            <w:r w:rsidRPr="00B90328">
              <w:t>2.</w:t>
            </w:r>
          </w:p>
        </w:tc>
        <w:tc>
          <w:tcPr>
            <w:tcW w:w="3265" w:type="dxa"/>
          </w:tcPr>
          <w:p w:rsidR="005E5B16" w:rsidRPr="00B90328" w:rsidRDefault="00B373EA">
            <w:pPr>
              <w:pStyle w:val="naiskr"/>
              <w:spacing w:before="0" w:after="0"/>
            </w:pPr>
            <w:r w:rsidRPr="00B90328">
              <w:t>Citas sabiedrības grupas (bez mērķgrupas), kuras tiesiskais regulējums arī ietekmē vai varētu ietekmēt</w:t>
            </w:r>
          </w:p>
        </w:tc>
        <w:tc>
          <w:tcPr>
            <w:tcW w:w="5240" w:type="dxa"/>
          </w:tcPr>
          <w:p w:rsidR="005E5B16" w:rsidRPr="00B90328" w:rsidRDefault="00250ACD" w:rsidP="005E5B16">
            <w:pPr>
              <w:pStyle w:val="NormalWeb"/>
              <w:spacing w:before="0" w:beforeAutospacing="0" w:after="0" w:afterAutospacing="0"/>
              <w:rPr>
                <w:b/>
                <w:lang w:val="lv-LV"/>
              </w:rPr>
            </w:pPr>
            <w:r w:rsidRPr="00B90328">
              <w:rPr>
                <w:b/>
                <w:iCs/>
                <w:lang w:val="lv-LV"/>
              </w:rPr>
              <w:t>Nav.</w:t>
            </w:r>
          </w:p>
          <w:p w:rsidR="0008054E" w:rsidRPr="00B90328" w:rsidRDefault="0008054E">
            <w:pPr>
              <w:pStyle w:val="naiskr"/>
              <w:spacing w:before="0" w:after="0"/>
              <w:jc w:val="both"/>
            </w:pPr>
          </w:p>
        </w:tc>
      </w:tr>
      <w:tr w:rsidR="00F621F0" w:rsidRPr="00D33ECA" w:rsidTr="00C35BF1">
        <w:trPr>
          <w:trHeight w:val="517"/>
        </w:trPr>
        <w:tc>
          <w:tcPr>
            <w:tcW w:w="851" w:type="dxa"/>
          </w:tcPr>
          <w:p w:rsidR="00F621F0" w:rsidRPr="00B90328" w:rsidRDefault="00C82B27" w:rsidP="003560C1">
            <w:pPr>
              <w:pStyle w:val="naiskr"/>
              <w:spacing w:before="0" w:after="0"/>
            </w:pPr>
            <w:r w:rsidRPr="00B90328">
              <w:t>3.</w:t>
            </w:r>
          </w:p>
        </w:tc>
        <w:tc>
          <w:tcPr>
            <w:tcW w:w="3265" w:type="dxa"/>
          </w:tcPr>
          <w:p w:rsidR="005E5B16" w:rsidRPr="00B90328" w:rsidRDefault="00B373EA">
            <w:pPr>
              <w:pStyle w:val="naiskr"/>
              <w:spacing w:before="0" w:after="0"/>
            </w:pPr>
            <w:r w:rsidRPr="00B90328">
              <w:t>Tiesiskā regulējuma finansiālā ietekme</w:t>
            </w:r>
          </w:p>
        </w:tc>
        <w:tc>
          <w:tcPr>
            <w:tcW w:w="5240" w:type="dxa"/>
          </w:tcPr>
          <w:p w:rsidR="00285E4E" w:rsidRPr="00B90328" w:rsidRDefault="00250ACD" w:rsidP="00285E4E">
            <w:pPr>
              <w:pStyle w:val="NormalWeb"/>
              <w:spacing w:before="0" w:beforeAutospacing="0" w:after="0" w:afterAutospacing="0"/>
              <w:rPr>
                <w:b/>
                <w:lang w:val="lv-LV"/>
              </w:rPr>
            </w:pPr>
            <w:r w:rsidRPr="00B90328">
              <w:rPr>
                <w:b/>
                <w:iCs/>
                <w:lang w:val="lv-LV"/>
              </w:rPr>
              <w:t xml:space="preserve">Papildus finansējums nav nepieciešams, jo </w:t>
            </w:r>
            <w:r w:rsidRPr="00B90328">
              <w:rPr>
                <w:b/>
                <w:lang w:val="lv-LV"/>
              </w:rPr>
              <w:t xml:space="preserve"> valsts aģentūra „Latvijas Investīciju un attīstības aģentūra” jau ir noslēgusi civiltiesiskus līgumus par projekta īstenošanu. </w:t>
            </w:r>
          </w:p>
          <w:p w:rsidR="005E5B16" w:rsidRPr="00B90328" w:rsidRDefault="005E5B16" w:rsidP="005E5B16">
            <w:pPr>
              <w:pStyle w:val="naiskr"/>
              <w:spacing w:before="0" w:after="0"/>
              <w:jc w:val="both"/>
            </w:pPr>
          </w:p>
        </w:tc>
      </w:tr>
      <w:tr w:rsidR="00F621F0" w:rsidRPr="00D33ECA" w:rsidTr="00C35BF1">
        <w:trPr>
          <w:trHeight w:val="517"/>
        </w:trPr>
        <w:tc>
          <w:tcPr>
            <w:tcW w:w="851" w:type="dxa"/>
          </w:tcPr>
          <w:p w:rsidR="00F621F0" w:rsidRPr="00B90328" w:rsidRDefault="00C82B27" w:rsidP="003560C1">
            <w:pPr>
              <w:pStyle w:val="naiskr"/>
              <w:spacing w:before="0" w:after="0"/>
            </w:pPr>
            <w:r w:rsidRPr="00B90328">
              <w:t>4.</w:t>
            </w:r>
          </w:p>
        </w:tc>
        <w:tc>
          <w:tcPr>
            <w:tcW w:w="3265" w:type="dxa"/>
          </w:tcPr>
          <w:p w:rsidR="005E5B16" w:rsidRPr="00B90328" w:rsidRDefault="00B373EA">
            <w:pPr>
              <w:pStyle w:val="naiskr"/>
              <w:spacing w:before="0" w:after="0"/>
            </w:pPr>
            <w:r w:rsidRPr="00B90328">
              <w:t>Tiesiskā regulējuma nefinansiālā ietekme</w:t>
            </w:r>
          </w:p>
        </w:tc>
        <w:tc>
          <w:tcPr>
            <w:tcW w:w="5240" w:type="dxa"/>
          </w:tcPr>
          <w:p w:rsidR="00285E4E" w:rsidRPr="00B90328" w:rsidRDefault="00250ACD" w:rsidP="00285E4E">
            <w:pPr>
              <w:pStyle w:val="NormalWeb"/>
              <w:spacing w:before="0" w:beforeAutospacing="0" w:after="0" w:afterAutospacing="0"/>
              <w:rPr>
                <w:b/>
                <w:lang w:val="lv-LV"/>
              </w:rPr>
            </w:pPr>
            <w:r w:rsidRPr="00B90328">
              <w:rPr>
                <w:iCs/>
                <w:lang w:val="lv-LV"/>
              </w:rPr>
              <w:t xml:space="preserve">Papildus finansējums nav nepieciešams, jo </w:t>
            </w:r>
            <w:r w:rsidRPr="00B90328">
              <w:rPr>
                <w:lang w:val="lv-LV"/>
              </w:rPr>
              <w:t xml:space="preserve"> valsts aģentūra „Latvijas Investīciju un attīstības aģentūra” </w:t>
            </w:r>
            <w:r w:rsidRPr="00B90328">
              <w:rPr>
                <w:b/>
                <w:lang w:val="lv-LV"/>
              </w:rPr>
              <w:t>jau ir noslēgusi civiltiesiskus līgumus par projekta īstenošanu.</w:t>
            </w:r>
            <w:r w:rsidRPr="00B90328">
              <w:rPr>
                <w:lang w:val="lv-LV"/>
              </w:rPr>
              <w:t xml:space="preserve"> </w:t>
            </w:r>
          </w:p>
          <w:p w:rsidR="005E5B16" w:rsidRPr="00B90328" w:rsidRDefault="005E5B16" w:rsidP="005E5B16">
            <w:pPr>
              <w:pStyle w:val="NormalWeb"/>
              <w:spacing w:before="0" w:beforeAutospacing="0" w:after="0" w:afterAutospacing="0"/>
              <w:rPr>
                <w:b/>
                <w:lang w:val="lv-LV"/>
              </w:rPr>
            </w:pPr>
          </w:p>
        </w:tc>
      </w:tr>
      <w:tr w:rsidR="00F621F0" w:rsidRPr="00D33ECA" w:rsidTr="00C35BF1">
        <w:trPr>
          <w:trHeight w:val="531"/>
        </w:trPr>
        <w:tc>
          <w:tcPr>
            <w:tcW w:w="851" w:type="dxa"/>
          </w:tcPr>
          <w:p w:rsidR="00F621F0" w:rsidRPr="00B90328" w:rsidRDefault="00C82B27" w:rsidP="003560C1">
            <w:pPr>
              <w:pStyle w:val="naiskr"/>
              <w:spacing w:before="0" w:after="0"/>
            </w:pPr>
            <w:r w:rsidRPr="00B90328">
              <w:t>5.</w:t>
            </w:r>
          </w:p>
        </w:tc>
        <w:tc>
          <w:tcPr>
            <w:tcW w:w="3265" w:type="dxa"/>
          </w:tcPr>
          <w:p w:rsidR="005E5B16" w:rsidRPr="00B90328" w:rsidRDefault="00B373EA">
            <w:pPr>
              <w:pStyle w:val="naiskr"/>
              <w:spacing w:before="0" w:after="0"/>
            </w:pPr>
            <w:r w:rsidRPr="00B90328">
              <w:t>Administratīvās procedūras raksturojums</w:t>
            </w:r>
          </w:p>
        </w:tc>
        <w:tc>
          <w:tcPr>
            <w:tcW w:w="5240" w:type="dxa"/>
          </w:tcPr>
          <w:p w:rsidR="00285E4E" w:rsidRPr="00B90328" w:rsidRDefault="00250ACD" w:rsidP="00285E4E">
            <w:pPr>
              <w:jc w:val="both"/>
              <w:rPr>
                <w:b/>
                <w:sz w:val="24"/>
                <w:szCs w:val="24"/>
                <w:lang w:val="lv-LV"/>
              </w:rPr>
            </w:pPr>
            <w:r w:rsidRPr="00B90328">
              <w:rPr>
                <w:b/>
                <w:sz w:val="24"/>
                <w:szCs w:val="24"/>
                <w:lang w:val="lv-LV"/>
              </w:rPr>
              <w:t>Ekonomikas ministrijas izstrādātie grozījumi ir vērsti uz pašreizējo projektu īstenošanas kārtību un ar grozījumiem noteiktais regulējums tiks piemērots uz finansējuma saņēmējiem, kas uz grozījumu projektā ietvertā regulējuma spēkā stāšanās brīdi jau būs iesnieguši projektu iesniegumus un ar kuriem sadarbības iestāde, proti, valsts aģentūra „Latvijas Investīciju un attīstības aģentūra” būs noslēgusi civiltiesiskus līgumus par projekta īstenošanu. Tādejādi, lai nodrošinātu, ka attiecīgās normas tiks ievērotas sadarbības iestāde ierosinās veikt grozījumus noslēgtajos līgumos atbilstoši spēkā esošajam tiesiskajam regulējumam.</w:t>
            </w:r>
          </w:p>
          <w:p w:rsidR="0008054E" w:rsidRPr="00B90328" w:rsidRDefault="0008054E">
            <w:pPr>
              <w:pStyle w:val="naiskr"/>
              <w:spacing w:before="0" w:after="0"/>
            </w:pPr>
          </w:p>
        </w:tc>
      </w:tr>
      <w:tr w:rsidR="00F621F0" w:rsidRPr="00D33ECA" w:rsidTr="00C35BF1">
        <w:trPr>
          <w:trHeight w:val="357"/>
        </w:trPr>
        <w:tc>
          <w:tcPr>
            <w:tcW w:w="851" w:type="dxa"/>
          </w:tcPr>
          <w:p w:rsidR="00F621F0" w:rsidRPr="00B90328" w:rsidRDefault="00C82B27" w:rsidP="003560C1">
            <w:pPr>
              <w:pStyle w:val="naiskr"/>
              <w:spacing w:before="0" w:after="0"/>
            </w:pPr>
            <w:r w:rsidRPr="00B90328">
              <w:t>6.</w:t>
            </w:r>
          </w:p>
        </w:tc>
        <w:tc>
          <w:tcPr>
            <w:tcW w:w="3265" w:type="dxa"/>
          </w:tcPr>
          <w:p w:rsidR="005E5B16" w:rsidRPr="00B90328" w:rsidRDefault="00B373EA">
            <w:pPr>
              <w:pStyle w:val="naiskr"/>
              <w:spacing w:before="0" w:after="0"/>
            </w:pPr>
            <w:r w:rsidRPr="00B90328">
              <w:t>Administratīvo izmaksu monetārs novērtējums</w:t>
            </w:r>
          </w:p>
        </w:tc>
        <w:tc>
          <w:tcPr>
            <w:tcW w:w="5240" w:type="dxa"/>
          </w:tcPr>
          <w:p w:rsidR="005E5B16" w:rsidRPr="00B90328" w:rsidRDefault="00250ACD" w:rsidP="005E5B16">
            <w:pPr>
              <w:pStyle w:val="NormalWeb"/>
              <w:spacing w:before="0" w:beforeAutospacing="0" w:after="0" w:afterAutospacing="0"/>
              <w:rPr>
                <w:b/>
                <w:lang w:val="lv-LV"/>
              </w:rPr>
            </w:pPr>
            <w:r w:rsidRPr="00B90328">
              <w:rPr>
                <w:iCs/>
                <w:lang w:val="lv-LV"/>
              </w:rPr>
              <w:t xml:space="preserve">Papildus finansējums nav nepieciešams, jo </w:t>
            </w:r>
            <w:r w:rsidRPr="00B90328">
              <w:rPr>
                <w:lang w:val="lv-LV"/>
              </w:rPr>
              <w:t xml:space="preserve"> valsts aģentūra „Latvijas Investīciju un attīstības aģentūra” jau ir noslēgusi civiltiesiskus līgumus par projekta īstenošanu. </w:t>
            </w:r>
          </w:p>
          <w:p w:rsidR="0008054E" w:rsidRPr="00B90328" w:rsidRDefault="0008054E">
            <w:pPr>
              <w:pStyle w:val="naiskr"/>
              <w:spacing w:before="0" w:after="0"/>
            </w:pPr>
          </w:p>
        </w:tc>
      </w:tr>
      <w:tr w:rsidR="00F621F0" w:rsidRPr="00B90328" w:rsidTr="00C35BF1">
        <w:trPr>
          <w:trHeight w:val="489"/>
        </w:trPr>
        <w:tc>
          <w:tcPr>
            <w:tcW w:w="851" w:type="dxa"/>
          </w:tcPr>
          <w:p w:rsidR="00F621F0" w:rsidRPr="00B90328" w:rsidRDefault="00C82B27" w:rsidP="003560C1">
            <w:pPr>
              <w:pStyle w:val="naiskr"/>
              <w:spacing w:before="0" w:after="0"/>
            </w:pPr>
            <w:r w:rsidRPr="00B90328">
              <w:t>7.</w:t>
            </w:r>
          </w:p>
        </w:tc>
        <w:tc>
          <w:tcPr>
            <w:tcW w:w="3265" w:type="dxa"/>
          </w:tcPr>
          <w:p w:rsidR="005E5B16" w:rsidRPr="00B90328" w:rsidRDefault="00B373EA">
            <w:pPr>
              <w:pStyle w:val="naiskr"/>
              <w:spacing w:before="0" w:after="0"/>
            </w:pPr>
            <w:r w:rsidRPr="00B90328">
              <w:t>Cita informācija</w:t>
            </w:r>
          </w:p>
        </w:tc>
        <w:tc>
          <w:tcPr>
            <w:tcW w:w="5240" w:type="dxa"/>
          </w:tcPr>
          <w:p w:rsidR="005E5B16" w:rsidRPr="00B90328" w:rsidRDefault="00B373EA" w:rsidP="005E5B16">
            <w:pPr>
              <w:pStyle w:val="naiskr"/>
              <w:spacing w:before="0" w:after="0"/>
            </w:pPr>
            <w:r w:rsidRPr="00B90328">
              <w:t>Nav.</w:t>
            </w:r>
          </w:p>
        </w:tc>
      </w:tr>
    </w:tbl>
    <w:p w:rsidR="00885AEF" w:rsidRPr="00B90328" w:rsidRDefault="00885AEF" w:rsidP="003560C1">
      <w:pPr>
        <w:pStyle w:val="NormalWeb"/>
        <w:spacing w:before="0" w:beforeAutospacing="0" w:after="0" w:afterAutospacing="0"/>
        <w:jc w:val="center"/>
        <w:rPr>
          <w:b/>
          <w:lang w:val="lv-LV"/>
        </w:rPr>
      </w:pPr>
    </w:p>
    <w:p w:rsidR="005E5B16" w:rsidRPr="00B90328" w:rsidRDefault="005E5B16">
      <w:pPr>
        <w:tabs>
          <w:tab w:val="left" w:pos="7655"/>
        </w:tabs>
        <w:jc w:val="both"/>
        <w:rPr>
          <w:bCs/>
          <w:sz w:val="24"/>
          <w:szCs w:val="24"/>
          <w:lang w:val="lv-LV"/>
        </w:rPr>
      </w:pPr>
    </w:p>
    <w:p w:rsidR="005E5B16" w:rsidRPr="00B90328" w:rsidRDefault="00B373EA">
      <w:pPr>
        <w:tabs>
          <w:tab w:val="left" w:pos="7655"/>
        </w:tabs>
        <w:jc w:val="both"/>
        <w:rPr>
          <w:bCs/>
          <w:sz w:val="24"/>
          <w:szCs w:val="24"/>
          <w:lang w:val="lv-LV"/>
        </w:rPr>
      </w:pPr>
      <w:r w:rsidRPr="00B90328">
        <w:rPr>
          <w:b/>
          <w:sz w:val="24"/>
          <w:szCs w:val="24"/>
          <w:lang w:val="lv-LV"/>
        </w:rPr>
        <w:t xml:space="preserve">Anotācijas III. sadaļa - </w:t>
      </w:r>
      <w:r w:rsidRPr="00B90328">
        <w:rPr>
          <w:iCs/>
          <w:sz w:val="24"/>
          <w:szCs w:val="24"/>
          <w:lang w:val="lv-LV"/>
        </w:rPr>
        <w:t>projekts šīs jomas neskar</w:t>
      </w:r>
      <w:r w:rsidRPr="00B90328">
        <w:rPr>
          <w:b/>
          <w:sz w:val="24"/>
          <w:szCs w:val="24"/>
          <w:lang w:val="lv-LV"/>
        </w:rPr>
        <w:t>.</w:t>
      </w:r>
    </w:p>
    <w:p w:rsidR="005E5B16" w:rsidRPr="00B90328" w:rsidRDefault="005E5B16">
      <w:pPr>
        <w:tabs>
          <w:tab w:val="left" w:pos="7655"/>
        </w:tabs>
        <w:jc w:val="both"/>
        <w:rPr>
          <w:bCs/>
          <w:sz w:val="24"/>
          <w:szCs w:val="24"/>
          <w:lang w:val="lv-LV"/>
        </w:rPr>
      </w:pPr>
    </w:p>
    <w:p w:rsidR="007776F4" w:rsidRPr="00B90328" w:rsidRDefault="007776F4" w:rsidP="007776F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86"/>
        <w:gridCol w:w="3090"/>
        <w:gridCol w:w="5821"/>
      </w:tblGrid>
      <w:tr w:rsidR="007776F4" w:rsidRPr="00B90328" w:rsidTr="007776F4">
        <w:trPr>
          <w:tblCellSpacing w:w="20" w:type="dxa"/>
        </w:trPr>
        <w:tc>
          <w:tcPr>
            <w:tcW w:w="9287" w:type="dxa"/>
            <w:gridSpan w:val="3"/>
          </w:tcPr>
          <w:p w:rsidR="007776F4" w:rsidRPr="00B90328" w:rsidRDefault="00250ACD" w:rsidP="00527983">
            <w:pPr>
              <w:jc w:val="center"/>
              <w:rPr>
                <w:b/>
                <w:sz w:val="24"/>
                <w:szCs w:val="24"/>
              </w:rPr>
            </w:pPr>
            <w:r w:rsidRPr="00B90328">
              <w:rPr>
                <w:b/>
                <w:sz w:val="24"/>
                <w:szCs w:val="24"/>
              </w:rPr>
              <w:t xml:space="preserve">IV </w:t>
            </w:r>
            <w:proofErr w:type="spellStart"/>
            <w:r w:rsidRPr="00B90328">
              <w:rPr>
                <w:b/>
                <w:sz w:val="24"/>
                <w:szCs w:val="24"/>
              </w:rPr>
              <w:t>Tiesību</w:t>
            </w:r>
            <w:proofErr w:type="spellEnd"/>
            <w:r w:rsidRPr="00B90328">
              <w:rPr>
                <w:b/>
                <w:sz w:val="24"/>
                <w:szCs w:val="24"/>
              </w:rPr>
              <w:t xml:space="preserve"> </w:t>
            </w:r>
            <w:proofErr w:type="spellStart"/>
            <w:r w:rsidRPr="00B90328">
              <w:rPr>
                <w:b/>
                <w:sz w:val="24"/>
                <w:szCs w:val="24"/>
              </w:rPr>
              <w:t>akta</w:t>
            </w:r>
            <w:proofErr w:type="spellEnd"/>
            <w:r w:rsidRPr="00B90328">
              <w:rPr>
                <w:b/>
                <w:sz w:val="24"/>
                <w:szCs w:val="24"/>
              </w:rPr>
              <w:t xml:space="preserve"> </w:t>
            </w:r>
            <w:proofErr w:type="spellStart"/>
            <w:r w:rsidRPr="00B90328">
              <w:rPr>
                <w:b/>
                <w:sz w:val="24"/>
                <w:szCs w:val="24"/>
              </w:rPr>
              <w:t>projekta</w:t>
            </w:r>
            <w:proofErr w:type="spellEnd"/>
            <w:r w:rsidRPr="00B90328">
              <w:rPr>
                <w:b/>
                <w:sz w:val="24"/>
                <w:szCs w:val="24"/>
              </w:rPr>
              <w:t xml:space="preserve"> </w:t>
            </w:r>
            <w:proofErr w:type="spellStart"/>
            <w:r w:rsidRPr="00B90328">
              <w:rPr>
                <w:b/>
                <w:sz w:val="24"/>
                <w:szCs w:val="24"/>
              </w:rPr>
              <w:t>ietekme</w:t>
            </w:r>
            <w:proofErr w:type="spellEnd"/>
            <w:r w:rsidRPr="00B90328">
              <w:rPr>
                <w:b/>
                <w:sz w:val="24"/>
                <w:szCs w:val="24"/>
              </w:rPr>
              <w:t xml:space="preserve"> </w:t>
            </w:r>
            <w:proofErr w:type="spellStart"/>
            <w:r w:rsidRPr="00B90328">
              <w:rPr>
                <w:b/>
                <w:sz w:val="24"/>
                <w:szCs w:val="24"/>
              </w:rPr>
              <w:t>uz</w:t>
            </w:r>
            <w:proofErr w:type="spellEnd"/>
            <w:r w:rsidRPr="00B90328">
              <w:rPr>
                <w:b/>
                <w:sz w:val="24"/>
                <w:szCs w:val="24"/>
              </w:rPr>
              <w:t xml:space="preserve"> </w:t>
            </w:r>
            <w:proofErr w:type="spellStart"/>
            <w:r w:rsidRPr="00B90328">
              <w:rPr>
                <w:b/>
                <w:sz w:val="24"/>
                <w:szCs w:val="24"/>
              </w:rPr>
              <w:t>spēkā</w:t>
            </w:r>
            <w:proofErr w:type="spellEnd"/>
            <w:r w:rsidRPr="00B90328">
              <w:rPr>
                <w:b/>
                <w:sz w:val="24"/>
                <w:szCs w:val="24"/>
              </w:rPr>
              <w:t xml:space="preserve"> </w:t>
            </w:r>
            <w:proofErr w:type="spellStart"/>
            <w:r w:rsidRPr="00B90328">
              <w:rPr>
                <w:b/>
                <w:sz w:val="24"/>
                <w:szCs w:val="24"/>
              </w:rPr>
              <w:t>esošo</w:t>
            </w:r>
            <w:proofErr w:type="spellEnd"/>
            <w:r w:rsidRPr="00B90328">
              <w:rPr>
                <w:b/>
                <w:sz w:val="24"/>
                <w:szCs w:val="24"/>
              </w:rPr>
              <w:t xml:space="preserve"> </w:t>
            </w:r>
            <w:proofErr w:type="spellStart"/>
            <w:r w:rsidRPr="00B90328">
              <w:rPr>
                <w:b/>
                <w:sz w:val="24"/>
                <w:szCs w:val="24"/>
              </w:rPr>
              <w:t>tiesību</w:t>
            </w:r>
            <w:proofErr w:type="spellEnd"/>
            <w:r w:rsidRPr="00B90328">
              <w:rPr>
                <w:b/>
                <w:sz w:val="24"/>
                <w:szCs w:val="24"/>
              </w:rPr>
              <w:t xml:space="preserve"> </w:t>
            </w:r>
            <w:proofErr w:type="spellStart"/>
            <w:r w:rsidRPr="00B90328">
              <w:rPr>
                <w:b/>
                <w:sz w:val="24"/>
                <w:szCs w:val="24"/>
              </w:rPr>
              <w:t>normu</w:t>
            </w:r>
            <w:proofErr w:type="spellEnd"/>
            <w:r w:rsidRPr="00B90328">
              <w:rPr>
                <w:b/>
                <w:sz w:val="24"/>
                <w:szCs w:val="24"/>
              </w:rPr>
              <w:t xml:space="preserve"> </w:t>
            </w:r>
            <w:proofErr w:type="spellStart"/>
            <w:r w:rsidRPr="00B90328">
              <w:rPr>
                <w:b/>
                <w:sz w:val="24"/>
                <w:szCs w:val="24"/>
              </w:rPr>
              <w:t>sistēmu</w:t>
            </w:r>
            <w:proofErr w:type="spellEnd"/>
          </w:p>
        </w:tc>
      </w:tr>
      <w:tr w:rsidR="007776F4" w:rsidRPr="00B90328" w:rsidTr="007776F4">
        <w:trPr>
          <w:tblCellSpacing w:w="20" w:type="dxa"/>
        </w:trPr>
        <w:tc>
          <w:tcPr>
            <w:tcW w:w="396" w:type="dxa"/>
          </w:tcPr>
          <w:p w:rsidR="007776F4" w:rsidRPr="00B90328" w:rsidRDefault="00250ACD" w:rsidP="00527983">
            <w:pPr>
              <w:rPr>
                <w:b/>
                <w:sz w:val="24"/>
                <w:szCs w:val="24"/>
              </w:rPr>
            </w:pPr>
            <w:r w:rsidRPr="00B90328">
              <w:rPr>
                <w:b/>
                <w:sz w:val="24"/>
                <w:szCs w:val="24"/>
              </w:rPr>
              <w:t>1.</w:t>
            </w:r>
          </w:p>
        </w:tc>
        <w:tc>
          <w:tcPr>
            <w:tcW w:w="3072" w:type="dxa"/>
          </w:tcPr>
          <w:p w:rsidR="007776F4" w:rsidRPr="00B90328" w:rsidRDefault="00250ACD" w:rsidP="00527983">
            <w:pPr>
              <w:rPr>
                <w:b/>
                <w:sz w:val="24"/>
                <w:szCs w:val="24"/>
              </w:rPr>
            </w:pPr>
            <w:proofErr w:type="spellStart"/>
            <w:r w:rsidRPr="00B90328">
              <w:rPr>
                <w:b/>
                <w:sz w:val="24"/>
                <w:szCs w:val="24"/>
              </w:rPr>
              <w:t>Nepieciešamie</w:t>
            </w:r>
            <w:proofErr w:type="spellEnd"/>
            <w:r w:rsidRPr="00B90328">
              <w:rPr>
                <w:b/>
                <w:sz w:val="24"/>
                <w:szCs w:val="24"/>
              </w:rPr>
              <w:t xml:space="preserve"> </w:t>
            </w:r>
            <w:proofErr w:type="spellStart"/>
            <w:r w:rsidRPr="00B90328">
              <w:rPr>
                <w:b/>
                <w:sz w:val="24"/>
                <w:szCs w:val="24"/>
              </w:rPr>
              <w:t>saistītie</w:t>
            </w:r>
            <w:proofErr w:type="spellEnd"/>
            <w:r w:rsidRPr="00B90328">
              <w:rPr>
                <w:b/>
                <w:sz w:val="24"/>
                <w:szCs w:val="24"/>
              </w:rPr>
              <w:t xml:space="preserve"> </w:t>
            </w:r>
            <w:proofErr w:type="spellStart"/>
            <w:r w:rsidRPr="00B90328">
              <w:rPr>
                <w:b/>
                <w:sz w:val="24"/>
                <w:szCs w:val="24"/>
              </w:rPr>
              <w:t>tiesību</w:t>
            </w:r>
            <w:proofErr w:type="spellEnd"/>
            <w:r w:rsidRPr="00B90328">
              <w:rPr>
                <w:b/>
                <w:sz w:val="24"/>
                <w:szCs w:val="24"/>
              </w:rPr>
              <w:t xml:space="preserve"> </w:t>
            </w:r>
            <w:proofErr w:type="spellStart"/>
            <w:r w:rsidRPr="00B90328">
              <w:rPr>
                <w:b/>
                <w:sz w:val="24"/>
                <w:szCs w:val="24"/>
              </w:rPr>
              <w:t>aktu</w:t>
            </w:r>
            <w:proofErr w:type="spellEnd"/>
            <w:r w:rsidRPr="00B90328">
              <w:rPr>
                <w:b/>
                <w:sz w:val="24"/>
                <w:szCs w:val="24"/>
              </w:rPr>
              <w:t xml:space="preserve"> </w:t>
            </w:r>
            <w:proofErr w:type="spellStart"/>
            <w:r w:rsidRPr="00B90328">
              <w:rPr>
                <w:b/>
                <w:sz w:val="24"/>
                <w:szCs w:val="24"/>
              </w:rPr>
              <w:t>projekti</w:t>
            </w:r>
            <w:proofErr w:type="spellEnd"/>
          </w:p>
        </w:tc>
        <w:tc>
          <w:tcPr>
            <w:tcW w:w="5819" w:type="dxa"/>
          </w:tcPr>
          <w:p w:rsidR="007776F4" w:rsidRPr="00B90328" w:rsidRDefault="007776F4" w:rsidP="00527983">
            <w:pPr>
              <w:pStyle w:val="naiskr"/>
              <w:tabs>
                <w:tab w:val="left" w:pos="2628"/>
              </w:tabs>
              <w:spacing w:before="0" w:after="0"/>
              <w:ind w:firstLine="252"/>
              <w:jc w:val="both"/>
              <w:rPr>
                <w:b/>
                <w:i/>
                <w:iCs/>
              </w:rPr>
            </w:pPr>
            <w:r w:rsidRPr="00B90328">
              <w:rPr>
                <w:b/>
                <w:iCs/>
              </w:rPr>
              <w:t xml:space="preserve">Nepieciešams veikt grozījumu darbības programmas „Uzņēmējdarbība un inovācijas” papildinājuma </w:t>
            </w:r>
            <w:r w:rsidR="00DA5D04" w:rsidRPr="00B90328">
              <w:rPr>
                <w:b/>
                <w:iCs/>
              </w:rPr>
              <w:t>38., 41.punktā, lai izslēgtu atbalstu investīcijām ar P&amp;A saistītajā infrastruktūrā</w:t>
            </w:r>
            <w:r w:rsidR="00622DB9" w:rsidRPr="00B90328">
              <w:rPr>
                <w:b/>
                <w:iCs/>
              </w:rPr>
              <w:t>, kā arī veikt precizējumus attiecībā uz uzraudzības rādītāju atbilstoši anotācijas I sadaļas 4.punktā norādītajam</w:t>
            </w:r>
            <w:r w:rsidR="00DA5D04" w:rsidRPr="00B90328">
              <w:rPr>
                <w:b/>
                <w:iCs/>
              </w:rPr>
              <w:t xml:space="preserve">. </w:t>
            </w:r>
          </w:p>
        </w:tc>
      </w:tr>
      <w:tr w:rsidR="007776F4" w:rsidRPr="00B90328" w:rsidTr="007776F4">
        <w:trPr>
          <w:tblCellSpacing w:w="20" w:type="dxa"/>
        </w:trPr>
        <w:tc>
          <w:tcPr>
            <w:tcW w:w="396" w:type="dxa"/>
          </w:tcPr>
          <w:p w:rsidR="007776F4" w:rsidRPr="00B90328" w:rsidRDefault="00250ACD" w:rsidP="00527983">
            <w:pPr>
              <w:rPr>
                <w:b/>
                <w:sz w:val="24"/>
                <w:szCs w:val="24"/>
              </w:rPr>
            </w:pPr>
            <w:r w:rsidRPr="00B90328">
              <w:rPr>
                <w:b/>
                <w:sz w:val="24"/>
                <w:szCs w:val="24"/>
              </w:rPr>
              <w:t xml:space="preserve">2. </w:t>
            </w:r>
          </w:p>
        </w:tc>
        <w:tc>
          <w:tcPr>
            <w:tcW w:w="3072" w:type="dxa"/>
          </w:tcPr>
          <w:p w:rsidR="007776F4" w:rsidRPr="00B90328" w:rsidRDefault="00250ACD" w:rsidP="00527983">
            <w:pPr>
              <w:rPr>
                <w:b/>
                <w:sz w:val="24"/>
                <w:szCs w:val="24"/>
              </w:rPr>
            </w:pPr>
            <w:proofErr w:type="spellStart"/>
            <w:r w:rsidRPr="00B90328">
              <w:rPr>
                <w:b/>
                <w:sz w:val="24"/>
                <w:szCs w:val="24"/>
              </w:rPr>
              <w:t>Cita</w:t>
            </w:r>
            <w:proofErr w:type="spellEnd"/>
            <w:r w:rsidRPr="00B90328">
              <w:rPr>
                <w:b/>
                <w:sz w:val="24"/>
                <w:szCs w:val="24"/>
              </w:rPr>
              <w:t xml:space="preserve"> </w:t>
            </w:r>
            <w:proofErr w:type="spellStart"/>
            <w:r w:rsidRPr="00B90328">
              <w:rPr>
                <w:b/>
                <w:sz w:val="24"/>
                <w:szCs w:val="24"/>
              </w:rPr>
              <w:t>informācija</w:t>
            </w:r>
            <w:proofErr w:type="spellEnd"/>
          </w:p>
        </w:tc>
        <w:tc>
          <w:tcPr>
            <w:tcW w:w="5819" w:type="dxa"/>
          </w:tcPr>
          <w:p w:rsidR="007776F4" w:rsidRPr="00B90328" w:rsidRDefault="00250ACD" w:rsidP="00527983">
            <w:pPr>
              <w:jc w:val="both"/>
              <w:rPr>
                <w:b/>
                <w:sz w:val="24"/>
                <w:szCs w:val="24"/>
              </w:rPr>
            </w:pPr>
            <w:r w:rsidRPr="00B90328">
              <w:rPr>
                <w:b/>
                <w:sz w:val="24"/>
                <w:szCs w:val="24"/>
              </w:rPr>
              <w:t>Nav</w:t>
            </w:r>
          </w:p>
        </w:tc>
      </w:tr>
    </w:tbl>
    <w:p w:rsidR="007776F4" w:rsidRPr="00B90328" w:rsidRDefault="007776F4">
      <w:pPr>
        <w:tabs>
          <w:tab w:val="left" w:pos="7655"/>
        </w:tabs>
        <w:jc w:val="both"/>
        <w:rPr>
          <w:bCs/>
          <w:sz w:val="24"/>
          <w:szCs w:val="24"/>
          <w:lang w:val="lv-LV"/>
        </w:rPr>
      </w:pPr>
    </w:p>
    <w:p w:rsidR="005E5B16" w:rsidRPr="00B90328" w:rsidRDefault="005E5B16">
      <w:pPr>
        <w:tabs>
          <w:tab w:val="left" w:pos="7655"/>
        </w:tabs>
        <w:jc w:val="both"/>
        <w:rPr>
          <w:bCs/>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47"/>
        <w:gridCol w:w="1779"/>
        <w:gridCol w:w="6995"/>
      </w:tblGrid>
      <w:tr w:rsidR="002E433C" w:rsidRPr="00B90328" w:rsidTr="00F5383B">
        <w:trPr>
          <w:tblCellSpacing w:w="15" w:type="dxa"/>
        </w:trPr>
        <w:tc>
          <w:tcPr>
            <w:tcW w:w="0" w:type="auto"/>
            <w:gridSpan w:val="3"/>
            <w:shd w:val="clear" w:color="auto" w:fill="auto"/>
            <w:hideMark/>
          </w:tcPr>
          <w:p w:rsidR="005E5B16" w:rsidRPr="00B90328" w:rsidRDefault="00B373EA">
            <w:pPr>
              <w:jc w:val="center"/>
              <w:rPr>
                <w:rFonts w:eastAsia="Times New Roman"/>
                <w:b/>
                <w:bCs/>
                <w:sz w:val="24"/>
                <w:szCs w:val="24"/>
                <w:lang w:val="lv-LV" w:eastAsia="lv-LV"/>
              </w:rPr>
            </w:pPr>
            <w:r w:rsidRPr="00B90328">
              <w:rPr>
                <w:rFonts w:eastAsia="Times New Roman"/>
                <w:b/>
                <w:bCs/>
                <w:sz w:val="24"/>
                <w:szCs w:val="24"/>
                <w:lang w:val="lv-LV" w:eastAsia="lv-LV"/>
              </w:rPr>
              <w:t>V. Tiesību akta projekta atbilstība Latvijas Republikas starptautiskajām saistībām</w:t>
            </w:r>
          </w:p>
        </w:tc>
      </w:tr>
      <w:tr w:rsidR="002E433C" w:rsidRPr="00D33ECA" w:rsidTr="00F5383B">
        <w:trPr>
          <w:tblCellSpacing w:w="15" w:type="dxa"/>
        </w:trPr>
        <w:tc>
          <w:tcPr>
            <w:tcW w:w="0" w:type="auto"/>
            <w:shd w:val="clear" w:color="auto" w:fill="auto"/>
            <w:hideMark/>
          </w:tcPr>
          <w:p w:rsidR="002E433C" w:rsidRPr="00B90328" w:rsidRDefault="002E433C" w:rsidP="003560C1">
            <w:pPr>
              <w:rPr>
                <w:rFonts w:eastAsia="Times New Roman"/>
                <w:sz w:val="24"/>
                <w:szCs w:val="24"/>
                <w:lang w:val="lv-LV" w:eastAsia="lv-LV"/>
              </w:rPr>
            </w:pPr>
            <w:r w:rsidRPr="00B90328">
              <w:rPr>
                <w:rFonts w:eastAsia="Times New Roman"/>
                <w:sz w:val="24"/>
                <w:szCs w:val="24"/>
                <w:lang w:val="lv-LV" w:eastAsia="lv-LV"/>
              </w:rPr>
              <w:t>1.</w:t>
            </w:r>
          </w:p>
        </w:tc>
        <w:tc>
          <w:tcPr>
            <w:tcW w:w="961" w:type="pct"/>
            <w:shd w:val="clear" w:color="auto" w:fill="auto"/>
            <w:hideMark/>
          </w:tcPr>
          <w:p w:rsidR="005E5B16" w:rsidRPr="00B90328" w:rsidRDefault="00B373EA">
            <w:pPr>
              <w:jc w:val="both"/>
              <w:rPr>
                <w:rFonts w:eastAsia="Times New Roman"/>
                <w:sz w:val="24"/>
                <w:szCs w:val="24"/>
                <w:lang w:val="lv-LV" w:eastAsia="lv-LV"/>
              </w:rPr>
            </w:pPr>
            <w:r w:rsidRPr="00B90328">
              <w:rPr>
                <w:rFonts w:eastAsia="Times New Roman"/>
                <w:sz w:val="24"/>
                <w:szCs w:val="24"/>
                <w:lang w:val="lv-LV" w:eastAsia="lv-LV"/>
              </w:rPr>
              <w:t>Saistības pret Eiropas Savienību</w:t>
            </w:r>
          </w:p>
        </w:tc>
        <w:tc>
          <w:tcPr>
            <w:tcW w:w="3818" w:type="pct"/>
            <w:shd w:val="clear" w:color="auto" w:fill="auto"/>
            <w:hideMark/>
          </w:tcPr>
          <w:p w:rsidR="00B74AFA" w:rsidRPr="00B90328" w:rsidRDefault="00B74AFA" w:rsidP="00B74AFA">
            <w:pPr>
              <w:pStyle w:val="naiskr"/>
              <w:spacing w:before="0" w:after="0"/>
              <w:jc w:val="both"/>
            </w:pPr>
            <w:r w:rsidRPr="00B90328">
              <w:t>Attiecībā uz individuālajiem pētījumiem, kuri tiek ieviesti ar šiem MK noteikumu Nr.361 grozījumiem, ir jāņem vērā:</w:t>
            </w:r>
          </w:p>
          <w:p w:rsidR="00285E4E" w:rsidRPr="00B90328" w:rsidRDefault="0062279F" w:rsidP="00F30930">
            <w:pPr>
              <w:pStyle w:val="naiskr"/>
              <w:numPr>
                <w:ilvl w:val="0"/>
                <w:numId w:val="14"/>
              </w:numPr>
              <w:spacing w:before="0" w:after="0"/>
              <w:jc w:val="both"/>
            </w:pPr>
            <w:r w:rsidRPr="00B90328">
              <w:t>Komisijas 2008.gada 6.augusta Regula (EK) Nr.800/2008, kas atzīst noteiktas atbalsta kategorijas par saderīgām ar kopējo tirgu, piemērojot Līguma 87. un 88.pantu (vispārējā grupu atbrīvojuma regula) (turpmāk – Komisijas Regula Nr.800/2008);</w:t>
            </w:r>
          </w:p>
        </w:tc>
      </w:tr>
      <w:tr w:rsidR="002E433C" w:rsidRPr="00B90328" w:rsidTr="00F5383B">
        <w:trPr>
          <w:tblCellSpacing w:w="15" w:type="dxa"/>
        </w:trPr>
        <w:tc>
          <w:tcPr>
            <w:tcW w:w="0" w:type="auto"/>
            <w:shd w:val="clear" w:color="auto" w:fill="auto"/>
            <w:hideMark/>
          </w:tcPr>
          <w:p w:rsidR="002E433C" w:rsidRPr="00B90328" w:rsidRDefault="002E433C" w:rsidP="003560C1">
            <w:pPr>
              <w:rPr>
                <w:rFonts w:eastAsia="Times New Roman"/>
                <w:sz w:val="24"/>
                <w:szCs w:val="24"/>
                <w:lang w:val="lv-LV" w:eastAsia="lv-LV"/>
              </w:rPr>
            </w:pPr>
            <w:r w:rsidRPr="00B90328">
              <w:rPr>
                <w:rFonts w:eastAsia="Times New Roman"/>
                <w:sz w:val="24"/>
                <w:szCs w:val="24"/>
                <w:lang w:val="lv-LV" w:eastAsia="lv-LV"/>
              </w:rPr>
              <w:t>2.</w:t>
            </w:r>
          </w:p>
        </w:tc>
        <w:tc>
          <w:tcPr>
            <w:tcW w:w="961" w:type="pct"/>
            <w:shd w:val="clear" w:color="auto" w:fill="auto"/>
            <w:hideMark/>
          </w:tcPr>
          <w:p w:rsidR="005E5B16" w:rsidRPr="00B90328" w:rsidRDefault="00B373EA">
            <w:pPr>
              <w:jc w:val="both"/>
              <w:rPr>
                <w:rFonts w:eastAsia="Times New Roman"/>
                <w:sz w:val="24"/>
                <w:szCs w:val="24"/>
                <w:lang w:val="lv-LV" w:eastAsia="lv-LV"/>
              </w:rPr>
            </w:pPr>
            <w:r w:rsidRPr="00B90328">
              <w:rPr>
                <w:rFonts w:eastAsia="Times New Roman"/>
                <w:sz w:val="24"/>
                <w:szCs w:val="24"/>
                <w:lang w:val="lv-LV" w:eastAsia="lv-LV"/>
              </w:rPr>
              <w:t>Citas starptautiskās saistības</w:t>
            </w:r>
          </w:p>
        </w:tc>
        <w:tc>
          <w:tcPr>
            <w:tcW w:w="3818" w:type="pct"/>
            <w:shd w:val="clear" w:color="auto" w:fill="auto"/>
            <w:hideMark/>
          </w:tcPr>
          <w:p w:rsidR="0008054E" w:rsidRPr="00B90328" w:rsidRDefault="00B373EA">
            <w:pPr>
              <w:jc w:val="both"/>
              <w:rPr>
                <w:rFonts w:eastAsia="Times New Roman"/>
                <w:sz w:val="24"/>
                <w:szCs w:val="24"/>
                <w:lang w:val="lv-LV" w:eastAsia="lv-LV"/>
              </w:rPr>
            </w:pPr>
            <w:r w:rsidRPr="00B90328">
              <w:rPr>
                <w:rFonts w:eastAsia="Times New Roman"/>
                <w:sz w:val="24"/>
                <w:szCs w:val="24"/>
                <w:lang w:val="lv-LV" w:eastAsia="lv-LV"/>
              </w:rPr>
              <w:t>Noteikumu projekts šo jomu neskar.</w:t>
            </w:r>
          </w:p>
        </w:tc>
      </w:tr>
      <w:tr w:rsidR="002E433C" w:rsidRPr="00D33ECA" w:rsidTr="00F5383B">
        <w:trPr>
          <w:tblCellSpacing w:w="15" w:type="dxa"/>
        </w:trPr>
        <w:tc>
          <w:tcPr>
            <w:tcW w:w="0" w:type="auto"/>
            <w:shd w:val="clear" w:color="auto" w:fill="auto"/>
            <w:hideMark/>
          </w:tcPr>
          <w:p w:rsidR="002E433C" w:rsidRPr="00B90328" w:rsidRDefault="002E433C" w:rsidP="003560C1">
            <w:pPr>
              <w:rPr>
                <w:rFonts w:eastAsia="Times New Roman"/>
                <w:sz w:val="24"/>
                <w:szCs w:val="24"/>
                <w:lang w:val="lv-LV" w:eastAsia="lv-LV"/>
              </w:rPr>
            </w:pPr>
            <w:r w:rsidRPr="00B90328">
              <w:rPr>
                <w:rFonts w:eastAsia="Times New Roman"/>
                <w:sz w:val="24"/>
                <w:szCs w:val="24"/>
                <w:lang w:val="lv-LV" w:eastAsia="lv-LV"/>
              </w:rPr>
              <w:t>3.</w:t>
            </w:r>
          </w:p>
        </w:tc>
        <w:tc>
          <w:tcPr>
            <w:tcW w:w="961" w:type="pct"/>
            <w:shd w:val="clear" w:color="auto" w:fill="auto"/>
            <w:hideMark/>
          </w:tcPr>
          <w:p w:rsidR="005E5B16" w:rsidRPr="00B90328" w:rsidRDefault="00B373EA">
            <w:pPr>
              <w:jc w:val="both"/>
              <w:rPr>
                <w:rFonts w:eastAsia="Times New Roman"/>
                <w:sz w:val="24"/>
                <w:szCs w:val="24"/>
                <w:lang w:val="lv-LV" w:eastAsia="lv-LV"/>
              </w:rPr>
            </w:pPr>
            <w:r w:rsidRPr="00B90328">
              <w:rPr>
                <w:rFonts w:eastAsia="Times New Roman"/>
                <w:sz w:val="24"/>
                <w:szCs w:val="24"/>
                <w:lang w:val="lv-LV" w:eastAsia="lv-LV"/>
              </w:rPr>
              <w:t>Cita informācija</w:t>
            </w:r>
          </w:p>
        </w:tc>
        <w:tc>
          <w:tcPr>
            <w:tcW w:w="3818" w:type="pct"/>
            <w:shd w:val="clear" w:color="auto" w:fill="auto"/>
            <w:hideMark/>
          </w:tcPr>
          <w:p w:rsidR="00DA5D04" w:rsidRPr="00B90328" w:rsidRDefault="00250ACD" w:rsidP="00DA5D04">
            <w:pPr>
              <w:pStyle w:val="naiskr"/>
              <w:spacing w:before="0" w:after="0"/>
              <w:jc w:val="both"/>
              <w:rPr>
                <w:b/>
              </w:rPr>
            </w:pPr>
            <w:r w:rsidRPr="00B90328">
              <w:rPr>
                <w:b/>
              </w:rPr>
              <w:t>Attiecībā uz individuālajiem pētījumiem, kuri tiek ieviesti ar šiem MK noteikumu Nr.361 grozījumiem, ir jāņem vērā</w:t>
            </w:r>
            <w:r w:rsidR="00DA5D04" w:rsidRPr="00B90328">
              <w:rPr>
                <w:b/>
              </w:rPr>
              <w:t xml:space="preserve"> arī </w:t>
            </w:r>
            <w:r w:rsidRPr="00B90328">
              <w:rPr>
                <w:b/>
              </w:rPr>
              <w:t>:</w:t>
            </w:r>
          </w:p>
          <w:p w:rsidR="00DA5D04" w:rsidRPr="00B90328" w:rsidRDefault="00250ACD" w:rsidP="00DA5D04">
            <w:pPr>
              <w:pStyle w:val="naiskr"/>
              <w:numPr>
                <w:ilvl w:val="0"/>
                <w:numId w:val="18"/>
              </w:numPr>
              <w:spacing w:before="0" w:after="0"/>
              <w:jc w:val="both"/>
              <w:rPr>
                <w:b/>
              </w:rPr>
            </w:pPr>
            <w:r w:rsidRPr="00B90328">
              <w:rPr>
                <w:b/>
              </w:rPr>
              <w:t xml:space="preserve"> Komisijas paziņojums Kopienas pamatnostādnes par valsts atbalstu grūtībās nonākušu uzņēmumu glābšanai un pārstrukturēšanai (2004/C 244/02);</w:t>
            </w:r>
          </w:p>
          <w:p w:rsidR="0008054E" w:rsidRPr="00B90328" w:rsidRDefault="0008054E" w:rsidP="00DA5D04">
            <w:pPr>
              <w:jc w:val="both"/>
              <w:rPr>
                <w:rFonts w:eastAsia="Times New Roman"/>
                <w:sz w:val="24"/>
                <w:szCs w:val="24"/>
                <w:lang w:val="lv-LV" w:eastAsia="lv-LV"/>
              </w:rPr>
            </w:pPr>
          </w:p>
        </w:tc>
      </w:tr>
    </w:tbl>
    <w:p w:rsidR="002E433C" w:rsidRPr="00B90328" w:rsidRDefault="00250ACD" w:rsidP="003560C1">
      <w:pPr>
        <w:rPr>
          <w:rFonts w:eastAsia="Times New Roman"/>
          <w:sz w:val="24"/>
          <w:szCs w:val="24"/>
          <w:lang w:val="lv-LV" w:eastAsia="lv-LV"/>
        </w:rPr>
      </w:pPr>
      <w:r w:rsidRPr="00B90328">
        <w:rPr>
          <w:rFonts w:eastAsia="Times New Roman"/>
          <w:sz w:val="24"/>
          <w:szCs w:val="24"/>
          <w:lang w:val="lv-LV" w:eastAsia="lv-LV"/>
        </w:rPr>
        <w:t>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76"/>
        <w:gridCol w:w="1199"/>
        <w:gridCol w:w="92"/>
        <w:gridCol w:w="2551"/>
        <w:gridCol w:w="3694"/>
      </w:tblGrid>
      <w:tr w:rsidR="002E433C" w:rsidRPr="00D33ECA" w:rsidTr="00ED09BE">
        <w:trPr>
          <w:tblCellSpacing w:w="15" w:type="dxa"/>
        </w:trPr>
        <w:tc>
          <w:tcPr>
            <w:tcW w:w="915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B90328" w:rsidRDefault="00B373EA">
            <w:pPr>
              <w:jc w:val="center"/>
              <w:rPr>
                <w:rFonts w:eastAsia="Times New Roman"/>
                <w:b/>
                <w:bCs/>
                <w:sz w:val="24"/>
                <w:szCs w:val="24"/>
                <w:lang w:val="lv-LV" w:eastAsia="lv-LV"/>
              </w:rPr>
            </w:pPr>
            <w:r w:rsidRPr="00B90328">
              <w:rPr>
                <w:rFonts w:eastAsia="Times New Roman"/>
                <w:b/>
                <w:bCs/>
                <w:sz w:val="24"/>
                <w:szCs w:val="24"/>
                <w:lang w:val="lv-LV" w:eastAsia="lv-LV"/>
              </w:rPr>
              <w:t>1.tabula</w:t>
            </w:r>
            <w:r w:rsidRPr="00B90328">
              <w:rPr>
                <w:rFonts w:eastAsia="Times New Roman"/>
                <w:b/>
                <w:bCs/>
                <w:sz w:val="24"/>
                <w:szCs w:val="24"/>
                <w:lang w:val="lv-LV" w:eastAsia="lv-LV"/>
              </w:rPr>
              <w:br/>
              <w:t>Tiesību akta projekta atbilstība ES tiesību aktiem</w:t>
            </w:r>
          </w:p>
        </w:tc>
      </w:tr>
      <w:tr w:rsidR="00ED09BE" w:rsidRPr="00D33ECA" w:rsidTr="00ED09BE">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433C" w:rsidRPr="00B90328" w:rsidRDefault="002E433C" w:rsidP="003560C1">
            <w:pPr>
              <w:jc w:val="both"/>
              <w:rPr>
                <w:rFonts w:eastAsia="Times New Roman"/>
                <w:sz w:val="24"/>
                <w:szCs w:val="24"/>
                <w:lang w:val="lv-LV" w:eastAsia="lv-LV"/>
              </w:rPr>
            </w:pPr>
            <w:r w:rsidRPr="00B90328">
              <w:rPr>
                <w:rFonts w:eastAsia="Times New Roman"/>
                <w:sz w:val="24"/>
                <w:szCs w:val="24"/>
                <w:lang w:val="lv-LV" w:eastAsia="lv-LV"/>
              </w:rPr>
              <w:t>Attiecīgā ES tiesību akta datums, numurs un nosaukums</w:t>
            </w:r>
          </w:p>
        </w:tc>
        <w:tc>
          <w:tcPr>
            <w:tcW w:w="749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2C4C37" w:rsidRPr="00B90328" w:rsidRDefault="002C4C37" w:rsidP="002C4C37">
            <w:pPr>
              <w:pStyle w:val="naiskr"/>
              <w:spacing w:before="0" w:after="0"/>
              <w:jc w:val="both"/>
            </w:pPr>
            <w:r w:rsidRPr="00B90328">
              <w:t>Attiecībā uz individuālajiem pētījumiem, kuri tiek ieviesti ar šiem MK noteikumu Nr.361 grozījumiem, ir jāņem vērā:</w:t>
            </w:r>
          </w:p>
          <w:p w:rsidR="00D70502" w:rsidRPr="00B90328" w:rsidRDefault="002C4C37" w:rsidP="00DA5D04">
            <w:pPr>
              <w:pStyle w:val="naiskr"/>
              <w:numPr>
                <w:ilvl w:val="0"/>
                <w:numId w:val="17"/>
              </w:numPr>
              <w:spacing w:before="0" w:after="0"/>
              <w:jc w:val="both"/>
            </w:pPr>
            <w:r w:rsidRPr="00B90328">
              <w:t>Komisijas 2008.gada 6.augusta Regula (EK) Nr.800/2008, kas atzīst noteiktas atbalsta kategorijas par saderīgām ar kopējo tirgu, piemērojot Līguma 87. un 88.pantu (vispārējā grupu atbrīvojuma regula) (turpmāk – Komisijas Regula Nr.800/2008);</w:t>
            </w:r>
          </w:p>
        </w:tc>
      </w:tr>
      <w:tr w:rsidR="00ED09BE" w:rsidRPr="00B90328" w:rsidTr="00ED09BE">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433C" w:rsidRPr="00B90328" w:rsidRDefault="002E433C" w:rsidP="003560C1">
            <w:pPr>
              <w:jc w:val="center"/>
              <w:rPr>
                <w:rFonts w:eastAsia="Times New Roman"/>
                <w:sz w:val="24"/>
                <w:szCs w:val="24"/>
                <w:lang w:val="lv-LV" w:eastAsia="lv-LV"/>
              </w:rPr>
            </w:pPr>
            <w:r w:rsidRPr="00B90328">
              <w:rPr>
                <w:rFonts w:eastAsia="Times New Roman"/>
                <w:sz w:val="24"/>
                <w:szCs w:val="24"/>
                <w:lang w:val="lv-LV" w:eastAsia="lv-LV"/>
              </w:rPr>
              <w:t>A</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B90328" w:rsidRDefault="00B373EA">
            <w:pPr>
              <w:jc w:val="center"/>
              <w:rPr>
                <w:rFonts w:eastAsia="Times New Roman"/>
                <w:sz w:val="24"/>
                <w:szCs w:val="24"/>
                <w:lang w:val="lv-LV" w:eastAsia="lv-LV"/>
              </w:rPr>
            </w:pPr>
            <w:r w:rsidRPr="00B90328">
              <w:rPr>
                <w:rFonts w:eastAsia="Times New Roman"/>
                <w:sz w:val="24"/>
                <w:szCs w:val="24"/>
                <w:lang w:val="lv-LV" w:eastAsia="lv-LV"/>
              </w:rPr>
              <w:t>B</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B90328" w:rsidRDefault="00B373EA">
            <w:pPr>
              <w:jc w:val="center"/>
              <w:rPr>
                <w:rFonts w:eastAsia="Times New Roman"/>
                <w:sz w:val="24"/>
                <w:szCs w:val="24"/>
                <w:lang w:val="lv-LV" w:eastAsia="lv-LV"/>
              </w:rPr>
            </w:pPr>
            <w:r w:rsidRPr="00B90328">
              <w:rPr>
                <w:rFonts w:eastAsia="Times New Roman"/>
                <w:sz w:val="24"/>
                <w:szCs w:val="24"/>
                <w:lang w:val="lv-LV" w:eastAsia="lv-LV"/>
              </w:rPr>
              <w:t>C</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B90328" w:rsidRDefault="00B373EA">
            <w:pPr>
              <w:jc w:val="center"/>
              <w:rPr>
                <w:rFonts w:eastAsia="Times New Roman"/>
                <w:sz w:val="24"/>
                <w:szCs w:val="24"/>
                <w:lang w:val="lv-LV" w:eastAsia="lv-LV"/>
              </w:rPr>
            </w:pPr>
            <w:r w:rsidRPr="00B90328">
              <w:rPr>
                <w:rFonts w:eastAsia="Times New Roman"/>
                <w:sz w:val="24"/>
                <w:szCs w:val="24"/>
                <w:lang w:val="lv-LV" w:eastAsia="lv-LV"/>
              </w:rPr>
              <w:t>D</w:t>
            </w:r>
          </w:p>
        </w:tc>
      </w:tr>
      <w:tr w:rsidR="00ED09BE" w:rsidRPr="00D33ECA" w:rsidTr="00ED09BE">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hideMark/>
          </w:tcPr>
          <w:p w:rsidR="002E433C" w:rsidRPr="00B90328" w:rsidRDefault="002E433C" w:rsidP="003560C1">
            <w:pPr>
              <w:pStyle w:val="naiskr"/>
              <w:spacing w:before="0" w:after="0"/>
              <w:jc w:val="both"/>
            </w:pPr>
            <w:r w:rsidRPr="00B90328">
              <w:t xml:space="preserve">Attiecīgā ES tiesību akta panta numurs (uzskaitot katru tiesību akta </w:t>
            </w:r>
            <w:r w:rsidRPr="00B90328">
              <w:br/>
              <w:t>vienību – pantu, daļu, punktu, apakšpunktu)</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5E5B16" w:rsidRPr="00B90328" w:rsidRDefault="00B373EA">
            <w:pPr>
              <w:pStyle w:val="naiskr"/>
              <w:spacing w:before="0" w:after="0"/>
              <w:jc w:val="both"/>
            </w:pPr>
            <w:r w:rsidRPr="00B90328">
              <w:t>Projekta vienība, kas pārņem vai ievieš katru šīs tabulas A ailē minēto ES tiesību akta vienību</w:t>
            </w:r>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5E5B16" w:rsidRPr="00B90328" w:rsidRDefault="00B373EA">
            <w:pPr>
              <w:pStyle w:val="naiskr"/>
              <w:spacing w:before="0" w:after="0"/>
              <w:jc w:val="both"/>
            </w:pPr>
            <w:r w:rsidRPr="00B90328">
              <w:t>Informācija par to, vai šīs tabulas A ailē minētās ES tiesību akta vienības tiek pārņemtas vai ieviestas pilnībā vai daļēji.</w:t>
            </w:r>
          </w:p>
          <w:p w:rsidR="005E5B16" w:rsidRPr="00B90328" w:rsidRDefault="00B373EA">
            <w:pPr>
              <w:pStyle w:val="naiskr"/>
              <w:spacing w:before="0" w:after="0"/>
              <w:jc w:val="both"/>
            </w:pPr>
            <w:r w:rsidRPr="00B90328">
              <w:t>Ja attiecīgā ES tiesību akta vienība tiek pārņemta vai ieviesta daļēji, – sniedz attiecīgu skaidrojumu, kā arī precīzi norāda, kad un kādā veidā ES tiesību akta vienība tiks pārņemta vai ieviesta pilnībā.</w:t>
            </w:r>
          </w:p>
          <w:p w:rsidR="005E5B16" w:rsidRPr="00B90328" w:rsidRDefault="00B373EA">
            <w:pPr>
              <w:pStyle w:val="naiskr"/>
              <w:spacing w:before="0" w:after="0"/>
              <w:jc w:val="both"/>
            </w:pPr>
            <w:r w:rsidRPr="00B90328">
              <w:t>Norāda institūciju, kas ir atbildīga par šo saistību izpildi pilnībā</w:t>
            </w:r>
          </w:p>
        </w:tc>
        <w:tc>
          <w:tcPr>
            <w:tcW w:w="3649" w:type="dxa"/>
            <w:tcBorders>
              <w:top w:val="outset" w:sz="6" w:space="0" w:color="auto"/>
              <w:left w:val="outset" w:sz="6" w:space="0" w:color="auto"/>
              <w:bottom w:val="outset" w:sz="6" w:space="0" w:color="auto"/>
              <w:right w:val="outset" w:sz="6" w:space="0" w:color="auto"/>
            </w:tcBorders>
            <w:shd w:val="clear" w:color="auto" w:fill="auto"/>
            <w:hideMark/>
          </w:tcPr>
          <w:p w:rsidR="005E5B16" w:rsidRPr="00B90328" w:rsidRDefault="00B373EA">
            <w:pPr>
              <w:pStyle w:val="naiskr"/>
              <w:spacing w:before="0" w:after="0"/>
              <w:jc w:val="both"/>
            </w:pPr>
            <w:r w:rsidRPr="00B90328">
              <w:t>Informācija par to, vai šīs tabulas B ailē minētās projekta vienības paredz stingrākas prasības nekā šīs tabulas A ailē minētās ES tiesību akta vienības.</w:t>
            </w:r>
          </w:p>
          <w:p w:rsidR="005E5B16" w:rsidRPr="00B90328" w:rsidRDefault="00B373EA">
            <w:pPr>
              <w:pStyle w:val="naiskr"/>
              <w:spacing w:before="0" w:after="0"/>
              <w:jc w:val="both"/>
            </w:pPr>
            <w:r w:rsidRPr="00B90328">
              <w:t xml:space="preserve">Ja projekts satur stingrākas prasības nekā attiecīgais ES tiesību </w:t>
            </w:r>
            <w:smartTag w:uri="schemas-tilde-lv/tildestengine" w:element="veidnes">
              <w:smartTagPr>
                <w:attr w:name="id" w:val="-1"/>
                <w:attr w:name="baseform" w:val="akts"/>
                <w:attr w:name="text" w:val="akts"/>
              </w:smartTagPr>
              <w:r w:rsidRPr="00B90328">
                <w:t>akts</w:t>
              </w:r>
            </w:smartTag>
            <w:r w:rsidRPr="00B90328">
              <w:t>, – norāda pamatojumu un samērīgumu.</w:t>
            </w:r>
          </w:p>
          <w:p w:rsidR="005E5B16" w:rsidRPr="00B90328" w:rsidRDefault="00B373EA">
            <w:pPr>
              <w:pStyle w:val="naiskr"/>
              <w:spacing w:before="0" w:after="0"/>
              <w:jc w:val="both"/>
            </w:pPr>
            <w:r w:rsidRPr="00B90328">
              <w:t>Norāda iespējamās alternatīvas (t.sk. alternatīvas, kas neparedz tiesiskā regulējuma izstrādi) – kādos gadījumos būtu iespējams izvairīties no stingrāku prasību noteikšanas, nekā paredzēts attiecīgajos ES tiesību aktos.</w:t>
            </w:r>
          </w:p>
        </w:tc>
      </w:tr>
      <w:tr w:rsidR="00ED09BE" w:rsidRPr="00B90328" w:rsidTr="0061719B">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C776D4">
            <w:pPr>
              <w:pStyle w:val="naiskr"/>
              <w:spacing w:before="0" w:after="0"/>
              <w:jc w:val="both"/>
              <w:rPr>
                <w:i/>
                <w:sz w:val="20"/>
                <w:szCs w:val="20"/>
              </w:rPr>
            </w:pPr>
            <w:r w:rsidRPr="00B90328">
              <w:rPr>
                <w:i/>
                <w:sz w:val="20"/>
                <w:szCs w:val="20"/>
              </w:rPr>
              <w:t>Komisijas Regulas Nr.800/2008 2.panta 2.punkts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D70502" w:rsidRPr="00B90328" w:rsidRDefault="00250ACD" w:rsidP="00C776D4">
            <w:pPr>
              <w:rPr>
                <w:b/>
                <w:i/>
                <w:lang w:val="lv-LV"/>
              </w:rPr>
            </w:pPr>
            <w:r w:rsidRPr="00B90328">
              <w:rPr>
                <w:b/>
                <w:i/>
                <w:lang w:val="lv-LV"/>
              </w:rPr>
              <w:t>Noteikumu projekta 2.punkts</w:t>
            </w:r>
          </w:p>
          <w:p w:rsidR="00ED09BE" w:rsidRPr="00B90328" w:rsidRDefault="00250ACD" w:rsidP="00C776D4">
            <w:pPr>
              <w:rPr>
                <w:lang w:val="lv-LV"/>
              </w:rPr>
            </w:pPr>
            <w:r w:rsidRPr="00B90328">
              <w:rPr>
                <w:i/>
                <w:lang w:val="lv-LV"/>
              </w:rPr>
              <w:t>(pēc grozījumiem –grozītais 2.punkts)</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C776D4">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C776D4">
            <w:pPr>
              <w:pStyle w:val="naiskr"/>
              <w:spacing w:before="0" w:after="0"/>
              <w:jc w:val="both"/>
              <w:rPr>
                <w:i/>
                <w:sz w:val="20"/>
                <w:szCs w:val="20"/>
              </w:rPr>
            </w:pPr>
            <w:r w:rsidRPr="00B90328">
              <w:rPr>
                <w:i/>
                <w:sz w:val="20"/>
                <w:szCs w:val="20"/>
              </w:rPr>
              <w:t>neparedz stingrākas prasības</w:t>
            </w:r>
          </w:p>
        </w:tc>
      </w:tr>
      <w:tr w:rsidR="00ED09BE" w:rsidRPr="00B90328" w:rsidTr="004C5425">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ED691F">
            <w:pPr>
              <w:pStyle w:val="naiskr"/>
              <w:spacing w:before="0" w:after="0"/>
              <w:jc w:val="both"/>
              <w:rPr>
                <w:i/>
                <w:sz w:val="20"/>
                <w:szCs w:val="20"/>
              </w:rPr>
            </w:pPr>
            <w:r w:rsidRPr="00B90328">
              <w:rPr>
                <w:i/>
                <w:sz w:val="20"/>
                <w:szCs w:val="20"/>
              </w:rPr>
              <w:t>Komisijas Regulas Nr.800/2008 1.panta 7.punkta a) apakšpunkts un 7.punkta pēdējā rindkopa;</w:t>
            </w:r>
          </w:p>
          <w:p w:rsidR="00ED09BE" w:rsidRPr="00B90328" w:rsidRDefault="00ED09BE" w:rsidP="00ED691F">
            <w:pPr>
              <w:pStyle w:val="naiskr"/>
              <w:spacing w:before="0" w:after="0"/>
              <w:jc w:val="both"/>
              <w:rPr>
                <w:i/>
                <w:sz w:val="20"/>
                <w:szCs w:val="20"/>
              </w:rPr>
            </w:pPr>
            <w:r w:rsidRPr="00B90328">
              <w:rPr>
                <w:i/>
                <w:sz w:val="20"/>
                <w:szCs w:val="20"/>
              </w:rPr>
              <w:t>Komisijas paziņojums Kopienas pamatnostādnes par valsts atbalstu grūtībās nonākušu uzņēmumu glābšanai un pārstrukturēšanai – 10.punkta (a) un (c) apakšpunkti un 12.punkts;</w:t>
            </w:r>
          </w:p>
          <w:p w:rsidR="00ED09BE" w:rsidRPr="00B90328" w:rsidRDefault="00ED09BE" w:rsidP="00ED691F">
            <w:pPr>
              <w:pStyle w:val="naiskr"/>
              <w:spacing w:before="0" w:after="0"/>
              <w:jc w:val="both"/>
              <w:rPr>
                <w:i/>
                <w:sz w:val="20"/>
                <w:szCs w:val="20"/>
              </w:rPr>
            </w:pP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70502" w:rsidRPr="00B90328" w:rsidRDefault="00250ACD" w:rsidP="00ED691F">
            <w:pPr>
              <w:pStyle w:val="naiskr"/>
              <w:spacing w:before="0" w:after="0"/>
              <w:jc w:val="both"/>
              <w:rPr>
                <w:b/>
                <w:i/>
                <w:sz w:val="20"/>
                <w:szCs w:val="20"/>
              </w:rPr>
            </w:pPr>
            <w:r w:rsidRPr="00B90328">
              <w:rPr>
                <w:b/>
                <w:i/>
                <w:sz w:val="20"/>
                <w:szCs w:val="20"/>
              </w:rPr>
              <w:t>Noteikumu projekta 16.punkts</w:t>
            </w:r>
            <w:r w:rsidR="00D70502" w:rsidRPr="00B90328">
              <w:rPr>
                <w:b/>
                <w:i/>
                <w:sz w:val="20"/>
                <w:szCs w:val="20"/>
              </w:rPr>
              <w:t xml:space="preserve"> </w:t>
            </w:r>
          </w:p>
          <w:p w:rsidR="00ED09BE" w:rsidRPr="00B90328" w:rsidRDefault="00D70502" w:rsidP="00ED691F">
            <w:pPr>
              <w:pStyle w:val="naiskr"/>
              <w:spacing w:before="0" w:after="0"/>
              <w:jc w:val="both"/>
              <w:rPr>
                <w:i/>
                <w:sz w:val="20"/>
                <w:szCs w:val="20"/>
              </w:rPr>
            </w:pPr>
            <w:r w:rsidRPr="00B90328">
              <w:rPr>
                <w:i/>
                <w:sz w:val="20"/>
                <w:szCs w:val="20"/>
              </w:rPr>
              <w:t>(</w:t>
            </w:r>
            <w:r w:rsidR="00ED09BE" w:rsidRPr="00B90328">
              <w:rPr>
                <w:i/>
                <w:sz w:val="20"/>
                <w:szCs w:val="20"/>
              </w:rPr>
              <w:t>pēc grozījumiem – jauns 15.</w:t>
            </w:r>
            <w:r w:rsidR="00ED09BE" w:rsidRPr="00B90328">
              <w:rPr>
                <w:i/>
                <w:sz w:val="20"/>
                <w:szCs w:val="20"/>
                <w:vertAlign w:val="superscript"/>
              </w:rPr>
              <w:t>1</w:t>
            </w:r>
            <w:r w:rsidR="00ED09BE" w:rsidRPr="00B90328">
              <w:rPr>
                <w:i/>
                <w:sz w:val="20"/>
                <w:szCs w:val="20"/>
              </w:rPr>
              <w:t xml:space="preserve"> 4.  un 15.</w:t>
            </w:r>
            <w:r w:rsidR="00ED09BE" w:rsidRPr="00B90328">
              <w:rPr>
                <w:i/>
                <w:sz w:val="20"/>
                <w:szCs w:val="20"/>
                <w:vertAlign w:val="superscript"/>
              </w:rPr>
              <w:t>1</w:t>
            </w:r>
            <w:r w:rsidR="00ED09BE" w:rsidRPr="00B90328">
              <w:rPr>
                <w:i/>
                <w:sz w:val="20"/>
                <w:szCs w:val="20"/>
              </w:rPr>
              <w:t xml:space="preserve"> 6. </w:t>
            </w:r>
            <w:r w:rsidRPr="00B90328">
              <w:rPr>
                <w:i/>
                <w:sz w:val="20"/>
                <w:szCs w:val="20"/>
              </w:rPr>
              <w:t>A</w:t>
            </w:r>
            <w:r w:rsidR="00ED09BE" w:rsidRPr="00B90328">
              <w:rPr>
                <w:i/>
                <w:sz w:val="20"/>
                <w:szCs w:val="20"/>
              </w:rPr>
              <w:t>pakšpunkts</w:t>
            </w:r>
            <w:r w:rsidRPr="00B90328">
              <w:rPr>
                <w:i/>
                <w:sz w:val="20"/>
                <w:szCs w:val="20"/>
              </w:rPr>
              <w:t>)</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ED691F">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ED691F">
            <w:pPr>
              <w:pStyle w:val="naiskr"/>
              <w:spacing w:before="0" w:after="0"/>
              <w:jc w:val="both"/>
              <w:rPr>
                <w:i/>
                <w:sz w:val="20"/>
                <w:szCs w:val="20"/>
              </w:rPr>
            </w:pPr>
            <w:r w:rsidRPr="00B90328">
              <w:rPr>
                <w:i/>
                <w:sz w:val="20"/>
                <w:szCs w:val="20"/>
              </w:rPr>
              <w:t>neparedz stingrākas prasības</w:t>
            </w:r>
          </w:p>
        </w:tc>
      </w:tr>
      <w:tr w:rsidR="00ED09BE" w:rsidRPr="00B90328" w:rsidTr="00187C78">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605738">
            <w:pPr>
              <w:pStyle w:val="naiskr"/>
              <w:spacing w:before="0" w:after="0"/>
              <w:jc w:val="both"/>
              <w:rPr>
                <w:i/>
                <w:sz w:val="20"/>
                <w:szCs w:val="20"/>
              </w:rPr>
            </w:pPr>
            <w:r w:rsidRPr="00B90328">
              <w:rPr>
                <w:i/>
                <w:sz w:val="20"/>
                <w:szCs w:val="20"/>
              </w:rPr>
              <w:t>Komisijas Regulas Nr.800/2008 1.panta 6.punkta a)apakšpunkts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D70502" w:rsidRPr="00B90328" w:rsidRDefault="00250ACD" w:rsidP="00605738">
            <w:pPr>
              <w:rPr>
                <w:b/>
                <w:i/>
                <w:lang w:val="lv-LV"/>
              </w:rPr>
            </w:pPr>
            <w:r w:rsidRPr="00B90328">
              <w:rPr>
                <w:b/>
                <w:i/>
                <w:lang w:val="lv-LV"/>
              </w:rPr>
              <w:t>Noteikumu projekta 16.punkts</w:t>
            </w:r>
            <w:r w:rsidR="00D70502" w:rsidRPr="00B90328">
              <w:rPr>
                <w:b/>
                <w:i/>
                <w:lang w:val="lv-LV"/>
              </w:rPr>
              <w:t xml:space="preserve"> </w:t>
            </w:r>
          </w:p>
          <w:p w:rsidR="00ED09BE" w:rsidRPr="00B90328" w:rsidRDefault="00D70502" w:rsidP="00605738">
            <w:pPr>
              <w:rPr>
                <w:i/>
                <w:lang w:val="lv-LV"/>
              </w:rPr>
            </w:pPr>
            <w:r w:rsidRPr="00B90328">
              <w:rPr>
                <w:i/>
                <w:lang w:val="lv-LV"/>
              </w:rPr>
              <w:t>(</w:t>
            </w:r>
            <w:r w:rsidR="00ED09BE" w:rsidRPr="00B90328">
              <w:rPr>
                <w:i/>
                <w:lang w:val="lv-LV"/>
              </w:rPr>
              <w:t xml:space="preserve">pēc grozījumiem – jauns </w:t>
            </w:r>
            <w:r w:rsidR="00250ACD" w:rsidRPr="00B90328">
              <w:rPr>
                <w:rFonts w:eastAsia="Times New Roman"/>
                <w:i/>
                <w:lang w:val="lv-LV"/>
              </w:rPr>
              <w:t>15.</w:t>
            </w:r>
            <w:r w:rsidR="00250ACD" w:rsidRPr="00B90328">
              <w:rPr>
                <w:rFonts w:eastAsia="Times New Roman"/>
                <w:i/>
                <w:vertAlign w:val="superscript"/>
                <w:lang w:val="lv-LV"/>
              </w:rPr>
              <w:t>1</w:t>
            </w:r>
            <w:r w:rsidR="00250ACD" w:rsidRPr="00B90328">
              <w:rPr>
                <w:rFonts w:eastAsia="Times New Roman"/>
                <w:i/>
                <w:lang w:val="lv-LV"/>
              </w:rPr>
              <w:t xml:space="preserve"> 7.apakš</w:t>
            </w:r>
            <w:r w:rsidR="00250ACD" w:rsidRPr="00B90328">
              <w:rPr>
                <w:i/>
                <w:lang w:val="lv-LV"/>
              </w:rPr>
              <w:t>punkts)</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605738">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605738">
            <w:pPr>
              <w:pStyle w:val="naiskr"/>
              <w:spacing w:before="0" w:after="0"/>
              <w:jc w:val="both"/>
              <w:rPr>
                <w:i/>
                <w:sz w:val="20"/>
                <w:szCs w:val="20"/>
              </w:rPr>
            </w:pPr>
            <w:r w:rsidRPr="00B90328">
              <w:rPr>
                <w:i/>
                <w:sz w:val="20"/>
                <w:szCs w:val="20"/>
              </w:rPr>
              <w:t>neparedz stingrākas prasības</w:t>
            </w:r>
          </w:p>
        </w:tc>
      </w:tr>
      <w:tr w:rsidR="00ED09BE" w:rsidRPr="00B90328" w:rsidTr="00187C78">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6405EF">
            <w:pPr>
              <w:pStyle w:val="naiskr"/>
              <w:spacing w:before="0" w:after="0"/>
              <w:jc w:val="both"/>
              <w:rPr>
                <w:i/>
                <w:sz w:val="20"/>
                <w:szCs w:val="20"/>
              </w:rPr>
            </w:pPr>
            <w:r w:rsidRPr="00B90328">
              <w:rPr>
                <w:i/>
                <w:sz w:val="20"/>
                <w:szCs w:val="20"/>
              </w:rPr>
              <w:t>Komisijas Regulas Nr.800/2008 30.panta 3.punkts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D70502" w:rsidRPr="00B90328" w:rsidRDefault="00250ACD" w:rsidP="006405EF">
            <w:pPr>
              <w:rPr>
                <w:b/>
                <w:i/>
                <w:lang w:val="lv-LV"/>
              </w:rPr>
            </w:pPr>
            <w:r w:rsidRPr="00B90328">
              <w:rPr>
                <w:b/>
                <w:i/>
                <w:lang w:val="lv-LV"/>
              </w:rPr>
              <w:t>Noteikumu projekta 24.punkts</w:t>
            </w:r>
          </w:p>
          <w:p w:rsidR="00ED09BE" w:rsidRPr="00B90328" w:rsidRDefault="00D70502" w:rsidP="006405EF">
            <w:pPr>
              <w:rPr>
                <w:i/>
                <w:lang w:val="lv-LV"/>
              </w:rPr>
            </w:pPr>
            <w:r w:rsidRPr="00B90328">
              <w:rPr>
                <w:i/>
                <w:lang w:val="lv-LV"/>
              </w:rPr>
              <w:t>(</w:t>
            </w:r>
            <w:r w:rsidR="00ED09BE" w:rsidRPr="00B90328">
              <w:rPr>
                <w:i/>
                <w:lang w:val="lv-LV"/>
              </w:rPr>
              <w:t xml:space="preserve">pēc grozījumiem – jauns </w:t>
            </w:r>
            <w:r w:rsidR="00ED09BE" w:rsidRPr="00B90328">
              <w:rPr>
                <w:rFonts w:eastAsia="Times New Roman"/>
                <w:i/>
                <w:lang w:val="lv-LV"/>
              </w:rPr>
              <w:t>21.</w:t>
            </w:r>
            <w:r w:rsidR="00ED09BE" w:rsidRPr="00B90328">
              <w:rPr>
                <w:rFonts w:eastAsia="Times New Roman"/>
                <w:i/>
                <w:vertAlign w:val="superscript"/>
                <w:lang w:val="lv-LV"/>
              </w:rPr>
              <w:t>1</w:t>
            </w:r>
            <w:r w:rsidR="00ED09BE" w:rsidRPr="00B90328">
              <w:rPr>
                <w:rFonts w:eastAsia="Times New Roman"/>
                <w:i/>
                <w:lang w:val="lv-LV"/>
              </w:rPr>
              <w:t xml:space="preserve"> 1. </w:t>
            </w:r>
            <w:r w:rsidRPr="00B90328">
              <w:rPr>
                <w:rFonts w:eastAsia="Times New Roman"/>
                <w:i/>
                <w:lang w:val="lv-LV"/>
              </w:rPr>
              <w:t>A</w:t>
            </w:r>
            <w:r w:rsidR="00ED09BE" w:rsidRPr="00B90328">
              <w:rPr>
                <w:rFonts w:eastAsia="Times New Roman"/>
                <w:i/>
                <w:lang w:val="lv-LV"/>
              </w:rPr>
              <w:t>pakšpunkts</w:t>
            </w:r>
            <w:r w:rsidRPr="00B90328">
              <w:rPr>
                <w:rFonts w:eastAsia="Times New Roman"/>
                <w:i/>
                <w:lang w:val="lv-LV"/>
              </w:rPr>
              <w:t>)</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6405EF">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6405EF">
            <w:pPr>
              <w:pStyle w:val="naiskr"/>
              <w:spacing w:before="0" w:after="0"/>
              <w:jc w:val="both"/>
              <w:rPr>
                <w:i/>
                <w:sz w:val="20"/>
                <w:szCs w:val="20"/>
              </w:rPr>
            </w:pPr>
            <w:r w:rsidRPr="00B90328">
              <w:rPr>
                <w:i/>
                <w:sz w:val="20"/>
                <w:szCs w:val="20"/>
              </w:rPr>
              <w:t>neparedz stingrākas prasības</w:t>
            </w:r>
          </w:p>
        </w:tc>
      </w:tr>
      <w:tr w:rsidR="00ED09BE" w:rsidRPr="00B90328" w:rsidTr="00187C78">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6747C5">
            <w:pPr>
              <w:pStyle w:val="naiskr"/>
              <w:spacing w:before="0" w:after="0"/>
              <w:jc w:val="both"/>
              <w:rPr>
                <w:i/>
                <w:sz w:val="20"/>
                <w:szCs w:val="20"/>
              </w:rPr>
            </w:pPr>
            <w:r w:rsidRPr="00B90328">
              <w:rPr>
                <w:i/>
                <w:sz w:val="20"/>
                <w:szCs w:val="20"/>
              </w:rPr>
              <w:t>Komisijas Regulas Nr.800/2008 30.panta 4.punkts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D70502" w:rsidRPr="00B90328" w:rsidRDefault="00250ACD" w:rsidP="00D70502">
            <w:pPr>
              <w:rPr>
                <w:b/>
                <w:i/>
                <w:lang w:val="lv-LV"/>
              </w:rPr>
            </w:pPr>
            <w:r w:rsidRPr="00B90328">
              <w:rPr>
                <w:b/>
                <w:i/>
                <w:lang w:val="lv-LV"/>
              </w:rPr>
              <w:t>Noteikumu projekta 24.punkts</w:t>
            </w:r>
          </w:p>
          <w:p w:rsidR="00ED09BE" w:rsidRPr="00B90328" w:rsidRDefault="00D70502" w:rsidP="006747C5">
            <w:pPr>
              <w:rPr>
                <w:i/>
                <w:lang w:val="lv-LV"/>
              </w:rPr>
            </w:pPr>
            <w:r w:rsidRPr="00B90328">
              <w:rPr>
                <w:i/>
                <w:lang w:val="lv-LV"/>
              </w:rPr>
              <w:t>(</w:t>
            </w:r>
            <w:r w:rsidR="00ED09BE" w:rsidRPr="00B90328">
              <w:rPr>
                <w:i/>
                <w:lang w:val="lv-LV"/>
              </w:rPr>
              <w:t xml:space="preserve">pēc grozījumiem – jauns </w:t>
            </w:r>
            <w:r w:rsidR="00ED09BE" w:rsidRPr="00B90328">
              <w:rPr>
                <w:rFonts w:eastAsia="Times New Roman"/>
                <w:i/>
                <w:lang w:val="lv-LV"/>
              </w:rPr>
              <w:t>21.</w:t>
            </w:r>
            <w:r w:rsidR="00ED09BE" w:rsidRPr="00B90328">
              <w:rPr>
                <w:rFonts w:eastAsia="Times New Roman"/>
                <w:i/>
                <w:vertAlign w:val="superscript"/>
                <w:lang w:val="lv-LV"/>
              </w:rPr>
              <w:t>1</w:t>
            </w:r>
            <w:r w:rsidR="00ED09BE" w:rsidRPr="00B90328">
              <w:rPr>
                <w:rFonts w:eastAsia="Times New Roman"/>
                <w:i/>
                <w:lang w:val="lv-LV"/>
              </w:rPr>
              <w:t xml:space="preserve"> 2. </w:t>
            </w:r>
            <w:r w:rsidRPr="00B90328">
              <w:rPr>
                <w:rFonts w:eastAsia="Times New Roman"/>
                <w:i/>
                <w:lang w:val="lv-LV"/>
              </w:rPr>
              <w:t>A</w:t>
            </w:r>
            <w:r w:rsidR="00ED09BE" w:rsidRPr="00B90328">
              <w:rPr>
                <w:rFonts w:eastAsia="Times New Roman"/>
                <w:i/>
                <w:lang w:val="lv-LV"/>
              </w:rPr>
              <w:t>pakšpunkts</w:t>
            </w:r>
            <w:r w:rsidRPr="00B90328">
              <w:rPr>
                <w:rFonts w:eastAsia="Times New Roman"/>
                <w:i/>
                <w:lang w:val="lv-LV"/>
              </w:rPr>
              <w:t>)</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6747C5">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6747C5">
            <w:pPr>
              <w:pStyle w:val="naiskr"/>
              <w:spacing w:before="0" w:after="0"/>
              <w:jc w:val="both"/>
              <w:rPr>
                <w:i/>
                <w:sz w:val="20"/>
                <w:szCs w:val="20"/>
              </w:rPr>
            </w:pPr>
            <w:r w:rsidRPr="00B90328">
              <w:rPr>
                <w:i/>
                <w:sz w:val="20"/>
                <w:szCs w:val="20"/>
              </w:rPr>
              <w:t>neparedz stingrākas prasības</w:t>
            </w:r>
          </w:p>
        </w:tc>
      </w:tr>
      <w:tr w:rsidR="00ED09BE" w:rsidRPr="00B90328" w:rsidTr="00187C78">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970660">
            <w:pPr>
              <w:pStyle w:val="naiskr"/>
              <w:spacing w:before="0" w:after="0"/>
              <w:jc w:val="both"/>
              <w:rPr>
                <w:i/>
                <w:sz w:val="20"/>
                <w:szCs w:val="20"/>
              </w:rPr>
            </w:pPr>
            <w:r w:rsidRPr="00B90328">
              <w:rPr>
                <w:i/>
                <w:sz w:val="20"/>
                <w:szCs w:val="20"/>
              </w:rPr>
              <w:t>Komisijas Regulas Nr.800/2008 1.panta 3.punkts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D70502" w:rsidRPr="00B90328" w:rsidRDefault="00250ACD" w:rsidP="00970660">
            <w:pPr>
              <w:rPr>
                <w:b/>
                <w:i/>
              </w:rPr>
            </w:pPr>
            <w:proofErr w:type="spellStart"/>
            <w:r w:rsidRPr="00B90328">
              <w:rPr>
                <w:b/>
                <w:i/>
              </w:rPr>
              <w:t>Noteikumu</w:t>
            </w:r>
            <w:proofErr w:type="spellEnd"/>
            <w:r w:rsidRPr="00B90328">
              <w:rPr>
                <w:b/>
                <w:i/>
              </w:rPr>
              <w:t xml:space="preserve"> </w:t>
            </w:r>
            <w:proofErr w:type="spellStart"/>
            <w:r w:rsidRPr="00B90328">
              <w:rPr>
                <w:b/>
                <w:i/>
              </w:rPr>
              <w:t>projekta</w:t>
            </w:r>
            <w:proofErr w:type="spellEnd"/>
            <w:r w:rsidRPr="00B90328">
              <w:rPr>
                <w:b/>
                <w:i/>
              </w:rPr>
              <w:t xml:space="preserve"> 26.punkts</w:t>
            </w:r>
            <w:r w:rsidR="00D70502" w:rsidRPr="00B90328">
              <w:rPr>
                <w:b/>
                <w:i/>
              </w:rPr>
              <w:t xml:space="preserve"> </w:t>
            </w:r>
          </w:p>
          <w:p w:rsidR="00ED09BE" w:rsidRPr="00B90328" w:rsidRDefault="00D70502" w:rsidP="00970660">
            <w:pPr>
              <w:rPr>
                <w:i/>
              </w:rPr>
            </w:pPr>
            <w:r w:rsidRPr="00B90328">
              <w:rPr>
                <w:i/>
              </w:rPr>
              <w:t>(</w:t>
            </w:r>
            <w:proofErr w:type="spellStart"/>
            <w:r w:rsidR="00ED09BE" w:rsidRPr="00B90328">
              <w:rPr>
                <w:i/>
              </w:rPr>
              <w:t>pēc</w:t>
            </w:r>
            <w:proofErr w:type="spellEnd"/>
            <w:r w:rsidR="00ED09BE" w:rsidRPr="00B90328">
              <w:rPr>
                <w:i/>
              </w:rPr>
              <w:t xml:space="preserve"> </w:t>
            </w:r>
            <w:proofErr w:type="spellStart"/>
            <w:r w:rsidR="00ED09BE" w:rsidRPr="00B90328">
              <w:rPr>
                <w:i/>
              </w:rPr>
              <w:t>grozījumiem</w:t>
            </w:r>
            <w:proofErr w:type="spellEnd"/>
            <w:r w:rsidR="00ED09BE" w:rsidRPr="00B90328">
              <w:rPr>
                <w:i/>
              </w:rPr>
              <w:t xml:space="preserve"> –</w:t>
            </w:r>
            <w:proofErr w:type="spellStart"/>
            <w:r w:rsidR="00ED09BE" w:rsidRPr="00B90328">
              <w:rPr>
                <w:i/>
              </w:rPr>
              <w:t>jauns</w:t>
            </w:r>
            <w:proofErr w:type="spellEnd"/>
            <w:r w:rsidR="00ED09BE" w:rsidRPr="00B90328">
              <w:rPr>
                <w:i/>
              </w:rPr>
              <w:t xml:space="preserve">  </w:t>
            </w:r>
            <w:r w:rsidR="00ED09BE" w:rsidRPr="00B90328">
              <w:rPr>
                <w:rFonts w:eastAsia="Times New Roman"/>
                <w:i/>
              </w:rPr>
              <w:t>24.</w:t>
            </w:r>
            <w:r w:rsidR="00ED09BE" w:rsidRPr="00B90328">
              <w:rPr>
                <w:rFonts w:eastAsia="Times New Roman"/>
                <w:i/>
                <w:vertAlign w:val="superscript"/>
              </w:rPr>
              <w:t>1</w:t>
            </w:r>
            <w:r w:rsidR="00ED09BE" w:rsidRPr="00B90328">
              <w:rPr>
                <w:i/>
              </w:rPr>
              <w:t>.punkts</w:t>
            </w:r>
            <w:r w:rsidRPr="00B90328">
              <w:rPr>
                <w:i/>
              </w:rPr>
              <w:t>)</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970660">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970660">
            <w:pPr>
              <w:pStyle w:val="naiskr"/>
              <w:spacing w:before="0" w:after="0"/>
              <w:jc w:val="both"/>
              <w:rPr>
                <w:i/>
                <w:sz w:val="20"/>
                <w:szCs w:val="20"/>
              </w:rPr>
            </w:pPr>
            <w:r w:rsidRPr="00B90328">
              <w:rPr>
                <w:i/>
                <w:sz w:val="20"/>
                <w:szCs w:val="20"/>
              </w:rPr>
              <w:t>neparedz stingrākas prasības</w:t>
            </w:r>
          </w:p>
        </w:tc>
      </w:tr>
      <w:tr w:rsidR="00ED09BE" w:rsidRPr="00B90328" w:rsidTr="00187C78">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9D7658">
            <w:pPr>
              <w:pStyle w:val="naiskr"/>
              <w:spacing w:before="0" w:after="0"/>
              <w:jc w:val="both"/>
              <w:rPr>
                <w:i/>
                <w:sz w:val="20"/>
                <w:szCs w:val="20"/>
              </w:rPr>
            </w:pPr>
            <w:r w:rsidRPr="00B90328">
              <w:rPr>
                <w:i/>
                <w:sz w:val="20"/>
                <w:szCs w:val="20"/>
              </w:rPr>
              <w:t>Komisijas Regulas Nr.800/2008 31.panta 5.punkts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D70502" w:rsidRPr="00B90328" w:rsidRDefault="00250ACD" w:rsidP="009D7658">
            <w:pPr>
              <w:rPr>
                <w:b/>
                <w:i/>
                <w:lang w:val="lv-LV"/>
              </w:rPr>
            </w:pPr>
            <w:r w:rsidRPr="00B90328">
              <w:rPr>
                <w:b/>
                <w:i/>
                <w:lang w:val="lv-LV"/>
              </w:rPr>
              <w:t>Noteikumu projekta 27.punkts</w:t>
            </w:r>
          </w:p>
          <w:p w:rsidR="00ED09BE" w:rsidRPr="00B90328" w:rsidRDefault="00D70502" w:rsidP="009D7658">
            <w:pPr>
              <w:rPr>
                <w:lang w:val="lv-LV"/>
              </w:rPr>
            </w:pPr>
            <w:r w:rsidRPr="00B90328">
              <w:rPr>
                <w:i/>
                <w:lang w:val="lv-LV"/>
              </w:rPr>
              <w:t>(</w:t>
            </w:r>
            <w:r w:rsidR="00ED09BE" w:rsidRPr="00B90328">
              <w:rPr>
                <w:i/>
                <w:lang w:val="lv-LV"/>
              </w:rPr>
              <w:t>pēc grozījumiem – grozītais 25.2.apakšpunkts</w:t>
            </w:r>
            <w:r w:rsidRPr="00B90328">
              <w:rPr>
                <w:i/>
                <w:lang w:val="lv-LV"/>
              </w:rPr>
              <w:t>)</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9D7658">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9D7658">
            <w:pPr>
              <w:pStyle w:val="naiskr"/>
              <w:spacing w:before="0" w:after="0"/>
              <w:jc w:val="both"/>
              <w:rPr>
                <w:i/>
                <w:sz w:val="20"/>
                <w:szCs w:val="20"/>
              </w:rPr>
            </w:pPr>
            <w:r w:rsidRPr="00B90328">
              <w:rPr>
                <w:i/>
                <w:sz w:val="20"/>
                <w:szCs w:val="20"/>
              </w:rPr>
              <w:t>neparedz stingrākas prasības</w:t>
            </w:r>
          </w:p>
        </w:tc>
      </w:tr>
      <w:tr w:rsidR="00ED09BE" w:rsidRPr="00B90328" w:rsidTr="00187C78">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20129C">
            <w:pPr>
              <w:pStyle w:val="naiskr"/>
              <w:spacing w:before="0" w:after="0"/>
              <w:jc w:val="both"/>
              <w:rPr>
                <w:i/>
                <w:sz w:val="20"/>
                <w:szCs w:val="20"/>
              </w:rPr>
            </w:pPr>
            <w:r w:rsidRPr="00B90328">
              <w:rPr>
                <w:i/>
                <w:sz w:val="20"/>
                <w:szCs w:val="20"/>
              </w:rPr>
              <w:t>Komisijas Regulas Nr.800/2008 31.panta 3. un 4.punkts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825562" w:rsidRPr="00B90328" w:rsidRDefault="00250ACD" w:rsidP="00825562">
            <w:pPr>
              <w:rPr>
                <w:b/>
                <w:i/>
              </w:rPr>
            </w:pPr>
            <w:proofErr w:type="spellStart"/>
            <w:r w:rsidRPr="00B90328">
              <w:rPr>
                <w:b/>
                <w:i/>
              </w:rPr>
              <w:t>Noteikumu</w:t>
            </w:r>
            <w:proofErr w:type="spellEnd"/>
            <w:r w:rsidRPr="00B90328">
              <w:rPr>
                <w:b/>
                <w:i/>
              </w:rPr>
              <w:t xml:space="preserve"> </w:t>
            </w:r>
            <w:proofErr w:type="spellStart"/>
            <w:r w:rsidRPr="00B90328">
              <w:rPr>
                <w:b/>
                <w:i/>
              </w:rPr>
              <w:t>projekta</w:t>
            </w:r>
            <w:proofErr w:type="spellEnd"/>
            <w:r w:rsidRPr="00B90328">
              <w:rPr>
                <w:b/>
                <w:i/>
              </w:rPr>
              <w:t xml:space="preserve"> 31.punkts</w:t>
            </w:r>
            <w:r w:rsidR="00825562" w:rsidRPr="00B90328">
              <w:rPr>
                <w:b/>
                <w:i/>
              </w:rPr>
              <w:t xml:space="preserve"> </w:t>
            </w:r>
          </w:p>
          <w:p w:rsidR="00ED09BE" w:rsidRPr="00B90328" w:rsidRDefault="00825562" w:rsidP="00825562">
            <w:r w:rsidRPr="00B90328">
              <w:rPr>
                <w:i/>
              </w:rPr>
              <w:t>(</w:t>
            </w:r>
            <w:proofErr w:type="spellStart"/>
            <w:r w:rsidR="00ED09BE" w:rsidRPr="00B90328">
              <w:rPr>
                <w:i/>
              </w:rPr>
              <w:t>pēc</w:t>
            </w:r>
            <w:proofErr w:type="spellEnd"/>
            <w:r w:rsidR="00ED09BE" w:rsidRPr="00B90328">
              <w:rPr>
                <w:i/>
              </w:rPr>
              <w:t xml:space="preserve"> </w:t>
            </w:r>
            <w:proofErr w:type="spellStart"/>
            <w:r w:rsidR="00ED09BE" w:rsidRPr="00B90328">
              <w:rPr>
                <w:i/>
              </w:rPr>
              <w:t>grozījumiem</w:t>
            </w:r>
            <w:proofErr w:type="spellEnd"/>
            <w:r w:rsidR="00ED09BE" w:rsidRPr="00B90328">
              <w:rPr>
                <w:i/>
              </w:rPr>
              <w:t xml:space="preserve"> – </w:t>
            </w:r>
            <w:proofErr w:type="spellStart"/>
            <w:r w:rsidR="00ED09BE" w:rsidRPr="00B90328">
              <w:rPr>
                <w:i/>
              </w:rPr>
              <w:t>jauns</w:t>
            </w:r>
            <w:proofErr w:type="spellEnd"/>
            <w:r w:rsidR="00ED09BE" w:rsidRPr="00B90328">
              <w:rPr>
                <w:i/>
              </w:rPr>
              <w:t xml:space="preserve">  </w:t>
            </w:r>
            <w:r w:rsidR="00ED09BE" w:rsidRPr="00B90328">
              <w:rPr>
                <w:rFonts w:eastAsia="Times New Roman"/>
                <w:i/>
              </w:rPr>
              <w:t>33.</w:t>
            </w:r>
            <w:r w:rsidR="00250ACD" w:rsidRPr="00B90328">
              <w:rPr>
                <w:rFonts w:eastAsia="Times New Roman"/>
                <w:i/>
                <w:vertAlign w:val="superscript"/>
              </w:rPr>
              <w:t>2</w:t>
            </w:r>
            <w:r w:rsidR="00ED09BE" w:rsidRPr="00B90328">
              <w:rPr>
                <w:i/>
              </w:rPr>
              <w:t>.punkts</w:t>
            </w:r>
            <w:r w:rsidRPr="00B90328">
              <w:rPr>
                <w:i/>
              </w:rPr>
              <w:t>)</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20129C">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20129C">
            <w:pPr>
              <w:pStyle w:val="naiskr"/>
              <w:spacing w:before="0" w:after="0"/>
              <w:jc w:val="both"/>
              <w:rPr>
                <w:i/>
                <w:sz w:val="20"/>
                <w:szCs w:val="20"/>
              </w:rPr>
            </w:pPr>
            <w:r w:rsidRPr="00B90328">
              <w:rPr>
                <w:i/>
                <w:sz w:val="20"/>
                <w:szCs w:val="20"/>
              </w:rPr>
              <w:t>neparedz stingrākas prasības</w:t>
            </w:r>
          </w:p>
        </w:tc>
      </w:tr>
      <w:tr w:rsidR="00ED09BE" w:rsidRPr="00B90328" w:rsidTr="00187C78">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1127D6">
            <w:pPr>
              <w:pStyle w:val="naiskr"/>
              <w:spacing w:before="0" w:after="0"/>
              <w:jc w:val="both"/>
              <w:rPr>
                <w:i/>
                <w:sz w:val="20"/>
                <w:szCs w:val="20"/>
              </w:rPr>
            </w:pPr>
            <w:r w:rsidRPr="00B90328">
              <w:rPr>
                <w:i/>
                <w:sz w:val="20"/>
                <w:szCs w:val="20"/>
              </w:rPr>
              <w:t>Komisijas Regulas Nr.800/2008 31.panta 4.punkta (b) (</w:t>
            </w:r>
            <w:proofErr w:type="spellStart"/>
            <w:r w:rsidRPr="00B90328">
              <w:rPr>
                <w:i/>
                <w:sz w:val="20"/>
                <w:szCs w:val="20"/>
              </w:rPr>
              <w:t>iii</w:t>
            </w:r>
            <w:proofErr w:type="spellEnd"/>
            <w:r w:rsidRPr="00B90328">
              <w:rPr>
                <w:i/>
                <w:sz w:val="20"/>
                <w:szCs w:val="20"/>
              </w:rPr>
              <w:t>) apakšpunkts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825562" w:rsidRPr="00B90328" w:rsidRDefault="00250ACD" w:rsidP="001127D6">
            <w:pPr>
              <w:rPr>
                <w:b/>
                <w:i/>
              </w:rPr>
            </w:pPr>
            <w:proofErr w:type="spellStart"/>
            <w:r w:rsidRPr="00B90328">
              <w:rPr>
                <w:b/>
                <w:i/>
              </w:rPr>
              <w:t>Noteikumu</w:t>
            </w:r>
            <w:proofErr w:type="spellEnd"/>
            <w:r w:rsidRPr="00B90328">
              <w:rPr>
                <w:b/>
                <w:i/>
              </w:rPr>
              <w:t xml:space="preserve"> </w:t>
            </w:r>
            <w:proofErr w:type="spellStart"/>
            <w:r w:rsidRPr="00B90328">
              <w:rPr>
                <w:b/>
                <w:i/>
              </w:rPr>
              <w:t>projekta</w:t>
            </w:r>
            <w:proofErr w:type="spellEnd"/>
            <w:r w:rsidRPr="00B90328">
              <w:rPr>
                <w:b/>
                <w:i/>
              </w:rPr>
              <w:t xml:space="preserve"> 33.punkts</w:t>
            </w:r>
            <w:r w:rsidR="00825562" w:rsidRPr="00B90328">
              <w:rPr>
                <w:b/>
                <w:i/>
              </w:rPr>
              <w:t xml:space="preserve"> </w:t>
            </w:r>
          </w:p>
          <w:p w:rsidR="00ED09BE" w:rsidRPr="00B90328" w:rsidRDefault="00825562" w:rsidP="001127D6">
            <w:r w:rsidRPr="00B90328">
              <w:rPr>
                <w:i/>
              </w:rPr>
              <w:t>(</w:t>
            </w:r>
            <w:proofErr w:type="spellStart"/>
            <w:r w:rsidR="00ED09BE" w:rsidRPr="00B90328">
              <w:rPr>
                <w:i/>
              </w:rPr>
              <w:t>pēc</w:t>
            </w:r>
            <w:proofErr w:type="spellEnd"/>
            <w:r w:rsidR="00ED09BE" w:rsidRPr="00B90328">
              <w:rPr>
                <w:i/>
              </w:rPr>
              <w:t xml:space="preserve"> </w:t>
            </w:r>
            <w:proofErr w:type="spellStart"/>
            <w:r w:rsidR="00ED09BE" w:rsidRPr="00B90328">
              <w:rPr>
                <w:i/>
              </w:rPr>
              <w:t>grozījumiem</w:t>
            </w:r>
            <w:proofErr w:type="spellEnd"/>
            <w:r w:rsidR="00ED09BE" w:rsidRPr="00B90328">
              <w:rPr>
                <w:i/>
              </w:rPr>
              <w:t xml:space="preserve"> – </w:t>
            </w:r>
            <w:proofErr w:type="spellStart"/>
            <w:r w:rsidR="00ED09BE" w:rsidRPr="00B90328">
              <w:rPr>
                <w:i/>
              </w:rPr>
              <w:t>jauns</w:t>
            </w:r>
            <w:proofErr w:type="spellEnd"/>
            <w:r w:rsidR="00ED09BE" w:rsidRPr="00B90328">
              <w:rPr>
                <w:i/>
              </w:rPr>
              <w:t xml:space="preserve">  </w:t>
            </w:r>
            <w:r w:rsidR="00ED09BE" w:rsidRPr="00B90328">
              <w:rPr>
                <w:rFonts w:eastAsia="Times New Roman"/>
                <w:i/>
              </w:rPr>
              <w:t>34.</w:t>
            </w:r>
            <w:r w:rsidR="00ED09BE" w:rsidRPr="00B90328">
              <w:rPr>
                <w:rFonts w:eastAsia="Times New Roman"/>
                <w:i/>
                <w:vertAlign w:val="superscript"/>
              </w:rPr>
              <w:t>1</w:t>
            </w:r>
            <w:r w:rsidR="00ED09BE" w:rsidRPr="00B90328">
              <w:rPr>
                <w:i/>
              </w:rPr>
              <w:t>.punkts</w:t>
            </w:r>
            <w:r w:rsidRPr="00B90328">
              <w:rPr>
                <w:i/>
              </w:rPr>
              <w:t>)</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1127D6">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1127D6">
            <w:pPr>
              <w:pStyle w:val="naiskr"/>
              <w:spacing w:before="0" w:after="0"/>
              <w:jc w:val="both"/>
              <w:rPr>
                <w:i/>
                <w:sz w:val="20"/>
                <w:szCs w:val="20"/>
              </w:rPr>
            </w:pPr>
            <w:r w:rsidRPr="00B90328">
              <w:rPr>
                <w:i/>
                <w:sz w:val="20"/>
                <w:szCs w:val="20"/>
              </w:rPr>
              <w:t>neparedz stingrākas prasības</w:t>
            </w:r>
          </w:p>
        </w:tc>
      </w:tr>
      <w:tr w:rsidR="00ED09BE" w:rsidRPr="00B90328" w:rsidTr="00187C78">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4B2B42">
            <w:pPr>
              <w:pStyle w:val="naiskr"/>
              <w:spacing w:before="0" w:after="0"/>
              <w:jc w:val="both"/>
              <w:rPr>
                <w:i/>
                <w:sz w:val="20"/>
                <w:szCs w:val="20"/>
              </w:rPr>
            </w:pPr>
            <w:r w:rsidRPr="00B90328">
              <w:rPr>
                <w:i/>
                <w:sz w:val="20"/>
                <w:szCs w:val="20"/>
              </w:rPr>
              <w:t>Komisijas Regulas Nr.800/2008 8.panta 3.punkts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825562" w:rsidRPr="00B90328" w:rsidRDefault="00250ACD" w:rsidP="004B2B42">
            <w:pPr>
              <w:rPr>
                <w:b/>
                <w:i/>
                <w:lang w:val="lv-LV"/>
              </w:rPr>
            </w:pPr>
            <w:r w:rsidRPr="00B90328">
              <w:rPr>
                <w:b/>
                <w:i/>
                <w:lang w:val="lv-LV"/>
              </w:rPr>
              <w:t xml:space="preserve">Noteikumu projekta 36.punkts </w:t>
            </w:r>
          </w:p>
          <w:p w:rsidR="00ED09BE" w:rsidRPr="00B90328" w:rsidRDefault="00250ACD" w:rsidP="004B2B42">
            <w:pPr>
              <w:rPr>
                <w:lang w:val="lv-LV"/>
              </w:rPr>
            </w:pPr>
            <w:r w:rsidRPr="00B90328">
              <w:rPr>
                <w:i/>
                <w:lang w:val="lv-LV"/>
              </w:rPr>
              <w:t>(pēc grozījumiem – grozītais 37.punkts</w:t>
            </w:r>
            <w:r w:rsidR="00825562" w:rsidRPr="00B90328">
              <w:rPr>
                <w:i/>
                <w:lang w:val="lv-LV"/>
              </w:rPr>
              <w:t>)</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4B2B42">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4B2B42">
            <w:pPr>
              <w:pStyle w:val="naiskr"/>
              <w:spacing w:before="0" w:after="0"/>
              <w:jc w:val="both"/>
              <w:rPr>
                <w:i/>
                <w:sz w:val="20"/>
                <w:szCs w:val="20"/>
              </w:rPr>
            </w:pPr>
            <w:r w:rsidRPr="00B90328">
              <w:rPr>
                <w:i/>
                <w:sz w:val="20"/>
                <w:szCs w:val="20"/>
              </w:rPr>
              <w:t>neparedz stingrākas prasības</w:t>
            </w:r>
          </w:p>
        </w:tc>
      </w:tr>
      <w:tr w:rsidR="00ED09BE" w:rsidRPr="00B90328" w:rsidTr="00187C78">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920A5D">
            <w:pPr>
              <w:pStyle w:val="naiskr"/>
              <w:spacing w:before="0" w:after="0"/>
              <w:jc w:val="both"/>
              <w:rPr>
                <w:i/>
                <w:sz w:val="20"/>
                <w:szCs w:val="20"/>
              </w:rPr>
            </w:pPr>
            <w:r w:rsidRPr="00B90328">
              <w:rPr>
                <w:i/>
                <w:sz w:val="20"/>
                <w:szCs w:val="20"/>
              </w:rPr>
              <w:t>Komisijas Regulas Nr.800/2008 7.panta 1.punkts un 5.punkta a) apakšpunkts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825562" w:rsidRPr="00B90328" w:rsidRDefault="00250ACD" w:rsidP="00825562">
            <w:pPr>
              <w:rPr>
                <w:b/>
                <w:i/>
                <w:lang w:val="lv-LV"/>
              </w:rPr>
            </w:pPr>
            <w:r w:rsidRPr="00B90328">
              <w:rPr>
                <w:b/>
                <w:i/>
                <w:lang w:val="lv-LV"/>
              </w:rPr>
              <w:t>Noteikumu projekta 36.punkts</w:t>
            </w:r>
            <w:r w:rsidR="00825562" w:rsidRPr="00B90328">
              <w:rPr>
                <w:b/>
                <w:i/>
                <w:lang w:val="lv-LV"/>
              </w:rPr>
              <w:t xml:space="preserve"> </w:t>
            </w:r>
          </w:p>
          <w:p w:rsidR="00ED09BE" w:rsidRPr="00B90328" w:rsidRDefault="00250ACD" w:rsidP="00920A5D">
            <w:pPr>
              <w:rPr>
                <w:lang w:val="lv-LV"/>
              </w:rPr>
            </w:pPr>
            <w:r w:rsidRPr="00B90328">
              <w:rPr>
                <w:i/>
                <w:lang w:val="lv-LV"/>
              </w:rPr>
              <w:t>(pēc grozījumiem – grozītais 38.punkts</w:t>
            </w:r>
            <w:r w:rsidR="00825562" w:rsidRPr="00B90328">
              <w:rPr>
                <w:i/>
                <w:lang w:val="lv-LV"/>
              </w:rPr>
              <w:t>)</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920A5D">
            <w:pPr>
              <w:pStyle w:val="naiskr"/>
              <w:spacing w:before="0" w:after="0"/>
              <w:jc w:val="both"/>
              <w:rPr>
                <w:i/>
                <w:sz w:val="20"/>
                <w:szCs w:val="20"/>
              </w:rPr>
            </w:pPr>
            <w:r w:rsidRPr="00B9032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920A5D">
            <w:pPr>
              <w:pStyle w:val="naiskr"/>
              <w:spacing w:before="0" w:after="0"/>
              <w:jc w:val="both"/>
              <w:rPr>
                <w:i/>
                <w:sz w:val="20"/>
                <w:szCs w:val="20"/>
              </w:rPr>
            </w:pPr>
            <w:r w:rsidRPr="00B90328">
              <w:rPr>
                <w:i/>
                <w:sz w:val="20"/>
                <w:szCs w:val="20"/>
              </w:rPr>
              <w:t>neparedz stingrākas prasības</w:t>
            </w:r>
          </w:p>
        </w:tc>
      </w:tr>
      <w:tr w:rsidR="00ED09BE" w:rsidRPr="00B90328" w:rsidTr="00ED09BE">
        <w:trPr>
          <w:tblCellSpacing w:w="15" w:type="dxa"/>
        </w:trPr>
        <w:tc>
          <w:tcPr>
            <w:tcW w:w="28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3560C1">
            <w:pPr>
              <w:jc w:val="both"/>
              <w:rPr>
                <w:rFonts w:eastAsia="Times New Roman"/>
                <w:sz w:val="24"/>
                <w:szCs w:val="24"/>
                <w:lang w:val="lv-LV" w:eastAsia="lv-LV"/>
              </w:rPr>
            </w:pPr>
            <w:r w:rsidRPr="00B90328">
              <w:rPr>
                <w:rFonts w:eastAsia="Times New Roman"/>
                <w:sz w:val="24"/>
                <w:szCs w:val="24"/>
                <w:lang w:val="lv-LV" w:eastAsia="lv-LV"/>
              </w:rPr>
              <w:t>Kā ir izmantota ES tiesību aktā paredzētā rīcības brīvība dalībvalstij pārņemt vai ieviest noteiktas ES tiesību akta normas.</w:t>
            </w:r>
          </w:p>
        </w:tc>
        <w:tc>
          <w:tcPr>
            <w:tcW w:w="6292" w:type="dxa"/>
            <w:gridSpan w:val="3"/>
            <w:tcBorders>
              <w:top w:val="outset" w:sz="6" w:space="0" w:color="auto"/>
              <w:left w:val="outset" w:sz="6" w:space="0" w:color="auto"/>
              <w:bottom w:val="outset" w:sz="6" w:space="0" w:color="auto"/>
              <w:right w:val="outset" w:sz="6" w:space="0" w:color="auto"/>
            </w:tcBorders>
            <w:shd w:val="clear" w:color="auto" w:fill="auto"/>
            <w:hideMark/>
          </w:tcPr>
          <w:p w:rsidR="00ED09BE" w:rsidRPr="00B90328" w:rsidRDefault="00ED09BE">
            <w:pPr>
              <w:jc w:val="both"/>
              <w:rPr>
                <w:rFonts w:eastAsia="Times New Roman"/>
                <w:sz w:val="24"/>
                <w:szCs w:val="24"/>
                <w:lang w:val="lv-LV" w:eastAsia="lv-LV"/>
              </w:rPr>
            </w:pPr>
            <w:r w:rsidRPr="00B90328">
              <w:rPr>
                <w:rFonts w:eastAsia="Times New Roman"/>
                <w:sz w:val="24"/>
                <w:szCs w:val="24"/>
                <w:lang w:val="lv-LV" w:eastAsia="lv-LV"/>
              </w:rPr>
              <w:t>Nav attiecināms.</w:t>
            </w:r>
          </w:p>
        </w:tc>
      </w:tr>
      <w:tr w:rsidR="00ED09BE" w:rsidRPr="00D33ECA" w:rsidTr="00ED09BE">
        <w:trPr>
          <w:tblCellSpacing w:w="15" w:type="dxa"/>
        </w:trPr>
        <w:tc>
          <w:tcPr>
            <w:tcW w:w="28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D09BE" w:rsidRPr="00B90328" w:rsidRDefault="00ED09BE" w:rsidP="003560C1">
            <w:pPr>
              <w:jc w:val="both"/>
              <w:rPr>
                <w:rFonts w:eastAsia="Times New Roman"/>
                <w:sz w:val="24"/>
                <w:szCs w:val="24"/>
                <w:lang w:val="lv-LV" w:eastAsia="lv-LV"/>
              </w:rPr>
            </w:pPr>
            <w:r w:rsidRPr="00B90328">
              <w:rPr>
                <w:rFonts w:eastAsia="Times New Roman"/>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92" w:type="dxa"/>
            <w:gridSpan w:val="3"/>
            <w:tcBorders>
              <w:top w:val="outset" w:sz="6" w:space="0" w:color="auto"/>
              <w:left w:val="outset" w:sz="6" w:space="0" w:color="auto"/>
              <w:bottom w:val="outset" w:sz="6" w:space="0" w:color="auto"/>
              <w:right w:val="outset" w:sz="6" w:space="0" w:color="auto"/>
            </w:tcBorders>
            <w:shd w:val="clear" w:color="auto" w:fill="auto"/>
            <w:hideMark/>
          </w:tcPr>
          <w:p w:rsidR="00ED09BE" w:rsidRPr="00B90328" w:rsidRDefault="00F30930" w:rsidP="003F66AD">
            <w:pPr>
              <w:jc w:val="both"/>
              <w:rPr>
                <w:rFonts w:eastAsia="Times New Roman"/>
                <w:sz w:val="24"/>
                <w:szCs w:val="24"/>
                <w:lang w:val="lv-LV" w:eastAsia="lv-LV"/>
              </w:rPr>
            </w:pPr>
            <w:r w:rsidRPr="00B90328">
              <w:rPr>
                <w:sz w:val="24"/>
                <w:szCs w:val="24"/>
                <w:lang w:val="lv-LV"/>
              </w:rPr>
              <w:t>P</w:t>
            </w:r>
            <w:r w:rsidR="00250ACD" w:rsidRPr="00B90328">
              <w:rPr>
                <w:sz w:val="24"/>
                <w:szCs w:val="24"/>
                <w:lang w:val="lv-LV"/>
              </w:rPr>
              <w:t>ar</w:t>
            </w:r>
            <w:r w:rsidR="00ED09BE" w:rsidRPr="00B90328">
              <w:rPr>
                <w:sz w:val="24"/>
                <w:szCs w:val="24"/>
                <w:lang w:val="lv-LV"/>
              </w:rPr>
              <w:t xml:space="preserve"> atbalsta programmas grozījumiem saskaņā ar Komisijas Regulas Nr.800/2008 9.pantu EK ir jānosūta kopsavilkuma informācija 20 darbdienu laikā pēc MK noteikumu spēkā stāšanās.</w:t>
            </w:r>
          </w:p>
        </w:tc>
      </w:tr>
      <w:tr w:rsidR="00ED09BE" w:rsidRPr="00B90328" w:rsidTr="00ED09BE">
        <w:trPr>
          <w:tblCellSpacing w:w="15" w:type="dxa"/>
        </w:trPr>
        <w:tc>
          <w:tcPr>
            <w:tcW w:w="2830" w:type="dxa"/>
            <w:gridSpan w:val="2"/>
            <w:tcBorders>
              <w:top w:val="outset" w:sz="6" w:space="0" w:color="auto"/>
              <w:left w:val="outset" w:sz="6" w:space="0" w:color="auto"/>
              <w:bottom w:val="outset" w:sz="6" w:space="0" w:color="auto"/>
              <w:right w:val="outset" w:sz="6" w:space="0" w:color="auto"/>
            </w:tcBorders>
            <w:shd w:val="clear" w:color="auto" w:fill="auto"/>
            <w:hideMark/>
          </w:tcPr>
          <w:p w:rsidR="00ED09BE" w:rsidRPr="00B90328" w:rsidRDefault="00ED09BE" w:rsidP="003560C1">
            <w:pPr>
              <w:jc w:val="both"/>
              <w:rPr>
                <w:rFonts w:eastAsia="Times New Roman"/>
                <w:sz w:val="24"/>
                <w:szCs w:val="24"/>
                <w:lang w:val="lv-LV" w:eastAsia="lv-LV"/>
              </w:rPr>
            </w:pPr>
            <w:r w:rsidRPr="00B90328">
              <w:rPr>
                <w:rFonts w:eastAsia="Times New Roman"/>
                <w:sz w:val="24"/>
                <w:szCs w:val="24"/>
                <w:lang w:val="lv-LV" w:eastAsia="lv-LV"/>
              </w:rPr>
              <w:t>Cita informācija</w:t>
            </w:r>
          </w:p>
        </w:tc>
        <w:tc>
          <w:tcPr>
            <w:tcW w:w="6292" w:type="dxa"/>
            <w:gridSpan w:val="3"/>
            <w:tcBorders>
              <w:top w:val="outset" w:sz="6" w:space="0" w:color="auto"/>
              <w:left w:val="outset" w:sz="6" w:space="0" w:color="auto"/>
              <w:bottom w:val="outset" w:sz="6" w:space="0" w:color="auto"/>
              <w:right w:val="outset" w:sz="6" w:space="0" w:color="auto"/>
            </w:tcBorders>
            <w:shd w:val="clear" w:color="auto" w:fill="auto"/>
            <w:hideMark/>
          </w:tcPr>
          <w:p w:rsidR="00ED09BE" w:rsidRPr="00B90328" w:rsidRDefault="00ED09BE">
            <w:pPr>
              <w:jc w:val="both"/>
              <w:rPr>
                <w:rFonts w:eastAsia="Times New Roman"/>
                <w:sz w:val="24"/>
                <w:szCs w:val="24"/>
                <w:lang w:val="lv-LV" w:eastAsia="lv-LV"/>
              </w:rPr>
            </w:pPr>
            <w:r w:rsidRPr="00B90328">
              <w:rPr>
                <w:rFonts w:eastAsia="Times New Roman"/>
                <w:sz w:val="24"/>
                <w:szCs w:val="24"/>
                <w:lang w:val="lv-LV" w:eastAsia="lv-LV"/>
              </w:rPr>
              <w:t>Nav</w:t>
            </w:r>
          </w:p>
        </w:tc>
      </w:tr>
    </w:tbl>
    <w:p w:rsidR="000D5E5F" w:rsidRPr="00B90328" w:rsidRDefault="000D5E5F" w:rsidP="003560C1">
      <w:pPr>
        <w:tabs>
          <w:tab w:val="left" w:pos="7655"/>
        </w:tabs>
        <w:jc w:val="both"/>
        <w:rPr>
          <w:bCs/>
          <w:sz w:val="24"/>
          <w:szCs w:val="24"/>
          <w:lang w:val="lv-LV"/>
        </w:rPr>
      </w:pPr>
    </w:p>
    <w:p w:rsidR="00143E4D" w:rsidRPr="00B90328" w:rsidRDefault="00143E4D" w:rsidP="003560C1">
      <w:pPr>
        <w:tabs>
          <w:tab w:val="left" w:pos="7655"/>
        </w:tabs>
        <w:jc w:val="both"/>
        <w:rPr>
          <w:bCs/>
          <w:sz w:val="24"/>
          <w:szCs w:val="24"/>
          <w:lang w:val="lv-LV"/>
        </w:rPr>
      </w:pPr>
    </w:p>
    <w:tbl>
      <w:tblPr>
        <w:tblW w:w="4989" w:type="pct"/>
        <w:tblInd w:w="20" w:type="dxa"/>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CellMar>
          <w:top w:w="20" w:type="dxa"/>
          <w:left w:w="20" w:type="dxa"/>
          <w:bottom w:w="20" w:type="dxa"/>
          <w:right w:w="20" w:type="dxa"/>
        </w:tblCellMar>
        <w:tblLook w:val="04A0"/>
      </w:tblPr>
      <w:tblGrid>
        <w:gridCol w:w="220"/>
        <w:gridCol w:w="3015"/>
        <w:gridCol w:w="5856"/>
      </w:tblGrid>
      <w:tr w:rsidR="00E73480" w:rsidRPr="00D33ECA" w:rsidTr="008C2BA5">
        <w:tc>
          <w:tcPr>
            <w:tcW w:w="5000" w:type="pct"/>
            <w:gridSpan w:val="3"/>
            <w:hideMark/>
          </w:tcPr>
          <w:p w:rsidR="00E73480" w:rsidRPr="00B90328" w:rsidRDefault="00E73480" w:rsidP="00D66748">
            <w:pPr>
              <w:jc w:val="center"/>
              <w:rPr>
                <w:sz w:val="24"/>
                <w:szCs w:val="24"/>
                <w:lang w:val="lv-LV" w:eastAsia="lv-LV"/>
              </w:rPr>
            </w:pPr>
            <w:r w:rsidRPr="00B90328">
              <w:rPr>
                <w:b/>
                <w:bCs/>
                <w:sz w:val="24"/>
                <w:szCs w:val="24"/>
                <w:lang w:val="lv-LV" w:eastAsia="lv-LV"/>
              </w:rPr>
              <w:t>VI. Sabiedrības līdzdalība un šīs līdzdalības rezultāti</w:t>
            </w:r>
          </w:p>
        </w:tc>
      </w:tr>
      <w:tr w:rsidR="00E73480" w:rsidRPr="00D33ECA" w:rsidTr="008C2BA5">
        <w:tblPrEx>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PrEx>
        <w:tc>
          <w:tcPr>
            <w:tcW w:w="110" w:type="pct"/>
            <w:hideMark/>
          </w:tcPr>
          <w:p w:rsidR="00E73480" w:rsidRPr="00B90328" w:rsidRDefault="00E73480" w:rsidP="00D66748">
            <w:pPr>
              <w:rPr>
                <w:b/>
                <w:sz w:val="24"/>
                <w:szCs w:val="24"/>
                <w:lang w:val="lv-LV" w:eastAsia="lv-LV"/>
              </w:rPr>
            </w:pPr>
            <w:r w:rsidRPr="00B90328">
              <w:rPr>
                <w:b/>
                <w:sz w:val="24"/>
                <w:szCs w:val="24"/>
                <w:lang w:val="lv-LV" w:eastAsia="lv-LV"/>
              </w:rPr>
              <w:t>1.</w:t>
            </w:r>
          </w:p>
        </w:tc>
        <w:tc>
          <w:tcPr>
            <w:tcW w:w="0" w:type="auto"/>
            <w:hideMark/>
          </w:tcPr>
          <w:p w:rsidR="00E73480" w:rsidRPr="00B90328" w:rsidRDefault="00E73480" w:rsidP="00D66748">
            <w:pPr>
              <w:rPr>
                <w:b/>
                <w:sz w:val="24"/>
                <w:szCs w:val="24"/>
                <w:lang w:val="lv-LV" w:eastAsia="lv-LV"/>
              </w:rPr>
            </w:pPr>
            <w:r w:rsidRPr="00B90328">
              <w:rPr>
                <w:b/>
                <w:sz w:val="24"/>
                <w:szCs w:val="24"/>
                <w:lang w:val="lv-LV" w:eastAsia="lv-LV"/>
              </w:rPr>
              <w:t>Sabiedrības informēšana par projekta izstrādes uzsākšanu</w:t>
            </w:r>
          </w:p>
        </w:tc>
        <w:tc>
          <w:tcPr>
            <w:tcW w:w="0" w:type="auto"/>
            <w:hideMark/>
          </w:tcPr>
          <w:p w:rsidR="00E73480" w:rsidRPr="00B90328" w:rsidRDefault="00E73480" w:rsidP="008C2BA5">
            <w:pPr>
              <w:rPr>
                <w:b/>
                <w:sz w:val="24"/>
                <w:szCs w:val="24"/>
                <w:lang w:val="lv-LV" w:eastAsia="lv-LV"/>
              </w:rPr>
            </w:pPr>
            <w:r w:rsidRPr="00B90328">
              <w:rPr>
                <w:b/>
                <w:sz w:val="24"/>
                <w:szCs w:val="24"/>
                <w:lang w:val="lv-LV" w:eastAsia="lv-LV"/>
              </w:rPr>
              <w:t xml:space="preserve">Projekts tika </w:t>
            </w:r>
            <w:r w:rsidR="008C2BA5" w:rsidRPr="00B90328">
              <w:rPr>
                <w:b/>
                <w:sz w:val="24"/>
                <w:szCs w:val="24"/>
                <w:lang w:val="lv-LV" w:eastAsia="lv-LV"/>
              </w:rPr>
              <w:t>izsūtīts viedokļa sniegšanai Latvijas Tirdzniecības un rūpniecības kamerai un kompetences centriem</w:t>
            </w:r>
          </w:p>
        </w:tc>
      </w:tr>
      <w:tr w:rsidR="00E73480" w:rsidRPr="00B90328" w:rsidTr="008C2BA5">
        <w:tblPrEx>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PrEx>
        <w:tc>
          <w:tcPr>
            <w:tcW w:w="110" w:type="pct"/>
            <w:hideMark/>
          </w:tcPr>
          <w:p w:rsidR="00E73480" w:rsidRPr="00B90328" w:rsidRDefault="00E73480" w:rsidP="00D66748">
            <w:pPr>
              <w:rPr>
                <w:b/>
                <w:sz w:val="24"/>
                <w:szCs w:val="24"/>
                <w:lang w:val="lv-LV" w:eastAsia="lv-LV"/>
              </w:rPr>
            </w:pPr>
            <w:r w:rsidRPr="00B90328">
              <w:rPr>
                <w:b/>
                <w:sz w:val="24"/>
                <w:szCs w:val="24"/>
                <w:lang w:val="lv-LV" w:eastAsia="lv-LV"/>
              </w:rPr>
              <w:t>2.</w:t>
            </w:r>
          </w:p>
        </w:tc>
        <w:tc>
          <w:tcPr>
            <w:tcW w:w="0" w:type="auto"/>
            <w:hideMark/>
          </w:tcPr>
          <w:p w:rsidR="00E73480" w:rsidRPr="00B90328" w:rsidRDefault="00E73480" w:rsidP="00D66748">
            <w:pPr>
              <w:rPr>
                <w:b/>
                <w:sz w:val="24"/>
                <w:szCs w:val="24"/>
                <w:lang w:val="lv-LV" w:eastAsia="lv-LV"/>
              </w:rPr>
            </w:pPr>
            <w:r w:rsidRPr="00B90328">
              <w:rPr>
                <w:b/>
                <w:sz w:val="24"/>
                <w:szCs w:val="24"/>
                <w:lang w:val="lv-LV" w:eastAsia="lv-LV"/>
              </w:rPr>
              <w:t>Sabiedrības līdzdalība projekta izstrādē</w:t>
            </w:r>
          </w:p>
        </w:tc>
        <w:tc>
          <w:tcPr>
            <w:tcW w:w="0" w:type="auto"/>
            <w:hideMark/>
          </w:tcPr>
          <w:p w:rsidR="00E73480" w:rsidRPr="00B90328" w:rsidRDefault="00E73480" w:rsidP="00E73480">
            <w:pPr>
              <w:rPr>
                <w:b/>
                <w:sz w:val="24"/>
                <w:szCs w:val="24"/>
                <w:lang w:val="lv-LV" w:eastAsia="lv-LV"/>
              </w:rPr>
            </w:pPr>
            <w:r w:rsidRPr="00B90328">
              <w:rPr>
                <w:b/>
                <w:sz w:val="24"/>
                <w:szCs w:val="24"/>
                <w:lang w:val="lv-LV" w:eastAsia="lv-LV"/>
              </w:rPr>
              <w:t>Latvijas Tirdzniecības un rūpniecības kamera un kompetences centri tika uzaicināti sniegt viedokli par projektu</w:t>
            </w:r>
          </w:p>
        </w:tc>
      </w:tr>
      <w:tr w:rsidR="00E73480" w:rsidRPr="00B90328" w:rsidTr="008C2BA5">
        <w:tblPrEx>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PrEx>
        <w:tc>
          <w:tcPr>
            <w:tcW w:w="110" w:type="pct"/>
            <w:hideMark/>
          </w:tcPr>
          <w:p w:rsidR="00E73480" w:rsidRPr="00B90328" w:rsidRDefault="00E73480" w:rsidP="00D66748">
            <w:pPr>
              <w:rPr>
                <w:b/>
                <w:sz w:val="24"/>
                <w:szCs w:val="24"/>
                <w:lang w:val="lv-LV" w:eastAsia="lv-LV"/>
              </w:rPr>
            </w:pPr>
            <w:r w:rsidRPr="00B90328">
              <w:rPr>
                <w:b/>
                <w:sz w:val="24"/>
                <w:szCs w:val="24"/>
                <w:lang w:val="lv-LV" w:eastAsia="lv-LV"/>
              </w:rPr>
              <w:t>3.</w:t>
            </w:r>
          </w:p>
        </w:tc>
        <w:tc>
          <w:tcPr>
            <w:tcW w:w="0" w:type="auto"/>
            <w:hideMark/>
          </w:tcPr>
          <w:p w:rsidR="00E73480" w:rsidRPr="00B90328" w:rsidRDefault="00E73480" w:rsidP="00D66748">
            <w:pPr>
              <w:rPr>
                <w:b/>
                <w:sz w:val="24"/>
                <w:szCs w:val="24"/>
                <w:lang w:val="lv-LV" w:eastAsia="lv-LV"/>
              </w:rPr>
            </w:pPr>
            <w:r w:rsidRPr="00B90328">
              <w:rPr>
                <w:b/>
                <w:sz w:val="24"/>
                <w:szCs w:val="24"/>
                <w:lang w:val="lv-LV" w:eastAsia="lv-LV"/>
              </w:rPr>
              <w:t>Sabiedrības līdzdalības rezultāti</w:t>
            </w:r>
          </w:p>
        </w:tc>
        <w:tc>
          <w:tcPr>
            <w:tcW w:w="0" w:type="auto"/>
            <w:hideMark/>
          </w:tcPr>
          <w:p w:rsidR="00E73480" w:rsidRPr="00B90328" w:rsidRDefault="00E73480" w:rsidP="00E73480">
            <w:pPr>
              <w:rPr>
                <w:b/>
                <w:sz w:val="24"/>
                <w:szCs w:val="24"/>
                <w:lang w:val="lv-LV" w:eastAsia="lv-LV"/>
              </w:rPr>
            </w:pPr>
            <w:r w:rsidRPr="00B90328">
              <w:rPr>
                <w:b/>
                <w:sz w:val="24"/>
                <w:szCs w:val="24"/>
                <w:lang w:val="lv-LV" w:eastAsia="lv-LV"/>
              </w:rPr>
              <w:t>Latvijas Tirdzniecības un rūpniecības kameras un kompetences centru priekšlikumi iestrādāti projektā</w:t>
            </w:r>
          </w:p>
        </w:tc>
      </w:tr>
      <w:tr w:rsidR="00E73480" w:rsidRPr="00B90328" w:rsidTr="008C2BA5">
        <w:tblPrEx>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PrEx>
        <w:tc>
          <w:tcPr>
            <w:tcW w:w="110" w:type="pct"/>
            <w:hideMark/>
          </w:tcPr>
          <w:p w:rsidR="00E73480" w:rsidRPr="00B90328" w:rsidRDefault="00E73480" w:rsidP="00D66748">
            <w:pPr>
              <w:rPr>
                <w:b/>
                <w:sz w:val="24"/>
                <w:szCs w:val="24"/>
                <w:lang w:val="lv-LV" w:eastAsia="lv-LV"/>
              </w:rPr>
            </w:pPr>
            <w:r w:rsidRPr="00B90328">
              <w:rPr>
                <w:b/>
                <w:sz w:val="24"/>
                <w:szCs w:val="24"/>
                <w:lang w:val="lv-LV" w:eastAsia="lv-LV"/>
              </w:rPr>
              <w:t>4.</w:t>
            </w:r>
          </w:p>
        </w:tc>
        <w:tc>
          <w:tcPr>
            <w:tcW w:w="0" w:type="auto"/>
            <w:hideMark/>
          </w:tcPr>
          <w:p w:rsidR="00E73480" w:rsidRPr="00B90328" w:rsidRDefault="00E73480" w:rsidP="00D66748">
            <w:pPr>
              <w:rPr>
                <w:b/>
                <w:sz w:val="24"/>
                <w:szCs w:val="24"/>
                <w:lang w:val="lv-LV" w:eastAsia="lv-LV"/>
              </w:rPr>
            </w:pPr>
            <w:r w:rsidRPr="00B90328">
              <w:rPr>
                <w:b/>
                <w:sz w:val="24"/>
                <w:szCs w:val="24"/>
                <w:lang w:val="lv-LV" w:eastAsia="lv-LV"/>
              </w:rPr>
              <w:t>Saeimas un ekspertu līdzdalība</w:t>
            </w:r>
          </w:p>
        </w:tc>
        <w:tc>
          <w:tcPr>
            <w:tcW w:w="0" w:type="auto"/>
            <w:hideMark/>
          </w:tcPr>
          <w:p w:rsidR="00E73480" w:rsidRPr="00B90328" w:rsidRDefault="00E73480" w:rsidP="00D66748">
            <w:pPr>
              <w:rPr>
                <w:b/>
                <w:sz w:val="24"/>
                <w:szCs w:val="24"/>
                <w:lang w:val="lv-LV" w:eastAsia="lv-LV"/>
              </w:rPr>
            </w:pPr>
            <w:r w:rsidRPr="00B90328">
              <w:rPr>
                <w:b/>
                <w:sz w:val="24"/>
                <w:szCs w:val="24"/>
                <w:lang w:val="lv-LV" w:eastAsia="lv-LV"/>
              </w:rPr>
              <w:t>Nav</w:t>
            </w:r>
          </w:p>
        </w:tc>
      </w:tr>
      <w:tr w:rsidR="00E73480" w:rsidRPr="00B90328" w:rsidTr="008C2BA5">
        <w:tblPrEx>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PrEx>
        <w:tc>
          <w:tcPr>
            <w:tcW w:w="110" w:type="pct"/>
            <w:hideMark/>
          </w:tcPr>
          <w:p w:rsidR="00E73480" w:rsidRPr="00B90328" w:rsidRDefault="00E73480" w:rsidP="00D66748">
            <w:pPr>
              <w:rPr>
                <w:b/>
                <w:sz w:val="24"/>
                <w:szCs w:val="24"/>
                <w:lang w:val="lv-LV" w:eastAsia="lv-LV"/>
              </w:rPr>
            </w:pPr>
            <w:r w:rsidRPr="00B90328">
              <w:rPr>
                <w:b/>
                <w:sz w:val="24"/>
                <w:szCs w:val="24"/>
                <w:lang w:val="lv-LV" w:eastAsia="lv-LV"/>
              </w:rPr>
              <w:t>5.</w:t>
            </w:r>
          </w:p>
        </w:tc>
        <w:tc>
          <w:tcPr>
            <w:tcW w:w="0" w:type="auto"/>
            <w:hideMark/>
          </w:tcPr>
          <w:p w:rsidR="00E73480" w:rsidRPr="00B90328" w:rsidRDefault="00E73480" w:rsidP="00D66748">
            <w:pPr>
              <w:rPr>
                <w:b/>
                <w:sz w:val="24"/>
                <w:szCs w:val="24"/>
                <w:lang w:val="lv-LV" w:eastAsia="lv-LV"/>
              </w:rPr>
            </w:pPr>
            <w:r w:rsidRPr="00B90328">
              <w:rPr>
                <w:b/>
                <w:sz w:val="24"/>
                <w:szCs w:val="24"/>
                <w:lang w:val="lv-LV" w:eastAsia="lv-LV"/>
              </w:rPr>
              <w:t>Cita informācija</w:t>
            </w:r>
          </w:p>
        </w:tc>
        <w:tc>
          <w:tcPr>
            <w:tcW w:w="0" w:type="auto"/>
            <w:hideMark/>
          </w:tcPr>
          <w:p w:rsidR="00E73480" w:rsidRPr="00B90328" w:rsidRDefault="00E73480" w:rsidP="00D66748">
            <w:pPr>
              <w:rPr>
                <w:b/>
                <w:sz w:val="24"/>
                <w:szCs w:val="24"/>
                <w:lang w:val="lv-LV" w:eastAsia="lv-LV"/>
              </w:rPr>
            </w:pPr>
            <w:r w:rsidRPr="00B90328">
              <w:rPr>
                <w:b/>
                <w:sz w:val="24"/>
                <w:szCs w:val="24"/>
                <w:lang w:val="lv-LV" w:eastAsia="lv-LV"/>
              </w:rPr>
              <w:t>Nav</w:t>
            </w:r>
          </w:p>
        </w:tc>
      </w:tr>
    </w:tbl>
    <w:p w:rsidR="00EC4E47" w:rsidRPr="00B90328" w:rsidRDefault="00EC4E47" w:rsidP="00EC4E47">
      <w:pPr>
        <w:pStyle w:val="NormalWeb"/>
        <w:spacing w:before="0" w:beforeAutospacing="0" w:after="0" w:afterAutospacing="0"/>
        <w:jc w:val="center"/>
        <w:rPr>
          <w:b/>
          <w:lang w:val="lv-LV"/>
        </w:rPr>
      </w:pPr>
    </w:p>
    <w:p w:rsidR="00143E4D" w:rsidRPr="00B90328" w:rsidRDefault="00143E4D" w:rsidP="00EC4E47">
      <w:pPr>
        <w:pStyle w:val="NormalWeb"/>
        <w:spacing w:before="0" w:beforeAutospacing="0" w:after="0" w:afterAutospacing="0"/>
        <w:jc w:val="center"/>
        <w:rPr>
          <w:b/>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417"/>
        <w:gridCol w:w="5670"/>
      </w:tblGrid>
      <w:tr w:rsidR="00EC4E47" w:rsidRPr="00D33ECA" w:rsidTr="0097540F">
        <w:tc>
          <w:tcPr>
            <w:tcW w:w="9087" w:type="dxa"/>
            <w:gridSpan w:val="2"/>
            <w:hideMark/>
          </w:tcPr>
          <w:p w:rsidR="00EC4E47" w:rsidRPr="00B90328" w:rsidRDefault="00250ACD" w:rsidP="0097540F">
            <w:pPr>
              <w:jc w:val="center"/>
              <w:rPr>
                <w:rFonts w:eastAsia="Times New Roman"/>
                <w:b/>
                <w:sz w:val="24"/>
                <w:szCs w:val="24"/>
                <w:lang w:val="lv-LV" w:eastAsia="lv-LV"/>
              </w:rPr>
            </w:pPr>
            <w:r w:rsidRPr="00B90328">
              <w:rPr>
                <w:rFonts w:eastAsia="Times New Roman"/>
                <w:b/>
                <w:sz w:val="24"/>
                <w:szCs w:val="24"/>
                <w:lang w:val="lv-LV" w:eastAsia="lv-LV"/>
              </w:rPr>
              <w:t>VII. Tiesību akta projekta izpildes nodrošināšana un tās ietekme uz institūcijām</w:t>
            </w:r>
          </w:p>
        </w:tc>
      </w:tr>
      <w:tr w:rsidR="00EC4E47" w:rsidRPr="00D33ECA" w:rsidTr="0097540F">
        <w:tc>
          <w:tcPr>
            <w:tcW w:w="3417" w:type="dxa"/>
            <w:hideMark/>
          </w:tcPr>
          <w:p w:rsidR="00EC4E47" w:rsidRPr="00B90328" w:rsidRDefault="00250ACD" w:rsidP="0097540F">
            <w:pPr>
              <w:rPr>
                <w:rFonts w:eastAsia="Times New Roman"/>
                <w:b/>
                <w:sz w:val="24"/>
                <w:szCs w:val="24"/>
                <w:lang w:val="lv-LV" w:eastAsia="lv-LV"/>
              </w:rPr>
            </w:pPr>
            <w:r w:rsidRPr="00B90328">
              <w:rPr>
                <w:rFonts w:eastAsia="Times New Roman"/>
                <w:b/>
                <w:sz w:val="24"/>
                <w:szCs w:val="24"/>
                <w:lang w:val="lv-LV" w:eastAsia="lv-LV"/>
              </w:rPr>
              <w:t>1. Projekta izpildē iesaistītās institūcijas</w:t>
            </w:r>
          </w:p>
        </w:tc>
        <w:tc>
          <w:tcPr>
            <w:tcW w:w="5670" w:type="dxa"/>
            <w:hideMark/>
          </w:tcPr>
          <w:p w:rsidR="00EC4E47" w:rsidRPr="00B90328" w:rsidRDefault="00250ACD" w:rsidP="0097540F">
            <w:pPr>
              <w:jc w:val="both"/>
              <w:rPr>
                <w:rFonts w:eastAsia="Times New Roman"/>
                <w:b/>
                <w:sz w:val="24"/>
                <w:szCs w:val="24"/>
                <w:lang w:val="lv-LV" w:eastAsia="lv-LV"/>
              </w:rPr>
            </w:pPr>
            <w:r w:rsidRPr="00B90328">
              <w:rPr>
                <w:b/>
                <w:sz w:val="24"/>
                <w:szCs w:val="24"/>
                <w:lang w:val="lv-LV"/>
              </w:rPr>
              <w:t>Noteikumu projekta izpildē ir iesaistīta valsts aģentūra „Latvijas Investīciju un attīstības aģentūra”.</w:t>
            </w:r>
          </w:p>
        </w:tc>
      </w:tr>
      <w:tr w:rsidR="00EC4E47" w:rsidRPr="00D33ECA" w:rsidTr="0097540F">
        <w:tc>
          <w:tcPr>
            <w:tcW w:w="3417" w:type="dxa"/>
            <w:hideMark/>
          </w:tcPr>
          <w:p w:rsidR="00EC4E47" w:rsidRPr="00B90328" w:rsidRDefault="00250ACD" w:rsidP="0097540F">
            <w:pPr>
              <w:rPr>
                <w:rFonts w:eastAsia="Times New Roman"/>
                <w:b/>
                <w:sz w:val="24"/>
                <w:szCs w:val="24"/>
                <w:lang w:val="lv-LV" w:eastAsia="lv-LV"/>
              </w:rPr>
            </w:pPr>
            <w:r w:rsidRPr="00B90328">
              <w:rPr>
                <w:rFonts w:eastAsia="Times New Roman"/>
                <w:b/>
                <w:sz w:val="24"/>
                <w:szCs w:val="24"/>
                <w:lang w:val="lv-LV" w:eastAsia="lv-LV"/>
              </w:rPr>
              <w:t>2. Projekta izpildes ietekme uz pārvaldes funkcijā</w:t>
            </w:r>
          </w:p>
        </w:tc>
        <w:tc>
          <w:tcPr>
            <w:tcW w:w="5670" w:type="dxa"/>
            <w:hideMark/>
          </w:tcPr>
          <w:p w:rsidR="00EC4E47" w:rsidRPr="00B90328" w:rsidRDefault="00250ACD" w:rsidP="0097540F">
            <w:pPr>
              <w:jc w:val="both"/>
              <w:rPr>
                <w:b/>
                <w:sz w:val="24"/>
                <w:szCs w:val="24"/>
                <w:lang w:val="lv-LV"/>
              </w:rPr>
            </w:pPr>
            <w:r w:rsidRPr="00B90328">
              <w:rPr>
                <w:b/>
                <w:sz w:val="24"/>
                <w:szCs w:val="24"/>
                <w:lang w:val="lv-LV"/>
              </w:rPr>
              <w:t>Noteikumu projekta izpildi nodrošinās valsts aģentūras „Latvijas Investīciju un attīstības aģentūra” darbības ietvaros.</w:t>
            </w:r>
          </w:p>
        </w:tc>
      </w:tr>
      <w:tr w:rsidR="00EC4E47" w:rsidRPr="00B90328" w:rsidTr="0097540F">
        <w:trPr>
          <w:trHeight w:val="930"/>
        </w:trPr>
        <w:tc>
          <w:tcPr>
            <w:tcW w:w="3417" w:type="dxa"/>
            <w:hideMark/>
          </w:tcPr>
          <w:p w:rsidR="00EC4E47" w:rsidRPr="00B90328" w:rsidRDefault="00250ACD" w:rsidP="0097540F">
            <w:pPr>
              <w:rPr>
                <w:rFonts w:eastAsia="Times New Roman"/>
                <w:b/>
                <w:sz w:val="24"/>
                <w:szCs w:val="24"/>
                <w:lang w:val="lv-LV" w:eastAsia="lv-LV"/>
              </w:rPr>
            </w:pPr>
            <w:r w:rsidRPr="00B90328">
              <w:rPr>
                <w:rFonts w:eastAsia="Times New Roman"/>
                <w:b/>
                <w:sz w:val="24"/>
                <w:szCs w:val="24"/>
                <w:lang w:val="lv-LV" w:eastAsia="lv-LV"/>
              </w:rPr>
              <w:t>3. Projekta izpildes ietekme uz pārvaldes institucionālo struktūru. Jaunu institūciju izveide</w:t>
            </w:r>
          </w:p>
        </w:tc>
        <w:tc>
          <w:tcPr>
            <w:tcW w:w="5670" w:type="dxa"/>
            <w:hideMark/>
          </w:tcPr>
          <w:p w:rsidR="00EC4E47" w:rsidRPr="00B90328" w:rsidRDefault="00250ACD" w:rsidP="0097540F">
            <w:pPr>
              <w:jc w:val="both"/>
              <w:rPr>
                <w:rFonts w:eastAsia="Times New Roman"/>
                <w:b/>
                <w:sz w:val="24"/>
                <w:szCs w:val="24"/>
                <w:lang w:val="lv-LV" w:eastAsia="lv-LV"/>
              </w:rPr>
            </w:pPr>
            <w:r w:rsidRPr="00B90328">
              <w:rPr>
                <w:b/>
                <w:sz w:val="24"/>
                <w:szCs w:val="24"/>
                <w:lang w:val="lv-LV"/>
              </w:rPr>
              <w:t>Noteikumu projekta izpildei nav nepieciešams radīt jaunas institūcijas.</w:t>
            </w:r>
          </w:p>
        </w:tc>
      </w:tr>
      <w:tr w:rsidR="00EC4E47" w:rsidRPr="00D33ECA" w:rsidTr="0097540F">
        <w:trPr>
          <w:trHeight w:val="1133"/>
        </w:trPr>
        <w:tc>
          <w:tcPr>
            <w:tcW w:w="3417" w:type="dxa"/>
            <w:hideMark/>
          </w:tcPr>
          <w:p w:rsidR="00EC4E47" w:rsidRPr="00B90328" w:rsidRDefault="00250ACD" w:rsidP="0097540F">
            <w:pPr>
              <w:rPr>
                <w:rFonts w:eastAsia="Times New Roman"/>
                <w:b/>
                <w:sz w:val="24"/>
                <w:szCs w:val="24"/>
                <w:lang w:val="lv-LV" w:eastAsia="lv-LV"/>
              </w:rPr>
            </w:pPr>
            <w:r w:rsidRPr="00B90328">
              <w:rPr>
                <w:rFonts w:eastAsia="Times New Roman"/>
                <w:b/>
                <w:sz w:val="24"/>
                <w:szCs w:val="24"/>
                <w:lang w:val="lv-LV" w:eastAsia="lv-LV"/>
              </w:rPr>
              <w:t>4. Projekta izpildes ietekmes uz pārvaldes institucionālo struktūru. Esošu institūciju likvidācija</w:t>
            </w:r>
          </w:p>
        </w:tc>
        <w:tc>
          <w:tcPr>
            <w:tcW w:w="5670" w:type="dxa"/>
            <w:hideMark/>
          </w:tcPr>
          <w:p w:rsidR="00EC4E47" w:rsidRPr="00B90328" w:rsidRDefault="00250ACD" w:rsidP="0097540F">
            <w:pPr>
              <w:jc w:val="both"/>
              <w:rPr>
                <w:rFonts w:eastAsia="Times New Roman"/>
                <w:b/>
                <w:sz w:val="24"/>
                <w:szCs w:val="24"/>
                <w:lang w:val="lv-LV" w:eastAsia="lv-LV"/>
              </w:rPr>
            </w:pPr>
            <w:r w:rsidRPr="00B90328">
              <w:rPr>
                <w:b/>
                <w:sz w:val="24"/>
                <w:szCs w:val="24"/>
                <w:lang w:val="lv-LV"/>
              </w:rPr>
              <w:t>Noteikumu projekta izpildei nav nepieciešams likvidēt esošās institūcijas.</w:t>
            </w:r>
          </w:p>
        </w:tc>
      </w:tr>
      <w:tr w:rsidR="00EC4E47" w:rsidRPr="00B90328" w:rsidTr="0097540F">
        <w:trPr>
          <w:trHeight w:val="912"/>
        </w:trPr>
        <w:tc>
          <w:tcPr>
            <w:tcW w:w="3417" w:type="dxa"/>
            <w:hideMark/>
          </w:tcPr>
          <w:p w:rsidR="00EC4E47" w:rsidRPr="00B90328" w:rsidRDefault="00250ACD" w:rsidP="0097540F">
            <w:pPr>
              <w:rPr>
                <w:rFonts w:eastAsia="Times New Roman"/>
                <w:b/>
                <w:sz w:val="24"/>
                <w:szCs w:val="24"/>
                <w:lang w:val="lv-LV" w:eastAsia="lv-LV"/>
              </w:rPr>
            </w:pPr>
            <w:r w:rsidRPr="00B90328">
              <w:rPr>
                <w:rFonts w:eastAsia="Times New Roman"/>
                <w:b/>
                <w:sz w:val="24"/>
                <w:szCs w:val="24"/>
                <w:lang w:val="lv-LV" w:eastAsia="lv-LV"/>
              </w:rPr>
              <w:t>5. Projekta izpildes ietekmes uz pārvaldes institucionālo struktūru. Esošu institūciju reorganizācija</w:t>
            </w:r>
          </w:p>
        </w:tc>
        <w:tc>
          <w:tcPr>
            <w:tcW w:w="5670" w:type="dxa"/>
            <w:hideMark/>
          </w:tcPr>
          <w:p w:rsidR="00EC4E47" w:rsidRPr="00B90328" w:rsidRDefault="00250ACD" w:rsidP="0097540F">
            <w:pPr>
              <w:jc w:val="both"/>
              <w:rPr>
                <w:rFonts w:eastAsia="Times New Roman"/>
                <w:b/>
                <w:sz w:val="24"/>
                <w:szCs w:val="24"/>
                <w:lang w:val="lv-LV" w:eastAsia="lv-LV"/>
              </w:rPr>
            </w:pPr>
            <w:r w:rsidRPr="00B90328">
              <w:rPr>
                <w:b/>
                <w:sz w:val="24"/>
                <w:szCs w:val="24"/>
                <w:lang w:val="lv-LV"/>
              </w:rPr>
              <w:t>Noteikumu projekta izpildei nav nepieciešams reorganizēt esošās institūcijas.</w:t>
            </w:r>
          </w:p>
        </w:tc>
      </w:tr>
      <w:tr w:rsidR="00EC4E47" w:rsidRPr="00B90328" w:rsidTr="0097540F">
        <w:tc>
          <w:tcPr>
            <w:tcW w:w="3417" w:type="dxa"/>
            <w:hideMark/>
          </w:tcPr>
          <w:p w:rsidR="00EC4E47" w:rsidRPr="00B90328" w:rsidRDefault="00250ACD" w:rsidP="0097540F">
            <w:pPr>
              <w:rPr>
                <w:rFonts w:eastAsia="Times New Roman"/>
                <w:b/>
                <w:sz w:val="24"/>
                <w:szCs w:val="24"/>
                <w:lang w:val="lv-LV" w:eastAsia="lv-LV"/>
              </w:rPr>
            </w:pPr>
            <w:r w:rsidRPr="00B90328">
              <w:rPr>
                <w:rFonts w:eastAsia="Times New Roman"/>
                <w:b/>
                <w:sz w:val="24"/>
                <w:szCs w:val="24"/>
                <w:lang w:val="lv-LV" w:eastAsia="lv-LV"/>
              </w:rPr>
              <w:t>6. Cita informācija</w:t>
            </w:r>
          </w:p>
        </w:tc>
        <w:tc>
          <w:tcPr>
            <w:tcW w:w="5670" w:type="dxa"/>
            <w:hideMark/>
          </w:tcPr>
          <w:p w:rsidR="00EC4E47" w:rsidRPr="00B90328" w:rsidRDefault="00250ACD" w:rsidP="0097540F">
            <w:pPr>
              <w:rPr>
                <w:rFonts w:eastAsia="Times New Roman"/>
                <w:b/>
                <w:sz w:val="24"/>
                <w:szCs w:val="24"/>
                <w:lang w:val="lv-LV" w:eastAsia="lv-LV"/>
              </w:rPr>
            </w:pPr>
            <w:r w:rsidRPr="00B90328">
              <w:rPr>
                <w:rFonts w:eastAsia="Times New Roman"/>
                <w:b/>
                <w:sz w:val="24"/>
                <w:szCs w:val="24"/>
                <w:lang w:val="lv-LV" w:eastAsia="lv-LV"/>
              </w:rPr>
              <w:t>Nav.</w:t>
            </w:r>
          </w:p>
        </w:tc>
      </w:tr>
    </w:tbl>
    <w:p w:rsidR="005E5B16" w:rsidRPr="00B90328" w:rsidRDefault="005E5B16">
      <w:pPr>
        <w:tabs>
          <w:tab w:val="left" w:pos="7655"/>
        </w:tabs>
        <w:jc w:val="both"/>
        <w:rPr>
          <w:bCs/>
          <w:sz w:val="24"/>
          <w:szCs w:val="24"/>
          <w:lang w:val="lv-LV"/>
        </w:rPr>
      </w:pPr>
    </w:p>
    <w:p w:rsidR="00143E4D" w:rsidRPr="00B90328" w:rsidRDefault="00143E4D">
      <w:pPr>
        <w:tabs>
          <w:tab w:val="left" w:pos="7655"/>
        </w:tabs>
        <w:jc w:val="both"/>
        <w:rPr>
          <w:bCs/>
          <w:sz w:val="24"/>
          <w:szCs w:val="24"/>
          <w:lang w:val="lv-LV"/>
        </w:rPr>
      </w:pPr>
    </w:p>
    <w:p w:rsidR="00143E4D" w:rsidRPr="00B90328" w:rsidRDefault="00143E4D">
      <w:pPr>
        <w:tabs>
          <w:tab w:val="left" w:pos="7655"/>
        </w:tabs>
        <w:jc w:val="both"/>
        <w:rPr>
          <w:bCs/>
          <w:sz w:val="24"/>
          <w:szCs w:val="24"/>
          <w:lang w:val="lv-LV"/>
        </w:rPr>
      </w:pPr>
    </w:p>
    <w:p w:rsidR="00143E4D" w:rsidRPr="00B90328" w:rsidRDefault="00143E4D">
      <w:pPr>
        <w:tabs>
          <w:tab w:val="left" w:pos="7655"/>
        </w:tabs>
        <w:jc w:val="both"/>
        <w:rPr>
          <w:bCs/>
          <w:sz w:val="24"/>
          <w:szCs w:val="24"/>
          <w:lang w:val="lv-LV"/>
        </w:rPr>
      </w:pPr>
    </w:p>
    <w:p w:rsidR="00143E4D" w:rsidRPr="00B90328" w:rsidRDefault="00143E4D">
      <w:pPr>
        <w:tabs>
          <w:tab w:val="left" w:pos="7655"/>
        </w:tabs>
        <w:jc w:val="both"/>
        <w:rPr>
          <w:bCs/>
          <w:sz w:val="24"/>
          <w:szCs w:val="24"/>
          <w:lang w:val="lv-LV"/>
        </w:rPr>
      </w:pPr>
    </w:p>
    <w:p w:rsidR="00A221DB" w:rsidRPr="00B90328" w:rsidRDefault="00A221DB">
      <w:pPr>
        <w:tabs>
          <w:tab w:val="left" w:pos="7655"/>
        </w:tabs>
        <w:jc w:val="both"/>
        <w:rPr>
          <w:bCs/>
          <w:sz w:val="24"/>
          <w:szCs w:val="24"/>
          <w:lang w:val="lv-LV"/>
        </w:rPr>
      </w:pPr>
    </w:p>
    <w:p w:rsidR="000E3350" w:rsidRDefault="000E3350">
      <w:pPr>
        <w:tabs>
          <w:tab w:val="left" w:pos="7655"/>
        </w:tabs>
        <w:jc w:val="both"/>
        <w:rPr>
          <w:bCs/>
          <w:sz w:val="24"/>
          <w:szCs w:val="24"/>
          <w:lang w:val="lv-LV"/>
        </w:rPr>
      </w:pPr>
      <w:r>
        <w:rPr>
          <w:bCs/>
          <w:sz w:val="24"/>
          <w:szCs w:val="24"/>
          <w:lang w:val="lv-LV"/>
        </w:rPr>
        <w:t>Ekonomikas ministra pienākumu izpildītājs</w:t>
      </w:r>
      <w:r w:rsidR="007C3087">
        <w:rPr>
          <w:bCs/>
          <w:sz w:val="24"/>
          <w:szCs w:val="24"/>
          <w:lang w:val="lv-LV"/>
        </w:rPr>
        <w:t>,</w:t>
      </w:r>
    </w:p>
    <w:p w:rsidR="005E5B16" w:rsidRPr="00B90328" w:rsidRDefault="007C3087">
      <w:pPr>
        <w:tabs>
          <w:tab w:val="left" w:pos="7655"/>
        </w:tabs>
        <w:jc w:val="both"/>
        <w:rPr>
          <w:bCs/>
          <w:sz w:val="24"/>
          <w:szCs w:val="24"/>
          <w:lang w:val="lv-LV"/>
        </w:rPr>
      </w:pPr>
      <w:r>
        <w:rPr>
          <w:bCs/>
          <w:sz w:val="24"/>
          <w:szCs w:val="24"/>
          <w:lang w:val="lv-LV"/>
        </w:rPr>
        <w:t>ā</w:t>
      </w:r>
      <w:r w:rsidR="000E3350">
        <w:rPr>
          <w:bCs/>
          <w:sz w:val="24"/>
          <w:szCs w:val="24"/>
          <w:lang w:val="lv-LV"/>
        </w:rPr>
        <w:t xml:space="preserve">rlietu ministrs </w:t>
      </w:r>
      <w:r w:rsidR="001B6E15" w:rsidRPr="00B90328">
        <w:rPr>
          <w:bCs/>
          <w:sz w:val="24"/>
          <w:szCs w:val="24"/>
          <w:lang w:val="lv-LV"/>
        </w:rPr>
        <w:t xml:space="preserve"> </w:t>
      </w:r>
      <w:r w:rsidR="001B6E15" w:rsidRPr="00B90328">
        <w:rPr>
          <w:bCs/>
          <w:sz w:val="24"/>
          <w:szCs w:val="24"/>
          <w:lang w:val="lv-LV"/>
        </w:rPr>
        <w:tab/>
      </w:r>
      <w:proofErr w:type="spellStart"/>
      <w:r w:rsidR="000E3350">
        <w:rPr>
          <w:bCs/>
          <w:sz w:val="24"/>
          <w:szCs w:val="24"/>
          <w:lang w:val="lv-LV"/>
        </w:rPr>
        <w:t>E.Rinkēvičs</w:t>
      </w:r>
      <w:proofErr w:type="spellEnd"/>
    </w:p>
    <w:p w:rsidR="00975AAE" w:rsidRPr="00B90328" w:rsidRDefault="00975AAE">
      <w:pPr>
        <w:pStyle w:val="EnvelopeReturn"/>
        <w:jc w:val="both"/>
        <w:rPr>
          <w:rFonts w:ascii="Times New Roman" w:hAnsi="Times New Roman"/>
          <w:color w:val="000000"/>
          <w:sz w:val="24"/>
          <w:szCs w:val="24"/>
          <w:lang w:val="lv-LV"/>
        </w:rPr>
      </w:pPr>
    </w:p>
    <w:p w:rsidR="00143E4D" w:rsidRPr="00B90328" w:rsidRDefault="00143E4D">
      <w:pPr>
        <w:pStyle w:val="EnvelopeReturn"/>
        <w:jc w:val="both"/>
        <w:rPr>
          <w:rFonts w:ascii="Times New Roman" w:hAnsi="Times New Roman"/>
          <w:color w:val="000000"/>
          <w:sz w:val="24"/>
          <w:szCs w:val="24"/>
          <w:lang w:val="lv-LV"/>
        </w:rPr>
      </w:pPr>
    </w:p>
    <w:p w:rsidR="00143E4D" w:rsidRPr="00B90328" w:rsidRDefault="00143E4D">
      <w:pPr>
        <w:pStyle w:val="EnvelopeReturn"/>
        <w:jc w:val="both"/>
        <w:rPr>
          <w:rFonts w:ascii="Times New Roman" w:hAnsi="Times New Roman"/>
          <w:color w:val="000000"/>
          <w:sz w:val="24"/>
          <w:szCs w:val="24"/>
          <w:lang w:val="lv-LV"/>
        </w:rPr>
      </w:pPr>
    </w:p>
    <w:p w:rsidR="00143E4D" w:rsidRPr="00B90328" w:rsidRDefault="00143E4D">
      <w:pPr>
        <w:pStyle w:val="EnvelopeReturn"/>
        <w:jc w:val="both"/>
        <w:rPr>
          <w:rFonts w:ascii="Times New Roman" w:hAnsi="Times New Roman"/>
          <w:color w:val="000000"/>
          <w:sz w:val="24"/>
          <w:szCs w:val="24"/>
          <w:lang w:val="lv-LV"/>
        </w:rPr>
      </w:pPr>
    </w:p>
    <w:p w:rsidR="00143E4D" w:rsidRPr="00B90328" w:rsidRDefault="00143E4D">
      <w:pPr>
        <w:pStyle w:val="EnvelopeReturn"/>
        <w:jc w:val="both"/>
        <w:rPr>
          <w:rFonts w:ascii="Times New Roman" w:hAnsi="Times New Roman"/>
          <w:color w:val="000000"/>
          <w:sz w:val="24"/>
          <w:szCs w:val="24"/>
          <w:lang w:val="lv-LV"/>
        </w:rPr>
      </w:pPr>
    </w:p>
    <w:p w:rsidR="00143E4D" w:rsidRPr="00B90328" w:rsidRDefault="00143E4D">
      <w:pPr>
        <w:pStyle w:val="EnvelopeReturn"/>
        <w:jc w:val="both"/>
        <w:rPr>
          <w:rFonts w:ascii="Times New Roman" w:hAnsi="Times New Roman"/>
          <w:color w:val="000000"/>
          <w:sz w:val="24"/>
          <w:szCs w:val="24"/>
          <w:lang w:val="lv-LV"/>
        </w:rPr>
      </w:pPr>
    </w:p>
    <w:p w:rsidR="005E5B16" w:rsidRPr="00B90328" w:rsidRDefault="005E5B16">
      <w:pPr>
        <w:pStyle w:val="EnvelopeReturn"/>
        <w:jc w:val="both"/>
        <w:rPr>
          <w:rFonts w:ascii="Times New Roman" w:hAnsi="Times New Roman"/>
          <w:color w:val="000000"/>
          <w:sz w:val="24"/>
          <w:szCs w:val="24"/>
          <w:lang w:val="lv-LV"/>
        </w:rPr>
      </w:pPr>
    </w:p>
    <w:p w:rsidR="00AD3839" w:rsidRPr="000E3350" w:rsidRDefault="00AD3839" w:rsidP="00AD3839">
      <w:pPr>
        <w:jc w:val="both"/>
        <w:rPr>
          <w:sz w:val="24"/>
          <w:szCs w:val="24"/>
          <w:lang w:val="lv-LV"/>
        </w:rPr>
      </w:pPr>
      <w:r w:rsidRPr="000E3350">
        <w:rPr>
          <w:sz w:val="24"/>
          <w:szCs w:val="24"/>
          <w:lang w:val="lv-LV"/>
        </w:rPr>
        <w:t xml:space="preserve">Vīza: Valsts sekretārs </w:t>
      </w:r>
      <w:r w:rsidRPr="000E3350">
        <w:rPr>
          <w:sz w:val="24"/>
          <w:szCs w:val="24"/>
          <w:lang w:val="lv-LV"/>
        </w:rPr>
        <w:tab/>
      </w:r>
      <w:r w:rsidRPr="000E3350">
        <w:rPr>
          <w:sz w:val="24"/>
          <w:szCs w:val="24"/>
          <w:lang w:val="lv-LV"/>
        </w:rPr>
        <w:tab/>
      </w:r>
      <w:r w:rsidRPr="000E3350">
        <w:rPr>
          <w:sz w:val="24"/>
          <w:szCs w:val="24"/>
          <w:lang w:val="lv-LV"/>
        </w:rPr>
        <w:tab/>
      </w:r>
      <w:r w:rsidRPr="000E3350">
        <w:rPr>
          <w:sz w:val="24"/>
          <w:szCs w:val="24"/>
          <w:lang w:val="lv-LV"/>
        </w:rPr>
        <w:tab/>
      </w:r>
      <w:r w:rsidRPr="000E3350">
        <w:rPr>
          <w:sz w:val="24"/>
          <w:szCs w:val="24"/>
          <w:lang w:val="lv-LV"/>
        </w:rPr>
        <w:tab/>
        <w:t xml:space="preserve">        </w:t>
      </w:r>
      <w:r w:rsidRPr="000E3350">
        <w:rPr>
          <w:sz w:val="24"/>
          <w:szCs w:val="24"/>
          <w:lang w:val="lv-LV"/>
        </w:rPr>
        <w:tab/>
        <w:t xml:space="preserve">  </w:t>
      </w:r>
      <w:r w:rsidRPr="000E3350">
        <w:rPr>
          <w:sz w:val="24"/>
          <w:szCs w:val="24"/>
          <w:lang w:val="lv-LV"/>
        </w:rPr>
        <w:tab/>
        <w:t xml:space="preserve">    </w:t>
      </w:r>
      <w:r w:rsidR="004103A7" w:rsidRPr="000E3350">
        <w:rPr>
          <w:sz w:val="24"/>
          <w:szCs w:val="24"/>
          <w:lang w:val="lv-LV"/>
        </w:rPr>
        <w:tab/>
      </w:r>
      <w:r w:rsidR="004103A7" w:rsidRPr="000E3350">
        <w:rPr>
          <w:sz w:val="24"/>
          <w:szCs w:val="24"/>
          <w:lang w:val="lv-LV"/>
        </w:rPr>
        <w:tab/>
        <w:t>J</w:t>
      </w:r>
      <w:r w:rsidRPr="000E3350">
        <w:rPr>
          <w:sz w:val="24"/>
          <w:szCs w:val="24"/>
          <w:lang w:val="lv-LV"/>
        </w:rPr>
        <w:t>.</w:t>
      </w:r>
      <w:r w:rsidR="004103A7" w:rsidRPr="000E3350">
        <w:rPr>
          <w:sz w:val="24"/>
          <w:szCs w:val="24"/>
          <w:lang w:val="lv-LV"/>
        </w:rPr>
        <w:t>Pūce</w:t>
      </w:r>
    </w:p>
    <w:p w:rsidR="005E5B16" w:rsidRPr="00B90328" w:rsidRDefault="005E5B16">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143E4D" w:rsidRPr="00B90328" w:rsidRDefault="00143E4D">
      <w:pPr>
        <w:jc w:val="both"/>
        <w:rPr>
          <w:color w:val="000000"/>
          <w:sz w:val="24"/>
          <w:szCs w:val="24"/>
          <w:lang w:val="lv-LV"/>
        </w:rPr>
      </w:pPr>
    </w:p>
    <w:p w:rsidR="005E5B16" w:rsidRPr="00B90328" w:rsidRDefault="004718F9">
      <w:pPr>
        <w:jc w:val="both"/>
        <w:rPr>
          <w:color w:val="000000"/>
          <w:szCs w:val="24"/>
          <w:lang w:val="lv-LV"/>
        </w:rPr>
      </w:pPr>
      <w:r w:rsidRPr="00B90328">
        <w:rPr>
          <w:color w:val="000000"/>
          <w:szCs w:val="24"/>
          <w:lang w:val="lv-LV"/>
        </w:rPr>
        <w:fldChar w:fldCharType="begin"/>
      </w:r>
      <w:r w:rsidR="00B373EA" w:rsidRPr="00B90328">
        <w:rPr>
          <w:color w:val="000000"/>
          <w:szCs w:val="24"/>
          <w:lang w:val="lv-LV"/>
        </w:rPr>
        <w:instrText xml:space="preserve"> TIME \@ "dd.MM.yyyy HH:mm" </w:instrText>
      </w:r>
      <w:r w:rsidRPr="00B90328">
        <w:rPr>
          <w:color w:val="000000"/>
          <w:szCs w:val="24"/>
          <w:lang w:val="lv-LV"/>
        </w:rPr>
        <w:fldChar w:fldCharType="separate"/>
      </w:r>
      <w:r w:rsidR="00061566">
        <w:rPr>
          <w:noProof/>
          <w:color w:val="000000"/>
          <w:szCs w:val="24"/>
          <w:lang w:val="lv-LV"/>
        </w:rPr>
        <w:t>04.10.2012 17:00</w:t>
      </w:r>
      <w:r w:rsidRPr="00B90328">
        <w:rPr>
          <w:color w:val="000000"/>
          <w:szCs w:val="24"/>
          <w:lang w:val="lv-LV"/>
        </w:rPr>
        <w:fldChar w:fldCharType="end"/>
      </w:r>
    </w:p>
    <w:p w:rsidR="00D07CDB" w:rsidRPr="00B90328" w:rsidRDefault="004718F9" w:rsidP="003560C1">
      <w:pPr>
        <w:jc w:val="both"/>
        <w:rPr>
          <w:color w:val="000000"/>
          <w:szCs w:val="24"/>
          <w:lang w:val="lv-LV"/>
        </w:rPr>
      </w:pPr>
      <w:fldSimple w:instr=" NUMWORDS   \* MERGEFORMAT ">
        <w:r w:rsidR="00061566" w:rsidRPr="00061566">
          <w:rPr>
            <w:noProof/>
            <w:color w:val="000000"/>
            <w:szCs w:val="24"/>
            <w:lang w:val="lv-LV"/>
          </w:rPr>
          <w:t>2306</w:t>
        </w:r>
      </w:fldSimple>
    </w:p>
    <w:p w:rsidR="00004E51" w:rsidRPr="00B90328" w:rsidRDefault="00902BE7" w:rsidP="003560C1">
      <w:pPr>
        <w:jc w:val="both"/>
        <w:rPr>
          <w:color w:val="000000"/>
          <w:szCs w:val="24"/>
          <w:lang w:val="lv-LV"/>
        </w:rPr>
      </w:pPr>
      <w:r w:rsidRPr="00B90328">
        <w:rPr>
          <w:color w:val="000000"/>
          <w:szCs w:val="24"/>
          <w:lang w:val="lv-LV"/>
        </w:rPr>
        <w:t>Gatis Silovs</w:t>
      </w:r>
    </w:p>
    <w:p w:rsidR="0002226E" w:rsidRPr="00011EE2" w:rsidRDefault="00456ADC">
      <w:pPr>
        <w:jc w:val="both"/>
        <w:rPr>
          <w:szCs w:val="24"/>
          <w:lang w:val="lv-LV"/>
        </w:rPr>
      </w:pPr>
      <w:r w:rsidRPr="00B90328">
        <w:rPr>
          <w:color w:val="000000"/>
          <w:szCs w:val="24"/>
          <w:lang w:val="lv-LV"/>
        </w:rPr>
        <w:t>67013</w:t>
      </w:r>
      <w:r w:rsidR="00902BE7" w:rsidRPr="00B90328">
        <w:rPr>
          <w:color w:val="000000"/>
          <w:szCs w:val="24"/>
          <w:lang w:val="lv-LV"/>
        </w:rPr>
        <w:t>209</w:t>
      </w:r>
      <w:r w:rsidR="00C852AB" w:rsidRPr="00B90328">
        <w:rPr>
          <w:color w:val="000000"/>
          <w:szCs w:val="24"/>
          <w:lang w:val="lv-LV"/>
        </w:rPr>
        <w:t xml:space="preserve">, </w:t>
      </w:r>
      <w:r w:rsidR="00902BE7" w:rsidRPr="00B90328">
        <w:rPr>
          <w:szCs w:val="24"/>
          <w:lang w:val="lv-LV"/>
        </w:rPr>
        <w:t>Gatis.Silovs</w:t>
      </w:r>
      <w:r w:rsidR="00C852AB" w:rsidRPr="00B90328">
        <w:rPr>
          <w:szCs w:val="24"/>
          <w:lang w:val="lv-LV"/>
        </w:rPr>
        <w:t>@em.gov.lv</w:t>
      </w:r>
    </w:p>
    <w:sectPr w:rsidR="0002226E" w:rsidRPr="00011EE2"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AD" w:rsidRDefault="001367AD" w:rsidP="00B014C2">
      <w:r>
        <w:separator/>
      </w:r>
    </w:p>
  </w:endnote>
  <w:endnote w:type="continuationSeparator" w:id="0">
    <w:p w:rsidR="001367AD" w:rsidRDefault="001367AD"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2C" w:rsidRPr="00E02E42" w:rsidRDefault="004718F9" w:rsidP="003E6D2C">
    <w:pPr>
      <w:jc w:val="both"/>
      <w:outlineLvl w:val="0"/>
      <w:rPr>
        <w:rFonts w:eastAsia="Times New Roman"/>
        <w:b/>
        <w:sz w:val="24"/>
        <w:szCs w:val="24"/>
        <w:lang w:val="lv-LV" w:eastAsia="lv-LV"/>
      </w:rPr>
    </w:pPr>
    <w:fldSimple w:instr=" FILENAME   \* MERGEFORMAT ">
      <w:r w:rsidR="00143E4D" w:rsidRPr="00143E4D">
        <w:rPr>
          <w:noProof/>
          <w:sz w:val="24"/>
          <w:szCs w:val="24"/>
        </w:rPr>
        <w:t>EMAnot_041012_groz361L</w:t>
      </w:r>
    </w:fldSimple>
    <w:r w:rsidR="00B373EA" w:rsidRPr="00B373EA">
      <w:rPr>
        <w:sz w:val="24"/>
        <w:szCs w:val="24"/>
      </w:rPr>
      <w:t xml:space="preserve">; </w:t>
    </w:r>
    <w:r w:rsidR="00B373EA" w:rsidRPr="00B373EA">
      <w:rPr>
        <w:sz w:val="24"/>
        <w:szCs w:val="24"/>
        <w:lang w:val="lv-LV"/>
      </w:rPr>
      <w:t>Ministru kabineta noteikumu projekta „Grozījumi Ministru kabineta 2010.gada 13.aprīļa noteikumos Nr.361 „</w:t>
    </w:r>
    <w:r w:rsidR="00B373EA" w:rsidRPr="00B373EA">
      <w:rPr>
        <w:rFonts w:eastAsia="Times New Roman"/>
        <w:bCs/>
        <w:sz w:val="24"/>
        <w:szCs w:val="24"/>
        <w:lang w:val="lv-LV" w:eastAsia="lv-LV"/>
      </w:rPr>
      <w:t>Noteikumi par darbības programmas „Uzņēmējdarbība un inovācijas” papildinājuma 2.1.2.1.1.apakšaktivitāti „Kompetences centri””</w:t>
    </w:r>
    <w:r w:rsidR="00B373EA" w:rsidRPr="00B373EA">
      <w:rPr>
        <w:bCs/>
        <w:sz w:val="24"/>
        <w:szCs w:val="24"/>
        <w:lang w:val="lv-LV" w:eastAsia="lv-LV"/>
      </w:rPr>
      <w:t>”</w:t>
    </w:r>
    <w:r w:rsidR="00B373EA" w:rsidRPr="00B373EA">
      <w:rPr>
        <w:rFonts w:eastAsia="Times New Roman"/>
        <w:sz w:val="24"/>
        <w:szCs w:val="24"/>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2C" w:rsidRPr="00E02E42" w:rsidRDefault="004718F9" w:rsidP="003E6D2C">
    <w:pPr>
      <w:jc w:val="both"/>
      <w:outlineLvl w:val="0"/>
      <w:rPr>
        <w:rFonts w:eastAsia="Times New Roman"/>
        <w:b/>
        <w:sz w:val="24"/>
        <w:szCs w:val="24"/>
        <w:lang w:val="lv-LV" w:eastAsia="lv-LV"/>
      </w:rPr>
    </w:pPr>
    <w:fldSimple w:instr=" FILENAME   \* MERGEFORMAT ">
      <w:r w:rsidR="00143E4D" w:rsidRPr="00143E4D">
        <w:rPr>
          <w:noProof/>
          <w:sz w:val="24"/>
          <w:szCs w:val="24"/>
        </w:rPr>
        <w:t>EMAnot_041012_groz361L</w:t>
      </w:r>
    </w:fldSimple>
    <w:r w:rsidR="00B373EA" w:rsidRPr="00B373EA">
      <w:rPr>
        <w:sz w:val="24"/>
        <w:szCs w:val="24"/>
      </w:rPr>
      <w:t xml:space="preserve">; </w:t>
    </w:r>
    <w:r w:rsidR="00B373EA" w:rsidRPr="00B373EA">
      <w:rPr>
        <w:sz w:val="24"/>
        <w:szCs w:val="24"/>
        <w:lang w:val="lv-LV"/>
      </w:rPr>
      <w:t>Ministru kabineta noteikumu projekta „Grozījumi Ministru kabineta 2010.gada 13.aprīļa noteikumos Nr.361 „</w:t>
    </w:r>
    <w:r w:rsidR="00B373EA" w:rsidRPr="00B373EA">
      <w:rPr>
        <w:rFonts w:eastAsia="Times New Roman"/>
        <w:bCs/>
        <w:sz w:val="24"/>
        <w:szCs w:val="24"/>
        <w:lang w:val="lv-LV" w:eastAsia="lv-LV"/>
      </w:rPr>
      <w:t>Noteikumi par darbības programmas „Uzņēmējdarbība un inovācijas” papildinājuma 2.1.2.1.1.apakšaktivitāti „Kompetences centri””</w:t>
    </w:r>
    <w:r w:rsidR="00B373EA" w:rsidRPr="00B373EA">
      <w:rPr>
        <w:bCs/>
        <w:sz w:val="24"/>
        <w:szCs w:val="24"/>
        <w:lang w:val="lv-LV" w:eastAsia="lv-LV"/>
      </w:rPr>
      <w:t>”</w:t>
    </w:r>
    <w:r w:rsidR="00B373EA" w:rsidRPr="00B373EA">
      <w:rPr>
        <w:rFonts w:eastAsia="Times New Roman"/>
        <w:sz w:val="24"/>
        <w:szCs w:val="24"/>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AD" w:rsidRDefault="001367AD" w:rsidP="00B014C2">
      <w:r>
        <w:separator/>
      </w:r>
    </w:p>
  </w:footnote>
  <w:footnote w:type="continuationSeparator" w:id="0">
    <w:p w:rsidR="001367AD" w:rsidRDefault="001367AD"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4718F9">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061566">
      <w:rPr>
        <w:noProof/>
        <w:sz w:val="24"/>
        <w:szCs w:val="24"/>
      </w:rPr>
      <w:t>10</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14CB"/>
    <w:multiLevelType w:val="hybridMultilevel"/>
    <w:tmpl w:val="781EAA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F77B7A"/>
    <w:multiLevelType w:val="hybridMultilevel"/>
    <w:tmpl w:val="B8AE9B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CD197D"/>
    <w:multiLevelType w:val="hybridMultilevel"/>
    <w:tmpl w:val="EA380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900AFF"/>
    <w:multiLevelType w:val="hybridMultilevel"/>
    <w:tmpl w:val="F830F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8216BEE"/>
    <w:multiLevelType w:val="hybridMultilevel"/>
    <w:tmpl w:val="F83494F6"/>
    <w:lvl w:ilvl="0" w:tplc="EA2E80CE">
      <w:start w:val="2011"/>
      <w:numFmt w:val="bullet"/>
      <w:lvlText w:val="-"/>
      <w:lvlJc w:val="left"/>
      <w:pPr>
        <w:ind w:left="972" w:hanging="360"/>
      </w:pPr>
      <w:rPr>
        <w:rFonts w:ascii="Times New Roman" w:eastAsia="Calibri" w:hAnsi="Times New Roman" w:cs="Times New Roman" w:hint="default"/>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7">
    <w:nsid w:val="4CB74602"/>
    <w:multiLevelType w:val="hybridMultilevel"/>
    <w:tmpl w:val="31A26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FD6A2B"/>
    <w:multiLevelType w:val="hybridMultilevel"/>
    <w:tmpl w:val="0E6A4044"/>
    <w:lvl w:ilvl="0" w:tplc="BDD08A7A">
      <w:start w:val="1"/>
      <w:numFmt w:val="decimal"/>
      <w:lvlText w:val="%1."/>
      <w:lvlJc w:val="left"/>
      <w:pPr>
        <w:ind w:left="1744" w:hanging="10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2C14E56"/>
    <w:multiLevelType w:val="hybridMultilevel"/>
    <w:tmpl w:val="EC16AC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68A25D30"/>
    <w:multiLevelType w:val="hybridMultilevel"/>
    <w:tmpl w:val="31A26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A48197A"/>
    <w:multiLevelType w:val="hybridMultilevel"/>
    <w:tmpl w:val="31A26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6"/>
  </w:num>
  <w:num w:numId="6">
    <w:abstractNumId w:val="8"/>
  </w:num>
  <w:num w:numId="7">
    <w:abstractNumId w:val="5"/>
  </w:num>
  <w:num w:numId="8">
    <w:abstractNumId w:val="11"/>
  </w:num>
  <w:num w:numId="9">
    <w:abstractNumId w:val="6"/>
  </w:num>
  <w:num w:numId="10">
    <w:abstractNumId w:val="9"/>
  </w:num>
  <w:num w:numId="11">
    <w:abstractNumId w:val="0"/>
  </w:num>
  <w:num w:numId="12">
    <w:abstractNumId w:val="3"/>
  </w:num>
  <w:num w:numId="13">
    <w:abstractNumId w:val="10"/>
  </w:num>
  <w:num w:numId="14">
    <w:abstractNumId w:val="12"/>
  </w:num>
  <w:num w:numId="15">
    <w:abstractNumId w:val="2"/>
  </w:num>
  <w:num w:numId="16">
    <w:abstractNumId w:val="7"/>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BB09C5"/>
    <w:rsid w:val="000016AB"/>
    <w:rsid w:val="00002E03"/>
    <w:rsid w:val="00004E51"/>
    <w:rsid w:val="0000715F"/>
    <w:rsid w:val="0001055D"/>
    <w:rsid w:val="0001186C"/>
    <w:rsid w:val="00011AD0"/>
    <w:rsid w:val="00011EE2"/>
    <w:rsid w:val="000158C8"/>
    <w:rsid w:val="00015E37"/>
    <w:rsid w:val="0001764D"/>
    <w:rsid w:val="00017DE5"/>
    <w:rsid w:val="00021C60"/>
    <w:rsid w:val="0002226E"/>
    <w:rsid w:val="000229E4"/>
    <w:rsid w:val="00025B0A"/>
    <w:rsid w:val="00026030"/>
    <w:rsid w:val="0002603A"/>
    <w:rsid w:val="00026C03"/>
    <w:rsid w:val="0002762A"/>
    <w:rsid w:val="0003046E"/>
    <w:rsid w:val="0003242D"/>
    <w:rsid w:val="00036E03"/>
    <w:rsid w:val="00040154"/>
    <w:rsid w:val="000415DE"/>
    <w:rsid w:val="0004167C"/>
    <w:rsid w:val="00047EF5"/>
    <w:rsid w:val="00050EA4"/>
    <w:rsid w:val="00051DCF"/>
    <w:rsid w:val="00052E11"/>
    <w:rsid w:val="00052E89"/>
    <w:rsid w:val="00053DCA"/>
    <w:rsid w:val="00054808"/>
    <w:rsid w:val="00055217"/>
    <w:rsid w:val="00056A8D"/>
    <w:rsid w:val="00056CD4"/>
    <w:rsid w:val="0005720A"/>
    <w:rsid w:val="000573B8"/>
    <w:rsid w:val="00057529"/>
    <w:rsid w:val="00061566"/>
    <w:rsid w:val="000623EA"/>
    <w:rsid w:val="00062BBD"/>
    <w:rsid w:val="000643D5"/>
    <w:rsid w:val="00064533"/>
    <w:rsid w:val="00065797"/>
    <w:rsid w:val="0007058B"/>
    <w:rsid w:val="000729ED"/>
    <w:rsid w:val="0008054E"/>
    <w:rsid w:val="00080C6B"/>
    <w:rsid w:val="00083227"/>
    <w:rsid w:val="00083926"/>
    <w:rsid w:val="00084523"/>
    <w:rsid w:val="00085CB9"/>
    <w:rsid w:val="00085E74"/>
    <w:rsid w:val="00086315"/>
    <w:rsid w:val="00091F20"/>
    <w:rsid w:val="000921C6"/>
    <w:rsid w:val="0009399C"/>
    <w:rsid w:val="000944E7"/>
    <w:rsid w:val="0009469E"/>
    <w:rsid w:val="00097583"/>
    <w:rsid w:val="000A434E"/>
    <w:rsid w:val="000A4AED"/>
    <w:rsid w:val="000A50FE"/>
    <w:rsid w:val="000B0719"/>
    <w:rsid w:val="000B418D"/>
    <w:rsid w:val="000B57C1"/>
    <w:rsid w:val="000B5B40"/>
    <w:rsid w:val="000C2A19"/>
    <w:rsid w:val="000D0388"/>
    <w:rsid w:val="000D1257"/>
    <w:rsid w:val="000D135D"/>
    <w:rsid w:val="000D140B"/>
    <w:rsid w:val="000D16B7"/>
    <w:rsid w:val="000D2F05"/>
    <w:rsid w:val="000D30E0"/>
    <w:rsid w:val="000D4B8D"/>
    <w:rsid w:val="000D4E69"/>
    <w:rsid w:val="000D5E5F"/>
    <w:rsid w:val="000D6F7F"/>
    <w:rsid w:val="000D72B7"/>
    <w:rsid w:val="000E3350"/>
    <w:rsid w:val="000E409F"/>
    <w:rsid w:val="000E4277"/>
    <w:rsid w:val="000E5018"/>
    <w:rsid w:val="000E50A3"/>
    <w:rsid w:val="000E69D3"/>
    <w:rsid w:val="000F2E6A"/>
    <w:rsid w:val="000F3F4C"/>
    <w:rsid w:val="000F632D"/>
    <w:rsid w:val="000F6E9E"/>
    <w:rsid w:val="001002E4"/>
    <w:rsid w:val="00101FE0"/>
    <w:rsid w:val="0010399E"/>
    <w:rsid w:val="0010410B"/>
    <w:rsid w:val="001047E8"/>
    <w:rsid w:val="00107DB4"/>
    <w:rsid w:val="00110E66"/>
    <w:rsid w:val="00113586"/>
    <w:rsid w:val="00115CC4"/>
    <w:rsid w:val="00115E25"/>
    <w:rsid w:val="0011745E"/>
    <w:rsid w:val="001226E1"/>
    <w:rsid w:val="00123268"/>
    <w:rsid w:val="001237C7"/>
    <w:rsid w:val="00124F39"/>
    <w:rsid w:val="00130C6B"/>
    <w:rsid w:val="00131C62"/>
    <w:rsid w:val="001367AD"/>
    <w:rsid w:val="001406EE"/>
    <w:rsid w:val="00141EF2"/>
    <w:rsid w:val="00142CBB"/>
    <w:rsid w:val="0014347F"/>
    <w:rsid w:val="00143E4D"/>
    <w:rsid w:val="00147CB3"/>
    <w:rsid w:val="001507B4"/>
    <w:rsid w:val="00151773"/>
    <w:rsid w:val="00156BF0"/>
    <w:rsid w:val="00156D0F"/>
    <w:rsid w:val="00157107"/>
    <w:rsid w:val="001612A5"/>
    <w:rsid w:val="00166B88"/>
    <w:rsid w:val="001705C0"/>
    <w:rsid w:val="001706B5"/>
    <w:rsid w:val="001720E2"/>
    <w:rsid w:val="0017312C"/>
    <w:rsid w:val="00173CF1"/>
    <w:rsid w:val="00175392"/>
    <w:rsid w:val="00175745"/>
    <w:rsid w:val="001764E7"/>
    <w:rsid w:val="00177A26"/>
    <w:rsid w:val="00177DD5"/>
    <w:rsid w:val="00182D50"/>
    <w:rsid w:val="001831F7"/>
    <w:rsid w:val="00185774"/>
    <w:rsid w:val="001857A2"/>
    <w:rsid w:val="001871BB"/>
    <w:rsid w:val="00190455"/>
    <w:rsid w:val="00190CC2"/>
    <w:rsid w:val="00191102"/>
    <w:rsid w:val="00193BE3"/>
    <w:rsid w:val="00195030"/>
    <w:rsid w:val="00196643"/>
    <w:rsid w:val="001973A7"/>
    <w:rsid w:val="001A0470"/>
    <w:rsid w:val="001A0D4B"/>
    <w:rsid w:val="001A1AC3"/>
    <w:rsid w:val="001A6894"/>
    <w:rsid w:val="001B066A"/>
    <w:rsid w:val="001B18ED"/>
    <w:rsid w:val="001B2714"/>
    <w:rsid w:val="001B3236"/>
    <w:rsid w:val="001B3656"/>
    <w:rsid w:val="001B5BA1"/>
    <w:rsid w:val="001B5F59"/>
    <w:rsid w:val="001B6A67"/>
    <w:rsid w:val="001B6D15"/>
    <w:rsid w:val="001B6E15"/>
    <w:rsid w:val="001C068E"/>
    <w:rsid w:val="001C0BB2"/>
    <w:rsid w:val="001C1BFF"/>
    <w:rsid w:val="001C1F3E"/>
    <w:rsid w:val="001C5696"/>
    <w:rsid w:val="001D1708"/>
    <w:rsid w:val="001D1BF7"/>
    <w:rsid w:val="001D37CE"/>
    <w:rsid w:val="001D5E9C"/>
    <w:rsid w:val="001D6919"/>
    <w:rsid w:val="001D76FC"/>
    <w:rsid w:val="001E5031"/>
    <w:rsid w:val="001E55E2"/>
    <w:rsid w:val="001E667B"/>
    <w:rsid w:val="001E7AD3"/>
    <w:rsid w:val="001F02C1"/>
    <w:rsid w:val="001F3F4C"/>
    <w:rsid w:val="001F4A97"/>
    <w:rsid w:val="001F5CFC"/>
    <w:rsid w:val="001F7479"/>
    <w:rsid w:val="001F7527"/>
    <w:rsid w:val="00201BF1"/>
    <w:rsid w:val="0020388F"/>
    <w:rsid w:val="00205FEE"/>
    <w:rsid w:val="0020766F"/>
    <w:rsid w:val="0021241F"/>
    <w:rsid w:val="00213D6A"/>
    <w:rsid w:val="00215FCB"/>
    <w:rsid w:val="002167AA"/>
    <w:rsid w:val="00217BC1"/>
    <w:rsid w:val="00222C39"/>
    <w:rsid w:val="002236EB"/>
    <w:rsid w:val="00223C20"/>
    <w:rsid w:val="0023085A"/>
    <w:rsid w:val="00230FB6"/>
    <w:rsid w:val="00233657"/>
    <w:rsid w:val="00240CAE"/>
    <w:rsid w:val="00243A9D"/>
    <w:rsid w:val="002440D6"/>
    <w:rsid w:val="00246CE8"/>
    <w:rsid w:val="00247529"/>
    <w:rsid w:val="002507A0"/>
    <w:rsid w:val="00250ACD"/>
    <w:rsid w:val="00251C42"/>
    <w:rsid w:val="00252AC5"/>
    <w:rsid w:val="00257001"/>
    <w:rsid w:val="00257A14"/>
    <w:rsid w:val="00257EAE"/>
    <w:rsid w:val="00265959"/>
    <w:rsid w:val="0026604A"/>
    <w:rsid w:val="00271DF1"/>
    <w:rsid w:val="002720E3"/>
    <w:rsid w:val="002748FF"/>
    <w:rsid w:val="00277740"/>
    <w:rsid w:val="0028114E"/>
    <w:rsid w:val="002821EE"/>
    <w:rsid w:val="00282BA1"/>
    <w:rsid w:val="00284615"/>
    <w:rsid w:val="0028496D"/>
    <w:rsid w:val="00285AD4"/>
    <w:rsid w:val="00285E4E"/>
    <w:rsid w:val="0028698C"/>
    <w:rsid w:val="0029015A"/>
    <w:rsid w:val="0029169C"/>
    <w:rsid w:val="00295484"/>
    <w:rsid w:val="002A0CEE"/>
    <w:rsid w:val="002A126D"/>
    <w:rsid w:val="002A1B7E"/>
    <w:rsid w:val="002A36F9"/>
    <w:rsid w:val="002A646A"/>
    <w:rsid w:val="002A64B2"/>
    <w:rsid w:val="002A6936"/>
    <w:rsid w:val="002B1204"/>
    <w:rsid w:val="002B3CE5"/>
    <w:rsid w:val="002B4D01"/>
    <w:rsid w:val="002B5187"/>
    <w:rsid w:val="002C0E0E"/>
    <w:rsid w:val="002C11A4"/>
    <w:rsid w:val="002C20C8"/>
    <w:rsid w:val="002C2CCF"/>
    <w:rsid w:val="002C2CD1"/>
    <w:rsid w:val="002C4C37"/>
    <w:rsid w:val="002C67DB"/>
    <w:rsid w:val="002C7CFA"/>
    <w:rsid w:val="002D114C"/>
    <w:rsid w:val="002D1B4E"/>
    <w:rsid w:val="002D20EB"/>
    <w:rsid w:val="002D6C00"/>
    <w:rsid w:val="002D70BB"/>
    <w:rsid w:val="002D7773"/>
    <w:rsid w:val="002D7DF1"/>
    <w:rsid w:val="002E0D23"/>
    <w:rsid w:val="002E251C"/>
    <w:rsid w:val="002E3518"/>
    <w:rsid w:val="002E433C"/>
    <w:rsid w:val="002E507C"/>
    <w:rsid w:val="002E6122"/>
    <w:rsid w:val="002E7530"/>
    <w:rsid w:val="002F063C"/>
    <w:rsid w:val="002F24EE"/>
    <w:rsid w:val="002F2FD6"/>
    <w:rsid w:val="002F3D7F"/>
    <w:rsid w:val="002F423D"/>
    <w:rsid w:val="002F4553"/>
    <w:rsid w:val="002F53BF"/>
    <w:rsid w:val="002F5BBF"/>
    <w:rsid w:val="002F68B8"/>
    <w:rsid w:val="002F6D2C"/>
    <w:rsid w:val="003000F0"/>
    <w:rsid w:val="00303B7C"/>
    <w:rsid w:val="003043CF"/>
    <w:rsid w:val="003108D5"/>
    <w:rsid w:val="00315AE1"/>
    <w:rsid w:val="00315F0A"/>
    <w:rsid w:val="0031742F"/>
    <w:rsid w:val="003205FD"/>
    <w:rsid w:val="00320B71"/>
    <w:rsid w:val="00322A15"/>
    <w:rsid w:val="0032394F"/>
    <w:rsid w:val="00324013"/>
    <w:rsid w:val="00325B53"/>
    <w:rsid w:val="0033033F"/>
    <w:rsid w:val="00331260"/>
    <w:rsid w:val="0033352C"/>
    <w:rsid w:val="00334FC1"/>
    <w:rsid w:val="00335837"/>
    <w:rsid w:val="0033716A"/>
    <w:rsid w:val="003372CD"/>
    <w:rsid w:val="0034284E"/>
    <w:rsid w:val="0034329B"/>
    <w:rsid w:val="003451DA"/>
    <w:rsid w:val="00347805"/>
    <w:rsid w:val="00350552"/>
    <w:rsid w:val="003525FA"/>
    <w:rsid w:val="00352D46"/>
    <w:rsid w:val="003560C1"/>
    <w:rsid w:val="0035647E"/>
    <w:rsid w:val="003578B4"/>
    <w:rsid w:val="00360437"/>
    <w:rsid w:val="003607C5"/>
    <w:rsid w:val="00361DA6"/>
    <w:rsid w:val="00363042"/>
    <w:rsid w:val="003633B3"/>
    <w:rsid w:val="00363B7B"/>
    <w:rsid w:val="0036725E"/>
    <w:rsid w:val="00371571"/>
    <w:rsid w:val="00374BCF"/>
    <w:rsid w:val="003756B1"/>
    <w:rsid w:val="00375A4C"/>
    <w:rsid w:val="00375CE5"/>
    <w:rsid w:val="00382BEB"/>
    <w:rsid w:val="00383500"/>
    <w:rsid w:val="00384799"/>
    <w:rsid w:val="00391539"/>
    <w:rsid w:val="003970C6"/>
    <w:rsid w:val="003A054D"/>
    <w:rsid w:val="003A09DB"/>
    <w:rsid w:val="003A09DC"/>
    <w:rsid w:val="003A2B62"/>
    <w:rsid w:val="003A4FBA"/>
    <w:rsid w:val="003A5963"/>
    <w:rsid w:val="003B3461"/>
    <w:rsid w:val="003B37BC"/>
    <w:rsid w:val="003C1431"/>
    <w:rsid w:val="003C3FA4"/>
    <w:rsid w:val="003C5BE0"/>
    <w:rsid w:val="003C5D28"/>
    <w:rsid w:val="003C6EA8"/>
    <w:rsid w:val="003D4C9A"/>
    <w:rsid w:val="003D656F"/>
    <w:rsid w:val="003E0167"/>
    <w:rsid w:val="003E1F1C"/>
    <w:rsid w:val="003E28D2"/>
    <w:rsid w:val="003E2968"/>
    <w:rsid w:val="003E3604"/>
    <w:rsid w:val="003E6281"/>
    <w:rsid w:val="003E6CB3"/>
    <w:rsid w:val="003E6D2C"/>
    <w:rsid w:val="003F095C"/>
    <w:rsid w:val="003F2569"/>
    <w:rsid w:val="003F348A"/>
    <w:rsid w:val="003F418C"/>
    <w:rsid w:val="003F464F"/>
    <w:rsid w:val="003F4AA5"/>
    <w:rsid w:val="003F4E09"/>
    <w:rsid w:val="003F66AD"/>
    <w:rsid w:val="00402B2B"/>
    <w:rsid w:val="00403279"/>
    <w:rsid w:val="00403EAD"/>
    <w:rsid w:val="00404D4B"/>
    <w:rsid w:val="00404E4B"/>
    <w:rsid w:val="004103A7"/>
    <w:rsid w:val="004119D1"/>
    <w:rsid w:val="004124AF"/>
    <w:rsid w:val="00420416"/>
    <w:rsid w:val="00420FC8"/>
    <w:rsid w:val="0042395B"/>
    <w:rsid w:val="0042472B"/>
    <w:rsid w:val="004260C8"/>
    <w:rsid w:val="0043243D"/>
    <w:rsid w:val="004368B2"/>
    <w:rsid w:val="00436E6A"/>
    <w:rsid w:val="00442B72"/>
    <w:rsid w:val="0044451C"/>
    <w:rsid w:val="00451FF7"/>
    <w:rsid w:val="004527EA"/>
    <w:rsid w:val="00454A25"/>
    <w:rsid w:val="00454CBE"/>
    <w:rsid w:val="00456ADC"/>
    <w:rsid w:val="00460A29"/>
    <w:rsid w:val="00465662"/>
    <w:rsid w:val="004657AC"/>
    <w:rsid w:val="00466D3B"/>
    <w:rsid w:val="00471618"/>
    <w:rsid w:val="004718F9"/>
    <w:rsid w:val="00471B85"/>
    <w:rsid w:val="0047216A"/>
    <w:rsid w:val="00472755"/>
    <w:rsid w:val="00476ADF"/>
    <w:rsid w:val="004775F4"/>
    <w:rsid w:val="00477E33"/>
    <w:rsid w:val="00477F8A"/>
    <w:rsid w:val="0048009D"/>
    <w:rsid w:val="00481B27"/>
    <w:rsid w:val="004829AD"/>
    <w:rsid w:val="00484C10"/>
    <w:rsid w:val="00485D96"/>
    <w:rsid w:val="00486C32"/>
    <w:rsid w:val="00486E18"/>
    <w:rsid w:val="004878E3"/>
    <w:rsid w:val="00487D03"/>
    <w:rsid w:val="00495737"/>
    <w:rsid w:val="00496EE9"/>
    <w:rsid w:val="004A0260"/>
    <w:rsid w:val="004A19D5"/>
    <w:rsid w:val="004A1A10"/>
    <w:rsid w:val="004A20FA"/>
    <w:rsid w:val="004A3CF2"/>
    <w:rsid w:val="004A7CF9"/>
    <w:rsid w:val="004B2E84"/>
    <w:rsid w:val="004B3CA5"/>
    <w:rsid w:val="004B638C"/>
    <w:rsid w:val="004B66D0"/>
    <w:rsid w:val="004C54F0"/>
    <w:rsid w:val="004C7B7E"/>
    <w:rsid w:val="004D1080"/>
    <w:rsid w:val="004D20A7"/>
    <w:rsid w:val="004D4997"/>
    <w:rsid w:val="004D6AC5"/>
    <w:rsid w:val="004E1AD3"/>
    <w:rsid w:val="004E36C8"/>
    <w:rsid w:val="004E4D01"/>
    <w:rsid w:val="004E51E6"/>
    <w:rsid w:val="004E5E7D"/>
    <w:rsid w:val="004E5E8E"/>
    <w:rsid w:val="004E6686"/>
    <w:rsid w:val="004E7663"/>
    <w:rsid w:val="004E7B57"/>
    <w:rsid w:val="004E7F2B"/>
    <w:rsid w:val="004F2F91"/>
    <w:rsid w:val="004F3F17"/>
    <w:rsid w:val="004F7105"/>
    <w:rsid w:val="004F79B2"/>
    <w:rsid w:val="00502E9A"/>
    <w:rsid w:val="005049C2"/>
    <w:rsid w:val="00504A4A"/>
    <w:rsid w:val="005064C9"/>
    <w:rsid w:val="005100BB"/>
    <w:rsid w:val="00510235"/>
    <w:rsid w:val="00510F44"/>
    <w:rsid w:val="00515DB6"/>
    <w:rsid w:val="00517C20"/>
    <w:rsid w:val="00522B62"/>
    <w:rsid w:val="00526A25"/>
    <w:rsid w:val="005279FC"/>
    <w:rsid w:val="00531BCA"/>
    <w:rsid w:val="00531E23"/>
    <w:rsid w:val="00533893"/>
    <w:rsid w:val="0053500F"/>
    <w:rsid w:val="00535FD4"/>
    <w:rsid w:val="00536A5A"/>
    <w:rsid w:val="00537A29"/>
    <w:rsid w:val="005422C3"/>
    <w:rsid w:val="00542F49"/>
    <w:rsid w:val="00543C3A"/>
    <w:rsid w:val="0054481A"/>
    <w:rsid w:val="0054660D"/>
    <w:rsid w:val="005471CA"/>
    <w:rsid w:val="00551B3C"/>
    <w:rsid w:val="005531F5"/>
    <w:rsid w:val="0055320B"/>
    <w:rsid w:val="00554102"/>
    <w:rsid w:val="00554A7A"/>
    <w:rsid w:val="005561A2"/>
    <w:rsid w:val="00556A56"/>
    <w:rsid w:val="00556D16"/>
    <w:rsid w:val="00560311"/>
    <w:rsid w:val="00561CB9"/>
    <w:rsid w:val="00561D17"/>
    <w:rsid w:val="0056528D"/>
    <w:rsid w:val="005752F0"/>
    <w:rsid w:val="00575602"/>
    <w:rsid w:val="00575C67"/>
    <w:rsid w:val="00576B09"/>
    <w:rsid w:val="00580317"/>
    <w:rsid w:val="005805EE"/>
    <w:rsid w:val="00580EB1"/>
    <w:rsid w:val="005821A2"/>
    <w:rsid w:val="0058249F"/>
    <w:rsid w:val="00583CF8"/>
    <w:rsid w:val="00585E82"/>
    <w:rsid w:val="0058679B"/>
    <w:rsid w:val="005867C2"/>
    <w:rsid w:val="005867EB"/>
    <w:rsid w:val="0058702F"/>
    <w:rsid w:val="005877DA"/>
    <w:rsid w:val="00594395"/>
    <w:rsid w:val="00594C54"/>
    <w:rsid w:val="00595F83"/>
    <w:rsid w:val="0059677E"/>
    <w:rsid w:val="005A0069"/>
    <w:rsid w:val="005A15E6"/>
    <w:rsid w:val="005A3544"/>
    <w:rsid w:val="005A4C5B"/>
    <w:rsid w:val="005B177F"/>
    <w:rsid w:val="005B1EC4"/>
    <w:rsid w:val="005B29DE"/>
    <w:rsid w:val="005B4178"/>
    <w:rsid w:val="005B4D4E"/>
    <w:rsid w:val="005B75EC"/>
    <w:rsid w:val="005C03F5"/>
    <w:rsid w:val="005C0506"/>
    <w:rsid w:val="005C16B8"/>
    <w:rsid w:val="005C251D"/>
    <w:rsid w:val="005C2662"/>
    <w:rsid w:val="005C3235"/>
    <w:rsid w:val="005C4C23"/>
    <w:rsid w:val="005C4F1A"/>
    <w:rsid w:val="005C6DDB"/>
    <w:rsid w:val="005C757C"/>
    <w:rsid w:val="005D3658"/>
    <w:rsid w:val="005E0168"/>
    <w:rsid w:val="005E0D0E"/>
    <w:rsid w:val="005E2C40"/>
    <w:rsid w:val="005E2F65"/>
    <w:rsid w:val="005E3A55"/>
    <w:rsid w:val="005E5B16"/>
    <w:rsid w:val="005E75D5"/>
    <w:rsid w:val="005F129D"/>
    <w:rsid w:val="005F159D"/>
    <w:rsid w:val="005F351C"/>
    <w:rsid w:val="005F36F7"/>
    <w:rsid w:val="005F473B"/>
    <w:rsid w:val="005F5121"/>
    <w:rsid w:val="005F65CE"/>
    <w:rsid w:val="00601A0C"/>
    <w:rsid w:val="00604D41"/>
    <w:rsid w:val="006056A8"/>
    <w:rsid w:val="006061A1"/>
    <w:rsid w:val="00606694"/>
    <w:rsid w:val="006126A9"/>
    <w:rsid w:val="00613019"/>
    <w:rsid w:val="006154B7"/>
    <w:rsid w:val="0061592B"/>
    <w:rsid w:val="00616CBC"/>
    <w:rsid w:val="006171B4"/>
    <w:rsid w:val="006178D9"/>
    <w:rsid w:val="006218A6"/>
    <w:rsid w:val="006224F7"/>
    <w:rsid w:val="0062279F"/>
    <w:rsid w:val="00622AD2"/>
    <w:rsid w:val="00622DB9"/>
    <w:rsid w:val="006232A1"/>
    <w:rsid w:val="0062336C"/>
    <w:rsid w:val="00623730"/>
    <w:rsid w:val="00630367"/>
    <w:rsid w:val="00631039"/>
    <w:rsid w:val="006316BA"/>
    <w:rsid w:val="00631884"/>
    <w:rsid w:val="006349DF"/>
    <w:rsid w:val="00636440"/>
    <w:rsid w:val="00643640"/>
    <w:rsid w:val="006456BB"/>
    <w:rsid w:val="006461DD"/>
    <w:rsid w:val="00647FA6"/>
    <w:rsid w:val="00650716"/>
    <w:rsid w:val="00651669"/>
    <w:rsid w:val="00664973"/>
    <w:rsid w:val="00664E9E"/>
    <w:rsid w:val="00672A2F"/>
    <w:rsid w:val="00674BA7"/>
    <w:rsid w:val="00675BE7"/>
    <w:rsid w:val="00676770"/>
    <w:rsid w:val="00681496"/>
    <w:rsid w:val="0068488B"/>
    <w:rsid w:val="006872DB"/>
    <w:rsid w:val="006910BE"/>
    <w:rsid w:val="00691148"/>
    <w:rsid w:val="006914CF"/>
    <w:rsid w:val="00693FAB"/>
    <w:rsid w:val="00696772"/>
    <w:rsid w:val="0069780B"/>
    <w:rsid w:val="00697C74"/>
    <w:rsid w:val="006A36AE"/>
    <w:rsid w:val="006A7638"/>
    <w:rsid w:val="006B1549"/>
    <w:rsid w:val="006B1596"/>
    <w:rsid w:val="006B4CEA"/>
    <w:rsid w:val="006B584A"/>
    <w:rsid w:val="006B599A"/>
    <w:rsid w:val="006C03B0"/>
    <w:rsid w:val="006C04B0"/>
    <w:rsid w:val="006C136E"/>
    <w:rsid w:val="006C1797"/>
    <w:rsid w:val="006C2126"/>
    <w:rsid w:val="006C2143"/>
    <w:rsid w:val="006C613F"/>
    <w:rsid w:val="006D0B9B"/>
    <w:rsid w:val="006D1F62"/>
    <w:rsid w:val="006D3A18"/>
    <w:rsid w:val="006D48D6"/>
    <w:rsid w:val="006D4C40"/>
    <w:rsid w:val="006D5429"/>
    <w:rsid w:val="006D6109"/>
    <w:rsid w:val="006D684E"/>
    <w:rsid w:val="006D69A4"/>
    <w:rsid w:val="006E013C"/>
    <w:rsid w:val="006E170D"/>
    <w:rsid w:val="006E2806"/>
    <w:rsid w:val="006E2BFF"/>
    <w:rsid w:val="006E2C3C"/>
    <w:rsid w:val="006E3C5D"/>
    <w:rsid w:val="006E53FC"/>
    <w:rsid w:val="006E67D7"/>
    <w:rsid w:val="006E6F33"/>
    <w:rsid w:val="006F0C19"/>
    <w:rsid w:val="006F0ECB"/>
    <w:rsid w:val="006F24A8"/>
    <w:rsid w:val="006F38E2"/>
    <w:rsid w:val="006F54D0"/>
    <w:rsid w:val="006F56C1"/>
    <w:rsid w:val="006F5786"/>
    <w:rsid w:val="006F6E45"/>
    <w:rsid w:val="00700070"/>
    <w:rsid w:val="00701285"/>
    <w:rsid w:val="0070184D"/>
    <w:rsid w:val="007058AC"/>
    <w:rsid w:val="007058E9"/>
    <w:rsid w:val="0071026C"/>
    <w:rsid w:val="0071061F"/>
    <w:rsid w:val="00710EA1"/>
    <w:rsid w:val="00711781"/>
    <w:rsid w:val="0071224D"/>
    <w:rsid w:val="0071657D"/>
    <w:rsid w:val="007177F0"/>
    <w:rsid w:val="007217E4"/>
    <w:rsid w:val="007233DD"/>
    <w:rsid w:val="00725107"/>
    <w:rsid w:val="0072668A"/>
    <w:rsid w:val="007278CF"/>
    <w:rsid w:val="007315C5"/>
    <w:rsid w:val="007355DD"/>
    <w:rsid w:val="007363F2"/>
    <w:rsid w:val="00737AB8"/>
    <w:rsid w:val="00741CF1"/>
    <w:rsid w:val="00741DD0"/>
    <w:rsid w:val="00741F6A"/>
    <w:rsid w:val="00745CDB"/>
    <w:rsid w:val="00746923"/>
    <w:rsid w:val="00750D6D"/>
    <w:rsid w:val="00753074"/>
    <w:rsid w:val="007543C1"/>
    <w:rsid w:val="007544EC"/>
    <w:rsid w:val="007547B1"/>
    <w:rsid w:val="00760465"/>
    <w:rsid w:val="00760A55"/>
    <w:rsid w:val="00762A8E"/>
    <w:rsid w:val="00762E1A"/>
    <w:rsid w:val="00767185"/>
    <w:rsid w:val="00767313"/>
    <w:rsid w:val="007677D4"/>
    <w:rsid w:val="00771D18"/>
    <w:rsid w:val="00772846"/>
    <w:rsid w:val="00773AA0"/>
    <w:rsid w:val="00773C2D"/>
    <w:rsid w:val="0077435A"/>
    <w:rsid w:val="007744D7"/>
    <w:rsid w:val="00775CFE"/>
    <w:rsid w:val="007776F4"/>
    <w:rsid w:val="007821CF"/>
    <w:rsid w:val="00782749"/>
    <w:rsid w:val="00785AF0"/>
    <w:rsid w:val="00787BED"/>
    <w:rsid w:val="00794B98"/>
    <w:rsid w:val="0079551A"/>
    <w:rsid w:val="007A0D95"/>
    <w:rsid w:val="007A14D0"/>
    <w:rsid w:val="007A1839"/>
    <w:rsid w:val="007A1D95"/>
    <w:rsid w:val="007A25F6"/>
    <w:rsid w:val="007A3DB5"/>
    <w:rsid w:val="007A7FC5"/>
    <w:rsid w:val="007B1BE8"/>
    <w:rsid w:val="007C1AA1"/>
    <w:rsid w:val="007C2992"/>
    <w:rsid w:val="007C3087"/>
    <w:rsid w:val="007C521B"/>
    <w:rsid w:val="007C56C5"/>
    <w:rsid w:val="007C7C62"/>
    <w:rsid w:val="007D20CE"/>
    <w:rsid w:val="007D2CB8"/>
    <w:rsid w:val="007D6900"/>
    <w:rsid w:val="007D7613"/>
    <w:rsid w:val="007D7A8A"/>
    <w:rsid w:val="007E20C4"/>
    <w:rsid w:val="007E34D8"/>
    <w:rsid w:val="007E5D4D"/>
    <w:rsid w:val="007E6A88"/>
    <w:rsid w:val="007E7623"/>
    <w:rsid w:val="007F0242"/>
    <w:rsid w:val="007F0C15"/>
    <w:rsid w:val="007F4C56"/>
    <w:rsid w:val="00802527"/>
    <w:rsid w:val="00803512"/>
    <w:rsid w:val="008045C8"/>
    <w:rsid w:val="00810454"/>
    <w:rsid w:val="00812990"/>
    <w:rsid w:val="00817839"/>
    <w:rsid w:val="008210AF"/>
    <w:rsid w:val="00823419"/>
    <w:rsid w:val="0082376A"/>
    <w:rsid w:val="00823CBA"/>
    <w:rsid w:val="00824F1D"/>
    <w:rsid w:val="00825562"/>
    <w:rsid w:val="008265EF"/>
    <w:rsid w:val="00827407"/>
    <w:rsid w:val="00827AC1"/>
    <w:rsid w:val="0083169A"/>
    <w:rsid w:val="00832642"/>
    <w:rsid w:val="0083482A"/>
    <w:rsid w:val="008370D7"/>
    <w:rsid w:val="00843294"/>
    <w:rsid w:val="00843373"/>
    <w:rsid w:val="00845F2C"/>
    <w:rsid w:val="0084689A"/>
    <w:rsid w:val="0085271A"/>
    <w:rsid w:val="00852F12"/>
    <w:rsid w:val="008549AE"/>
    <w:rsid w:val="00860387"/>
    <w:rsid w:val="00860FDE"/>
    <w:rsid w:val="00862B8A"/>
    <w:rsid w:val="00862D34"/>
    <w:rsid w:val="00863C34"/>
    <w:rsid w:val="00866A0F"/>
    <w:rsid w:val="00872146"/>
    <w:rsid w:val="0087303E"/>
    <w:rsid w:val="00873F4A"/>
    <w:rsid w:val="00874C25"/>
    <w:rsid w:val="008759BA"/>
    <w:rsid w:val="00877265"/>
    <w:rsid w:val="00877DC9"/>
    <w:rsid w:val="00877FED"/>
    <w:rsid w:val="00880D7E"/>
    <w:rsid w:val="00882F03"/>
    <w:rsid w:val="00885AEF"/>
    <w:rsid w:val="00890831"/>
    <w:rsid w:val="0089090B"/>
    <w:rsid w:val="00891DAA"/>
    <w:rsid w:val="008927D8"/>
    <w:rsid w:val="008946B0"/>
    <w:rsid w:val="00895065"/>
    <w:rsid w:val="00895A3D"/>
    <w:rsid w:val="0089622A"/>
    <w:rsid w:val="008972A4"/>
    <w:rsid w:val="00897C16"/>
    <w:rsid w:val="008A30B7"/>
    <w:rsid w:val="008A515D"/>
    <w:rsid w:val="008A6918"/>
    <w:rsid w:val="008A76B2"/>
    <w:rsid w:val="008A799C"/>
    <w:rsid w:val="008B0300"/>
    <w:rsid w:val="008B0539"/>
    <w:rsid w:val="008B406C"/>
    <w:rsid w:val="008B4CCB"/>
    <w:rsid w:val="008B6143"/>
    <w:rsid w:val="008B6C2F"/>
    <w:rsid w:val="008C232F"/>
    <w:rsid w:val="008C2BA5"/>
    <w:rsid w:val="008C37BE"/>
    <w:rsid w:val="008C446D"/>
    <w:rsid w:val="008C47D6"/>
    <w:rsid w:val="008C592F"/>
    <w:rsid w:val="008C76E4"/>
    <w:rsid w:val="008C7B79"/>
    <w:rsid w:val="008D0A17"/>
    <w:rsid w:val="008D17E5"/>
    <w:rsid w:val="008D1FD3"/>
    <w:rsid w:val="008D5529"/>
    <w:rsid w:val="008D6725"/>
    <w:rsid w:val="008D78FF"/>
    <w:rsid w:val="008E0248"/>
    <w:rsid w:val="008E2ECE"/>
    <w:rsid w:val="008E45A6"/>
    <w:rsid w:val="008F063E"/>
    <w:rsid w:val="008F122D"/>
    <w:rsid w:val="008F48C1"/>
    <w:rsid w:val="008F4C9D"/>
    <w:rsid w:val="008F5394"/>
    <w:rsid w:val="008F5AE7"/>
    <w:rsid w:val="0090048A"/>
    <w:rsid w:val="00902BE7"/>
    <w:rsid w:val="0090395A"/>
    <w:rsid w:val="0090449A"/>
    <w:rsid w:val="0090536A"/>
    <w:rsid w:val="009054C5"/>
    <w:rsid w:val="009062D3"/>
    <w:rsid w:val="0090670A"/>
    <w:rsid w:val="00906840"/>
    <w:rsid w:val="00906909"/>
    <w:rsid w:val="00911B94"/>
    <w:rsid w:val="009132B9"/>
    <w:rsid w:val="00914CB3"/>
    <w:rsid w:val="00916054"/>
    <w:rsid w:val="00916509"/>
    <w:rsid w:val="00922FC8"/>
    <w:rsid w:val="00923399"/>
    <w:rsid w:val="009243DD"/>
    <w:rsid w:val="0092468A"/>
    <w:rsid w:val="009248A3"/>
    <w:rsid w:val="00925417"/>
    <w:rsid w:val="00925C96"/>
    <w:rsid w:val="00927127"/>
    <w:rsid w:val="009306E1"/>
    <w:rsid w:val="00932C66"/>
    <w:rsid w:val="009347CA"/>
    <w:rsid w:val="00937383"/>
    <w:rsid w:val="00937618"/>
    <w:rsid w:val="00937AA7"/>
    <w:rsid w:val="00940388"/>
    <w:rsid w:val="009414BE"/>
    <w:rsid w:val="00942CA9"/>
    <w:rsid w:val="00943E9E"/>
    <w:rsid w:val="00944628"/>
    <w:rsid w:val="00944903"/>
    <w:rsid w:val="00945AEE"/>
    <w:rsid w:val="0094732D"/>
    <w:rsid w:val="00947886"/>
    <w:rsid w:val="00950000"/>
    <w:rsid w:val="00952980"/>
    <w:rsid w:val="00953044"/>
    <w:rsid w:val="0095696B"/>
    <w:rsid w:val="00960A20"/>
    <w:rsid w:val="00962CEA"/>
    <w:rsid w:val="00965430"/>
    <w:rsid w:val="0096699E"/>
    <w:rsid w:val="0097092F"/>
    <w:rsid w:val="009712E1"/>
    <w:rsid w:val="0097403C"/>
    <w:rsid w:val="009741BB"/>
    <w:rsid w:val="00975434"/>
    <w:rsid w:val="00975AAE"/>
    <w:rsid w:val="00976DE4"/>
    <w:rsid w:val="00981078"/>
    <w:rsid w:val="00981D69"/>
    <w:rsid w:val="00984CEE"/>
    <w:rsid w:val="00985623"/>
    <w:rsid w:val="00990026"/>
    <w:rsid w:val="00992B6C"/>
    <w:rsid w:val="0099344A"/>
    <w:rsid w:val="00995388"/>
    <w:rsid w:val="00995590"/>
    <w:rsid w:val="009A164D"/>
    <w:rsid w:val="009A2028"/>
    <w:rsid w:val="009A238B"/>
    <w:rsid w:val="009A38AD"/>
    <w:rsid w:val="009A415C"/>
    <w:rsid w:val="009A4789"/>
    <w:rsid w:val="009A4A30"/>
    <w:rsid w:val="009A507B"/>
    <w:rsid w:val="009B0DB2"/>
    <w:rsid w:val="009B2624"/>
    <w:rsid w:val="009B2F66"/>
    <w:rsid w:val="009B4731"/>
    <w:rsid w:val="009B47FE"/>
    <w:rsid w:val="009B5B08"/>
    <w:rsid w:val="009B623D"/>
    <w:rsid w:val="009B658A"/>
    <w:rsid w:val="009B7061"/>
    <w:rsid w:val="009C1219"/>
    <w:rsid w:val="009C23FA"/>
    <w:rsid w:val="009C2CF9"/>
    <w:rsid w:val="009C34B1"/>
    <w:rsid w:val="009C412F"/>
    <w:rsid w:val="009C6EA9"/>
    <w:rsid w:val="009C7064"/>
    <w:rsid w:val="009D10C0"/>
    <w:rsid w:val="009D5FA3"/>
    <w:rsid w:val="009D6A66"/>
    <w:rsid w:val="009D6B85"/>
    <w:rsid w:val="009E0382"/>
    <w:rsid w:val="009E116E"/>
    <w:rsid w:val="009E182A"/>
    <w:rsid w:val="009E1AEA"/>
    <w:rsid w:val="009E2143"/>
    <w:rsid w:val="009E604D"/>
    <w:rsid w:val="009E66C4"/>
    <w:rsid w:val="009E7DF3"/>
    <w:rsid w:val="009F2A31"/>
    <w:rsid w:val="009F37B4"/>
    <w:rsid w:val="009F46C9"/>
    <w:rsid w:val="009F5218"/>
    <w:rsid w:val="009F5980"/>
    <w:rsid w:val="00A02D0E"/>
    <w:rsid w:val="00A102D9"/>
    <w:rsid w:val="00A11C66"/>
    <w:rsid w:val="00A14437"/>
    <w:rsid w:val="00A14C53"/>
    <w:rsid w:val="00A15971"/>
    <w:rsid w:val="00A20A03"/>
    <w:rsid w:val="00A221DB"/>
    <w:rsid w:val="00A221DF"/>
    <w:rsid w:val="00A225BC"/>
    <w:rsid w:val="00A24988"/>
    <w:rsid w:val="00A264BA"/>
    <w:rsid w:val="00A3023B"/>
    <w:rsid w:val="00A30576"/>
    <w:rsid w:val="00A30F97"/>
    <w:rsid w:val="00A326B1"/>
    <w:rsid w:val="00A34AC6"/>
    <w:rsid w:val="00A419B3"/>
    <w:rsid w:val="00A425FC"/>
    <w:rsid w:val="00A44590"/>
    <w:rsid w:val="00A472D7"/>
    <w:rsid w:val="00A47339"/>
    <w:rsid w:val="00A47536"/>
    <w:rsid w:val="00A5018C"/>
    <w:rsid w:val="00A50326"/>
    <w:rsid w:val="00A52BA6"/>
    <w:rsid w:val="00A54D4C"/>
    <w:rsid w:val="00A54E1A"/>
    <w:rsid w:val="00A55C87"/>
    <w:rsid w:val="00A56869"/>
    <w:rsid w:val="00A6113D"/>
    <w:rsid w:val="00A61155"/>
    <w:rsid w:val="00A6164F"/>
    <w:rsid w:val="00A62C9B"/>
    <w:rsid w:val="00A73155"/>
    <w:rsid w:val="00A7461A"/>
    <w:rsid w:val="00A7667E"/>
    <w:rsid w:val="00A76C08"/>
    <w:rsid w:val="00A806F1"/>
    <w:rsid w:val="00A82AE0"/>
    <w:rsid w:val="00A8453A"/>
    <w:rsid w:val="00A848E1"/>
    <w:rsid w:val="00A85029"/>
    <w:rsid w:val="00A8738D"/>
    <w:rsid w:val="00A92DAD"/>
    <w:rsid w:val="00A958DC"/>
    <w:rsid w:val="00A95D45"/>
    <w:rsid w:val="00A963C3"/>
    <w:rsid w:val="00A9661D"/>
    <w:rsid w:val="00AA04AA"/>
    <w:rsid w:val="00AA102B"/>
    <w:rsid w:val="00AA1482"/>
    <w:rsid w:val="00AA342B"/>
    <w:rsid w:val="00AA46D0"/>
    <w:rsid w:val="00AA5C4F"/>
    <w:rsid w:val="00AA5F61"/>
    <w:rsid w:val="00AB067F"/>
    <w:rsid w:val="00AB248D"/>
    <w:rsid w:val="00AB2498"/>
    <w:rsid w:val="00AB2B93"/>
    <w:rsid w:val="00AB38EF"/>
    <w:rsid w:val="00AB488D"/>
    <w:rsid w:val="00AB5B30"/>
    <w:rsid w:val="00AC0231"/>
    <w:rsid w:val="00AC3350"/>
    <w:rsid w:val="00AC3505"/>
    <w:rsid w:val="00AC4234"/>
    <w:rsid w:val="00AC51C0"/>
    <w:rsid w:val="00AC6E69"/>
    <w:rsid w:val="00AD01D2"/>
    <w:rsid w:val="00AD1A52"/>
    <w:rsid w:val="00AD1A60"/>
    <w:rsid w:val="00AD2F9E"/>
    <w:rsid w:val="00AD3839"/>
    <w:rsid w:val="00AD3F56"/>
    <w:rsid w:val="00AD452A"/>
    <w:rsid w:val="00AD5849"/>
    <w:rsid w:val="00AD7DBF"/>
    <w:rsid w:val="00AE0326"/>
    <w:rsid w:val="00AE05F1"/>
    <w:rsid w:val="00AE1659"/>
    <w:rsid w:val="00AE1BAC"/>
    <w:rsid w:val="00AE29AE"/>
    <w:rsid w:val="00AE3F4B"/>
    <w:rsid w:val="00AE44BE"/>
    <w:rsid w:val="00AE51EC"/>
    <w:rsid w:val="00AE52B6"/>
    <w:rsid w:val="00AE63A7"/>
    <w:rsid w:val="00AE6E0C"/>
    <w:rsid w:val="00AE77AA"/>
    <w:rsid w:val="00AF1E99"/>
    <w:rsid w:val="00B014C2"/>
    <w:rsid w:val="00B01C10"/>
    <w:rsid w:val="00B033B8"/>
    <w:rsid w:val="00B03D28"/>
    <w:rsid w:val="00B05526"/>
    <w:rsid w:val="00B06B48"/>
    <w:rsid w:val="00B139C6"/>
    <w:rsid w:val="00B166B5"/>
    <w:rsid w:val="00B17C2B"/>
    <w:rsid w:val="00B201D8"/>
    <w:rsid w:val="00B219DE"/>
    <w:rsid w:val="00B221CA"/>
    <w:rsid w:val="00B23B0C"/>
    <w:rsid w:val="00B25A18"/>
    <w:rsid w:val="00B26A25"/>
    <w:rsid w:val="00B30133"/>
    <w:rsid w:val="00B31842"/>
    <w:rsid w:val="00B35B87"/>
    <w:rsid w:val="00B36AEC"/>
    <w:rsid w:val="00B373B9"/>
    <w:rsid w:val="00B373EA"/>
    <w:rsid w:val="00B37ECA"/>
    <w:rsid w:val="00B40127"/>
    <w:rsid w:val="00B41E5A"/>
    <w:rsid w:val="00B4309E"/>
    <w:rsid w:val="00B4325D"/>
    <w:rsid w:val="00B43882"/>
    <w:rsid w:val="00B45132"/>
    <w:rsid w:val="00B45711"/>
    <w:rsid w:val="00B46611"/>
    <w:rsid w:val="00B47CD6"/>
    <w:rsid w:val="00B51AA1"/>
    <w:rsid w:val="00B5466B"/>
    <w:rsid w:val="00B55CC8"/>
    <w:rsid w:val="00B56175"/>
    <w:rsid w:val="00B6151B"/>
    <w:rsid w:val="00B62197"/>
    <w:rsid w:val="00B626F8"/>
    <w:rsid w:val="00B635E1"/>
    <w:rsid w:val="00B6478B"/>
    <w:rsid w:val="00B650A2"/>
    <w:rsid w:val="00B67838"/>
    <w:rsid w:val="00B737DF"/>
    <w:rsid w:val="00B73ACB"/>
    <w:rsid w:val="00B74AFA"/>
    <w:rsid w:val="00B74BCA"/>
    <w:rsid w:val="00B75BAC"/>
    <w:rsid w:val="00B75BD3"/>
    <w:rsid w:val="00B76B86"/>
    <w:rsid w:val="00B7774A"/>
    <w:rsid w:val="00B81E82"/>
    <w:rsid w:val="00B8222C"/>
    <w:rsid w:val="00B82499"/>
    <w:rsid w:val="00B83AC9"/>
    <w:rsid w:val="00B85D39"/>
    <w:rsid w:val="00B85F43"/>
    <w:rsid w:val="00B90328"/>
    <w:rsid w:val="00B912E7"/>
    <w:rsid w:val="00B931D1"/>
    <w:rsid w:val="00B961F4"/>
    <w:rsid w:val="00B96AB7"/>
    <w:rsid w:val="00B97180"/>
    <w:rsid w:val="00BA0A22"/>
    <w:rsid w:val="00BA4AA9"/>
    <w:rsid w:val="00BA5EB1"/>
    <w:rsid w:val="00BA69B0"/>
    <w:rsid w:val="00BA7293"/>
    <w:rsid w:val="00BA7B7E"/>
    <w:rsid w:val="00BB09C5"/>
    <w:rsid w:val="00BB1376"/>
    <w:rsid w:val="00BB1832"/>
    <w:rsid w:val="00BB4180"/>
    <w:rsid w:val="00BB6516"/>
    <w:rsid w:val="00BB6D20"/>
    <w:rsid w:val="00BC06E8"/>
    <w:rsid w:val="00BC16B4"/>
    <w:rsid w:val="00BC1DE4"/>
    <w:rsid w:val="00BC262B"/>
    <w:rsid w:val="00BC486B"/>
    <w:rsid w:val="00BC4AAD"/>
    <w:rsid w:val="00BC51A3"/>
    <w:rsid w:val="00BC70FB"/>
    <w:rsid w:val="00BC712B"/>
    <w:rsid w:val="00BD128C"/>
    <w:rsid w:val="00BD1934"/>
    <w:rsid w:val="00BD22EA"/>
    <w:rsid w:val="00BD4278"/>
    <w:rsid w:val="00BD7AC9"/>
    <w:rsid w:val="00BE0EC8"/>
    <w:rsid w:val="00BE1338"/>
    <w:rsid w:val="00BE4892"/>
    <w:rsid w:val="00BE57D9"/>
    <w:rsid w:val="00BE6A2C"/>
    <w:rsid w:val="00BF13E2"/>
    <w:rsid w:val="00BF1AD9"/>
    <w:rsid w:val="00BF1C29"/>
    <w:rsid w:val="00BF2584"/>
    <w:rsid w:val="00BF344D"/>
    <w:rsid w:val="00BF599F"/>
    <w:rsid w:val="00BF6F19"/>
    <w:rsid w:val="00BF6F90"/>
    <w:rsid w:val="00BF7A69"/>
    <w:rsid w:val="00BF7D73"/>
    <w:rsid w:val="00C00041"/>
    <w:rsid w:val="00C0400A"/>
    <w:rsid w:val="00C044F2"/>
    <w:rsid w:val="00C04B3F"/>
    <w:rsid w:val="00C0764D"/>
    <w:rsid w:val="00C10877"/>
    <w:rsid w:val="00C10CEA"/>
    <w:rsid w:val="00C11273"/>
    <w:rsid w:val="00C112CE"/>
    <w:rsid w:val="00C11C6A"/>
    <w:rsid w:val="00C12C72"/>
    <w:rsid w:val="00C1323A"/>
    <w:rsid w:val="00C1663D"/>
    <w:rsid w:val="00C16BBF"/>
    <w:rsid w:val="00C20EF9"/>
    <w:rsid w:val="00C21702"/>
    <w:rsid w:val="00C2291A"/>
    <w:rsid w:val="00C257B7"/>
    <w:rsid w:val="00C307D2"/>
    <w:rsid w:val="00C31F73"/>
    <w:rsid w:val="00C32F05"/>
    <w:rsid w:val="00C37B14"/>
    <w:rsid w:val="00C40FDA"/>
    <w:rsid w:val="00C43F6F"/>
    <w:rsid w:val="00C51843"/>
    <w:rsid w:val="00C5549D"/>
    <w:rsid w:val="00C62B40"/>
    <w:rsid w:val="00C63733"/>
    <w:rsid w:val="00C65DC2"/>
    <w:rsid w:val="00C7152A"/>
    <w:rsid w:val="00C73791"/>
    <w:rsid w:val="00C73EC7"/>
    <w:rsid w:val="00C747E0"/>
    <w:rsid w:val="00C800D2"/>
    <w:rsid w:val="00C82A06"/>
    <w:rsid w:val="00C82B27"/>
    <w:rsid w:val="00C83C63"/>
    <w:rsid w:val="00C83E9B"/>
    <w:rsid w:val="00C85068"/>
    <w:rsid w:val="00C852AB"/>
    <w:rsid w:val="00C90D90"/>
    <w:rsid w:val="00C91793"/>
    <w:rsid w:val="00CA0B16"/>
    <w:rsid w:val="00CA181C"/>
    <w:rsid w:val="00CA334F"/>
    <w:rsid w:val="00CA4ADF"/>
    <w:rsid w:val="00CA5DE0"/>
    <w:rsid w:val="00CA6526"/>
    <w:rsid w:val="00CA7E59"/>
    <w:rsid w:val="00CB2CB2"/>
    <w:rsid w:val="00CB4D81"/>
    <w:rsid w:val="00CB5D7B"/>
    <w:rsid w:val="00CB67F7"/>
    <w:rsid w:val="00CB6A16"/>
    <w:rsid w:val="00CB7A76"/>
    <w:rsid w:val="00CC367E"/>
    <w:rsid w:val="00CC69CD"/>
    <w:rsid w:val="00CC76C2"/>
    <w:rsid w:val="00CD4509"/>
    <w:rsid w:val="00CD77C0"/>
    <w:rsid w:val="00CD787B"/>
    <w:rsid w:val="00CE09F6"/>
    <w:rsid w:val="00CE183A"/>
    <w:rsid w:val="00CE4316"/>
    <w:rsid w:val="00CE46A5"/>
    <w:rsid w:val="00CE5A53"/>
    <w:rsid w:val="00CF05DA"/>
    <w:rsid w:val="00CF370C"/>
    <w:rsid w:val="00CF5576"/>
    <w:rsid w:val="00CF5C7C"/>
    <w:rsid w:val="00CF6A70"/>
    <w:rsid w:val="00D01BAC"/>
    <w:rsid w:val="00D03BE9"/>
    <w:rsid w:val="00D04CBF"/>
    <w:rsid w:val="00D07CDB"/>
    <w:rsid w:val="00D11D2F"/>
    <w:rsid w:val="00D135FA"/>
    <w:rsid w:val="00D15693"/>
    <w:rsid w:val="00D16BE8"/>
    <w:rsid w:val="00D17FC9"/>
    <w:rsid w:val="00D215C9"/>
    <w:rsid w:val="00D23AF2"/>
    <w:rsid w:val="00D25DF0"/>
    <w:rsid w:val="00D27035"/>
    <w:rsid w:val="00D270A9"/>
    <w:rsid w:val="00D30236"/>
    <w:rsid w:val="00D30469"/>
    <w:rsid w:val="00D315BC"/>
    <w:rsid w:val="00D32658"/>
    <w:rsid w:val="00D33BC8"/>
    <w:rsid w:val="00D33ECA"/>
    <w:rsid w:val="00D347F4"/>
    <w:rsid w:val="00D37D48"/>
    <w:rsid w:val="00D402F5"/>
    <w:rsid w:val="00D42277"/>
    <w:rsid w:val="00D4236C"/>
    <w:rsid w:val="00D43A7A"/>
    <w:rsid w:val="00D5184D"/>
    <w:rsid w:val="00D51E6D"/>
    <w:rsid w:val="00D5260D"/>
    <w:rsid w:val="00D62CCB"/>
    <w:rsid w:val="00D65C7D"/>
    <w:rsid w:val="00D70502"/>
    <w:rsid w:val="00D71175"/>
    <w:rsid w:val="00D7256E"/>
    <w:rsid w:val="00D73D92"/>
    <w:rsid w:val="00D74282"/>
    <w:rsid w:val="00D751F5"/>
    <w:rsid w:val="00D77F11"/>
    <w:rsid w:val="00D82197"/>
    <w:rsid w:val="00D82249"/>
    <w:rsid w:val="00D84793"/>
    <w:rsid w:val="00D9386E"/>
    <w:rsid w:val="00D96195"/>
    <w:rsid w:val="00D97223"/>
    <w:rsid w:val="00DA1041"/>
    <w:rsid w:val="00DA4963"/>
    <w:rsid w:val="00DA52A1"/>
    <w:rsid w:val="00DA5D04"/>
    <w:rsid w:val="00DA61A3"/>
    <w:rsid w:val="00DA7414"/>
    <w:rsid w:val="00DB056D"/>
    <w:rsid w:val="00DB28DC"/>
    <w:rsid w:val="00DB358C"/>
    <w:rsid w:val="00DB35ED"/>
    <w:rsid w:val="00DB3BCB"/>
    <w:rsid w:val="00DB41C8"/>
    <w:rsid w:val="00DC406B"/>
    <w:rsid w:val="00DC44CC"/>
    <w:rsid w:val="00DC4C6D"/>
    <w:rsid w:val="00DC5ABA"/>
    <w:rsid w:val="00DC6758"/>
    <w:rsid w:val="00DD0266"/>
    <w:rsid w:val="00DD1A9D"/>
    <w:rsid w:val="00DD28ED"/>
    <w:rsid w:val="00DD32A1"/>
    <w:rsid w:val="00DD3C99"/>
    <w:rsid w:val="00DD42C2"/>
    <w:rsid w:val="00DD46D3"/>
    <w:rsid w:val="00DD50FD"/>
    <w:rsid w:val="00DD7A97"/>
    <w:rsid w:val="00DE043D"/>
    <w:rsid w:val="00DE0595"/>
    <w:rsid w:val="00DE1404"/>
    <w:rsid w:val="00DE54AB"/>
    <w:rsid w:val="00DE5D69"/>
    <w:rsid w:val="00DE67FC"/>
    <w:rsid w:val="00DF0637"/>
    <w:rsid w:val="00DF0A7E"/>
    <w:rsid w:val="00DF4DB8"/>
    <w:rsid w:val="00DF4F04"/>
    <w:rsid w:val="00DF6B2B"/>
    <w:rsid w:val="00DF7F42"/>
    <w:rsid w:val="00E007C1"/>
    <w:rsid w:val="00E00CC5"/>
    <w:rsid w:val="00E02E42"/>
    <w:rsid w:val="00E03A78"/>
    <w:rsid w:val="00E057C6"/>
    <w:rsid w:val="00E060B1"/>
    <w:rsid w:val="00E07DF2"/>
    <w:rsid w:val="00E10D14"/>
    <w:rsid w:val="00E147E0"/>
    <w:rsid w:val="00E16B93"/>
    <w:rsid w:val="00E22EBE"/>
    <w:rsid w:val="00E26AAA"/>
    <w:rsid w:val="00E26E54"/>
    <w:rsid w:val="00E278EA"/>
    <w:rsid w:val="00E30AF4"/>
    <w:rsid w:val="00E3186F"/>
    <w:rsid w:val="00E32AE9"/>
    <w:rsid w:val="00E34F3A"/>
    <w:rsid w:val="00E374A8"/>
    <w:rsid w:val="00E4147B"/>
    <w:rsid w:val="00E421DE"/>
    <w:rsid w:val="00E42E89"/>
    <w:rsid w:val="00E4315A"/>
    <w:rsid w:val="00E44A03"/>
    <w:rsid w:val="00E45814"/>
    <w:rsid w:val="00E47BA2"/>
    <w:rsid w:val="00E47E61"/>
    <w:rsid w:val="00E53C62"/>
    <w:rsid w:val="00E56CCA"/>
    <w:rsid w:val="00E57BA8"/>
    <w:rsid w:val="00E603C6"/>
    <w:rsid w:val="00E60458"/>
    <w:rsid w:val="00E605BB"/>
    <w:rsid w:val="00E63A2C"/>
    <w:rsid w:val="00E65238"/>
    <w:rsid w:val="00E65F36"/>
    <w:rsid w:val="00E65F64"/>
    <w:rsid w:val="00E67992"/>
    <w:rsid w:val="00E70B81"/>
    <w:rsid w:val="00E73425"/>
    <w:rsid w:val="00E73480"/>
    <w:rsid w:val="00E735A3"/>
    <w:rsid w:val="00E75D56"/>
    <w:rsid w:val="00E76A2A"/>
    <w:rsid w:val="00E77E51"/>
    <w:rsid w:val="00E8387C"/>
    <w:rsid w:val="00E83E29"/>
    <w:rsid w:val="00E86A0A"/>
    <w:rsid w:val="00E90C7E"/>
    <w:rsid w:val="00E91702"/>
    <w:rsid w:val="00E92CC4"/>
    <w:rsid w:val="00E93D72"/>
    <w:rsid w:val="00E943FC"/>
    <w:rsid w:val="00E96283"/>
    <w:rsid w:val="00E97B1A"/>
    <w:rsid w:val="00EA0DD5"/>
    <w:rsid w:val="00EA2820"/>
    <w:rsid w:val="00EA50BA"/>
    <w:rsid w:val="00EA5412"/>
    <w:rsid w:val="00EA57EF"/>
    <w:rsid w:val="00EB03F5"/>
    <w:rsid w:val="00EB1BE8"/>
    <w:rsid w:val="00EB1FEC"/>
    <w:rsid w:val="00EB263C"/>
    <w:rsid w:val="00EB3773"/>
    <w:rsid w:val="00EB38B6"/>
    <w:rsid w:val="00EC2AD9"/>
    <w:rsid w:val="00EC38D4"/>
    <w:rsid w:val="00EC4E47"/>
    <w:rsid w:val="00EC59C9"/>
    <w:rsid w:val="00EC5C1C"/>
    <w:rsid w:val="00ED09BE"/>
    <w:rsid w:val="00ED13ED"/>
    <w:rsid w:val="00ED1CF0"/>
    <w:rsid w:val="00ED29AD"/>
    <w:rsid w:val="00ED377B"/>
    <w:rsid w:val="00ED5B6B"/>
    <w:rsid w:val="00EE1948"/>
    <w:rsid w:val="00EE29BF"/>
    <w:rsid w:val="00EE2B7B"/>
    <w:rsid w:val="00EE415F"/>
    <w:rsid w:val="00EE424E"/>
    <w:rsid w:val="00EE4FC3"/>
    <w:rsid w:val="00EE6664"/>
    <w:rsid w:val="00EF0674"/>
    <w:rsid w:val="00EF2394"/>
    <w:rsid w:val="00EF26A5"/>
    <w:rsid w:val="00EF335B"/>
    <w:rsid w:val="00EF539D"/>
    <w:rsid w:val="00EF662A"/>
    <w:rsid w:val="00EF6E5B"/>
    <w:rsid w:val="00EF7A99"/>
    <w:rsid w:val="00EF7D9D"/>
    <w:rsid w:val="00F010E4"/>
    <w:rsid w:val="00F01304"/>
    <w:rsid w:val="00F019DD"/>
    <w:rsid w:val="00F0451A"/>
    <w:rsid w:val="00F04D93"/>
    <w:rsid w:val="00F05A56"/>
    <w:rsid w:val="00F067B2"/>
    <w:rsid w:val="00F071AA"/>
    <w:rsid w:val="00F103C0"/>
    <w:rsid w:val="00F106B9"/>
    <w:rsid w:val="00F11B80"/>
    <w:rsid w:val="00F11D53"/>
    <w:rsid w:val="00F15932"/>
    <w:rsid w:val="00F210C4"/>
    <w:rsid w:val="00F213B5"/>
    <w:rsid w:val="00F213F2"/>
    <w:rsid w:val="00F2406C"/>
    <w:rsid w:val="00F24674"/>
    <w:rsid w:val="00F25271"/>
    <w:rsid w:val="00F258DB"/>
    <w:rsid w:val="00F27161"/>
    <w:rsid w:val="00F3042A"/>
    <w:rsid w:val="00F30930"/>
    <w:rsid w:val="00F31F98"/>
    <w:rsid w:val="00F3226B"/>
    <w:rsid w:val="00F33BCE"/>
    <w:rsid w:val="00F34F76"/>
    <w:rsid w:val="00F35826"/>
    <w:rsid w:val="00F4498B"/>
    <w:rsid w:val="00F45FC6"/>
    <w:rsid w:val="00F52203"/>
    <w:rsid w:val="00F53491"/>
    <w:rsid w:val="00F53820"/>
    <w:rsid w:val="00F54801"/>
    <w:rsid w:val="00F54C76"/>
    <w:rsid w:val="00F621F0"/>
    <w:rsid w:val="00F6350C"/>
    <w:rsid w:val="00F6526D"/>
    <w:rsid w:val="00F6543B"/>
    <w:rsid w:val="00F73226"/>
    <w:rsid w:val="00F73CBA"/>
    <w:rsid w:val="00F73E4D"/>
    <w:rsid w:val="00F74837"/>
    <w:rsid w:val="00F768B2"/>
    <w:rsid w:val="00F80221"/>
    <w:rsid w:val="00F8054A"/>
    <w:rsid w:val="00F828F4"/>
    <w:rsid w:val="00F85897"/>
    <w:rsid w:val="00F86808"/>
    <w:rsid w:val="00F87B66"/>
    <w:rsid w:val="00F942CC"/>
    <w:rsid w:val="00F94B10"/>
    <w:rsid w:val="00F9656B"/>
    <w:rsid w:val="00FA1511"/>
    <w:rsid w:val="00FA2035"/>
    <w:rsid w:val="00FA3614"/>
    <w:rsid w:val="00FA3D2C"/>
    <w:rsid w:val="00FA6053"/>
    <w:rsid w:val="00FA6507"/>
    <w:rsid w:val="00FA6B9B"/>
    <w:rsid w:val="00FB086D"/>
    <w:rsid w:val="00FB1448"/>
    <w:rsid w:val="00FB2469"/>
    <w:rsid w:val="00FB7F2D"/>
    <w:rsid w:val="00FC035F"/>
    <w:rsid w:val="00FC1889"/>
    <w:rsid w:val="00FC2F77"/>
    <w:rsid w:val="00FC46A3"/>
    <w:rsid w:val="00FC4CC7"/>
    <w:rsid w:val="00FC6E18"/>
    <w:rsid w:val="00FD058F"/>
    <w:rsid w:val="00FD42A6"/>
    <w:rsid w:val="00FD7D9D"/>
    <w:rsid w:val="00FE1A2F"/>
    <w:rsid w:val="00FE4FDD"/>
    <w:rsid w:val="00FF12B2"/>
    <w:rsid w:val="00FF375B"/>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CommentReference">
    <w:name w:val="annotation reference"/>
    <w:basedOn w:val="DefaultParagraphFont"/>
    <w:uiPriority w:val="99"/>
    <w:semiHidden/>
    <w:unhideWhenUsed/>
    <w:rsid w:val="00123268"/>
    <w:rPr>
      <w:sz w:val="16"/>
      <w:szCs w:val="16"/>
    </w:rPr>
  </w:style>
  <w:style w:type="paragraph" w:styleId="CommentText">
    <w:name w:val="annotation text"/>
    <w:basedOn w:val="Normal"/>
    <w:link w:val="CommentTextChar"/>
    <w:uiPriority w:val="99"/>
    <w:semiHidden/>
    <w:unhideWhenUsed/>
    <w:rsid w:val="00123268"/>
  </w:style>
  <w:style w:type="character" w:customStyle="1" w:styleId="CommentTextChar">
    <w:name w:val="Comment Text Char"/>
    <w:basedOn w:val="DefaultParagraphFont"/>
    <w:link w:val="CommentText"/>
    <w:uiPriority w:val="99"/>
    <w:semiHidden/>
    <w:rsid w:val="00123268"/>
    <w:rPr>
      <w:lang w:val="en-AU" w:eastAsia="en-US"/>
    </w:rPr>
  </w:style>
  <w:style w:type="paragraph" w:styleId="CommentSubject">
    <w:name w:val="annotation subject"/>
    <w:basedOn w:val="CommentText"/>
    <w:next w:val="CommentText"/>
    <w:link w:val="CommentSubjectChar"/>
    <w:uiPriority w:val="99"/>
    <w:semiHidden/>
    <w:unhideWhenUsed/>
    <w:rsid w:val="00123268"/>
    <w:rPr>
      <w:b/>
      <w:bCs/>
    </w:rPr>
  </w:style>
  <w:style w:type="character" w:customStyle="1" w:styleId="CommentSubjectChar">
    <w:name w:val="Comment Subject Char"/>
    <w:basedOn w:val="CommentTextChar"/>
    <w:link w:val="CommentSubject"/>
    <w:uiPriority w:val="99"/>
    <w:semiHidden/>
    <w:rsid w:val="00123268"/>
    <w:rPr>
      <w:b/>
      <w:bCs/>
    </w:rPr>
  </w:style>
  <w:style w:type="paragraph" w:styleId="BodyText2">
    <w:name w:val="Body Text 2"/>
    <w:basedOn w:val="Normal"/>
    <w:link w:val="BodyText2Char"/>
    <w:uiPriority w:val="99"/>
    <w:semiHidden/>
    <w:unhideWhenUsed/>
    <w:rsid w:val="002F24EE"/>
    <w:pPr>
      <w:spacing w:after="120" w:line="480" w:lineRule="auto"/>
    </w:pPr>
  </w:style>
  <w:style w:type="character" w:customStyle="1" w:styleId="BodyText2Char">
    <w:name w:val="Body Text 2 Char"/>
    <w:basedOn w:val="DefaultParagraphFont"/>
    <w:link w:val="BodyText2"/>
    <w:uiPriority w:val="99"/>
    <w:semiHidden/>
    <w:rsid w:val="002F24EE"/>
    <w:rPr>
      <w:lang w:val="en-AU" w:eastAsia="en-US"/>
    </w:rPr>
  </w:style>
  <w:style w:type="character" w:customStyle="1" w:styleId="apple-converted-space">
    <w:name w:val="apple-converted-space"/>
    <w:basedOn w:val="DefaultParagraphFont"/>
    <w:rsid w:val="003C1431"/>
  </w:style>
  <w:style w:type="character" w:styleId="Emphasis">
    <w:name w:val="Emphasis"/>
    <w:basedOn w:val="DefaultParagraphFont"/>
    <w:uiPriority w:val="20"/>
    <w:qFormat/>
    <w:rsid w:val="003C1431"/>
    <w:rPr>
      <w:i/>
      <w:iCs/>
    </w:rPr>
  </w:style>
  <w:style w:type="paragraph" w:styleId="Revision">
    <w:name w:val="Revision"/>
    <w:hidden/>
    <w:uiPriority w:val="99"/>
    <w:semiHidden/>
    <w:rsid w:val="00C90D90"/>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40330337">
      <w:bodyDiv w:val="1"/>
      <w:marLeft w:val="0"/>
      <w:marRight w:val="0"/>
      <w:marTop w:val="0"/>
      <w:marBottom w:val="0"/>
      <w:divBdr>
        <w:top w:val="none" w:sz="0" w:space="0" w:color="auto"/>
        <w:left w:val="none" w:sz="0" w:space="0" w:color="auto"/>
        <w:bottom w:val="none" w:sz="0" w:space="0" w:color="auto"/>
        <w:right w:val="none" w:sz="0" w:space="0" w:color="auto"/>
      </w:divBdr>
    </w:div>
    <w:div w:id="153180399">
      <w:bodyDiv w:val="1"/>
      <w:marLeft w:val="0"/>
      <w:marRight w:val="0"/>
      <w:marTop w:val="0"/>
      <w:marBottom w:val="0"/>
      <w:divBdr>
        <w:top w:val="none" w:sz="0" w:space="0" w:color="auto"/>
        <w:left w:val="none" w:sz="0" w:space="0" w:color="auto"/>
        <w:bottom w:val="none" w:sz="0" w:space="0" w:color="auto"/>
        <w:right w:val="none" w:sz="0" w:space="0" w:color="auto"/>
      </w:divBdr>
      <w:divsChild>
        <w:div w:id="600144619">
          <w:marLeft w:val="0"/>
          <w:marRight w:val="0"/>
          <w:marTop w:val="0"/>
          <w:marBottom w:val="0"/>
          <w:divBdr>
            <w:top w:val="none" w:sz="0" w:space="0" w:color="auto"/>
            <w:left w:val="none" w:sz="0" w:space="0" w:color="auto"/>
            <w:bottom w:val="none" w:sz="0" w:space="0" w:color="auto"/>
            <w:right w:val="none" w:sz="0" w:space="0" w:color="auto"/>
          </w:divBdr>
        </w:div>
      </w:divsChild>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08370257">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551187946">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 w:id="1966278297">
      <w:bodyDiv w:val="1"/>
      <w:marLeft w:val="0"/>
      <w:marRight w:val="0"/>
      <w:marTop w:val="0"/>
      <w:marBottom w:val="0"/>
      <w:divBdr>
        <w:top w:val="none" w:sz="0" w:space="0" w:color="auto"/>
        <w:left w:val="none" w:sz="0" w:space="0" w:color="auto"/>
        <w:bottom w:val="none" w:sz="0" w:space="0" w:color="auto"/>
        <w:right w:val="none" w:sz="0" w:space="0" w:color="auto"/>
      </w:divBdr>
    </w:div>
    <w:div w:id="21172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F309E0-B1A2-4B6F-BCA5-91B7451E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2337</Words>
  <Characters>17177</Characters>
  <Application>Microsoft Office Word</Application>
  <DocSecurity>0</DocSecurity>
  <Lines>687</Lines>
  <Paragraphs>232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noteikumu projekta „Grozījumi Ministru kabineta 2010.gada 13.aprīļa noteikumos Nr.361 „Noteikumi par darbības programmas „Uzņēmējdarbība un inovācijas” papildinājuma 2.1.2.1.1.apakšaktivitāti „Kompetences centri””” sākotnējās ietekmes no</vt:lpstr>
      <vt:lpstr>Ministru kabineta noteikumu projekta „Grozījums Ministru kabineta 2010.gada 13.a</vt:lpstr>
    </vt:vector>
  </TitlesOfParts>
  <Company>LR Ekonomikas ministrija</Company>
  <LinksUpToDate>false</LinksUpToDate>
  <CharactersWithSpaces>19282</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13.aprīļa noteikumos Nr.361 „Noteikumi par darbības programmas „Uzņēmējdarbība un inovācijas” papildinājuma 2.1.2.1.1.apakšaktivitāti „Kompetences centri””” sākotnējās ietekmes novērtējuma ziņojums (anotācija)</dc:title>
  <dc:subject>Anotācija</dc:subject>
  <dc:creator>Gatis Silovs</dc:creator>
  <dc:description>Gatis.Silovs@em.gov.lv, 67013209</dc:description>
  <cp:lastModifiedBy>Gatis Silovs</cp:lastModifiedBy>
  <cp:revision>60</cp:revision>
  <cp:lastPrinted>2011-11-04T16:54:00Z</cp:lastPrinted>
  <dcterms:created xsi:type="dcterms:W3CDTF">2012-08-10T17:06:00Z</dcterms:created>
  <dcterms:modified xsi:type="dcterms:W3CDTF">2012-10-04T14:00:00Z</dcterms:modified>
</cp:coreProperties>
</file>