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8" w:rsidRPr="0088104A" w:rsidRDefault="008F14B7" w:rsidP="00716FF0">
      <w:pPr>
        <w:jc w:val="center"/>
        <w:rPr>
          <w:b/>
          <w:sz w:val="28"/>
          <w:szCs w:val="28"/>
        </w:rPr>
      </w:pPr>
      <w:bookmarkStart w:id="0" w:name="OLE_LINK3"/>
      <w:bookmarkStart w:id="1" w:name="OLE_LINK4"/>
      <w:bookmarkStart w:id="2" w:name="OLE_LINK1"/>
      <w:r>
        <w:rPr>
          <w:b/>
          <w:sz w:val="28"/>
          <w:szCs w:val="28"/>
        </w:rPr>
        <w:t>Ministru kabineta noteikumu projekta</w:t>
      </w:r>
      <w:r w:rsidRPr="006D6B3E">
        <w:rPr>
          <w:b/>
          <w:sz w:val="28"/>
          <w:szCs w:val="28"/>
        </w:rPr>
        <w:t xml:space="preserve"> „</w:t>
      </w:r>
      <w:r w:rsidR="00FB2E53">
        <w:rPr>
          <w:b/>
          <w:bCs/>
          <w:sz w:val="28"/>
          <w:szCs w:val="28"/>
        </w:rPr>
        <w:t xml:space="preserve">Elektroenerģijas tirdzniecības un </w:t>
      </w:r>
      <w:r w:rsidR="00855789">
        <w:rPr>
          <w:b/>
          <w:bCs/>
          <w:sz w:val="28"/>
          <w:szCs w:val="28"/>
        </w:rPr>
        <w:t>lietošanas</w:t>
      </w:r>
      <w:r w:rsidR="00FB2E53">
        <w:rPr>
          <w:b/>
          <w:bCs/>
          <w:sz w:val="28"/>
          <w:szCs w:val="28"/>
        </w:rPr>
        <w:t xml:space="preserve"> noteikumi</w:t>
      </w:r>
      <w:r w:rsidRPr="006D6B3E">
        <w:rPr>
          <w:b/>
          <w:sz w:val="28"/>
          <w:szCs w:val="28"/>
        </w:rPr>
        <w:t>”</w:t>
      </w:r>
      <w:r>
        <w:rPr>
          <w:b/>
          <w:sz w:val="28"/>
          <w:szCs w:val="28"/>
        </w:rPr>
        <w:t xml:space="preserve"> </w:t>
      </w:r>
      <w:bookmarkEnd w:id="0"/>
      <w:bookmarkEnd w:id="1"/>
      <w:bookmarkEnd w:id="2"/>
      <w:r w:rsidR="00A72338" w:rsidRPr="0088104A">
        <w:rPr>
          <w:b/>
          <w:sz w:val="28"/>
          <w:szCs w:val="28"/>
        </w:rPr>
        <w:t>sākotnējās ietekmes novērtējuma ziņojums</w:t>
      </w:r>
    </w:p>
    <w:p w:rsidR="00B13F7C" w:rsidRPr="007C0F2C" w:rsidRDefault="00A72338" w:rsidP="00A72338">
      <w:pPr>
        <w:pStyle w:val="naislab"/>
        <w:spacing w:before="0" w:after="0"/>
        <w:jc w:val="center"/>
        <w:outlineLvl w:val="0"/>
        <w:rPr>
          <w:b/>
          <w:sz w:val="28"/>
          <w:szCs w:val="28"/>
        </w:rPr>
      </w:pPr>
      <w:r w:rsidRPr="007C0F2C">
        <w:rPr>
          <w:b/>
          <w:sz w:val="28"/>
          <w:szCs w:val="28"/>
        </w:rPr>
        <w:t>(anotācija)</w:t>
      </w: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852042" w:rsidRPr="007C0F2C" w:rsidTr="002C3304">
        <w:tc>
          <w:tcPr>
            <w:tcW w:w="9480" w:type="dxa"/>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0342B4" w:rsidRPr="007C0F2C" w:rsidTr="002C3304">
        <w:trPr>
          <w:trHeight w:val="630"/>
        </w:trPr>
        <w:tc>
          <w:tcPr>
            <w:tcW w:w="485" w:type="dxa"/>
          </w:tcPr>
          <w:p w:rsidR="000342B4" w:rsidRPr="00827060" w:rsidRDefault="000342B4" w:rsidP="006C4607">
            <w:pPr>
              <w:pStyle w:val="naiskr"/>
              <w:spacing w:before="0" w:after="0"/>
              <w:rPr>
                <w:sz w:val="22"/>
                <w:szCs w:val="22"/>
              </w:rPr>
            </w:pPr>
            <w:r w:rsidRPr="00827060">
              <w:rPr>
                <w:sz w:val="22"/>
                <w:szCs w:val="22"/>
              </w:rPr>
              <w:t>1.</w:t>
            </w:r>
          </w:p>
        </w:tc>
        <w:tc>
          <w:tcPr>
            <w:tcW w:w="1435" w:type="dxa"/>
          </w:tcPr>
          <w:p w:rsidR="000342B4" w:rsidRPr="00827060" w:rsidRDefault="000342B4" w:rsidP="006C4607">
            <w:pPr>
              <w:pStyle w:val="naiskr"/>
              <w:spacing w:before="0" w:after="0"/>
              <w:ind w:hanging="10"/>
              <w:rPr>
                <w:sz w:val="22"/>
                <w:szCs w:val="22"/>
              </w:rPr>
            </w:pPr>
            <w:r w:rsidRPr="00827060">
              <w:rPr>
                <w:sz w:val="22"/>
                <w:szCs w:val="22"/>
              </w:rPr>
              <w:t>Pamatojums</w:t>
            </w:r>
          </w:p>
        </w:tc>
        <w:tc>
          <w:tcPr>
            <w:tcW w:w="7560" w:type="dxa"/>
          </w:tcPr>
          <w:p w:rsidR="000342B4" w:rsidRPr="00822E12" w:rsidRDefault="00822E12" w:rsidP="00217E4D">
            <w:pPr>
              <w:pStyle w:val="naisc"/>
              <w:spacing w:before="0" w:after="0"/>
              <w:jc w:val="both"/>
            </w:pPr>
            <w:r>
              <w:t xml:space="preserve">        </w:t>
            </w:r>
            <w:r w:rsidR="000342B4" w:rsidRPr="00FB2E53">
              <w:t>Ministru kabineta noteikumu projekts „</w:t>
            </w:r>
            <w:r w:rsidR="00FB2E53" w:rsidRPr="00FB2E53">
              <w:rPr>
                <w:bCs/>
              </w:rPr>
              <w:t xml:space="preserve">Elektroenerģijas tirdzniecības un </w:t>
            </w:r>
            <w:r w:rsidR="00C14F99">
              <w:rPr>
                <w:bCs/>
              </w:rPr>
              <w:t>lietošanas</w:t>
            </w:r>
            <w:r w:rsidR="00FB2E53" w:rsidRPr="00FB2E53">
              <w:rPr>
                <w:bCs/>
              </w:rPr>
              <w:t xml:space="preserve"> noteikumi</w:t>
            </w:r>
            <w:r w:rsidR="000342B4" w:rsidRPr="00FB2E53">
              <w:rPr>
                <w:noProof/>
              </w:rPr>
              <w:t xml:space="preserve">” </w:t>
            </w:r>
            <w:r w:rsidR="000342B4" w:rsidRPr="00FB2E53">
              <w:t xml:space="preserve">(turpmāk – noteikumu projekts) </w:t>
            </w:r>
            <w:r w:rsidR="00217E4D" w:rsidRPr="00FB2E53">
              <w:t xml:space="preserve">ir </w:t>
            </w:r>
            <w:r w:rsidR="000342B4" w:rsidRPr="00FB2E53">
              <w:t>izstrādāts</w:t>
            </w:r>
            <w:r w:rsidR="00A4674C">
              <w:t>,</w:t>
            </w:r>
            <w:r w:rsidR="000342B4" w:rsidRPr="00FB2E53">
              <w:t xml:space="preserve"> </w:t>
            </w:r>
            <w:r w:rsidR="00217E4D" w:rsidRPr="00FB2E53">
              <w:t xml:space="preserve">pamatojoties uz </w:t>
            </w:r>
            <w:r w:rsidR="00FB2E53" w:rsidRPr="00FB2E53">
              <w:t>Elektroenerģijas tirgus</w:t>
            </w:r>
            <w:r w:rsidR="00217E4D" w:rsidRPr="00FB2E53">
              <w:t xml:space="preserve"> likuma </w:t>
            </w:r>
            <w:r w:rsidR="00FB2E53" w:rsidRPr="00FB2E53">
              <w:t>32.</w:t>
            </w:r>
            <w:r w:rsidR="00217E4D" w:rsidRPr="00FB2E53">
              <w:t>panta</w:t>
            </w:r>
            <w:r w:rsidR="00FB2E53" w:rsidRPr="00FB2E53">
              <w:t xml:space="preserve"> pirmajā</w:t>
            </w:r>
            <w:r w:rsidR="00217E4D" w:rsidRPr="00FB2E53">
              <w:t xml:space="preserve"> daļā</w:t>
            </w:r>
            <w:r w:rsidR="00FB2E53" w:rsidRPr="00FB2E53">
              <w:t>, 33.panta otrās daļas 1.punktā, 33.p</w:t>
            </w:r>
            <w:r w:rsidR="009A55EC">
              <w:t>anta pirmajā daļā, 35.panta otrajā</w:t>
            </w:r>
            <w:r w:rsidR="00FB2E53" w:rsidRPr="00FB2E53">
              <w:t xml:space="preserve"> daļ</w:t>
            </w:r>
            <w:r w:rsidR="009A55EC">
              <w:t>ā</w:t>
            </w:r>
            <w:r w:rsidR="00217E4D" w:rsidRPr="00FB2E53">
              <w:t xml:space="preserve"> un </w:t>
            </w:r>
            <w:r w:rsidR="00FB2E53" w:rsidRPr="00FB2E53">
              <w:rPr>
                <w:iCs/>
              </w:rPr>
              <w:t>likuma “Par sabiedrisko pakalpoju</w:t>
            </w:r>
            <w:r w:rsidR="009A55EC">
              <w:rPr>
                <w:iCs/>
              </w:rPr>
              <w:t>mu regulatoriem” 22.panta piektajā</w:t>
            </w:r>
            <w:r w:rsidR="00FB2E53" w:rsidRPr="00FB2E53">
              <w:rPr>
                <w:iCs/>
              </w:rPr>
              <w:t xml:space="preserve"> daļā </w:t>
            </w:r>
            <w:r w:rsidR="00217E4D" w:rsidRPr="00FB2E53">
              <w:t>dotajiem deleģējumiem.</w:t>
            </w:r>
          </w:p>
        </w:tc>
      </w:tr>
      <w:tr w:rsidR="000342B4" w:rsidRPr="007C0F2C" w:rsidTr="002C3304">
        <w:trPr>
          <w:trHeight w:val="472"/>
        </w:trPr>
        <w:tc>
          <w:tcPr>
            <w:tcW w:w="485" w:type="dxa"/>
          </w:tcPr>
          <w:p w:rsidR="000342B4" w:rsidRPr="00827060" w:rsidRDefault="000342B4" w:rsidP="006C4607">
            <w:pPr>
              <w:pStyle w:val="naiskr"/>
              <w:spacing w:before="0" w:after="0"/>
              <w:rPr>
                <w:sz w:val="22"/>
                <w:szCs w:val="22"/>
              </w:rPr>
            </w:pPr>
            <w:r w:rsidRPr="00827060">
              <w:rPr>
                <w:sz w:val="22"/>
                <w:szCs w:val="22"/>
              </w:rPr>
              <w:t>2.</w:t>
            </w:r>
          </w:p>
        </w:tc>
        <w:tc>
          <w:tcPr>
            <w:tcW w:w="1435" w:type="dxa"/>
          </w:tcPr>
          <w:p w:rsidR="000342B4" w:rsidRPr="00827060" w:rsidRDefault="000342B4" w:rsidP="006C4607">
            <w:pPr>
              <w:pStyle w:val="naiskr"/>
              <w:tabs>
                <w:tab w:val="left" w:pos="170"/>
              </w:tabs>
              <w:spacing w:before="0" w:after="0"/>
              <w:rPr>
                <w:sz w:val="22"/>
                <w:szCs w:val="22"/>
              </w:rPr>
            </w:pPr>
            <w:r w:rsidRPr="00827060">
              <w:rPr>
                <w:sz w:val="22"/>
                <w:szCs w:val="22"/>
              </w:rPr>
              <w:t>Pašreizējā situācija un problēmas</w:t>
            </w:r>
          </w:p>
        </w:tc>
        <w:tc>
          <w:tcPr>
            <w:tcW w:w="7560" w:type="dxa"/>
          </w:tcPr>
          <w:p w:rsidR="00217E4D" w:rsidRDefault="00822E12" w:rsidP="000342B4">
            <w:pPr>
              <w:jc w:val="both"/>
            </w:pPr>
            <w:r>
              <w:t xml:space="preserve">   </w:t>
            </w:r>
            <w:r w:rsidR="00217E4D">
              <w:t xml:space="preserve">Šobrīd </w:t>
            </w:r>
            <w:r w:rsidR="00FB2E53">
              <w:t>elektroenerģijas tirdzniecības un piegādes</w:t>
            </w:r>
            <w:r w:rsidR="00217E4D">
              <w:t xml:space="preserve"> kārtību nosaka Ministru kabineta 200</w:t>
            </w:r>
            <w:r w:rsidR="00FB2E53">
              <w:t>9</w:t>
            </w:r>
            <w:r w:rsidR="00217E4D">
              <w:t xml:space="preserve">.gada </w:t>
            </w:r>
            <w:r w:rsidR="00FB2E53">
              <w:t>21</w:t>
            </w:r>
            <w:r w:rsidR="00217E4D">
              <w:t>.</w:t>
            </w:r>
            <w:r w:rsidR="00FB2E53">
              <w:t>jūlija</w:t>
            </w:r>
            <w:r w:rsidR="00217E4D">
              <w:t xml:space="preserve"> noteikumi Nr. </w:t>
            </w:r>
            <w:r w:rsidR="00FB2E53">
              <w:t>793</w:t>
            </w:r>
            <w:r w:rsidR="00217E4D">
              <w:t xml:space="preserve"> „</w:t>
            </w:r>
            <w:r w:rsidR="00FB2E53">
              <w:rPr>
                <w:bCs/>
              </w:rPr>
              <w:t xml:space="preserve">Elektroenerģijas tirdzniecības un </w:t>
            </w:r>
            <w:r w:rsidR="00C14F99">
              <w:rPr>
                <w:bCs/>
              </w:rPr>
              <w:t>lietošanas</w:t>
            </w:r>
            <w:r w:rsidR="00FB2E53">
              <w:rPr>
                <w:bCs/>
              </w:rPr>
              <w:t xml:space="preserve"> noteikumi</w:t>
            </w:r>
            <w:r w:rsidR="00217E4D">
              <w:t>”</w:t>
            </w:r>
            <w:r w:rsidR="00BA5E45">
              <w:t xml:space="preserve"> (turpmāk – </w:t>
            </w:r>
            <w:r w:rsidR="00E74718">
              <w:t>spēkā esošie</w:t>
            </w:r>
            <w:r w:rsidR="00BA5E45">
              <w:t xml:space="preserve"> noteikumi)</w:t>
            </w:r>
            <w:r w:rsidR="00217E4D">
              <w:t>.</w:t>
            </w:r>
            <w:r>
              <w:t xml:space="preserve">   </w:t>
            </w:r>
          </w:p>
          <w:p w:rsidR="000F059D" w:rsidRPr="000F059D" w:rsidRDefault="00FB2E53" w:rsidP="000F059D">
            <w:pPr>
              <w:spacing w:before="120"/>
              <w:jc w:val="both"/>
            </w:pPr>
            <w:r w:rsidRPr="000F059D">
              <w:t>2011.gada 28.jūlijā Valsts prezidents izsludināja Saeimas pieņemto likumu „Grozījumi Elektroenerģijas tirgus likumā”</w:t>
            </w:r>
            <w:r w:rsidR="000F059D" w:rsidRPr="000F059D">
              <w:t>, kas attiecīgi stā</w:t>
            </w:r>
            <w:r w:rsidR="00855789">
              <w:t>jās</w:t>
            </w:r>
            <w:r w:rsidR="000F059D" w:rsidRPr="000F059D">
              <w:t xml:space="preserve"> spēkā š.g. 11.augustā. Ar šo likumu tika grozīta Elektroenerģijas tirgus likuma 35.panta otrās daļas redakcija un tādēļ saskaņā ar  likuma „Par likumu un citu Saeimas, Valsts prezidenta un Ministru kabineta pieņemto aktu izsludināšanas, publicēšanas, spēkā stāšanās kārtību un spēkā esamību” 10.pantu, kas nosaka, ja spēku zaudē likuma norma, kas pilnvarojusi Ministru kabinetu izdot noteikumus, par spēku zaudējušiem uzskatāmi arī noteikumi, kas izdoti, pamatojoties uz </w:t>
            </w:r>
            <w:r w:rsidR="009A55EC">
              <w:t xml:space="preserve">spēku zaudējušo likuma normu,  spēkā esošie </w:t>
            </w:r>
            <w:r w:rsidR="000F059D" w:rsidRPr="000F059D">
              <w:t>noteikumi zaudē spēku.</w:t>
            </w:r>
          </w:p>
          <w:p w:rsidR="000F059D" w:rsidRDefault="000F059D" w:rsidP="000342B4">
            <w:pPr>
              <w:jc w:val="both"/>
            </w:pPr>
          </w:p>
          <w:p w:rsidR="000342B4" w:rsidRPr="005F2387" w:rsidRDefault="000F059D" w:rsidP="000F059D">
            <w:pPr>
              <w:jc w:val="both"/>
            </w:pPr>
            <w:r>
              <w:t>Vienlaikus a</w:t>
            </w:r>
            <w:r w:rsidRPr="000F059D">
              <w:t>ugstāk minētā likuma Pārejas noteikumu 25.punkts nosaka, ka Ministru kabinets līdz 2011.gada 1.oktobrim izdod noteikumus</w:t>
            </w:r>
            <w:r>
              <w:t xml:space="preserve"> (likuma 35.panta otrā daļa),</w:t>
            </w:r>
            <w:r w:rsidRPr="000F059D">
              <w:t xml:space="preserve"> kas nosaka kārtību, kādā galalietotājs, kam ir pieslēgums sadales sistēmai, ir tiesīgs mainīt elektroenerģijas tirgotāju</w:t>
            </w:r>
            <w:r>
              <w:t xml:space="preserve">. </w:t>
            </w:r>
          </w:p>
        </w:tc>
      </w:tr>
      <w:tr w:rsidR="000342B4" w:rsidRPr="007C0F2C" w:rsidTr="002C3304">
        <w:trPr>
          <w:trHeight w:val="530"/>
        </w:trPr>
        <w:tc>
          <w:tcPr>
            <w:tcW w:w="485" w:type="dxa"/>
          </w:tcPr>
          <w:p w:rsidR="000342B4" w:rsidRPr="00827060" w:rsidRDefault="000342B4" w:rsidP="006C4607">
            <w:pPr>
              <w:pStyle w:val="naiskr"/>
              <w:spacing w:before="0" w:after="0"/>
              <w:rPr>
                <w:sz w:val="22"/>
                <w:szCs w:val="22"/>
              </w:rPr>
            </w:pPr>
            <w:r w:rsidRPr="00827060">
              <w:rPr>
                <w:sz w:val="22"/>
                <w:szCs w:val="22"/>
              </w:rPr>
              <w:t>3.</w:t>
            </w:r>
          </w:p>
        </w:tc>
        <w:tc>
          <w:tcPr>
            <w:tcW w:w="1435" w:type="dxa"/>
          </w:tcPr>
          <w:p w:rsidR="000342B4" w:rsidRPr="00827060" w:rsidRDefault="000342B4" w:rsidP="006C4607">
            <w:pPr>
              <w:pStyle w:val="naiskr"/>
              <w:spacing w:before="0" w:after="0"/>
              <w:rPr>
                <w:sz w:val="22"/>
                <w:szCs w:val="22"/>
              </w:rPr>
            </w:pPr>
            <w:r w:rsidRPr="00827060">
              <w:rPr>
                <w:sz w:val="22"/>
                <w:szCs w:val="22"/>
              </w:rPr>
              <w:t>Saistītie politikas ietekmes novērtējumi un pētījumi</w:t>
            </w:r>
          </w:p>
        </w:tc>
        <w:tc>
          <w:tcPr>
            <w:tcW w:w="7560" w:type="dxa"/>
          </w:tcPr>
          <w:p w:rsidR="000342B4" w:rsidRPr="00855789" w:rsidRDefault="00855789" w:rsidP="006C4607">
            <w:pPr>
              <w:pStyle w:val="FootnoteText"/>
              <w:rPr>
                <w:sz w:val="24"/>
                <w:szCs w:val="24"/>
              </w:rPr>
            </w:pPr>
            <w:r>
              <w:rPr>
                <w:sz w:val="24"/>
                <w:szCs w:val="24"/>
              </w:rPr>
              <w:t>P</w:t>
            </w:r>
            <w:r w:rsidRPr="00855789">
              <w:rPr>
                <w:sz w:val="24"/>
                <w:szCs w:val="24"/>
              </w:rPr>
              <w:t>rojekts šo jomu neskar</w:t>
            </w:r>
          </w:p>
        </w:tc>
      </w:tr>
      <w:tr w:rsidR="000342B4" w:rsidRPr="007C0F2C" w:rsidTr="002C3304">
        <w:trPr>
          <w:trHeight w:val="384"/>
        </w:trPr>
        <w:tc>
          <w:tcPr>
            <w:tcW w:w="485" w:type="dxa"/>
          </w:tcPr>
          <w:p w:rsidR="000342B4" w:rsidRPr="00827060" w:rsidRDefault="000342B4" w:rsidP="006C4607">
            <w:pPr>
              <w:pStyle w:val="naiskr"/>
              <w:spacing w:before="0" w:after="0"/>
              <w:rPr>
                <w:sz w:val="22"/>
                <w:szCs w:val="22"/>
              </w:rPr>
            </w:pPr>
            <w:r w:rsidRPr="00827060">
              <w:rPr>
                <w:sz w:val="22"/>
                <w:szCs w:val="22"/>
              </w:rPr>
              <w:t>4.</w:t>
            </w:r>
          </w:p>
        </w:tc>
        <w:tc>
          <w:tcPr>
            <w:tcW w:w="1435" w:type="dxa"/>
          </w:tcPr>
          <w:p w:rsidR="000342B4" w:rsidRPr="00827060" w:rsidRDefault="000342B4" w:rsidP="006C4607">
            <w:pPr>
              <w:pStyle w:val="naiskr"/>
              <w:spacing w:before="0" w:after="0"/>
              <w:rPr>
                <w:sz w:val="22"/>
                <w:szCs w:val="22"/>
              </w:rPr>
            </w:pPr>
            <w:r w:rsidRPr="00827060">
              <w:rPr>
                <w:sz w:val="22"/>
                <w:szCs w:val="22"/>
              </w:rPr>
              <w:t>Tiesiskā regulējuma mērķis un būtība</w:t>
            </w:r>
          </w:p>
        </w:tc>
        <w:tc>
          <w:tcPr>
            <w:tcW w:w="7560" w:type="dxa"/>
          </w:tcPr>
          <w:p w:rsidR="00C071F9" w:rsidRDefault="000F059D" w:rsidP="000F059D">
            <w:pPr>
              <w:pStyle w:val="naislab"/>
              <w:jc w:val="both"/>
            </w:pPr>
            <w:r w:rsidRPr="000F059D">
              <w:t>Ar šo Ministru kabineta noteikumu projektu plānots noteikt kārtību, kādā lietotājiem piegādā elektroenerģiju un pārtrauc tās piegādi, elektroenerģijas tirgotāju, sistēmas operatoru un lietotāju tiesības un pienākumus elektroenerģijas piegādē un lietošanā, kā arī norēķinos par saņemtajiem pakalpojumiem, tirgotāju maiņas kārtību, elektroenerģijas piegādes kārtību saistītajiem lietotājiem, lietotāju tiesības saņemt universālo pakalpojumu elektroapgādē.</w:t>
            </w:r>
          </w:p>
          <w:p w:rsidR="000509C9" w:rsidRDefault="000F059D" w:rsidP="00E74718">
            <w:pPr>
              <w:pStyle w:val="naislab"/>
              <w:jc w:val="both"/>
            </w:pPr>
            <w:r w:rsidRPr="00E74718">
              <w:t>Noteikumu projekt</w:t>
            </w:r>
            <w:r w:rsidR="00586910">
              <w:t>s satur virkni grozījumu, kas</w:t>
            </w:r>
            <w:r w:rsidR="009C3ACD">
              <w:t xml:space="preserve"> maina un uzlabo elektroenerģijas tirgus darbības principu</w:t>
            </w:r>
            <w:r w:rsidR="00A43CA1">
              <w:t>s</w:t>
            </w:r>
            <w:r w:rsidR="009C3ACD">
              <w:t>, tā noteikumu projekts tiek papildināts ar jaunu nodaļu „Pēdējā garantētā piegāde”, kas nosaka regulējumu, kas un par kādu cenu nodrošina elektroenerģijas piegādi, tādiem lietotājiem, kuriem nav spēkā esoša elektroenerģijas tirdzniecības līguma un kuriem nav tiesību saņemt elektroenerģija, kā saistītajam lietotājam</w:t>
            </w:r>
          </w:p>
          <w:p w:rsidR="00510FE4" w:rsidRDefault="009C3ACD" w:rsidP="00E74718">
            <w:pPr>
              <w:pStyle w:val="naislab"/>
              <w:jc w:val="both"/>
              <w:rPr>
                <w:bCs/>
              </w:rPr>
            </w:pPr>
            <w:r>
              <w:t xml:space="preserve">Tāpat noteikumu projektā tiek iestrādātas </w:t>
            </w:r>
            <w:r w:rsidR="00E74718" w:rsidRPr="00E74718">
              <w:rPr>
                <w:bCs/>
              </w:rPr>
              <w:t>Eiropas Parlamenta un Padomes Direktīv</w:t>
            </w:r>
            <w:r w:rsidR="00E74718">
              <w:rPr>
                <w:bCs/>
              </w:rPr>
              <w:t>u</w:t>
            </w:r>
            <w:r w:rsidR="00E74718" w:rsidRPr="00E74718">
              <w:rPr>
                <w:bCs/>
              </w:rPr>
              <w:t xml:space="preserve"> 2009/72/EK </w:t>
            </w:r>
            <w:r w:rsidR="00E74718" w:rsidRPr="009A55EC">
              <w:rPr>
                <w:rStyle w:val="Strong"/>
                <w:b w:val="0"/>
              </w:rPr>
              <w:t>(2009. gada 13.jūlijs)</w:t>
            </w:r>
            <w:r w:rsidR="00E74718" w:rsidRPr="00E74718">
              <w:t xml:space="preserve"> </w:t>
            </w:r>
            <w:r w:rsidR="00E74718" w:rsidRPr="00E74718">
              <w:rPr>
                <w:bCs/>
              </w:rPr>
              <w:t xml:space="preserve">par kopīgiem noteikumiem </w:t>
            </w:r>
            <w:r w:rsidR="00E74718" w:rsidRPr="00E74718">
              <w:rPr>
                <w:bCs/>
              </w:rPr>
              <w:lastRenderedPageBreak/>
              <w:t>attiecībā uz elektroenerģijas iekšējo tirgu un par Direktīvas 2003/54/EK</w:t>
            </w:r>
            <w:r w:rsidR="00B113AD">
              <w:rPr>
                <w:bCs/>
              </w:rPr>
              <w:t xml:space="preserve"> atcelšanu</w:t>
            </w:r>
            <w:r>
              <w:rPr>
                <w:bCs/>
              </w:rPr>
              <w:t xml:space="preserve"> prasības</w:t>
            </w:r>
            <w:r w:rsidR="00E74718">
              <w:rPr>
                <w:bCs/>
              </w:rPr>
              <w:t>, kas nosaka īsākus elektroenerģijas tirgotāja maiņas paziņošanas termiņus.</w:t>
            </w:r>
          </w:p>
          <w:p w:rsidR="00E80795" w:rsidRDefault="00AB7E97" w:rsidP="00E80795">
            <w:pPr>
              <w:pStyle w:val="naislab"/>
              <w:jc w:val="both"/>
              <w:rPr>
                <w:bCs/>
              </w:rPr>
            </w:pPr>
            <w:r>
              <w:rPr>
                <w:bCs/>
              </w:rPr>
              <w:t xml:space="preserve">Noteikumu projekts paredz mainīt </w:t>
            </w:r>
            <w:r w:rsidR="00C071F9">
              <w:rPr>
                <w:bCs/>
              </w:rPr>
              <w:t xml:space="preserve">spēkā esošo </w:t>
            </w:r>
            <w:r>
              <w:rPr>
                <w:bCs/>
              </w:rPr>
              <w:t xml:space="preserve">18.punkta redakciju, kas nosaka universāla pakalpojuma saņemšanas kritērijus. Šobrīd tiesības uz universālo pakalpojumu ir mājsaimniecībām un komersantiem, kuru gada apgrozījumus vai bilances kopsumma nepārsniedz 7 milj. Ls un kuru algoto darbinieku skaits ir mazāks par 50 darbiniekiem. Šie spēkā esošajos noteikumos iekļautie kritēji šobrīd vairs neatbilst sākotnējai idejai par mazu un vidēju (MVU) uzņēmumu aizsardzību. </w:t>
            </w:r>
            <w:r w:rsidR="00A4674C">
              <w:rPr>
                <w:bCs/>
              </w:rPr>
              <w:t xml:space="preserve">Saskaņā ar </w:t>
            </w:r>
            <w:r>
              <w:rPr>
                <w:bCs/>
              </w:rPr>
              <w:t>elektroenerģijas tirgotāju sniegt</w:t>
            </w:r>
            <w:r w:rsidR="00A4674C">
              <w:rPr>
                <w:bCs/>
              </w:rPr>
              <w:t>o</w:t>
            </w:r>
            <w:r>
              <w:rPr>
                <w:bCs/>
              </w:rPr>
              <w:t xml:space="preserve"> informācij</w:t>
            </w:r>
            <w:r w:rsidR="00A4674C">
              <w:rPr>
                <w:bCs/>
              </w:rPr>
              <w:t>u</w:t>
            </w:r>
            <w:r>
              <w:rPr>
                <w:bCs/>
              </w:rPr>
              <w:t xml:space="preserve"> šobrīd ir izveidojusies prakse, ka uzņēmumi, kuri neatbilst MVU definīcijai (lieli pārtikas rūpniecības uzņēmumi, mazumtirdzniecības veikalu ķēdes u.c.), veic darbības, lai elektroenerģijas piegādes līgumi tiktu noslēgti ar saistītiem apsaimniekošanas uzņēmumiem, kuri atbilstoši spēkā esošajiem noteikumiem ir tiesīgi saņemt universālo pakalpojumu</w:t>
            </w:r>
            <w:r w:rsidR="000108EC">
              <w:rPr>
                <w:bCs/>
              </w:rPr>
              <w:t xml:space="preserve">. Lai mazinātu </w:t>
            </w:r>
            <w:r w:rsidR="009A55EC">
              <w:rPr>
                <w:bCs/>
              </w:rPr>
              <w:t>risku</w:t>
            </w:r>
            <w:r w:rsidR="000108EC">
              <w:rPr>
                <w:bCs/>
              </w:rPr>
              <w:t>, ka</w:t>
            </w:r>
            <w:r w:rsidR="00E80795">
              <w:rPr>
                <w:bCs/>
              </w:rPr>
              <w:t xml:space="preserve"> šādu darbību tālāka izplatīšanās varētu </w:t>
            </w:r>
            <w:r w:rsidR="009A55EC">
              <w:rPr>
                <w:bCs/>
              </w:rPr>
              <w:t>negatīvi ietekmēt</w:t>
            </w:r>
            <w:r w:rsidR="000108EC">
              <w:rPr>
                <w:bCs/>
              </w:rPr>
              <w:t xml:space="preserve"> esoš</w:t>
            </w:r>
            <w:r w:rsidR="00E80795">
              <w:rPr>
                <w:bCs/>
              </w:rPr>
              <w:t>o</w:t>
            </w:r>
            <w:r w:rsidR="000108EC">
              <w:rPr>
                <w:bCs/>
              </w:rPr>
              <w:t xml:space="preserve"> elektroenerģijas mazumtirdzniec</w:t>
            </w:r>
            <w:r w:rsidR="00E80795">
              <w:rPr>
                <w:bCs/>
              </w:rPr>
              <w:t>ības tirgu, Ekonomikas mi</w:t>
            </w:r>
            <w:r w:rsidR="009A55EC">
              <w:rPr>
                <w:bCs/>
              </w:rPr>
              <w:t>nistrija noteikumu projektā piedāv</w:t>
            </w:r>
            <w:r w:rsidR="00E80795">
              <w:rPr>
                <w:bCs/>
              </w:rPr>
              <w:t xml:space="preserve">ā noteikt cita veida kritērijus universāla pakalpojuma saņemšanai. </w:t>
            </w:r>
          </w:p>
          <w:p w:rsidR="00AB7E97" w:rsidRDefault="00E80795" w:rsidP="00E80795">
            <w:pPr>
              <w:pStyle w:val="naislab"/>
              <w:jc w:val="both"/>
              <w:rPr>
                <w:bCs/>
              </w:rPr>
            </w:pPr>
            <w:r>
              <w:rPr>
                <w:bCs/>
              </w:rPr>
              <w:t xml:space="preserve">Kaimiņvalstis, analizējot Latvijas tirgus atvēršanas pieredzi, noteica atšķirīgus kritērijus – Igaunijā šāds kritērijs ir lietotāja patēriņa apjoms, bet Lietuvā – lietotāja pieslēguma jauda elektroapgādes sistēmai. Ņemot vērā, ka Igaunijā tomēr tika novērotas problēmas </w:t>
            </w:r>
            <w:r w:rsidR="00A4674C">
              <w:rPr>
                <w:bCs/>
              </w:rPr>
              <w:t xml:space="preserve">saistībā ar </w:t>
            </w:r>
            <w:r>
              <w:rPr>
                <w:bCs/>
              </w:rPr>
              <w:t>strīd</w:t>
            </w:r>
            <w:r w:rsidR="00A4674C">
              <w:rPr>
                <w:bCs/>
              </w:rPr>
              <w:t>us jautājumiem</w:t>
            </w:r>
            <w:r>
              <w:rPr>
                <w:bCs/>
              </w:rPr>
              <w:t xml:space="preserve"> patēriņa apjoma noteikšanā, atbilstošākais kritērijs Latvijai būtu sistēmas pieslē</w:t>
            </w:r>
            <w:r w:rsidR="00A4674C">
              <w:rPr>
                <w:bCs/>
              </w:rPr>
              <w:t>g</w:t>
            </w:r>
            <w:r>
              <w:rPr>
                <w:bCs/>
              </w:rPr>
              <w:t>uma spriegums un jauda.</w:t>
            </w:r>
            <w:r w:rsidR="000108EC">
              <w:rPr>
                <w:bCs/>
              </w:rPr>
              <w:t xml:space="preserve"> </w:t>
            </w:r>
          </w:p>
          <w:p w:rsidR="00C14F99" w:rsidRDefault="00C14F99" w:rsidP="009A55EC">
            <w:pPr>
              <w:pStyle w:val="naislab"/>
              <w:jc w:val="both"/>
              <w:rPr>
                <w:bCs/>
              </w:rPr>
            </w:pPr>
            <w:r>
              <w:rPr>
                <w:bCs/>
              </w:rPr>
              <w:t xml:space="preserve">Ar šādu universāla pakalpojuma regulējumu elektroenerģijas tirgū tiktu iesaistīti aptuveni </w:t>
            </w:r>
            <w:r w:rsidR="00A03071">
              <w:rPr>
                <w:bCs/>
              </w:rPr>
              <w:t>4200</w:t>
            </w:r>
            <w:r>
              <w:rPr>
                <w:bCs/>
              </w:rPr>
              <w:t xml:space="preserve"> lietotāji</w:t>
            </w:r>
            <w:r w:rsidR="009A55EC">
              <w:rPr>
                <w:bCs/>
              </w:rPr>
              <w:t xml:space="preserve"> (papildus visām mājsaimniecībām, kas arī var pirkt elektroenerģiju atvērtajā tirgū)</w:t>
            </w:r>
            <w:r>
              <w:rPr>
                <w:bCs/>
              </w:rPr>
              <w:t>, bet brīvā elektroenerģijas tirgus daļa pieaugtu līdz 45-50%.</w:t>
            </w:r>
          </w:p>
          <w:p w:rsidR="009C3ACD" w:rsidRDefault="009C3ACD" w:rsidP="009A55EC">
            <w:pPr>
              <w:pStyle w:val="naislab"/>
              <w:jc w:val="both"/>
              <w:rPr>
                <w:bCs/>
              </w:rPr>
            </w:pPr>
            <w:r>
              <w:rPr>
                <w:bCs/>
              </w:rPr>
              <w:t>Noteikumu projekts vienlaikus nosaka, ka universāla pakalpojuma kritēriju maiņa stāsies spēkā 2012.gada 1.aprīli. Tāpat noteikumu projektā tiek precizēta procedūra, kā saistītais lietotājs, kurš zaudē  tiesības saņemt universālo pakalpojumu, tiek brīdināts par šādu apstākļu maiņu un par pienākumu noslēgt attiecību tirdzniecības līgumu par elektroenerģijas piegādi.</w:t>
            </w:r>
          </w:p>
          <w:p w:rsidR="00A43CA1" w:rsidRDefault="00A43CA1" w:rsidP="00C97953">
            <w:pPr>
              <w:pStyle w:val="naislab"/>
              <w:jc w:val="both"/>
            </w:pPr>
            <w:r>
              <w:rPr>
                <w:bCs/>
              </w:rPr>
              <w:t>Tāpat noteikumu projekts paredz saistītajiem lietotājiem, līdzīgi, kā tas ir tirgus dalībniekiem ieviest divu līgumu sistēmu, proti, saistītajam lietotājam būs jāslēdz sistēmas pakalpojumu līgums ar sistēmas operatoru</w:t>
            </w:r>
            <w:r w:rsidR="00C97953">
              <w:rPr>
                <w:bCs/>
              </w:rPr>
              <w:t xml:space="preserve"> un elektroenerģijas piegādes līgums ar publisko tirgotāju.</w:t>
            </w:r>
            <w:r w:rsidR="00C97953">
              <w:t xml:space="preserve"> Tādejādi tiks atvieglota turpmākā reālā elektroenerģijas tirgus atvēršana, vienkāršojot elektroenerģijas tirgotāju maiņas procesu. Divu līgumu sistēma ļaus reāli nodalīt sistēmas operatora (regulēts monopols, kurš darbojas vienlīdzīgi pret visiem tirgus dalībniekiem) un publiskā tirgotāja (komersants, kurš darbojas konkurences apstākļos) klientu datu bāzes, radot tirgū</w:t>
            </w:r>
            <w:r w:rsidR="00C97953" w:rsidRPr="00B94A0E">
              <w:t xml:space="preserve"> </w:t>
            </w:r>
            <w:proofErr w:type="spellStart"/>
            <w:r w:rsidR="00C97953">
              <w:t>pārredzamību</w:t>
            </w:r>
            <w:proofErr w:type="spellEnd"/>
            <w:r w:rsidR="00C97953">
              <w:t xml:space="preserve"> un caurspīdīgumu.</w:t>
            </w:r>
          </w:p>
          <w:p w:rsidR="00C97953" w:rsidRPr="00AB7E97" w:rsidRDefault="00C97953" w:rsidP="00C97953">
            <w:pPr>
              <w:pStyle w:val="naislab"/>
              <w:jc w:val="both"/>
              <w:rPr>
                <w:bCs/>
              </w:rPr>
            </w:pPr>
            <w:r>
              <w:t xml:space="preserve">Pāreja uz divu līgumu sistēmu ir paredzēta pakāpeniska, lai tas neradītu papildus izdevumus sabiedrisko pakalpojumu sniedzējiem un neērtības lietotājiem. Koncepcija paredz, ka divus līgumu slēgšana tiktu uzsākta ar 2012.gada 1.jūliju. Divu līgumu slēgšana būs obligāta jauniem lietotājiem vai lietotājiem, kuri vēlēsies veikt grozījumus līgumā, t.i., tiem, kuri kontaktēsies ar klientu apkalpošanu. Savukārt saistītajiem lietotājiem, kuri tirgū nav </w:t>
            </w:r>
            <w:r>
              <w:lastRenderedPageBreak/>
              <w:t>„aktīvi”, būs joprojām tiesības saņemt elektroenerģiju iepriekš noslēgtā iepriekšējā tipa piegādes līguma ietvaros. Tādā veidā lietotāji netiks apgrūtināti ar obligātu līgumu pārslēgšanas procedūru.</w:t>
            </w:r>
          </w:p>
        </w:tc>
      </w:tr>
      <w:tr w:rsidR="000342B4" w:rsidRPr="007C0F2C" w:rsidTr="00855789">
        <w:trPr>
          <w:trHeight w:val="1165"/>
        </w:trPr>
        <w:tc>
          <w:tcPr>
            <w:tcW w:w="485" w:type="dxa"/>
          </w:tcPr>
          <w:p w:rsidR="000342B4" w:rsidRPr="00827060" w:rsidRDefault="0032274B" w:rsidP="006C4607">
            <w:pPr>
              <w:pStyle w:val="naiskr"/>
              <w:spacing w:before="0" w:after="0"/>
              <w:rPr>
                <w:sz w:val="22"/>
                <w:szCs w:val="22"/>
              </w:rPr>
            </w:pPr>
            <w:r>
              <w:rPr>
                <w:sz w:val="22"/>
                <w:szCs w:val="22"/>
              </w:rPr>
              <w:lastRenderedPageBreak/>
              <w:t xml:space="preserve"> </w:t>
            </w:r>
            <w:r w:rsidR="000342B4" w:rsidRPr="00827060">
              <w:rPr>
                <w:sz w:val="22"/>
                <w:szCs w:val="22"/>
              </w:rPr>
              <w:t>5.</w:t>
            </w:r>
          </w:p>
        </w:tc>
        <w:tc>
          <w:tcPr>
            <w:tcW w:w="1435" w:type="dxa"/>
          </w:tcPr>
          <w:p w:rsidR="000342B4" w:rsidRPr="00827060" w:rsidRDefault="000342B4" w:rsidP="006C4607">
            <w:pPr>
              <w:pStyle w:val="naiskr"/>
              <w:spacing w:before="0" w:after="0"/>
              <w:rPr>
                <w:sz w:val="22"/>
                <w:szCs w:val="22"/>
              </w:rPr>
            </w:pPr>
            <w:r w:rsidRPr="00827060">
              <w:rPr>
                <w:sz w:val="22"/>
                <w:szCs w:val="22"/>
              </w:rPr>
              <w:t>Projekta izstrādē iesaistītās institūcijas</w:t>
            </w:r>
          </w:p>
        </w:tc>
        <w:tc>
          <w:tcPr>
            <w:tcW w:w="7560" w:type="dxa"/>
          </w:tcPr>
          <w:p w:rsidR="000342B4" w:rsidRPr="005768C5" w:rsidRDefault="00E80795" w:rsidP="009C3ACD">
            <w:pPr>
              <w:pStyle w:val="naiskr"/>
              <w:spacing w:before="0" w:after="0"/>
              <w:jc w:val="both"/>
            </w:pPr>
            <w:r>
              <w:t>Noteikumu projekta izstrādē ņemts vērā elektroenerģijas tirgotāj</w:t>
            </w:r>
            <w:r w:rsidR="009C3ACD">
              <w:t>u</w:t>
            </w:r>
            <w:r>
              <w:t xml:space="preserve"> -  AS „Latvenergo”</w:t>
            </w:r>
            <w:r w:rsidR="009C3ACD">
              <w:t>, SIA „</w:t>
            </w:r>
            <w:proofErr w:type="spellStart"/>
            <w:r w:rsidR="009C3ACD">
              <w:t>Enefit</w:t>
            </w:r>
            <w:proofErr w:type="spellEnd"/>
            <w:r w:rsidR="009C3ACD">
              <w:t>”, Sabiedrisko pakalpojumu regulēšanas komisijas</w:t>
            </w:r>
            <w:r>
              <w:t xml:space="preserve"> </w:t>
            </w:r>
            <w:r w:rsidR="00A654EE">
              <w:t>iz</w:t>
            </w:r>
            <w:r w:rsidR="00765B0C">
              <w:t>teikt</w:t>
            </w:r>
            <w:r w:rsidR="009C3ACD">
              <w:t>ie</w:t>
            </w:r>
            <w:r w:rsidR="00765B0C">
              <w:t xml:space="preserve"> priekšlikum</w:t>
            </w:r>
            <w:r w:rsidR="009C3ACD">
              <w:t>i</w:t>
            </w:r>
            <w:r w:rsidR="00765B0C">
              <w:t>.</w:t>
            </w:r>
            <w:r w:rsidR="00A654EE">
              <w:t xml:space="preserve"> </w:t>
            </w:r>
          </w:p>
        </w:tc>
      </w:tr>
      <w:tr w:rsidR="000342B4" w:rsidRPr="007C0F2C" w:rsidTr="002C3304">
        <w:trPr>
          <w:trHeight w:val="1340"/>
        </w:trPr>
        <w:tc>
          <w:tcPr>
            <w:tcW w:w="485" w:type="dxa"/>
          </w:tcPr>
          <w:p w:rsidR="000342B4" w:rsidRPr="00827060" w:rsidRDefault="000342B4" w:rsidP="006C4607">
            <w:pPr>
              <w:pStyle w:val="naiskr"/>
              <w:spacing w:before="0" w:after="0"/>
              <w:rPr>
                <w:sz w:val="22"/>
                <w:szCs w:val="22"/>
              </w:rPr>
            </w:pPr>
            <w:r w:rsidRPr="00827060">
              <w:rPr>
                <w:sz w:val="22"/>
                <w:szCs w:val="22"/>
              </w:rPr>
              <w:t>6.</w:t>
            </w:r>
          </w:p>
        </w:tc>
        <w:tc>
          <w:tcPr>
            <w:tcW w:w="1435" w:type="dxa"/>
          </w:tcPr>
          <w:p w:rsidR="000342B4" w:rsidRPr="00827060" w:rsidRDefault="000342B4" w:rsidP="006C4607">
            <w:pPr>
              <w:pStyle w:val="naiskr"/>
              <w:spacing w:before="0" w:after="0"/>
              <w:rPr>
                <w:i/>
                <w:sz w:val="22"/>
                <w:szCs w:val="22"/>
                <w:highlight w:val="yellow"/>
              </w:rPr>
            </w:pPr>
            <w:r w:rsidRPr="00827060">
              <w:rPr>
                <w:sz w:val="22"/>
                <w:szCs w:val="22"/>
              </w:rPr>
              <w:t>Iemesli, kādēļ netika nodrošināta sabiedrības līdzdalība</w:t>
            </w:r>
          </w:p>
        </w:tc>
        <w:tc>
          <w:tcPr>
            <w:tcW w:w="7560" w:type="dxa"/>
          </w:tcPr>
          <w:p w:rsidR="000342B4" w:rsidRPr="004226BE" w:rsidRDefault="004226BE" w:rsidP="004226BE">
            <w:pPr>
              <w:pStyle w:val="FootnoteText"/>
              <w:jc w:val="both"/>
              <w:rPr>
                <w:sz w:val="24"/>
                <w:szCs w:val="24"/>
              </w:rPr>
            </w:pPr>
            <w:r w:rsidRPr="004226BE">
              <w:rPr>
                <w:sz w:val="24"/>
                <w:szCs w:val="24"/>
              </w:rPr>
              <w:t>Saskaņošanas procesā, bez atzinumus sniegušajām institūcijām un komersantiem, piedalījās arī sociālie partneri – Latvijas darba devēju konfederācija un Latvijas tirdzniecības un rūpniecības kamera.</w:t>
            </w:r>
          </w:p>
        </w:tc>
      </w:tr>
      <w:tr w:rsidR="000342B4" w:rsidRPr="007C0F2C" w:rsidTr="002C3304">
        <w:tc>
          <w:tcPr>
            <w:tcW w:w="485" w:type="dxa"/>
          </w:tcPr>
          <w:p w:rsidR="000342B4" w:rsidRPr="00827060" w:rsidRDefault="000342B4" w:rsidP="006C4607">
            <w:pPr>
              <w:pStyle w:val="naiskr"/>
              <w:spacing w:before="0" w:after="0"/>
              <w:rPr>
                <w:sz w:val="22"/>
                <w:szCs w:val="22"/>
              </w:rPr>
            </w:pPr>
            <w:r w:rsidRPr="00827060">
              <w:rPr>
                <w:sz w:val="22"/>
                <w:szCs w:val="22"/>
              </w:rPr>
              <w:t>7.</w:t>
            </w:r>
          </w:p>
        </w:tc>
        <w:tc>
          <w:tcPr>
            <w:tcW w:w="1435" w:type="dxa"/>
          </w:tcPr>
          <w:p w:rsidR="000342B4" w:rsidRPr="00827060" w:rsidRDefault="000342B4" w:rsidP="006C4607">
            <w:pPr>
              <w:pStyle w:val="naiskr"/>
              <w:spacing w:before="0" w:after="0"/>
              <w:rPr>
                <w:sz w:val="22"/>
                <w:szCs w:val="22"/>
              </w:rPr>
            </w:pPr>
            <w:r w:rsidRPr="00827060">
              <w:rPr>
                <w:sz w:val="22"/>
                <w:szCs w:val="22"/>
              </w:rPr>
              <w:t>Cita informācija</w:t>
            </w:r>
          </w:p>
        </w:tc>
        <w:tc>
          <w:tcPr>
            <w:tcW w:w="7560" w:type="dxa"/>
          </w:tcPr>
          <w:p w:rsidR="000342B4" w:rsidRPr="00827060" w:rsidRDefault="00855789" w:rsidP="00F52FB2">
            <w:pPr>
              <w:pStyle w:val="naiskr"/>
              <w:spacing w:before="0" w:after="0"/>
              <w:rPr>
                <w:sz w:val="22"/>
                <w:szCs w:val="22"/>
              </w:rPr>
            </w:pPr>
            <w:r w:rsidRPr="00855789">
              <w:t>Projekts šo jomu neskar</w:t>
            </w:r>
            <w:r>
              <w:rPr>
                <w:sz w:val="22"/>
                <w:szCs w:val="22"/>
              </w:rPr>
              <w:t xml:space="preserve"> </w:t>
            </w:r>
            <w:r w:rsidR="000342B4">
              <w:rPr>
                <w:sz w:val="22"/>
                <w:szCs w:val="22"/>
              </w:rPr>
              <w:t xml:space="preserve"> </w:t>
            </w:r>
          </w:p>
        </w:tc>
      </w:tr>
    </w:tbl>
    <w:p w:rsidR="00A654EE" w:rsidRDefault="00A654EE" w:rsidP="00A654EE">
      <w:pPr>
        <w:pStyle w:val="Footer"/>
        <w:tabs>
          <w:tab w:val="clear" w:pos="4153"/>
          <w:tab w:val="clear" w:pos="8306"/>
        </w:tabs>
        <w:jc w:val="both"/>
        <w:rPr>
          <w:b/>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2497"/>
        <w:gridCol w:w="6379"/>
      </w:tblGrid>
      <w:tr w:rsidR="00EE799F" w:rsidRPr="007C0F2C" w:rsidTr="00EE799F">
        <w:tc>
          <w:tcPr>
            <w:tcW w:w="9361" w:type="dxa"/>
            <w:gridSpan w:val="3"/>
            <w:vAlign w:val="center"/>
          </w:tcPr>
          <w:p w:rsidR="00EE799F" w:rsidRPr="007C0F2C" w:rsidRDefault="00EE799F" w:rsidP="00EE799F">
            <w:pPr>
              <w:pStyle w:val="naisnod"/>
              <w:spacing w:before="0" w:after="0"/>
            </w:pPr>
            <w:r w:rsidRPr="002C3304">
              <w:rPr>
                <w:sz w:val="22"/>
                <w:szCs w:val="22"/>
              </w:rPr>
              <w:t>II. Tiesību akta projekta ietekme uz sabiedrību</w:t>
            </w:r>
          </w:p>
        </w:tc>
      </w:tr>
      <w:tr w:rsidR="00EE799F" w:rsidRPr="00822E12" w:rsidTr="00855789">
        <w:trPr>
          <w:trHeight w:val="450"/>
        </w:trPr>
        <w:tc>
          <w:tcPr>
            <w:tcW w:w="485" w:type="dxa"/>
          </w:tcPr>
          <w:p w:rsidR="00EE799F" w:rsidRPr="00827060" w:rsidRDefault="00EE799F" w:rsidP="00916E49">
            <w:pPr>
              <w:pStyle w:val="naiskr"/>
              <w:spacing w:before="0" w:after="0"/>
              <w:rPr>
                <w:sz w:val="22"/>
                <w:szCs w:val="22"/>
              </w:rPr>
            </w:pPr>
            <w:r w:rsidRPr="00827060">
              <w:rPr>
                <w:sz w:val="22"/>
                <w:szCs w:val="22"/>
              </w:rPr>
              <w:t>1.</w:t>
            </w:r>
          </w:p>
        </w:tc>
        <w:tc>
          <w:tcPr>
            <w:tcW w:w="2497" w:type="dxa"/>
          </w:tcPr>
          <w:p w:rsidR="00EE799F" w:rsidRPr="00827060" w:rsidRDefault="00EE799F" w:rsidP="00916E49">
            <w:pPr>
              <w:pStyle w:val="naiskr"/>
              <w:spacing w:before="0" w:after="0"/>
              <w:ind w:hanging="10"/>
              <w:rPr>
                <w:sz w:val="22"/>
                <w:szCs w:val="22"/>
              </w:rPr>
            </w:pPr>
            <w:r w:rsidRPr="002C3304">
              <w:rPr>
                <w:sz w:val="22"/>
                <w:szCs w:val="22"/>
              </w:rPr>
              <w:t>Sabiedrības mērķgrupa</w:t>
            </w:r>
          </w:p>
        </w:tc>
        <w:tc>
          <w:tcPr>
            <w:tcW w:w="6379" w:type="dxa"/>
          </w:tcPr>
          <w:p w:rsidR="00EE799F" w:rsidRPr="00C071F9" w:rsidRDefault="00A03071" w:rsidP="004226BE">
            <w:pPr>
              <w:pStyle w:val="naisc"/>
              <w:spacing w:before="0" w:after="0"/>
              <w:jc w:val="both"/>
            </w:pPr>
            <w:r>
              <w:t>E</w:t>
            </w:r>
            <w:r w:rsidR="00C14F99" w:rsidRPr="00C071F9">
              <w:t>lektroenerģijas lietotāji</w:t>
            </w:r>
            <w:r w:rsidR="00C071F9">
              <w:t xml:space="preserve">, </w:t>
            </w:r>
            <w:r w:rsidRPr="00C071F9">
              <w:t xml:space="preserve"> </w:t>
            </w:r>
            <w:r>
              <w:t xml:space="preserve"> sistēmas operatori, e</w:t>
            </w:r>
            <w:r w:rsidRPr="00C071F9">
              <w:t>lektroenerģijas tirgotāji</w:t>
            </w:r>
            <w:r w:rsidR="004226BE">
              <w:t>, publiskais tirgotājs.</w:t>
            </w:r>
          </w:p>
        </w:tc>
      </w:tr>
      <w:tr w:rsidR="00EE799F" w:rsidRPr="0078567A" w:rsidTr="00EE799F">
        <w:trPr>
          <w:trHeight w:val="472"/>
        </w:trPr>
        <w:tc>
          <w:tcPr>
            <w:tcW w:w="485" w:type="dxa"/>
          </w:tcPr>
          <w:p w:rsidR="00EE799F" w:rsidRPr="00827060" w:rsidRDefault="00EE799F" w:rsidP="00916E49">
            <w:pPr>
              <w:pStyle w:val="naiskr"/>
              <w:spacing w:before="0" w:after="0"/>
              <w:rPr>
                <w:sz w:val="22"/>
                <w:szCs w:val="22"/>
              </w:rPr>
            </w:pPr>
            <w:r w:rsidRPr="00827060">
              <w:rPr>
                <w:sz w:val="22"/>
                <w:szCs w:val="22"/>
              </w:rPr>
              <w:t>2.</w:t>
            </w:r>
          </w:p>
        </w:tc>
        <w:tc>
          <w:tcPr>
            <w:tcW w:w="2497" w:type="dxa"/>
          </w:tcPr>
          <w:p w:rsidR="00EE799F" w:rsidRPr="00827060" w:rsidRDefault="00EE799F" w:rsidP="00916E49">
            <w:pPr>
              <w:pStyle w:val="naiskr"/>
              <w:tabs>
                <w:tab w:val="left" w:pos="170"/>
              </w:tabs>
              <w:spacing w:before="0" w:after="0"/>
              <w:rPr>
                <w:sz w:val="22"/>
                <w:szCs w:val="22"/>
              </w:rPr>
            </w:pPr>
            <w:r w:rsidRPr="002C3304">
              <w:rPr>
                <w:sz w:val="22"/>
                <w:szCs w:val="22"/>
              </w:rPr>
              <w:t>Citas sabiedrības grupas (bez mērķgrupas), kuras tiesiskais regulējums arī ietekmē vai varētu ietekmēt</w:t>
            </w:r>
          </w:p>
        </w:tc>
        <w:tc>
          <w:tcPr>
            <w:tcW w:w="6379" w:type="dxa"/>
          </w:tcPr>
          <w:p w:rsidR="00EE799F" w:rsidRPr="0078567A" w:rsidRDefault="00855789" w:rsidP="00C30BF6">
            <w:pPr>
              <w:jc w:val="both"/>
              <w:rPr>
                <w:sz w:val="28"/>
                <w:szCs w:val="28"/>
              </w:rPr>
            </w:pPr>
            <w:r w:rsidRPr="00855789">
              <w:t>Projekts šo jomu neskar</w:t>
            </w:r>
          </w:p>
        </w:tc>
      </w:tr>
      <w:tr w:rsidR="00EE799F" w:rsidRPr="00827060" w:rsidTr="00EE799F">
        <w:trPr>
          <w:trHeight w:val="530"/>
        </w:trPr>
        <w:tc>
          <w:tcPr>
            <w:tcW w:w="485" w:type="dxa"/>
          </w:tcPr>
          <w:p w:rsidR="00EE799F" w:rsidRPr="00827060" w:rsidRDefault="00EE799F" w:rsidP="00916E49">
            <w:pPr>
              <w:pStyle w:val="naiskr"/>
              <w:spacing w:before="0" w:after="0"/>
              <w:rPr>
                <w:sz w:val="22"/>
                <w:szCs w:val="22"/>
              </w:rPr>
            </w:pPr>
            <w:r w:rsidRPr="00827060">
              <w:rPr>
                <w:sz w:val="22"/>
                <w:szCs w:val="22"/>
              </w:rPr>
              <w:t>3.</w:t>
            </w:r>
          </w:p>
        </w:tc>
        <w:tc>
          <w:tcPr>
            <w:tcW w:w="2497" w:type="dxa"/>
          </w:tcPr>
          <w:p w:rsidR="00EE799F" w:rsidRPr="00827060" w:rsidRDefault="00EE799F" w:rsidP="00916E49">
            <w:pPr>
              <w:pStyle w:val="naiskr"/>
              <w:spacing w:before="0" w:after="0"/>
              <w:rPr>
                <w:sz w:val="22"/>
                <w:szCs w:val="22"/>
              </w:rPr>
            </w:pPr>
            <w:r w:rsidRPr="002C3304">
              <w:rPr>
                <w:sz w:val="22"/>
                <w:szCs w:val="22"/>
              </w:rPr>
              <w:t>Tiesiskā regulējuma finansiālā ietekme</w:t>
            </w:r>
          </w:p>
        </w:tc>
        <w:tc>
          <w:tcPr>
            <w:tcW w:w="6379" w:type="dxa"/>
          </w:tcPr>
          <w:p w:rsidR="00EE799F" w:rsidRPr="002C3304" w:rsidRDefault="00855789" w:rsidP="00916E49">
            <w:pPr>
              <w:pStyle w:val="naiskr"/>
              <w:spacing w:before="0" w:after="0"/>
              <w:rPr>
                <w:sz w:val="22"/>
                <w:szCs w:val="22"/>
              </w:rPr>
            </w:pPr>
            <w:r w:rsidRPr="00855789">
              <w:t>Projekts šo jomu neskar</w:t>
            </w:r>
          </w:p>
        </w:tc>
      </w:tr>
      <w:tr w:rsidR="00EE799F" w:rsidRPr="002C3304" w:rsidTr="00EE799F">
        <w:trPr>
          <w:trHeight w:val="384"/>
        </w:trPr>
        <w:tc>
          <w:tcPr>
            <w:tcW w:w="485" w:type="dxa"/>
          </w:tcPr>
          <w:p w:rsidR="00EE799F" w:rsidRPr="00827060" w:rsidRDefault="00EE799F" w:rsidP="00916E49">
            <w:pPr>
              <w:pStyle w:val="naiskr"/>
              <w:spacing w:before="0" w:after="0"/>
              <w:rPr>
                <w:sz w:val="22"/>
                <w:szCs w:val="22"/>
              </w:rPr>
            </w:pPr>
            <w:r w:rsidRPr="00827060">
              <w:rPr>
                <w:sz w:val="22"/>
                <w:szCs w:val="22"/>
              </w:rPr>
              <w:t>4.</w:t>
            </w:r>
          </w:p>
        </w:tc>
        <w:tc>
          <w:tcPr>
            <w:tcW w:w="2497" w:type="dxa"/>
          </w:tcPr>
          <w:p w:rsidR="00EE799F" w:rsidRPr="00827060" w:rsidRDefault="00EE799F" w:rsidP="00916E49">
            <w:pPr>
              <w:pStyle w:val="naiskr"/>
              <w:spacing w:before="0" w:after="0"/>
              <w:rPr>
                <w:sz w:val="22"/>
                <w:szCs w:val="22"/>
              </w:rPr>
            </w:pPr>
            <w:r w:rsidRPr="002C3304">
              <w:rPr>
                <w:sz w:val="22"/>
                <w:szCs w:val="22"/>
              </w:rPr>
              <w:t>Tiesiskā regulējuma nefinansiālā ietekme</w:t>
            </w:r>
          </w:p>
        </w:tc>
        <w:tc>
          <w:tcPr>
            <w:tcW w:w="6379" w:type="dxa"/>
          </w:tcPr>
          <w:p w:rsidR="00EE799F" w:rsidRPr="008C56EC" w:rsidRDefault="00855789" w:rsidP="00A11E65">
            <w:pPr>
              <w:pStyle w:val="naiskr"/>
              <w:spacing w:before="0" w:after="0"/>
              <w:jc w:val="both"/>
              <w:rPr>
                <w:sz w:val="22"/>
                <w:szCs w:val="22"/>
              </w:rPr>
            </w:pPr>
            <w:r w:rsidRPr="00855789">
              <w:t>Projekts šo jomu neskar</w:t>
            </w:r>
          </w:p>
        </w:tc>
      </w:tr>
      <w:tr w:rsidR="00EE799F" w:rsidRPr="005768C5" w:rsidTr="00EE799F">
        <w:trPr>
          <w:trHeight w:val="476"/>
        </w:trPr>
        <w:tc>
          <w:tcPr>
            <w:tcW w:w="485" w:type="dxa"/>
          </w:tcPr>
          <w:p w:rsidR="00EE799F" w:rsidRPr="00827060" w:rsidRDefault="00EE799F" w:rsidP="00916E49">
            <w:pPr>
              <w:pStyle w:val="naiskr"/>
              <w:spacing w:before="0" w:after="0"/>
              <w:rPr>
                <w:sz w:val="22"/>
                <w:szCs w:val="22"/>
              </w:rPr>
            </w:pPr>
            <w:r w:rsidRPr="00827060">
              <w:rPr>
                <w:sz w:val="22"/>
                <w:szCs w:val="22"/>
              </w:rPr>
              <w:t>5.</w:t>
            </w:r>
          </w:p>
        </w:tc>
        <w:tc>
          <w:tcPr>
            <w:tcW w:w="2497" w:type="dxa"/>
          </w:tcPr>
          <w:p w:rsidR="00EE799F" w:rsidRPr="00827060" w:rsidRDefault="00EE799F" w:rsidP="00916E49">
            <w:pPr>
              <w:pStyle w:val="naiskr"/>
              <w:spacing w:before="0" w:after="0"/>
              <w:rPr>
                <w:sz w:val="22"/>
                <w:szCs w:val="22"/>
              </w:rPr>
            </w:pPr>
            <w:r w:rsidRPr="002C3304">
              <w:rPr>
                <w:sz w:val="22"/>
                <w:szCs w:val="22"/>
              </w:rPr>
              <w:t>Administratīvās procedūras raksturojums</w:t>
            </w:r>
          </w:p>
        </w:tc>
        <w:tc>
          <w:tcPr>
            <w:tcW w:w="6379" w:type="dxa"/>
          </w:tcPr>
          <w:p w:rsidR="00EE799F" w:rsidRPr="002C3304" w:rsidRDefault="00EE799F" w:rsidP="00916E49">
            <w:pPr>
              <w:pStyle w:val="naiskr"/>
              <w:spacing w:before="0" w:after="0"/>
              <w:rPr>
                <w:sz w:val="22"/>
                <w:szCs w:val="22"/>
              </w:rPr>
            </w:pPr>
            <w:r w:rsidRPr="002C3304">
              <w:rPr>
                <w:sz w:val="22"/>
                <w:szCs w:val="22"/>
              </w:rPr>
              <w:t> </w:t>
            </w:r>
            <w:r w:rsidR="00855789" w:rsidRPr="00855789">
              <w:t>Projekts šo jomu neskar</w:t>
            </w:r>
          </w:p>
        </w:tc>
      </w:tr>
      <w:tr w:rsidR="00EE799F" w:rsidRPr="005768C5" w:rsidTr="00EE799F">
        <w:trPr>
          <w:trHeight w:val="1340"/>
        </w:trPr>
        <w:tc>
          <w:tcPr>
            <w:tcW w:w="485" w:type="dxa"/>
          </w:tcPr>
          <w:p w:rsidR="00EE799F" w:rsidRPr="00827060" w:rsidRDefault="00EE799F" w:rsidP="00916E49">
            <w:pPr>
              <w:pStyle w:val="naiskr"/>
              <w:spacing w:before="0" w:after="0"/>
              <w:rPr>
                <w:sz w:val="22"/>
                <w:szCs w:val="22"/>
              </w:rPr>
            </w:pPr>
            <w:r w:rsidRPr="00827060">
              <w:rPr>
                <w:sz w:val="22"/>
                <w:szCs w:val="22"/>
              </w:rPr>
              <w:t>6.</w:t>
            </w:r>
          </w:p>
        </w:tc>
        <w:tc>
          <w:tcPr>
            <w:tcW w:w="2497" w:type="dxa"/>
          </w:tcPr>
          <w:p w:rsidR="00EE799F" w:rsidRPr="00827060" w:rsidRDefault="00EE799F" w:rsidP="00916E49">
            <w:pPr>
              <w:pStyle w:val="naiskr"/>
              <w:spacing w:before="0" w:after="0"/>
              <w:rPr>
                <w:i/>
                <w:sz w:val="22"/>
                <w:szCs w:val="22"/>
                <w:highlight w:val="yellow"/>
              </w:rPr>
            </w:pPr>
            <w:r w:rsidRPr="002C3304">
              <w:rPr>
                <w:sz w:val="22"/>
                <w:szCs w:val="22"/>
              </w:rPr>
              <w:t>Administratīvo izmaksu monetārs novērtējums</w:t>
            </w:r>
          </w:p>
        </w:tc>
        <w:tc>
          <w:tcPr>
            <w:tcW w:w="6379" w:type="dxa"/>
          </w:tcPr>
          <w:p w:rsidR="00EE799F" w:rsidRPr="002C3304" w:rsidRDefault="00EE799F" w:rsidP="00916E49">
            <w:pPr>
              <w:pStyle w:val="naiskr"/>
              <w:spacing w:before="0" w:after="0"/>
              <w:rPr>
                <w:sz w:val="22"/>
                <w:szCs w:val="22"/>
              </w:rPr>
            </w:pPr>
            <w:r w:rsidRPr="002C3304">
              <w:rPr>
                <w:sz w:val="22"/>
                <w:szCs w:val="22"/>
              </w:rPr>
              <w:t> </w:t>
            </w:r>
            <w:r w:rsidR="00855789" w:rsidRPr="00855789">
              <w:t>Projekts šo jomu neskar</w:t>
            </w:r>
          </w:p>
        </w:tc>
      </w:tr>
      <w:tr w:rsidR="00EE799F" w:rsidRPr="00827060" w:rsidTr="00EE799F">
        <w:tc>
          <w:tcPr>
            <w:tcW w:w="485" w:type="dxa"/>
          </w:tcPr>
          <w:p w:rsidR="00EE799F" w:rsidRPr="00827060" w:rsidRDefault="00EE799F" w:rsidP="00916E49">
            <w:pPr>
              <w:pStyle w:val="naiskr"/>
              <w:spacing w:before="0" w:after="0"/>
              <w:rPr>
                <w:sz w:val="22"/>
                <w:szCs w:val="22"/>
              </w:rPr>
            </w:pPr>
            <w:r w:rsidRPr="00827060">
              <w:rPr>
                <w:sz w:val="22"/>
                <w:szCs w:val="22"/>
              </w:rPr>
              <w:t>7.</w:t>
            </w:r>
          </w:p>
        </w:tc>
        <w:tc>
          <w:tcPr>
            <w:tcW w:w="2497" w:type="dxa"/>
          </w:tcPr>
          <w:p w:rsidR="00EE799F" w:rsidRPr="00827060" w:rsidRDefault="00EE799F" w:rsidP="00916E49">
            <w:pPr>
              <w:pStyle w:val="naiskr"/>
              <w:spacing w:before="0" w:after="0"/>
              <w:rPr>
                <w:sz w:val="22"/>
                <w:szCs w:val="22"/>
              </w:rPr>
            </w:pPr>
            <w:r w:rsidRPr="002C3304">
              <w:rPr>
                <w:sz w:val="22"/>
                <w:szCs w:val="22"/>
              </w:rPr>
              <w:t>Cita informācija</w:t>
            </w:r>
          </w:p>
        </w:tc>
        <w:tc>
          <w:tcPr>
            <w:tcW w:w="6379" w:type="dxa"/>
          </w:tcPr>
          <w:p w:rsidR="00EE799F" w:rsidRPr="002C3304" w:rsidRDefault="00EE799F" w:rsidP="00916E49">
            <w:pPr>
              <w:pStyle w:val="naiskr"/>
              <w:spacing w:before="0" w:after="0"/>
              <w:rPr>
                <w:sz w:val="22"/>
                <w:szCs w:val="22"/>
              </w:rPr>
            </w:pPr>
            <w:r w:rsidRPr="002C3304">
              <w:rPr>
                <w:sz w:val="22"/>
                <w:szCs w:val="22"/>
              </w:rPr>
              <w:t> </w:t>
            </w:r>
            <w:r w:rsidR="00855789" w:rsidRPr="00855789">
              <w:t>Projekts šo jomu neskar</w:t>
            </w:r>
          </w:p>
        </w:tc>
      </w:tr>
    </w:tbl>
    <w:p w:rsidR="00EE799F" w:rsidRDefault="00EE799F" w:rsidP="00A654EE">
      <w:pPr>
        <w:pStyle w:val="Footer"/>
        <w:tabs>
          <w:tab w:val="clear" w:pos="4153"/>
          <w:tab w:val="clear" w:pos="8306"/>
        </w:tabs>
        <w:jc w:val="both"/>
        <w:rPr>
          <w:b/>
        </w:rPr>
      </w:pPr>
    </w:p>
    <w:p w:rsidR="00A654EE" w:rsidRDefault="00A654EE" w:rsidP="00A654EE">
      <w:pPr>
        <w:pStyle w:val="Footer"/>
        <w:tabs>
          <w:tab w:val="clear" w:pos="4153"/>
          <w:tab w:val="clear" w:pos="8306"/>
        </w:tabs>
        <w:jc w:val="both"/>
        <w:rPr>
          <w:b/>
          <w:bCs/>
        </w:rPr>
      </w:pPr>
      <w:r w:rsidRPr="00A80FE4">
        <w:rPr>
          <w:b/>
        </w:rPr>
        <w:t xml:space="preserve">Noteikumu projekts neskar anotācijas III. </w:t>
      </w:r>
      <w:r w:rsidRPr="00230A43">
        <w:rPr>
          <w:b/>
          <w:bCs/>
        </w:rPr>
        <w:t>Tiesību akta projekta ietekme uz valsts budžetu un pašvaldību budžetiem</w:t>
      </w:r>
      <w:r>
        <w:rPr>
          <w:b/>
        </w:rPr>
        <w:t xml:space="preserve">; </w:t>
      </w:r>
      <w:r w:rsidRPr="00A654EE">
        <w:rPr>
          <w:b/>
          <w:bCs/>
        </w:rPr>
        <w:t xml:space="preserve">VI. Sabiedrības līdzdalība un šīs līdzdalības rezultāti. </w:t>
      </w:r>
    </w:p>
    <w:p w:rsidR="00FE2D73" w:rsidRPr="00A654EE" w:rsidRDefault="00FE2D73" w:rsidP="00A654EE">
      <w:pPr>
        <w:pStyle w:val="Footer"/>
        <w:tabs>
          <w:tab w:val="clear" w:pos="4153"/>
          <w:tab w:val="clear" w:pos="8306"/>
        </w:tabs>
        <w:jc w:val="both"/>
        <w:rPr>
          <w:b/>
          <w:bCs/>
        </w:rPr>
      </w:pPr>
    </w:p>
    <w:tbl>
      <w:tblPr>
        <w:tblW w:w="5141" w:type="pct"/>
        <w:tblInd w:w="-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0"/>
        <w:gridCol w:w="299"/>
        <w:gridCol w:w="610"/>
        <w:gridCol w:w="828"/>
        <w:gridCol w:w="1358"/>
        <w:gridCol w:w="1119"/>
        <w:gridCol w:w="821"/>
        <w:gridCol w:w="2713"/>
        <w:gridCol w:w="1526"/>
        <w:gridCol w:w="64"/>
      </w:tblGrid>
      <w:tr w:rsidR="00FE2D73" w:rsidRPr="0082102B" w:rsidTr="00FE2D73">
        <w:trPr>
          <w:gridAfter w:val="1"/>
          <w:wAfter w:w="34" w:type="pct"/>
        </w:trPr>
        <w:tc>
          <w:tcPr>
            <w:tcW w:w="4966" w:type="pct"/>
            <w:gridSpan w:val="9"/>
            <w:tcBorders>
              <w:top w:val="single" w:sz="6" w:space="0" w:color="000000"/>
              <w:left w:val="single" w:sz="6" w:space="0" w:color="000000"/>
              <w:bottom w:val="outset" w:sz="6" w:space="0" w:color="000000"/>
              <w:right w:val="single" w:sz="6" w:space="0" w:color="000000"/>
            </w:tcBorders>
          </w:tcPr>
          <w:p w:rsidR="00FE2D73" w:rsidRPr="00FE2D73" w:rsidRDefault="00FE2D73" w:rsidP="00FE2D73">
            <w:pPr>
              <w:pStyle w:val="NormalWeb"/>
              <w:rPr>
                <w:b/>
                <w:bCs/>
              </w:rPr>
            </w:pPr>
            <w:r w:rsidRPr="00FE2D73">
              <w:rPr>
                <w:b/>
                <w:bCs/>
              </w:rPr>
              <w:t>V. Tiesību akta projekta atbilstība Latvijas Republikas starptautiskajām saistībām</w:t>
            </w: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7" w:type="pct"/>
          <w:jc w:val="center"/>
        </w:trPr>
        <w:tc>
          <w:tcPr>
            <w:tcW w:w="484" w:type="pct"/>
            <w:gridSpan w:val="2"/>
          </w:tcPr>
          <w:p w:rsidR="00FE2D73" w:rsidRPr="00BE4081" w:rsidRDefault="00FE2D73" w:rsidP="008E39F7">
            <w:pPr>
              <w:pStyle w:val="naiskr"/>
              <w:tabs>
                <w:tab w:val="left" w:pos="2628"/>
              </w:tabs>
              <w:spacing w:before="0" w:after="0"/>
              <w:jc w:val="both"/>
              <w:rPr>
                <w:iCs/>
              </w:rPr>
            </w:pPr>
            <w:r w:rsidRPr="00BE4081">
              <w:rPr>
                <w:iCs/>
              </w:rPr>
              <w:t>1.</w:t>
            </w:r>
          </w:p>
        </w:tc>
        <w:tc>
          <w:tcPr>
            <w:tcW w:w="1760" w:type="pct"/>
            <w:gridSpan w:val="3"/>
          </w:tcPr>
          <w:p w:rsidR="00FE2D73" w:rsidRPr="00BE4081" w:rsidRDefault="00FE2D73" w:rsidP="008E39F7">
            <w:pPr>
              <w:pStyle w:val="naiskr"/>
              <w:tabs>
                <w:tab w:val="left" w:pos="2628"/>
              </w:tabs>
              <w:spacing w:before="0" w:after="0"/>
              <w:jc w:val="both"/>
              <w:rPr>
                <w:iCs/>
              </w:rPr>
            </w:pPr>
            <w:r w:rsidRPr="00BE4081">
              <w:t>Saistības pret Eiropas Savienību</w:t>
            </w:r>
          </w:p>
        </w:tc>
        <w:tc>
          <w:tcPr>
            <w:tcW w:w="2729" w:type="pct"/>
            <w:gridSpan w:val="4"/>
          </w:tcPr>
          <w:p w:rsidR="00FE2D73" w:rsidRPr="00BE4081" w:rsidRDefault="00FE2D73" w:rsidP="008E39F7">
            <w:pPr>
              <w:pStyle w:val="Default"/>
              <w:jc w:val="both"/>
              <w:rPr>
                <w:rFonts w:ascii="Times New Roman" w:hAnsi="Times New Roman" w:cs="Times New Roman"/>
                <w:color w:val="auto"/>
              </w:rPr>
            </w:pPr>
            <w:r w:rsidRPr="00BE4081">
              <w:rPr>
                <w:rFonts w:ascii="Times New Roman" w:hAnsi="Times New Roman" w:cs="Times New Roman"/>
                <w:color w:val="auto"/>
              </w:rPr>
              <w:t>Direktīvā 2009/72/EK iekļautās normas nacionālajos tiesību aktos ir jāpārņem līdz 2011.gada 3.martam.</w:t>
            </w:r>
          </w:p>
          <w:p w:rsidR="00FE2D73" w:rsidRPr="00BE4081" w:rsidRDefault="00FE2D73" w:rsidP="008E39F7">
            <w:pPr>
              <w:pStyle w:val="Default"/>
              <w:jc w:val="both"/>
              <w:rPr>
                <w:rFonts w:ascii="Times New Roman" w:hAnsi="Times New Roman" w:cs="Times New Roman"/>
                <w:color w:val="auto"/>
              </w:rPr>
            </w:pPr>
          </w:p>
          <w:p w:rsidR="00FE2D73" w:rsidRPr="00BE4081" w:rsidRDefault="00FE2D73" w:rsidP="008E39F7">
            <w:pPr>
              <w:pStyle w:val="Default"/>
              <w:jc w:val="both"/>
              <w:rPr>
                <w:rFonts w:ascii="Times New Roman" w:hAnsi="Times New Roman" w:cs="Times New Roman"/>
                <w:color w:val="auto"/>
              </w:rPr>
            </w:pP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7" w:type="pct"/>
          <w:jc w:val="center"/>
        </w:trPr>
        <w:tc>
          <w:tcPr>
            <w:tcW w:w="484" w:type="pct"/>
            <w:gridSpan w:val="2"/>
          </w:tcPr>
          <w:p w:rsidR="00FE2D73" w:rsidRPr="00BE4081" w:rsidRDefault="00FE2D73" w:rsidP="008E39F7">
            <w:pPr>
              <w:pStyle w:val="naiskr"/>
              <w:tabs>
                <w:tab w:val="left" w:pos="2628"/>
              </w:tabs>
              <w:spacing w:before="0" w:after="0"/>
              <w:jc w:val="both"/>
              <w:rPr>
                <w:iCs/>
              </w:rPr>
            </w:pPr>
            <w:r w:rsidRPr="00BE4081">
              <w:rPr>
                <w:iCs/>
              </w:rPr>
              <w:t>2.</w:t>
            </w:r>
          </w:p>
        </w:tc>
        <w:tc>
          <w:tcPr>
            <w:tcW w:w="1760" w:type="pct"/>
            <w:gridSpan w:val="3"/>
          </w:tcPr>
          <w:p w:rsidR="00FE2D73" w:rsidRPr="00BE4081" w:rsidRDefault="00FE2D73" w:rsidP="008E39F7">
            <w:pPr>
              <w:pStyle w:val="naiskr"/>
              <w:tabs>
                <w:tab w:val="left" w:pos="2628"/>
              </w:tabs>
              <w:spacing w:before="0" w:after="0"/>
              <w:jc w:val="both"/>
              <w:rPr>
                <w:iCs/>
              </w:rPr>
            </w:pPr>
            <w:r w:rsidRPr="00BE4081">
              <w:t>Citas starptautiskās saistības</w:t>
            </w:r>
          </w:p>
        </w:tc>
        <w:tc>
          <w:tcPr>
            <w:tcW w:w="2729" w:type="pct"/>
            <w:gridSpan w:val="4"/>
          </w:tcPr>
          <w:p w:rsidR="00FE2D73" w:rsidRPr="00BE4081" w:rsidRDefault="00855789" w:rsidP="008E39F7">
            <w:pPr>
              <w:pStyle w:val="naiskr"/>
              <w:tabs>
                <w:tab w:val="left" w:pos="2628"/>
              </w:tabs>
              <w:spacing w:before="0" w:after="0"/>
              <w:jc w:val="both"/>
              <w:rPr>
                <w:iCs/>
              </w:rPr>
            </w:pPr>
            <w:r w:rsidRPr="00855789">
              <w:t>Projekts šo jomu neskar</w:t>
            </w:r>
          </w:p>
        </w:tc>
      </w:tr>
      <w:tr w:rsidR="00FE2D73" w:rsidRPr="00AC26B5"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7" w:type="pct"/>
          <w:jc w:val="center"/>
        </w:trPr>
        <w:tc>
          <w:tcPr>
            <w:tcW w:w="484" w:type="pct"/>
            <w:gridSpan w:val="2"/>
          </w:tcPr>
          <w:p w:rsidR="00FE2D73" w:rsidRPr="00BE4081" w:rsidRDefault="00FE2D73" w:rsidP="008E39F7">
            <w:pPr>
              <w:pStyle w:val="naiskr"/>
              <w:tabs>
                <w:tab w:val="left" w:pos="2628"/>
              </w:tabs>
              <w:spacing w:before="0" w:after="0"/>
              <w:jc w:val="both"/>
              <w:rPr>
                <w:iCs/>
              </w:rPr>
            </w:pPr>
            <w:r w:rsidRPr="00BE4081">
              <w:rPr>
                <w:iCs/>
              </w:rPr>
              <w:t>3.</w:t>
            </w:r>
          </w:p>
        </w:tc>
        <w:tc>
          <w:tcPr>
            <w:tcW w:w="1760" w:type="pct"/>
            <w:gridSpan w:val="3"/>
          </w:tcPr>
          <w:p w:rsidR="00FE2D73" w:rsidRPr="00BE4081" w:rsidRDefault="00FE2D73" w:rsidP="008E39F7">
            <w:pPr>
              <w:pStyle w:val="naiskr"/>
              <w:tabs>
                <w:tab w:val="left" w:pos="2628"/>
              </w:tabs>
              <w:spacing w:before="0" w:after="0"/>
              <w:jc w:val="both"/>
            </w:pPr>
            <w:r w:rsidRPr="00BE4081">
              <w:t>Cita informācija</w:t>
            </w:r>
          </w:p>
        </w:tc>
        <w:tc>
          <w:tcPr>
            <w:tcW w:w="2729" w:type="pct"/>
            <w:gridSpan w:val="4"/>
          </w:tcPr>
          <w:p w:rsidR="00FE2D73" w:rsidRPr="00AC26B5" w:rsidRDefault="00855789" w:rsidP="008E39F7">
            <w:pPr>
              <w:pStyle w:val="naiskr"/>
              <w:tabs>
                <w:tab w:val="left" w:pos="2628"/>
              </w:tabs>
              <w:spacing w:before="0" w:after="0"/>
              <w:jc w:val="both"/>
              <w:rPr>
                <w:iCs/>
              </w:rPr>
            </w:pPr>
            <w:r w:rsidRPr="00855789">
              <w:t>Projekts šo jomu neskar</w:t>
            </w: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523"/>
          <w:jc w:val="center"/>
        </w:trPr>
        <w:tc>
          <w:tcPr>
            <w:tcW w:w="4973" w:type="pct"/>
            <w:gridSpan w:val="9"/>
            <w:vAlign w:val="center"/>
          </w:tcPr>
          <w:p w:rsidR="00FE2D73" w:rsidRPr="00BE4081" w:rsidRDefault="00FE2D73" w:rsidP="008E39F7">
            <w:pPr>
              <w:pStyle w:val="naisnod"/>
              <w:spacing w:before="0" w:after="0"/>
            </w:pPr>
            <w:r w:rsidRPr="00BE4081">
              <w:t xml:space="preserve">1.tabula </w:t>
            </w:r>
          </w:p>
          <w:p w:rsidR="00FE2D73" w:rsidRPr="00BE4081" w:rsidRDefault="00FE2D73" w:rsidP="008E39F7">
            <w:pPr>
              <w:pStyle w:val="naisnod"/>
              <w:spacing w:before="0" w:after="0"/>
              <w:rPr>
                <w:i/>
              </w:rPr>
            </w:pPr>
            <w:r w:rsidRPr="00BE4081">
              <w:t>Tiesību akta projekta atbilstība ES tiesību aktiem</w:t>
            </w: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1252"/>
          <w:jc w:val="center"/>
        </w:trPr>
        <w:tc>
          <w:tcPr>
            <w:tcW w:w="925" w:type="pct"/>
            <w:gridSpan w:val="3"/>
            <w:vAlign w:val="center"/>
          </w:tcPr>
          <w:p w:rsidR="00FE2D73" w:rsidRPr="009A55EC" w:rsidRDefault="00FE2D73" w:rsidP="008E39F7">
            <w:pPr>
              <w:pStyle w:val="naiskr"/>
              <w:spacing w:before="0" w:after="0"/>
              <w:ind w:hanging="10"/>
              <w:jc w:val="center"/>
            </w:pPr>
            <w:r w:rsidRPr="009A55EC">
              <w:lastRenderedPageBreak/>
              <w:t>Attiecīgā ES tiesību akta datums, numurs un nosaukums</w:t>
            </w:r>
          </w:p>
        </w:tc>
        <w:tc>
          <w:tcPr>
            <w:tcW w:w="4048" w:type="pct"/>
            <w:gridSpan w:val="6"/>
            <w:vAlign w:val="center"/>
          </w:tcPr>
          <w:p w:rsidR="00FE2D73" w:rsidRPr="009A55EC" w:rsidRDefault="00FE2D73" w:rsidP="008E39F7">
            <w:pPr>
              <w:pStyle w:val="Default"/>
              <w:jc w:val="both"/>
              <w:rPr>
                <w:rFonts w:ascii="Times New Roman" w:hAnsi="Times New Roman" w:cs="Times New Roman"/>
                <w:color w:val="auto"/>
              </w:rPr>
            </w:pPr>
            <w:r w:rsidRPr="009A55EC">
              <w:rPr>
                <w:rFonts w:ascii="Times New Roman" w:hAnsi="Times New Roman" w:cs="Times New Roman"/>
                <w:bCs/>
              </w:rPr>
              <w:t xml:space="preserve">Eiropas Parlamenta un Padomes Direktīvā 2009/72/EK </w:t>
            </w:r>
            <w:r w:rsidRPr="009A55EC">
              <w:rPr>
                <w:rStyle w:val="Strong"/>
                <w:rFonts w:ascii="Times New Roman" w:hAnsi="Times New Roman" w:cs="Times New Roman"/>
                <w:b w:val="0"/>
              </w:rPr>
              <w:t>(2009. gada 13.jūlijs)</w:t>
            </w:r>
            <w:r w:rsidRPr="009A55EC">
              <w:rPr>
                <w:rFonts w:ascii="Times New Roman" w:hAnsi="Times New Roman" w:cs="Times New Roman"/>
              </w:rPr>
              <w:t xml:space="preserve"> </w:t>
            </w:r>
            <w:r w:rsidRPr="009A55EC">
              <w:rPr>
                <w:rFonts w:ascii="Times New Roman" w:hAnsi="Times New Roman" w:cs="Times New Roman"/>
                <w:bCs/>
              </w:rPr>
              <w:t>par kopīgiem noteikumiem attiecībā uz elektroenerģijas iekšējo tirgu un par Direktīvas 2003/54/EK</w:t>
            </w:r>
            <w:r w:rsidR="00B113AD" w:rsidRPr="009A55EC">
              <w:rPr>
                <w:rFonts w:ascii="Times New Roman" w:hAnsi="Times New Roman" w:cs="Times New Roman"/>
                <w:bCs/>
              </w:rPr>
              <w:t xml:space="preserve"> atcelšanu</w:t>
            </w:r>
            <w:r w:rsidR="00B113AD" w:rsidRPr="009A55EC">
              <w:rPr>
                <w:rFonts w:ascii="Times New Roman" w:hAnsi="Times New Roman" w:cs="Times New Roman"/>
                <w:color w:val="auto"/>
              </w:rPr>
              <w:t xml:space="preserve"> </w:t>
            </w:r>
            <w:r w:rsidRPr="009A55EC">
              <w:rPr>
                <w:rFonts w:ascii="Times New Roman" w:hAnsi="Times New Roman" w:cs="Times New Roman"/>
                <w:color w:val="auto"/>
              </w:rPr>
              <w:t>iekļautās normas nacionālajos tiesību aktos ir jāpārņem līdz 2011.gada 3.martam.</w:t>
            </w:r>
          </w:p>
          <w:p w:rsidR="00FE2D73" w:rsidRPr="009A55EC" w:rsidRDefault="00FE2D73" w:rsidP="008E39F7">
            <w:pPr>
              <w:pStyle w:val="naiskr"/>
              <w:spacing w:before="0" w:after="0"/>
              <w:jc w:val="both"/>
            </w:pPr>
          </w:p>
          <w:p w:rsidR="00FE2D73" w:rsidRPr="009A55EC" w:rsidRDefault="00FE2D73" w:rsidP="008E39F7">
            <w:pPr>
              <w:pStyle w:val="naiskr"/>
              <w:spacing w:before="0" w:after="0"/>
              <w:jc w:val="both"/>
            </w:pP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163"/>
          <w:jc w:val="center"/>
        </w:trPr>
        <w:tc>
          <w:tcPr>
            <w:tcW w:w="4973" w:type="pct"/>
            <w:gridSpan w:val="9"/>
            <w:vAlign w:val="center"/>
          </w:tcPr>
          <w:p w:rsidR="00FE2D73" w:rsidRPr="00BE4081" w:rsidRDefault="00FE2D73" w:rsidP="008E39F7">
            <w:pPr>
              <w:pStyle w:val="naiskr"/>
              <w:spacing w:before="0" w:after="0"/>
              <w:rPr>
                <w:i/>
              </w:rPr>
            </w:pP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165"/>
          <w:jc w:val="center"/>
        </w:trPr>
        <w:tc>
          <w:tcPr>
            <w:tcW w:w="925" w:type="pct"/>
            <w:gridSpan w:val="3"/>
            <w:vAlign w:val="center"/>
          </w:tcPr>
          <w:p w:rsidR="00FE2D73" w:rsidRPr="00BE4081" w:rsidRDefault="00FE2D73" w:rsidP="008E39F7">
            <w:pPr>
              <w:pStyle w:val="naiskr"/>
              <w:spacing w:before="0" w:after="0"/>
              <w:jc w:val="center"/>
            </w:pPr>
            <w:r w:rsidRPr="00BE4081">
              <w:t>A</w:t>
            </w:r>
          </w:p>
        </w:tc>
        <w:tc>
          <w:tcPr>
            <w:tcW w:w="723" w:type="pct"/>
            <w:vAlign w:val="center"/>
          </w:tcPr>
          <w:p w:rsidR="00FE2D73" w:rsidRPr="00BE4081" w:rsidRDefault="00FE2D73" w:rsidP="008E39F7">
            <w:pPr>
              <w:pStyle w:val="naiskr"/>
              <w:spacing w:before="0" w:after="0"/>
              <w:jc w:val="center"/>
            </w:pPr>
            <w:r w:rsidRPr="00BE4081">
              <w:t>B</w:t>
            </w:r>
          </w:p>
        </w:tc>
        <w:tc>
          <w:tcPr>
            <w:tcW w:w="2478" w:type="pct"/>
            <w:gridSpan w:val="3"/>
            <w:vAlign w:val="center"/>
          </w:tcPr>
          <w:p w:rsidR="00FE2D73" w:rsidRPr="00BE4081" w:rsidRDefault="00FE2D73" w:rsidP="008E39F7">
            <w:pPr>
              <w:pStyle w:val="naiskr"/>
              <w:spacing w:before="0" w:after="0"/>
              <w:jc w:val="center"/>
            </w:pPr>
            <w:r w:rsidRPr="00BE4081">
              <w:t>C</w:t>
            </w:r>
          </w:p>
        </w:tc>
        <w:tc>
          <w:tcPr>
            <w:tcW w:w="847" w:type="pct"/>
            <w:gridSpan w:val="2"/>
            <w:vAlign w:val="center"/>
          </w:tcPr>
          <w:p w:rsidR="00FE2D73" w:rsidRPr="0082102B" w:rsidRDefault="00FE2D73" w:rsidP="008E39F7">
            <w:pPr>
              <w:pStyle w:val="naiskr"/>
              <w:spacing w:before="0" w:after="0"/>
              <w:jc w:val="center"/>
            </w:pPr>
            <w:r w:rsidRPr="0082102B">
              <w:t>D</w:t>
            </w: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2508"/>
          <w:jc w:val="center"/>
        </w:trPr>
        <w:tc>
          <w:tcPr>
            <w:tcW w:w="925" w:type="pct"/>
            <w:gridSpan w:val="3"/>
          </w:tcPr>
          <w:p w:rsidR="00FE2D73" w:rsidRPr="00BE4081" w:rsidRDefault="00FE2D73" w:rsidP="008E39F7">
            <w:pPr>
              <w:pStyle w:val="naiskr"/>
              <w:spacing w:before="0" w:after="0"/>
              <w:jc w:val="both"/>
            </w:pPr>
            <w:r w:rsidRPr="00BE4081">
              <w:t xml:space="preserve">Attiecīgā ES tiesību akta panta numurs </w:t>
            </w:r>
          </w:p>
        </w:tc>
        <w:tc>
          <w:tcPr>
            <w:tcW w:w="723" w:type="pct"/>
          </w:tcPr>
          <w:p w:rsidR="00FE2D73" w:rsidRPr="00BE4081" w:rsidRDefault="00FE2D73" w:rsidP="008E39F7">
            <w:pPr>
              <w:pStyle w:val="naiskr"/>
              <w:spacing w:before="0" w:after="0"/>
              <w:jc w:val="both"/>
            </w:pPr>
            <w:r w:rsidRPr="00BE4081">
              <w:t>Projekta vienība, kas pārņem vai ievieš katru šīs tabulas A ailē minēto ES tiesību akta vienību</w:t>
            </w:r>
          </w:p>
        </w:tc>
        <w:tc>
          <w:tcPr>
            <w:tcW w:w="2478" w:type="pct"/>
            <w:gridSpan w:val="3"/>
          </w:tcPr>
          <w:p w:rsidR="00FE2D73" w:rsidRPr="00BE4081" w:rsidRDefault="00FE2D73" w:rsidP="008E39F7">
            <w:pPr>
              <w:pStyle w:val="naiskr"/>
              <w:spacing w:before="0" w:after="0"/>
            </w:pPr>
            <w:r w:rsidRPr="00BE4081">
              <w:t>Informācija par to, vai šīs tabulas A ailē minētās ES tiesību akta vienības tiek pārņemtas vai ieviestas pilnībā vai daļēji.</w:t>
            </w:r>
          </w:p>
          <w:p w:rsidR="00FE2D73" w:rsidRPr="00BE4081" w:rsidRDefault="00FE2D73" w:rsidP="008E39F7">
            <w:pPr>
              <w:pStyle w:val="naiskr"/>
              <w:spacing w:before="0" w:after="0"/>
            </w:pPr>
          </w:p>
          <w:p w:rsidR="00FE2D73" w:rsidRPr="00BE4081" w:rsidRDefault="00FE2D73" w:rsidP="008E39F7">
            <w:pPr>
              <w:pStyle w:val="naiskr"/>
              <w:spacing w:before="0" w:after="0"/>
            </w:pPr>
            <w:r w:rsidRPr="00BE4081">
              <w:t>Ja attiecīgā ES tiesību akta vienība tiek pārņemta vai ieviesta daļēji, – sniedz attiecīgu skaidrojumu, kā arī precīzi norāda, kad un kādā veidā ES tiesību akta vienība tiks pārņemta vai ieviesta pilnībā.</w:t>
            </w:r>
          </w:p>
          <w:p w:rsidR="00FE2D73" w:rsidRPr="00BE4081" w:rsidRDefault="00FE2D73" w:rsidP="008E39F7">
            <w:pPr>
              <w:pStyle w:val="naiskr"/>
              <w:spacing w:before="0" w:after="0"/>
            </w:pPr>
          </w:p>
          <w:p w:rsidR="00FE2D73" w:rsidRPr="00BE4081" w:rsidRDefault="00FE2D73" w:rsidP="008E39F7">
            <w:pPr>
              <w:pStyle w:val="naiskr"/>
              <w:spacing w:before="0" w:after="0"/>
            </w:pPr>
            <w:r w:rsidRPr="00BE4081">
              <w:t>Norāda institūciju, kas ir atbildīga par šo saistību izpildi pilnībā</w:t>
            </w:r>
          </w:p>
        </w:tc>
        <w:tc>
          <w:tcPr>
            <w:tcW w:w="847" w:type="pct"/>
            <w:gridSpan w:val="2"/>
          </w:tcPr>
          <w:p w:rsidR="00FE2D73" w:rsidRPr="0082102B" w:rsidRDefault="00FE2D73" w:rsidP="008E39F7">
            <w:pPr>
              <w:pStyle w:val="naiskr"/>
              <w:spacing w:before="0" w:after="0"/>
              <w:jc w:val="both"/>
            </w:pPr>
            <w:r w:rsidRPr="0082102B">
              <w:t>Informācija par to, vai šīs tabulas B ailē minētās projekta vienības paredz stingrākas prasības nekā šīs tabulas A ailē minētās ES tiesību akta vienības.</w:t>
            </w:r>
          </w:p>
          <w:p w:rsidR="00FE2D73" w:rsidRPr="0082102B" w:rsidRDefault="00FE2D73" w:rsidP="008E39F7">
            <w:pPr>
              <w:pStyle w:val="naiskr"/>
              <w:spacing w:before="0" w:after="0"/>
            </w:pPr>
          </w:p>
          <w:p w:rsidR="00FE2D73" w:rsidRPr="0082102B" w:rsidRDefault="00FE2D73" w:rsidP="008E39F7">
            <w:pPr>
              <w:pStyle w:val="naiskr"/>
              <w:spacing w:before="0" w:after="0"/>
              <w:jc w:val="both"/>
            </w:pPr>
            <w:r w:rsidRPr="0082102B">
              <w:t xml:space="preserve">Ja projekts satur stingrākas prasības nekā attiecīgais ES tiesību </w:t>
            </w:r>
            <w:smartTag w:uri="schemas-tilde-lv/tildestengine" w:element="veidnes">
              <w:smartTagPr>
                <w:attr w:name="id" w:val="-1"/>
                <w:attr w:name="baseform" w:val="akts"/>
                <w:attr w:name="text" w:val="akts"/>
              </w:smartTagPr>
              <w:r w:rsidRPr="0082102B">
                <w:t>akts</w:t>
              </w:r>
            </w:smartTag>
            <w:r w:rsidRPr="0082102B">
              <w:t>, – norāda pamatojumu un samērīgumu.</w:t>
            </w:r>
          </w:p>
          <w:p w:rsidR="00FE2D73" w:rsidRPr="0082102B" w:rsidRDefault="00FE2D73" w:rsidP="008E39F7">
            <w:pPr>
              <w:pStyle w:val="naiskr"/>
              <w:spacing w:before="0" w:after="0"/>
            </w:pPr>
          </w:p>
          <w:p w:rsidR="00FE2D73" w:rsidRPr="0082102B" w:rsidRDefault="00FE2D73" w:rsidP="008E39F7">
            <w:pPr>
              <w:pStyle w:val="naiskr"/>
              <w:spacing w:before="0" w:after="0"/>
              <w:jc w:val="both"/>
            </w:pPr>
            <w:r w:rsidRPr="0082102B">
              <w:t>Norāda iespējamās alternatīvas (t.sk. alternatīvas, kas neparedz tiesiskā regulējuma izstrādi) – kādos gadījumos būtu iespējams izvairīties no stingrāku prasību noteikšanas, nekā paredzēts attiecīgajos ES tiesību aktos</w:t>
            </w: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848"/>
          <w:jc w:val="center"/>
        </w:trPr>
        <w:tc>
          <w:tcPr>
            <w:tcW w:w="925" w:type="pct"/>
            <w:gridSpan w:val="3"/>
          </w:tcPr>
          <w:p w:rsidR="00FE2D73" w:rsidRPr="00BE4081" w:rsidRDefault="00FE2D73" w:rsidP="008E39F7">
            <w:pPr>
              <w:pStyle w:val="naiskr"/>
              <w:spacing w:before="0" w:after="0"/>
              <w:jc w:val="both"/>
            </w:pPr>
            <w:r w:rsidRPr="00BE4081">
              <w:lastRenderedPageBreak/>
              <w:t>Direktīvas 2009/72/EK 3.panta trešā daļa</w:t>
            </w:r>
          </w:p>
        </w:tc>
        <w:tc>
          <w:tcPr>
            <w:tcW w:w="723" w:type="pct"/>
          </w:tcPr>
          <w:p w:rsidR="00FE2D73" w:rsidRPr="00BE4081" w:rsidRDefault="00C071F9" w:rsidP="008E39F7">
            <w:pPr>
              <w:pStyle w:val="naiskr"/>
              <w:spacing w:before="0" w:after="0"/>
              <w:jc w:val="center"/>
            </w:pPr>
            <w:r>
              <w:t>13.punkts</w:t>
            </w:r>
          </w:p>
        </w:tc>
        <w:tc>
          <w:tcPr>
            <w:tcW w:w="2478" w:type="pct"/>
            <w:gridSpan w:val="3"/>
          </w:tcPr>
          <w:p w:rsidR="00FE2D73" w:rsidRPr="00BE4081" w:rsidRDefault="00C071F9" w:rsidP="002003A3">
            <w:pPr>
              <w:pStyle w:val="naiskr"/>
              <w:spacing w:before="0" w:after="0"/>
              <w:jc w:val="both"/>
            </w:pPr>
            <w:r>
              <w:t>ES norma ir ieviesta pilnī</w:t>
            </w:r>
            <w:r w:rsidR="002003A3">
              <w:t>bā</w:t>
            </w:r>
            <w:r>
              <w:t>, cik tas attiecās uz mājsaimniecību tiesībās saņemt universālo pakalpojumu.</w:t>
            </w:r>
          </w:p>
        </w:tc>
        <w:tc>
          <w:tcPr>
            <w:tcW w:w="847" w:type="pct"/>
            <w:gridSpan w:val="2"/>
          </w:tcPr>
          <w:p w:rsidR="00FE2D73" w:rsidRPr="0082102B" w:rsidRDefault="00FE2D73" w:rsidP="008E39F7">
            <w:pPr>
              <w:pStyle w:val="naiskr"/>
              <w:spacing w:before="0" w:after="0"/>
              <w:jc w:val="both"/>
            </w:pPr>
            <w:r w:rsidRPr="0082102B">
              <w:t xml:space="preserve">Nacionālais tiesību akts paredz </w:t>
            </w:r>
            <w:r>
              <w:t xml:space="preserve">papildus </w:t>
            </w:r>
            <w:r w:rsidRPr="0082102B">
              <w:t xml:space="preserve">prasības </w:t>
            </w:r>
          </w:p>
          <w:p w:rsidR="00FE2D73" w:rsidRPr="0082102B" w:rsidRDefault="00FE2D73" w:rsidP="008E39F7">
            <w:pPr>
              <w:pStyle w:val="naiskr"/>
              <w:spacing w:before="0" w:after="0"/>
              <w:jc w:val="both"/>
            </w:pP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848"/>
          <w:jc w:val="center"/>
        </w:trPr>
        <w:tc>
          <w:tcPr>
            <w:tcW w:w="925" w:type="pct"/>
            <w:gridSpan w:val="3"/>
          </w:tcPr>
          <w:p w:rsidR="00FE2D73" w:rsidRPr="00BE4081" w:rsidRDefault="00FE2D73" w:rsidP="008E39F7">
            <w:pPr>
              <w:pStyle w:val="naiskr"/>
              <w:spacing w:before="0" w:after="0"/>
              <w:jc w:val="both"/>
            </w:pPr>
            <w:r w:rsidRPr="00BE4081">
              <w:t>Direktīvas 2009/72/EK 3.panta piektās daļas a) b) punkti</w:t>
            </w:r>
          </w:p>
        </w:tc>
        <w:tc>
          <w:tcPr>
            <w:tcW w:w="723" w:type="pct"/>
          </w:tcPr>
          <w:p w:rsidR="00FE2D73" w:rsidRPr="00BE4081" w:rsidRDefault="002003A3" w:rsidP="008E39F7">
            <w:pPr>
              <w:pStyle w:val="naiskr"/>
              <w:spacing w:before="0" w:after="0"/>
              <w:jc w:val="center"/>
            </w:pPr>
            <w:r>
              <w:t xml:space="preserve">107., </w:t>
            </w:r>
            <w:r w:rsidR="00C071F9">
              <w:t>121.</w:t>
            </w:r>
          </w:p>
        </w:tc>
        <w:tc>
          <w:tcPr>
            <w:tcW w:w="2478" w:type="pct"/>
            <w:gridSpan w:val="3"/>
          </w:tcPr>
          <w:p w:rsidR="00FE2D73" w:rsidRPr="00BE4081" w:rsidRDefault="00FE2D73" w:rsidP="002003A3">
            <w:r>
              <w:t xml:space="preserve"> </w:t>
            </w:r>
            <w:r w:rsidR="002003A3">
              <w:t>ES normas ir ieviestas pilnībā</w:t>
            </w:r>
          </w:p>
        </w:tc>
        <w:tc>
          <w:tcPr>
            <w:tcW w:w="847" w:type="pct"/>
            <w:gridSpan w:val="2"/>
          </w:tcPr>
          <w:p w:rsidR="00FE2D73" w:rsidRPr="0082102B" w:rsidRDefault="00FE2D73" w:rsidP="008E39F7">
            <w:pPr>
              <w:pStyle w:val="naiskr"/>
              <w:spacing w:before="0" w:after="0"/>
              <w:jc w:val="both"/>
            </w:pPr>
            <w:r w:rsidRPr="0082102B">
              <w:t xml:space="preserve">Nacionālais tiesību akts neparedz stingrākas prasības </w:t>
            </w:r>
          </w:p>
          <w:p w:rsidR="00FE2D73" w:rsidRPr="0082102B" w:rsidRDefault="00FE2D73" w:rsidP="008E39F7">
            <w:pPr>
              <w:pStyle w:val="naiskr"/>
              <w:spacing w:before="0" w:after="0"/>
              <w:jc w:val="both"/>
            </w:pP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848"/>
          <w:jc w:val="center"/>
        </w:trPr>
        <w:tc>
          <w:tcPr>
            <w:tcW w:w="925" w:type="pct"/>
            <w:gridSpan w:val="3"/>
          </w:tcPr>
          <w:p w:rsidR="00FE2D73" w:rsidRPr="00BE4081" w:rsidRDefault="00FE2D73" w:rsidP="008E39F7">
            <w:pPr>
              <w:pStyle w:val="naiskr"/>
              <w:spacing w:before="0" w:after="0"/>
              <w:jc w:val="both"/>
            </w:pPr>
            <w:r w:rsidRPr="00BE4081">
              <w:t>Direktīvas 2009/72/EK 3.panta devītās  daļas a) b) c) punkti</w:t>
            </w:r>
          </w:p>
        </w:tc>
        <w:tc>
          <w:tcPr>
            <w:tcW w:w="723" w:type="pct"/>
          </w:tcPr>
          <w:p w:rsidR="00FE2D73" w:rsidRPr="00BE4081" w:rsidRDefault="002003A3" w:rsidP="008E39F7">
            <w:pPr>
              <w:pStyle w:val="naiskr"/>
              <w:spacing w:before="0" w:after="0"/>
              <w:jc w:val="center"/>
            </w:pPr>
            <w:r>
              <w:t>90.</w:t>
            </w:r>
          </w:p>
        </w:tc>
        <w:tc>
          <w:tcPr>
            <w:tcW w:w="2478" w:type="pct"/>
            <w:gridSpan w:val="3"/>
          </w:tcPr>
          <w:p w:rsidR="002003A3" w:rsidRDefault="002003A3" w:rsidP="002003A3">
            <w:pPr>
              <w:jc w:val="both"/>
            </w:pPr>
            <w:r>
              <w:t xml:space="preserve">ES normas noteikumu projektā ir pārņemtas daļēji. </w:t>
            </w:r>
          </w:p>
          <w:p w:rsidR="002003A3" w:rsidRDefault="002003A3" w:rsidP="002003A3">
            <w:pPr>
              <w:jc w:val="both"/>
            </w:pPr>
          </w:p>
          <w:p w:rsidR="002003A3" w:rsidRPr="00A368E6" w:rsidRDefault="002003A3" w:rsidP="002003A3">
            <w:pPr>
              <w:jc w:val="both"/>
            </w:pPr>
            <w:r>
              <w:t xml:space="preserve">Saskaņā Elektroenerģijas tirgus likuma 32.panta ceturtā daļa paredz, ka regulators  nosaka rēķinos un informatīvajos materiālos ietveramās informācijas veidu un apjomu. Tādēļ tiks </w:t>
            </w:r>
            <w:r w:rsidRPr="00A368E6">
              <w:t>precizēt</w:t>
            </w:r>
            <w:r>
              <w:t>i SPRK</w:t>
            </w:r>
            <w:r w:rsidRPr="00A368E6">
              <w:t xml:space="preserve"> </w:t>
            </w:r>
            <w:r>
              <w:t>noteikumi „</w:t>
            </w:r>
            <w:r>
              <w:rPr>
                <w:bCs/>
              </w:rPr>
              <w:t>P</w:t>
            </w:r>
            <w:r w:rsidRPr="00A368E6">
              <w:rPr>
                <w:bCs/>
              </w:rPr>
              <w:t>ar informāciju elektroenerģijas galalietotājiem</w:t>
            </w:r>
            <w:r>
              <w:rPr>
                <w:bCs/>
              </w:rPr>
              <w:t>”.</w:t>
            </w:r>
          </w:p>
          <w:p w:rsidR="00FE2D73" w:rsidRPr="00BE4081" w:rsidRDefault="00FE2D73" w:rsidP="008E39F7"/>
        </w:tc>
        <w:tc>
          <w:tcPr>
            <w:tcW w:w="847" w:type="pct"/>
            <w:gridSpan w:val="2"/>
          </w:tcPr>
          <w:p w:rsidR="00FE2D73" w:rsidRPr="0082102B" w:rsidRDefault="00FE2D73" w:rsidP="008E39F7">
            <w:pPr>
              <w:pStyle w:val="naiskr"/>
              <w:spacing w:before="0" w:after="0"/>
              <w:jc w:val="both"/>
            </w:pPr>
            <w:r w:rsidRPr="0082102B">
              <w:t xml:space="preserve">Nacionālais tiesību akts neparedz stingrākas prasības </w:t>
            </w:r>
          </w:p>
          <w:p w:rsidR="00FE2D73" w:rsidRPr="0082102B" w:rsidRDefault="00FE2D73" w:rsidP="008E39F7">
            <w:pPr>
              <w:pStyle w:val="naiskr"/>
              <w:spacing w:before="0" w:after="0"/>
              <w:jc w:val="both"/>
            </w:pPr>
          </w:p>
        </w:tc>
      </w:tr>
      <w:tr w:rsidR="00FE2D73" w:rsidRPr="00216027"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281"/>
          <w:jc w:val="center"/>
        </w:trPr>
        <w:tc>
          <w:tcPr>
            <w:tcW w:w="925" w:type="pct"/>
            <w:gridSpan w:val="3"/>
            <w:vAlign w:val="center"/>
          </w:tcPr>
          <w:p w:rsidR="00FE2D73" w:rsidRPr="00216027" w:rsidRDefault="00FE2D73" w:rsidP="008E39F7">
            <w:pPr>
              <w:pStyle w:val="naiskr"/>
              <w:spacing w:before="0" w:after="0"/>
              <w:rPr>
                <w:sz w:val="22"/>
                <w:szCs w:val="22"/>
              </w:rPr>
            </w:pPr>
            <w:r w:rsidRPr="00216027">
              <w:rPr>
                <w:sz w:val="22"/>
                <w:szCs w:val="22"/>
              </w:rPr>
              <w:t>Kā ir izmantota ES tiesību aktā paredzētā rīcības brīvība dalībvalstij pārņemt vai ieviest noteiktas ES tiesību akta normas.</w:t>
            </w:r>
          </w:p>
          <w:p w:rsidR="00FE2D73" w:rsidRPr="00216027" w:rsidRDefault="00FE2D73" w:rsidP="008E39F7">
            <w:pPr>
              <w:pStyle w:val="naiskr"/>
              <w:spacing w:before="0" w:after="0"/>
              <w:rPr>
                <w:sz w:val="22"/>
                <w:szCs w:val="22"/>
              </w:rPr>
            </w:pPr>
            <w:r w:rsidRPr="00216027">
              <w:rPr>
                <w:sz w:val="22"/>
                <w:szCs w:val="22"/>
              </w:rPr>
              <w:t>Kādēļ?</w:t>
            </w:r>
          </w:p>
        </w:tc>
        <w:tc>
          <w:tcPr>
            <w:tcW w:w="4048" w:type="pct"/>
            <w:gridSpan w:val="6"/>
          </w:tcPr>
          <w:p w:rsidR="00FE2D73" w:rsidRPr="00216027" w:rsidRDefault="00FE2D73" w:rsidP="00B83E5F">
            <w:pPr>
              <w:ind w:left="170" w:right="127"/>
              <w:jc w:val="both"/>
            </w:pPr>
            <w:r w:rsidRPr="00EB23C4">
              <w:t>Direktīvas 2009/</w:t>
            </w:r>
            <w:r>
              <w:t>72</w:t>
            </w:r>
            <w:r w:rsidRPr="00EB23C4">
              <w:t xml:space="preserve">/EK </w:t>
            </w:r>
            <w:r w:rsidR="00B83E5F">
              <w:t xml:space="preserve">3.panta trešā daļa nosaka dalībvalstu pienākumu nodrošināt, ka visi mājsaimniecību lietotāji saņem universālo pakalpojumu. </w:t>
            </w:r>
            <w:r w:rsidR="00A4674C">
              <w:t>A</w:t>
            </w:r>
            <w:r w:rsidR="00B83E5F">
              <w:t>ttiec</w:t>
            </w:r>
            <w:r w:rsidR="00A4674C">
              <w:t>ībā</w:t>
            </w:r>
            <w:r w:rsidR="00B83E5F">
              <w:t xml:space="preserve"> uz citiem elektroenerģijas lietotājiem </w:t>
            </w:r>
            <w:r w:rsidR="00B83E5F" w:rsidRPr="00EB23C4">
              <w:t>Direktīvas 2009/</w:t>
            </w:r>
            <w:r w:rsidR="00B83E5F">
              <w:t>72</w:t>
            </w:r>
            <w:r w:rsidR="00B83E5F" w:rsidRPr="00EB23C4">
              <w:t xml:space="preserve">/EK </w:t>
            </w:r>
            <w:r w:rsidR="00B83E5F">
              <w:t xml:space="preserve">3.panta trešā daļa dod dalībvalstīm brīvu izvēli, kādā veidā tiek regulēta to darbība brīvajā elektroenerģijas tirgū un to tiesības uz universālo pakalpojumu. </w:t>
            </w:r>
          </w:p>
        </w:tc>
      </w:tr>
      <w:tr w:rsidR="00FE2D73" w:rsidRPr="00216027"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913"/>
          <w:jc w:val="center"/>
        </w:trPr>
        <w:tc>
          <w:tcPr>
            <w:tcW w:w="925" w:type="pct"/>
            <w:gridSpan w:val="3"/>
            <w:vAlign w:val="center"/>
          </w:tcPr>
          <w:p w:rsidR="00FE2D73" w:rsidRPr="00216027" w:rsidRDefault="00FE2D73" w:rsidP="008E39F7">
            <w:pPr>
              <w:pStyle w:val="naiskr"/>
              <w:spacing w:before="0" w:after="0"/>
              <w:rPr>
                <w:i/>
                <w:sz w:val="22"/>
                <w:szCs w:val="22"/>
              </w:rPr>
            </w:pPr>
            <w:r w:rsidRPr="00216027">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8" w:type="pct"/>
            <w:gridSpan w:val="6"/>
          </w:tcPr>
          <w:p w:rsidR="00FE2D73" w:rsidRPr="00216027" w:rsidRDefault="002003A3" w:rsidP="008E39F7">
            <w:pPr>
              <w:pStyle w:val="naiskr"/>
              <w:spacing w:before="0" w:after="0"/>
            </w:pPr>
            <w:r w:rsidRPr="00855789">
              <w:t>Projekts šo jomu neskar</w:t>
            </w:r>
            <w:r>
              <w:t>.</w:t>
            </w:r>
          </w:p>
          <w:p w:rsidR="00FE2D73" w:rsidRPr="00216027" w:rsidRDefault="00FE2D73" w:rsidP="008E39F7">
            <w:pPr>
              <w:pStyle w:val="naiskr"/>
              <w:spacing w:before="0" w:after="0"/>
              <w:rPr>
                <w:sz w:val="22"/>
                <w:szCs w:val="22"/>
              </w:rPr>
            </w:pPr>
          </w:p>
        </w:tc>
      </w:tr>
      <w:tr w:rsidR="00FE2D73" w:rsidRPr="00216027"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579"/>
          <w:jc w:val="center"/>
        </w:trPr>
        <w:tc>
          <w:tcPr>
            <w:tcW w:w="925" w:type="pct"/>
            <w:gridSpan w:val="3"/>
          </w:tcPr>
          <w:p w:rsidR="00FE2D73" w:rsidRPr="00216027" w:rsidRDefault="00FE2D73" w:rsidP="008E39F7">
            <w:pPr>
              <w:pStyle w:val="naiskr"/>
              <w:spacing w:before="0" w:after="0"/>
              <w:rPr>
                <w:sz w:val="22"/>
                <w:szCs w:val="22"/>
              </w:rPr>
            </w:pPr>
            <w:r w:rsidRPr="00216027">
              <w:rPr>
                <w:sz w:val="22"/>
                <w:szCs w:val="22"/>
              </w:rPr>
              <w:t>Cita informācija</w:t>
            </w:r>
          </w:p>
        </w:tc>
        <w:tc>
          <w:tcPr>
            <w:tcW w:w="4048" w:type="pct"/>
            <w:gridSpan w:val="6"/>
          </w:tcPr>
          <w:p w:rsidR="00FE2D73" w:rsidRPr="00216027" w:rsidRDefault="002003A3" w:rsidP="008E39F7">
            <w:pPr>
              <w:pStyle w:val="naiskr"/>
              <w:spacing w:before="0" w:after="0"/>
              <w:rPr>
                <w:i/>
                <w:sz w:val="22"/>
                <w:szCs w:val="22"/>
              </w:rPr>
            </w:pPr>
            <w:r w:rsidRPr="00855789">
              <w:t>Projekts šo jomu neskar</w:t>
            </w:r>
            <w:r>
              <w:t>.</w:t>
            </w:r>
          </w:p>
        </w:tc>
      </w:tr>
      <w:tr w:rsidR="00C97A84" w:rsidRPr="00230A43" w:rsidTr="00FE2D73">
        <w:trPr>
          <w:gridAfter w:val="1"/>
          <w:wAfter w:w="34" w:type="pct"/>
        </w:trPr>
        <w:tc>
          <w:tcPr>
            <w:tcW w:w="4966" w:type="pct"/>
            <w:gridSpan w:val="9"/>
            <w:tcBorders>
              <w:top w:val="single" w:sz="6" w:space="0" w:color="000000"/>
              <w:left w:val="single" w:sz="6" w:space="0" w:color="000000"/>
              <w:bottom w:val="outset" w:sz="6" w:space="0" w:color="000000"/>
              <w:right w:val="single" w:sz="6" w:space="0" w:color="000000"/>
            </w:tcBorders>
          </w:tcPr>
          <w:p w:rsidR="00C97A84" w:rsidRPr="00230A43" w:rsidRDefault="00C97A84" w:rsidP="00C4491E">
            <w:pPr>
              <w:pStyle w:val="NormalWeb"/>
              <w:jc w:val="center"/>
              <w:rPr>
                <w:b/>
                <w:bCs/>
              </w:rPr>
            </w:pPr>
            <w:r w:rsidRPr="00230A43">
              <w:rPr>
                <w:b/>
                <w:bCs/>
              </w:rPr>
              <w:t>IV. Tiesību akta projekta ietekme uz spēkā esošo tiesību normu sistēmu</w:t>
            </w:r>
          </w:p>
        </w:tc>
      </w:tr>
      <w:tr w:rsidR="005768C5" w:rsidRPr="00230A43" w:rsidTr="00FE2D73">
        <w:trPr>
          <w:gridAfter w:val="1"/>
          <w:wAfter w:w="34" w:type="pct"/>
        </w:trPr>
        <w:tc>
          <w:tcPr>
            <w:tcW w:w="186" w:type="pct"/>
            <w:gridSpan w:val="2"/>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1.</w:t>
            </w:r>
          </w:p>
        </w:tc>
        <w:tc>
          <w:tcPr>
            <w:tcW w:w="2522" w:type="pct"/>
            <w:gridSpan w:val="5"/>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Nepieciešamie saistītie tiesību aktu projekti</w:t>
            </w:r>
          </w:p>
        </w:tc>
        <w:tc>
          <w:tcPr>
            <w:tcW w:w="2258" w:type="pct"/>
            <w:gridSpan w:val="2"/>
            <w:tcBorders>
              <w:top w:val="outset" w:sz="6" w:space="0" w:color="000000"/>
              <w:left w:val="outset" w:sz="6" w:space="0" w:color="000000"/>
              <w:bottom w:val="outset" w:sz="6" w:space="0" w:color="000000"/>
              <w:right w:val="outset" w:sz="6" w:space="0" w:color="000000"/>
            </w:tcBorders>
          </w:tcPr>
          <w:p w:rsidR="00C97A84" w:rsidRPr="00230A43" w:rsidRDefault="00A654EE" w:rsidP="00C4491E">
            <w:pPr>
              <w:pStyle w:val="NormalWeb"/>
            </w:pPr>
            <w:r w:rsidRPr="00B159C3">
              <w:t xml:space="preserve">Papildus normatīvie </w:t>
            </w:r>
            <w:smartTag w:uri="schemas-tilde-lv/tildestengine" w:element="veidnes">
              <w:smartTagPr>
                <w:attr w:name="text" w:val="akti"/>
                <w:attr w:name="id" w:val="-1"/>
                <w:attr w:name="baseform" w:val="akt|s"/>
              </w:smartTagPr>
              <w:r w:rsidRPr="00B159C3">
                <w:t>akti</w:t>
              </w:r>
            </w:smartTag>
            <w:r w:rsidRPr="00B159C3">
              <w:t xml:space="preserve">  nav jāizdod</w:t>
            </w:r>
            <w:r>
              <w:t>.</w:t>
            </w:r>
          </w:p>
        </w:tc>
      </w:tr>
      <w:tr w:rsidR="005768C5" w:rsidRPr="00230A43" w:rsidTr="00FE2D73">
        <w:trPr>
          <w:gridAfter w:val="1"/>
          <w:wAfter w:w="34" w:type="pct"/>
        </w:trPr>
        <w:tc>
          <w:tcPr>
            <w:tcW w:w="186" w:type="pct"/>
            <w:gridSpan w:val="2"/>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lastRenderedPageBreak/>
              <w:t>2.</w:t>
            </w:r>
          </w:p>
        </w:tc>
        <w:tc>
          <w:tcPr>
            <w:tcW w:w="2522" w:type="pct"/>
            <w:gridSpan w:val="5"/>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Cita informācija</w:t>
            </w:r>
          </w:p>
        </w:tc>
        <w:tc>
          <w:tcPr>
            <w:tcW w:w="2258" w:type="pct"/>
            <w:gridSpan w:val="2"/>
            <w:tcBorders>
              <w:top w:val="outset" w:sz="6" w:space="0" w:color="000000"/>
              <w:left w:val="outset" w:sz="6" w:space="0" w:color="000000"/>
              <w:bottom w:val="outset" w:sz="6" w:space="0" w:color="000000"/>
              <w:right w:val="outset" w:sz="6" w:space="0" w:color="000000"/>
            </w:tcBorders>
          </w:tcPr>
          <w:p w:rsidR="00C97A84" w:rsidRPr="00230A43" w:rsidRDefault="00855789" w:rsidP="00C4491E">
            <w:pPr>
              <w:pStyle w:val="NormalWeb"/>
            </w:pPr>
            <w:r w:rsidRPr="00855789">
              <w:t>Projekts šo jomu neskar</w:t>
            </w:r>
            <w:r w:rsidR="00A654EE">
              <w:t>.</w:t>
            </w:r>
          </w:p>
        </w:tc>
      </w:tr>
    </w:tbl>
    <w:p w:rsidR="00C97A84" w:rsidRPr="00230A43" w:rsidRDefault="00C97A84" w:rsidP="00C97A84">
      <w:pPr>
        <w:pStyle w:val="NormalWeb"/>
        <w:spacing w:before="0" w:beforeAutospacing="0" w:after="0" w:afterAutospacing="0"/>
      </w:pPr>
      <w:r w:rsidRPr="00230A43">
        <w:t> </w:t>
      </w: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3057"/>
        <w:gridCol w:w="5958"/>
      </w:tblGrid>
      <w:tr w:rsidR="0023436E" w:rsidRPr="007C0F2C">
        <w:trPr>
          <w:jc w:val="center"/>
        </w:trPr>
        <w:tc>
          <w:tcPr>
            <w:tcW w:w="9565" w:type="dxa"/>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trPr>
          <w:trHeight w:val="427"/>
          <w:jc w:val="center"/>
        </w:trPr>
        <w:tc>
          <w:tcPr>
            <w:tcW w:w="550" w:type="dxa"/>
          </w:tcPr>
          <w:p w:rsidR="0023436E" w:rsidRPr="007C0F2C" w:rsidRDefault="0023436E" w:rsidP="000E348C">
            <w:pPr>
              <w:pStyle w:val="naisnod"/>
              <w:spacing w:before="0" w:after="0"/>
              <w:ind w:left="57" w:right="57"/>
              <w:jc w:val="left"/>
              <w:rPr>
                <w:b w:val="0"/>
                <w:sz w:val="22"/>
                <w:szCs w:val="22"/>
              </w:rPr>
            </w:pPr>
            <w:r w:rsidRPr="007C0F2C">
              <w:rPr>
                <w:b w:val="0"/>
                <w:sz w:val="22"/>
                <w:szCs w:val="22"/>
              </w:rPr>
              <w:t>1.</w:t>
            </w:r>
          </w:p>
        </w:tc>
        <w:tc>
          <w:tcPr>
            <w:tcW w:w="3057" w:type="dxa"/>
          </w:tcPr>
          <w:p w:rsidR="0023436E" w:rsidRPr="007C0F2C" w:rsidRDefault="001A4066" w:rsidP="000E348C">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5958" w:type="dxa"/>
          </w:tcPr>
          <w:p w:rsidR="0023436E" w:rsidRPr="005768C5" w:rsidRDefault="00122C93" w:rsidP="00180D66">
            <w:pPr>
              <w:pStyle w:val="naisnod"/>
              <w:spacing w:before="0" w:after="0"/>
              <w:ind w:left="57" w:right="57"/>
              <w:jc w:val="both"/>
              <w:rPr>
                <w:b w:val="0"/>
              </w:rPr>
            </w:pPr>
            <w:r w:rsidRPr="00267074">
              <w:rPr>
                <w:b w:val="0"/>
              </w:rPr>
              <w:t xml:space="preserve">Projekta izpildi </w:t>
            </w:r>
            <w:r w:rsidR="00180D66">
              <w:rPr>
                <w:b w:val="0"/>
              </w:rPr>
              <w:t>nodrošina elektroenerģijas pārvades sistēmas operators, elektroenerģijas sadales sistēmas operatori,  elektroenerģijas tirgotāji un Sabiedrisko pakalpojumu regulēšanas komisija.</w:t>
            </w:r>
          </w:p>
        </w:tc>
      </w:tr>
      <w:tr w:rsidR="0023436E" w:rsidRPr="007C0F2C">
        <w:trPr>
          <w:trHeight w:val="463"/>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2.</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5958" w:type="dxa"/>
          </w:tcPr>
          <w:p w:rsidR="0023436E" w:rsidRPr="000E348C" w:rsidRDefault="00103517" w:rsidP="00695B92">
            <w:pPr>
              <w:pStyle w:val="naisnod"/>
              <w:spacing w:before="0" w:after="0"/>
              <w:ind w:left="57" w:right="57"/>
              <w:jc w:val="left"/>
              <w:rPr>
                <w:b w:val="0"/>
              </w:rPr>
            </w:pPr>
            <w:r w:rsidRPr="000E348C">
              <w:rPr>
                <w:b w:val="0"/>
              </w:rPr>
              <w:t>Projekts neparedz funkciju paplašināšan</w:t>
            </w:r>
            <w:r w:rsidR="00695B92" w:rsidRPr="000E348C">
              <w:rPr>
                <w:b w:val="0"/>
              </w:rPr>
              <w:t>u.</w:t>
            </w:r>
          </w:p>
          <w:p w:rsidR="000E348C" w:rsidRPr="000E348C" w:rsidRDefault="000E348C" w:rsidP="00695B92">
            <w:pPr>
              <w:pStyle w:val="naisnod"/>
              <w:spacing w:before="0" w:after="0"/>
              <w:ind w:left="57" w:right="57"/>
              <w:jc w:val="left"/>
              <w:rPr>
                <w:b w:val="0"/>
              </w:rPr>
            </w:pPr>
          </w:p>
        </w:tc>
      </w:tr>
      <w:tr w:rsidR="0023436E" w:rsidRPr="007C0F2C">
        <w:trPr>
          <w:trHeight w:val="725"/>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3.</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Jaunu institūciju izveide</w:t>
            </w:r>
          </w:p>
        </w:tc>
        <w:tc>
          <w:tcPr>
            <w:tcW w:w="5958" w:type="dxa"/>
          </w:tcPr>
          <w:p w:rsidR="0023436E" w:rsidRPr="00855789" w:rsidRDefault="00103517" w:rsidP="007D099D">
            <w:pPr>
              <w:pStyle w:val="naisnod"/>
              <w:spacing w:before="0" w:after="0"/>
              <w:ind w:left="57" w:right="57"/>
              <w:jc w:val="left"/>
              <w:rPr>
                <w:b w:val="0"/>
              </w:rPr>
            </w:pPr>
            <w:r w:rsidRPr="00855789">
              <w:rPr>
                <w:b w:val="0"/>
              </w:rPr>
              <w:t>Projekts neparedz veidot jaunas valsts institūcijas</w:t>
            </w:r>
            <w:r w:rsidR="00695B92" w:rsidRPr="00855789">
              <w:rPr>
                <w:b w:val="0"/>
              </w:rPr>
              <w:t>.</w:t>
            </w:r>
          </w:p>
        </w:tc>
      </w:tr>
      <w:tr w:rsidR="0023436E" w:rsidRPr="007C0F2C">
        <w:trPr>
          <w:trHeight w:val="780"/>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4.</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Esošu institūciju likvidācija</w:t>
            </w:r>
          </w:p>
        </w:tc>
        <w:tc>
          <w:tcPr>
            <w:tcW w:w="5958" w:type="dxa"/>
          </w:tcPr>
          <w:p w:rsidR="0023436E" w:rsidRPr="00855789" w:rsidRDefault="00855789" w:rsidP="007D099D">
            <w:pPr>
              <w:pStyle w:val="naisnod"/>
              <w:spacing w:before="0" w:after="0"/>
              <w:ind w:left="57" w:right="57"/>
              <w:jc w:val="left"/>
              <w:rPr>
                <w:b w:val="0"/>
              </w:rPr>
            </w:pPr>
            <w:r w:rsidRPr="00855789">
              <w:rPr>
                <w:b w:val="0"/>
              </w:rPr>
              <w:t>Projekts šo jomu neskar</w:t>
            </w:r>
            <w:r w:rsidR="00695B92" w:rsidRPr="00855789">
              <w:rPr>
                <w:b w:val="0"/>
              </w:rPr>
              <w:t>.</w:t>
            </w:r>
          </w:p>
        </w:tc>
      </w:tr>
      <w:tr w:rsidR="0023436E" w:rsidRPr="007C0F2C">
        <w:trPr>
          <w:trHeight w:val="703"/>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5.</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23436E" w:rsidP="007D099D">
            <w:pPr>
              <w:pStyle w:val="naisf"/>
              <w:spacing w:before="0" w:after="0"/>
              <w:ind w:left="57" w:right="57" w:firstLine="0"/>
              <w:jc w:val="left"/>
              <w:rPr>
                <w:sz w:val="22"/>
                <w:szCs w:val="22"/>
              </w:rPr>
            </w:pPr>
            <w:r w:rsidRPr="007C0F2C">
              <w:rPr>
                <w:sz w:val="22"/>
                <w:szCs w:val="22"/>
              </w:rPr>
              <w:t>Esošu institūciju reorganizācija</w:t>
            </w:r>
          </w:p>
        </w:tc>
        <w:tc>
          <w:tcPr>
            <w:tcW w:w="5958" w:type="dxa"/>
          </w:tcPr>
          <w:p w:rsidR="0023436E" w:rsidRPr="00855789" w:rsidRDefault="00855789" w:rsidP="000E348C">
            <w:pPr>
              <w:pStyle w:val="naisnod"/>
              <w:spacing w:before="0" w:after="0"/>
              <w:ind w:left="57" w:right="57"/>
              <w:jc w:val="both"/>
              <w:rPr>
                <w:b w:val="0"/>
              </w:rPr>
            </w:pPr>
            <w:r w:rsidRPr="00855789">
              <w:rPr>
                <w:b w:val="0"/>
              </w:rPr>
              <w:t>Projekts šo jomu neskar</w:t>
            </w:r>
          </w:p>
        </w:tc>
      </w:tr>
      <w:tr w:rsidR="0023436E" w:rsidRPr="007C0F2C">
        <w:trPr>
          <w:trHeight w:val="476"/>
          <w:jc w:val="center"/>
        </w:trPr>
        <w:tc>
          <w:tcPr>
            <w:tcW w:w="550" w:type="dxa"/>
          </w:tcPr>
          <w:p w:rsidR="0023436E" w:rsidRPr="007C0F2C" w:rsidRDefault="00F63DAC" w:rsidP="007D099D">
            <w:pPr>
              <w:pStyle w:val="naiskr"/>
              <w:spacing w:before="0" w:after="0"/>
              <w:ind w:left="57" w:right="57"/>
              <w:rPr>
                <w:sz w:val="22"/>
                <w:szCs w:val="22"/>
              </w:rPr>
            </w:pPr>
            <w:r>
              <w:rPr>
                <w:sz w:val="22"/>
                <w:szCs w:val="22"/>
              </w:rPr>
              <w:t>6</w:t>
            </w:r>
            <w:r w:rsidR="0023436E" w:rsidRPr="007C0F2C">
              <w:rPr>
                <w:sz w:val="22"/>
                <w:szCs w:val="22"/>
              </w:rPr>
              <w:t>.</w:t>
            </w:r>
          </w:p>
        </w:tc>
        <w:tc>
          <w:tcPr>
            <w:tcW w:w="3057" w:type="dxa"/>
          </w:tcPr>
          <w:p w:rsidR="0023436E" w:rsidRPr="007C0F2C" w:rsidRDefault="006C4607" w:rsidP="007D099D">
            <w:pPr>
              <w:pStyle w:val="naiskr"/>
              <w:spacing w:before="0" w:after="0"/>
              <w:ind w:left="57" w:right="57"/>
              <w:rPr>
                <w:sz w:val="22"/>
                <w:szCs w:val="22"/>
              </w:rPr>
            </w:pPr>
            <w:r w:rsidRPr="007C0F2C">
              <w:rPr>
                <w:sz w:val="22"/>
                <w:szCs w:val="22"/>
              </w:rPr>
              <w:t>Cita informācija</w:t>
            </w:r>
          </w:p>
        </w:tc>
        <w:tc>
          <w:tcPr>
            <w:tcW w:w="5958" w:type="dxa"/>
          </w:tcPr>
          <w:p w:rsidR="0023436E" w:rsidRPr="00855789" w:rsidRDefault="00855789" w:rsidP="007D099D">
            <w:pPr>
              <w:pStyle w:val="naiskr"/>
              <w:spacing w:before="0" w:after="0"/>
              <w:ind w:left="57" w:right="57"/>
              <w:rPr>
                <w:sz w:val="22"/>
                <w:szCs w:val="22"/>
              </w:rPr>
            </w:pPr>
            <w:r w:rsidRPr="00855789">
              <w:t>Projekts šo jomu neskar</w:t>
            </w:r>
          </w:p>
        </w:tc>
      </w:tr>
    </w:tbl>
    <w:p w:rsidR="00214094" w:rsidRPr="007C0F2C" w:rsidRDefault="00214094" w:rsidP="00C14F99">
      <w:pPr>
        <w:pStyle w:val="naisf"/>
        <w:tabs>
          <w:tab w:val="left" w:pos="5760"/>
        </w:tabs>
        <w:spacing w:before="0" w:after="0"/>
        <w:ind w:firstLine="0"/>
        <w:rPr>
          <w:sz w:val="28"/>
          <w:szCs w:val="28"/>
        </w:rPr>
      </w:pPr>
    </w:p>
    <w:p w:rsidR="005F2387" w:rsidRPr="0079416A" w:rsidRDefault="005F2387" w:rsidP="005F2387">
      <w:pPr>
        <w:rPr>
          <w:sz w:val="28"/>
          <w:szCs w:val="28"/>
          <w:lang w:val="de-DE"/>
        </w:rPr>
      </w:pPr>
      <w:r w:rsidRPr="0079416A">
        <w:rPr>
          <w:sz w:val="28"/>
          <w:szCs w:val="28"/>
          <w:lang w:val="de-DE"/>
        </w:rPr>
        <w:t xml:space="preserve">Ministru prezidents </w:t>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t xml:space="preserve">        </w:t>
      </w:r>
      <w:r>
        <w:rPr>
          <w:sz w:val="28"/>
          <w:szCs w:val="28"/>
          <w:lang w:val="de-DE"/>
        </w:rPr>
        <w:t xml:space="preserve">  </w:t>
      </w:r>
      <w:r w:rsidRPr="0079416A">
        <w:rPr>
          <w:sz w:val="28"/>
          <w:szCs w:val="28"/>
          <w:lang w:val="de-DE"/>
        </w:rPr>
        <w:t>V. Dombrovskis</w:t>
      </w:r>
    </w:p>
    <w:p w:rsidR="005F2387" w:rsidRDefault="005F2387" w:rsidP="005F2387">
      <w:pPr>
        <w:pStyle w:val="NormalWeb"/>
        <w:spacing w:before="0" w:beforeAutospacing="0" w:after="0" w:afterAutospacing="0"/>
        <w:rPr>
          <w:sz w:val="28"/>
          <w:szCs w:val="28"/>
        </w:rPr>
      </w:pPr>
    </w:p>
    <w:p w:rsidR="005F2387" w:rsidRPr="0079416A" w:rsidRDefault="005F2387" w:rsidP="005F2387">
      <w:pPr>
        <w:pStyle w:val="NormalWeb"/>
        <w:spacing w:before="0" w:beforeAutospacing="0" w:after="0" w:afterAutospacing="0"/>
        <w:rPr>
          <w:b/>
          <w:sz w:val="28"/>
          <w:szCs w:val="28"/>
        </w:rPr>
      </w:pPr>
      <w:r w:rsidRPr="0079416A">
        <w:rPr>
          <w:sz w:val="28"/>
          <w:szCs w:val="28"/>
        </w:rPr>
        <w:t>Ekonomikas ministrs</w:t>
      </w:r>
      <w:r w:rsidRPr="0079416A">
        <w:rPr>
          <w:sz w:val="28"/>
          <w:szCs w:val="28"/>
        </w:rPr>
        <w:tab/>
      </w:r>
      <w:r w:rsidRPr="0079416A">
        <w:rPr>
          <w:sz w:val="28"/>
          <w:szCs w:val="28"/>
        </w:rPr>
        <w:tab/>
      </w:r>
      <w:r w:rsidRPr="0079416A">
        <w:rPr>
          <w:sz w:val="28"/>
          <w:szCs w:val="28"/>
        </w:rPr>
        <w:tab/>
      </w:r>
      <w:r w:rsidRPr="0079416A">
        <w:rPr>
          <w:sz w:val="28"/>
          <w:szCs w:val="28"/>
        </w:rPr>
        <w:tab/>
      </w:r>
      <w:r w:rsidRPr="0079416A">
        <w:rPr>
          <w:sz w:val="28"/>
          <w:szCs w:val="28"/>
        </w:rPr>
        <w:tab/>
      </w:r>
      <w:r w:rsidRPr="0079416A">
        <w:rPr>
          <w:sz w:val="28"/>
          <w:szCs w:val="28"/>
        </w:rPr>
        <w:tab/>
        <w:t xml:space="preserve">       </w:t>
      </w:r>
      <w:r>
        <w:rPr>
          <w:sz w:val="28"/>
          <w:szCs w:val="28"/>
        </w:rPr>
        <w:t xml:space="preserve">   </w:t>
      </w:r>
      <w:r w:rsidRPr="0079416A">
        <w:rPr>
          <w:sz w:val="28"/>
          <w:szCs w:val="28"/>
        </w:rPr>
        <w:t>A. Kampars</w:t>
      </w:r>
    </w:p>
    <w:p w:rsidR="005F2387" w:rsidRPr="0079416A" w:rsidRDefault="005F2387" w:rsidP="005F2387">
      <w:pPr>
        <w:pStyle w:val="BalloonText"/>
        <w:rPr>
          <w:rFonts w:ascii="Times New Roman" w:hAnsi="Times New Roman" w:cs="Times New Roman"/>
          <w:szCs w:val="28"/>
          <w:lang w:val="de-DE"/>
        </w:rPr>
      </w:pPr>
    </w:p>
    <w:p w:rsidR="005F2387" w:rsidRPr="0079416A" w:rsidRDefault="005F2387" w:rsidP="005F2387">
      <w:pPr>
        <w:rPr>
          <w:sz w:val="28"/>
          <w:szCs w:val="28"/>
          <w:lang w:val="de-DE"/>
        </w:rPr>
      </w:pPr>
      <w:r w:rsidRPr="0079416A">
        <w:rPr>
          <w:sz w:val="28"/>
          <w:szCs w:val="28"/>
          <w:lang w:val="de-DE"/>
        </w:rPr>
        <w:t>Iesniedzējs: Ekonomikas ministrs</w:t>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t xml:space="preserve">       </w:t>
      </w:r>
      <w:r>
        <w:rPr>
          <w:sz w:val="28"/>
          <w:szCs w:val="28"/>
          <w:lang w:val="de-DE"/>
        </w:rPr>
        <w:t xml:space="preserve">   </w:t>
      </w:r>
      <w:r w:rsidRPr="0079416A">
        <w:rPr>
          <w:sz w:val="28"/>
          <w:szCs w:val="28"/>
          <w:lang w:val="de-DE"/>
        </w:rPr>
        <w:t>A. Kampars</w:t>
      </w:r>
    </w:p>
    <w:p w:rsidR="005F2387" w:rsidRDefault="005F2387" w:rsidP="005F2387">
      <w:pPr>
        <w:rPr>
          <w:sz w:val="28"/>
          <w:szCs w:val="28"/>
          <w:lang w:val="de-DE"/>
        </w:rPr>
      </w:pPr>
    </w:p>
    <w:p w:rsidR="008C56EC" w:rsidRPr="00855789" w:rsidRDefault="005F2387" w:rsidP="005F2387">
      <w:pPr>
        <w:rPr>
          <w:sz w:val="28"/>
          <w:szCs w:val="28"/>
        </w:rPr>
      </w:pPr>
      <w:r w:rsidRPr="0079416A">
        <w:rPr>
          <w:sz w:val="28"/>
          <w:szCs w:val="28"/>
          <w:lang w:val="de-DE"/>
        </w:rPr>
        <w:t xml:space="preserve">Vīza: Valsts sekretārs                                                                 </w:t>
      </w:r>
      <w:r>
        <w:rPr>
          <w:sz w:val="28"/>
          <w:szCs w:val="28"/>
          <w:lang w:val="de-DE"/>
        </w:rPr>
        <w:t xml:space="preserve">   </w:t>
      </w:r>
      <w:r w:rsidRPr="0079416A">
        <w:rPr>
          <w:sz w:val="28"/>
          <w:szCs w:val="28"/>
          <w:lang w:val="de-DE"/>
        </w:rPr>
        <w:t>J.Pūce</w:t>
      </w:r>
      <w:r>
        <w:rPr>
          <w:sz w:val="28"/>
          <w:szCs w:val="28"/>
        </w:rPr>
        <w:t xml:space="preserve">  </w:t>
      </w:r>
      <w:r w:rsidR="00C30BF6">
        <w:rPr>
          <w:sz w:val="28"/>
          <w:szCs w:val="28"/>
        </w:rPr>
        <w:t xml:space="preserve">          </w:t>
      </w:r>
      <w:r w:rsidR="000E348C">
        <w:rPr>
          <w:sz w:val="28"/>
          <w:szCs w:val="28"/>
        </w:rPr>
        <w:tab/>
      </w:r>
      <w:r w:rsidR="000E348C">
        <w:rPr>
          <w:sz w:val="28"/>
          <w:szCs w:val="28"/>
        </w:rPr>
        <w:tab/>
      </w:r>
      <w:r w:rsidR="000E348C">
        <w:rPr>
          <w:sz w:val="28"/>
          <w:szCs w:val="28"/>
        </w:rPr>
        <w:tab/>
      </w:r>
      <w:r w:rsidR="000E348C">
        <w:rPr>
          <w:sz w:val="28"/>
          <w:szCs w:val="28"/>
        </w:rPr>
        <w:tab/>
      </w:r>
      <w:r w:rsidR="00822E12">
        <w:rPr>
          <w:sz w:val="28"/>
          <w:szCs w:val="28"/>
        </w:rPr>
        <w:t xml:space="preserve">     </w:t>
      </w:r>
    </w:p>
    <w:p w:rsidR="008C56EC" w:rsidRDefault="008C56EC" w:rsidP="000E348C">
      <w:pPr>
        <w:suppressAutoHyphens/>
        <w:rPr>
          <w:sz w:val="20"/>
        </w:rPr>
      </w:pPr>
    </w:p>
    <w:p w:rsidR="00C30BF6" w:rsidRPr="00BC2E8E" w:rsidRDefault="00AB2D6C" w:rsidP="00C30BF6">
      <w:pPr>
        <w:rPr>
          <w:sz w:val="20"/>
          <w:szCs w:val="20"/>
        </w:rPr>
      </w:pPr>
      <w:fldSimple w:instr=" CREATEDATE  \* MERGEFORMAT ">
        <w:r w:rsidR="00044F0C">
          <w:rPr>
            <w:noProof/>
            <w:sz w:val="20"/>
            <w:szCs w:val="20"/>
          </w:rPr>
          <w:t>06.10</w:t>
        </w:r>
        <w:r w:rsidR="005F2387">
          <w:rPr>
            <w:noProof/>
            <w:sz w:val="20"/>
            <w:szCs w:val="20"/>
          </w:rPr>
          <w:t>.2011.</w:t>
        </w:r>
        <w:r w:rsidR="00C30BF6" w:rsidRPr="00BC2E8E">
          <w:rPr>
            <w:noProof/>
            <w:sz w:val="20"/>
            <w:szCs w:val="20"/>
          </w:rPr>
          <w:t xml:space="preserve"> </w:t>
        </w:r>
        <w:r w:rsidR="00302A6C">
          <w:rPr>
            <w:noProof/>
            <w:sz w:val="20"/>
            <w:szCs w:val="20"/>
          </w:rPr>
          <w:t>1</w:t>
        </w:r>
        <w:r w:rsidR="00044F0C">
          <w:rPr>
            <w:noProof/>
            <w:sz w:val="20"/>
            <w:szCs w:val="20"/>
          </w:rPr>
          <w:t>3</w:t>
        </w:r>
        <w:r w:rsidR="0032274B">
          <w:rPr>
            <w:noProof/>
            <w:sz w:val="20"/>
            <w:szCs w:val="20"/>
          </w:rPr>
          <w:t>:</w:t>
        </w:r>
        <w:r w:rsidR="005F2387">
          <w:rPr>
            <w:noProof/>
            <w:sz w:val="20"/>
            <w:szCs w:val="20"/>
          </w:rPr>
          <w:t>35</w:t>
        </w:r>
      </w:fldSimple>
    </w:p>
    <w:p w:rsidR="00C30BF6" w:rsidRPr="00BC2E8E" w:rsidRDefault="00B64FC3" w:rsidP="00C30BF6">
      <w:pPr>
        <w:rPr>
          <w:sz w:val="20"/>
          <w:szCs w:val="20"/>
        </w:rPr>
      </w:pPr>
      <w:r>
        <w:rPr>
          <w:sz w:val="20"/>
          <w:szCs w:val="20"/>
        </w:rPr>
        <w:t>1</w:t>
      </w:r>
      <w:r w:rsidR="005F2387">
        <w:rPr>
          <w:sz w:val="20"/>
          <w:szCs w:val="20"/>
        </w:rPr>
        <w:t>538</w:t>
      </w:r>
    </w:p>
    <w:p w:rsidR="00C30BF6" w:rsidRPr="00BC2E8E" w:rsidRDefault="00C30BF6" w:rsidP="00C30BF6">
      <w:pPr>
        <w:rPr>
          <w:sz w:val="20"/>
          <w:szCs w:val="20"/>
        </w:rPr>
      </w:pPr>
      <w:r w:rsidRPr="00BC2E8E">
        <w:rPr>
          <w:sz w:val="20"/>
          <w:szCs w:val="20"/>
        </w:rPr>
        <w:t>J.Bunkovskis</w:t>
      </w:r>
    </w:p>
    <w:p w:rsidR="00C30BF6" w:rsidRPr="00BC2E8E" w:rsidRDefault="00C30BF6" w:rsidP="00C30BF6">
      <w:pPr>
        <w:rPr>
          <w:sz w:val="20"/>
          <w:szCs w:val="20"/>
        </w:rPr>
      </w:pPr>
      <w:r w:rsidRPr="00BC2E8E">
        <w:rPr>
          <w:sz w:val="20"/>
          <w:szCs w:val="20"/>
        </w:rPr>
        <w:t>67013170, Janis.Bunkovskis@em.gov.lv</w:t>
      </w:r>
    </w:p>
    <w:p w:rsidR="00822E12" w:rsidRPr="00B72E76" w:rsidRDefault="00822E12" w:rsidP="00C30BF6">
      <w:pPr>
        <w:pStyle w:val="Header"/>
        <w:rPr>
          <w:sz w:val="20"/>
        </w:rPr>
      </w:pPr>
    </w:p>
    <w:sectPr w:rsidR="00822E12" w:rsidRPr="00B72E76" w:rsidSect="00230A4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21" w:rsidRDefault="00E72B21">
      <w:r>
        <w:separator/>
      </w:r>
    </w:p>
  </w:endnote>
  <w:endnote w:type="continuationSeparator" w:id="0">
    <w:p w:rsidR="00E72B21" w:rsidRDefault="00E72B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5" w:rsidRPr="00822E12" w:rsidRDefault="00BA5E45" w:rsidP="00822E12">
    <w:pPr>
      <w:jc w:val="both"/>
      <w:rPr>
        <w:sz w:val="20"/>
        <w:szCs w:val="20"/>
      </w:rPr>
    </w:pPr>
    <w:r w:rsidRPr="00822E12">
      <w:rPr>
        <w:sz w:val="20"/>
        <w:szCs w:val="20"/>
      </w:rPr>
      <w:t>EMAnot_</w:t>
    </w:r>
    <w:r w:rsidR="00044F0C">
      <w:rPr>
        <w:sz w:val="20"/>
        <w:szCs w:val="20"/>
      </w:rPr>
      <w:t>0610</w:t>
    </w:r>
    <w:r w:rsidRPr="00822E12">
      <w:rPr>
        <w:sz w:val="20"/>
        <w:szCs w:val="20"/>
      </w:rPr>
      <w:t>1</w:t>
    </w:r>
    <w:r w:rsidR="00C14F99">
      <w:rPr>
        <w:sz w:val="20"/>
        <w:szCs w:val="20"/>
      </w:rPr>
      <w:t>1</w:t>
    </w:r>
    <w:r w:rsidRPr="00822E12">
      <w:rPr>
        <w:sz w:val="20"/>
        <w:szCs w:val="20"/>
      </w:rPr>
      <w:t>_</w:t>
    </w:r>
    <w:r w:rsidR="00C14F99">
      <w:rPr>
        <w:sz w:val="20"/>
        <w:szCs w:val="20"/>
      </w:rPr>
      <w:t>elektr_not</w:t>
    </w:r>
    <w:r w:rsidRPr="00822E12">
      <w:rPr>
        <w:sz w:val="20"/>
        <w:szCs w:val="20"/>
      </w:rPr>
      <w:t>; Mini</w:t>
    </w:r>
    <w:r w:rsidR="00657EDC">
      <w:rPr>
        <w:sz w:val="20"/>
        <w:szCs w:val="20"/>
      </w:rPr>
      <w:t>stru kabineta noteikumu projekta</w:t>
    </w:r>
    <w:r w:rsidRPr="00822E12">
      <w:rPr>
        <w:sz w:val="20"/>
        <w:szCs w:val="20"/>
      </w:rPr>
      <w:t xml:space="preserve"> „</w:t>
    </w:r>
    <w:r w:rsidR="00C14F99">
      <w:rPr>
        <w:sz w:val="20"/>
        <w:szCs w:val="20"/>
      </w:rPr>
      <w:t>Elektroenerģijas tirdzniecības un lietošanas noteikumi</w:t>
    </w:r>
    <w:r w:rsidRPr="00822E12">
      <w:rPr>
        <w:noProof/>
        <w:sz w:val="20"/>
        <w:szCs w:val="20"/>
      </w:rPr>
      <w:t>”</w:t>
    </w:r>
    <w:r w:rsidRPr="00822E12">
      <w:rPr>
        <w:sz w:val="20"/>
        <w:szCs w:val="20"/>
      </w:rPr>
      <w:t xml:space="preserve"> </w:t>
    </w:r>
    <w:r w:rsidR="00657EDC">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87" w:rsidRPr="00822E12" w:rsidRDefault="005F2387" w:rsidP="005F2387">
    <w:pPr>
      <w:jc w:val="both"/>
      <w:rPr>
        <w:sz w:val="20"/>
        <w:szCs w:val="20"/>
      </w:rPr>
    </w:pPr>
    <w:r w:rsidRPr="00822E12">
      <w:rPr>
        <w:sz w:val="20"/>
        <w:szCs w:val="20"/>
      </w:rPr>
      <w:t>EMAnot_</w:t>
    </w:r>
    <w:r w:rsidR="00044F0C">
      <w:rPr>
        <w:sz w:val="20"/>
        <w:szCs w:val="20"/>
      </w:rPr>
      <w:t>0610</w:t>
    </w:r>
    <w:r w:rsidRPr="00822E12">
      <w:rPr>
        <w:sz w:val="20"/>
        <w:szCs w:val="20"/>
      </w:rPr>
      <w:t>1</w:t>
    </w:r>
    <w:r>
      <w:rPr>
        <w:sz w:val="20"/>
        <w:szCs w:val="20"/>
      </w:rPr>
      <w:t>1</w:t>
    </w:r>
    <w:r w:rsidRPr="00822E12">
      <w:rPr>
        <w:sz w:val="20"/>
        <w:szCs w:val="20"/>
      </w:rPr>
      <w:t>_</w:t>
    </w:r>
    <w:r>
      <w:rPr>
        <w:sz w:val="20"/>
        <w:szCs w:val="20"/>
      </w:rPr>
      <w:t>elektr_not</w:t>
    </w:r>
    <w:r w:rsidRPr="00822E12">
      <w:rPr>
        <w:sz w:val="20"/>
        <w:szCs w:val="20"/>
      </w:rPr>
      <w:t>; Mini</w:t>
    </w:r>
    <w:r>
      <w:rPr>
        <w:sz w:val="20"/>
        <w:szCs w:val="20"/>
      </w:rPr>
      <w:t>stru kabineta noteikumu projekta</w:t>
    </w:r>
    <w:r w:rsidRPr="00822E12">
      <w:rPr>
        <w:sz w:val="20"/>
        <w:szCs w:val="20"/>
      </w:rPr>
      <w:t xml:space="preserve"> „</w:t>
    </w:r>
    <w:r>
      <w:rPr>
        <w:sz w:val="20"/>
        <w:szCs w:val="20"/>
      </w:rPr>
      <w:t>Elektroenerģijas tirdzniecības un lietošanas noteikumi</w:t>
    </w:r>
    <w:r w:rsidRPr="00822E12">
      <w:rPr>
        <w:noProof/>
        <w:sz w:val="20"/>
        <w:szCs w:val="20"/>
      </w:rPr>
      <w:t>”</w:t>
    </w:r>
    <w:r w:rsidRPr="00822E12">
      <w:rPr>
        <w:sz w:val="20"/>
        <w:szCs w:val="20"/>
      </w:rPr>
      <w:t xml:space="preserve"> </w:t>
    </w:r>
    <w:r>
      <w:rPr>
        <w:sz w:val="20"/>
        <w:szCs w:val="20"/>
      </w:rPr>
      <w:t>sākotnējās ietekmes novērtējuma ziņojums (anotācija)</w:t>
    </w:r>
  </w:p>
  <w:p w:rsidR="00BA5E45" w:rsidRPr="00D82AFD" w:rsidRDefault="00BA5E45" w:rsidP="00D82AF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21" w:rsidRDefault="00E72B21">
      <w:r>
        <w:separator/>
      </w:r>
    </w:p>
  </w:footnote>
  <w:footnote w:type="continuationSeparator" w:id="0">
    <w:p w:rsidR="00E72B21" w:rsidRDefault="00E72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5" w:rsidRDefault="00AB2D6C" w:rsidP="003C449B">
    <w:pPr>
      <w:pStyle w:val="Header"/>
      <w:framePr w:wrap="around" w:vAnchor="text" w:hAnchor="margin" w:xAlign="center" w:y="1"/>
      <w:rPr>
        <w:rStyle w:val="PageNumber"/>
      </w:rPr>
    </w:pPr>
    <w:r>
      <w:rPr>
        <w:rStyle w:val="PageNumber"/>
      </w:rPr>
      <w:fldChar w:fldCharType="begin"/>
    </w:r>
    <w:r w:rsidR="00BA5E45">
      <w:rPr>
        <w:rStyle w:val="PageNumber"/>
      </w:rPr>
      <w:instrText xml:space="preserve">PAGE  </w:instrText>
    </w:r>
    <w:r>
      <w:rPr>
        <w:rStyle w:val="PageNumber"/>
      </w:rPr>
      <w:fldChar w:fldCharType="end"/>
    </w:r>
  </w:p>
  <w:p w:rsidR="00BA5E45" w:rsidRDefault="00BA5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5" w:rsidRDefault="00AB2D6C" w:rsidP="003C449B">
    <w:pPr>
      <w:pStyle w:val="Header"/>
      <w:framePr w:wrap="around" w:vAnchor="text" w:hAnchor="margin" w:xAlign="center" w:y="1"/>
      <w:rPr>
        <w:rStyle w:val="PageNumber"/>
      </w:rPr>
    </w:pPr>
    <w:r>
      <w:rPr>
        <w:rStyle w:val="PageNumber"/>
      </w:rPr>
      <w:fldChar w:fldCharType="begin"/>
    </w:r>
    <w:r w:rsidR="00BA5E45">
      <w:rPr>
        <w:rStyle w:val="PageNumber"/>
      </w:rPr>
      <w:instrText xml:space="preserve">PAGE  </w:instrText>
    </w:r>
    <w:r>
      <w:rPr>
        <w:rStyle w:val="PageNumber"/>
      </w:rPr>
      <w:fldChar w:fldCharType="separate"/>
    </w:r>
    <w:r w:rsidR="00044F0C">
      <w:rPr>
        <w:rStyle w:val="PageNumber"/>
        <w:noProof/>
      </w:rPr>
      <w:t>6</w:t>
    </w:r>
    <w:r>
      <w:rPr>
        <w:rStyle w:val="PageNumber"/>
      </w:rPr>
      <w:fldChar w:fldCharType="end"/>
    </w:r>
  </w:p>
  <w:p w:rsidR="00BA5E45" w:rsidRDefault="00BA5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2E"/>
    <w:multiLevelType w:val="hybridMultilevel"/>
    <w:tmpl w:val="419C4D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DA5B9E"/>
    <w:multiLevelType w:val="hybridMultilevel"/>
    <w:tmpl w:val="BBD68A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D4930CC"/>
    <w:multiLevelType w:val="hybridMultilevel"/>
    <w:tmpl w:val="C982122A"/>
    <w:lvl w:ilvl="0" w:tplc="4DA293D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D054F4"/>
    <w:multiLevelType w:val="hybridMultilevel"/>
    <w:tmpl w:val="92CCFE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7B38A6"/>
    <w:multiLevelType w:val="hybridMultilevel"/>
    <w:tmpl w:val="F1E2EE72"/>
    <w:lvl w:ilvl="0" w:tplc="29CAB630">
      <w:start w:val="1"/>
      <w:numFmt w:val="decimal"/>
      <w:lvlText w:val="%1)"/>
      <w:lvlJc w:val="left"/>
      <w:pPr>
        <w:ind w:left="561" w:hanging="360"/>
      </w:pPr>
      <w:rPr>
        <w:rFonts w:hint="default"/>
        <w:b w:val="0"/>
        <w:i w:val="0"/>
        <w:sz w:val="22"/>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20">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21">
    <w:nsid w:val="7E960491"/>
    <w:multiLevelType w:val="hybridMultilevel"/>
    <w:tmpl w:val="6D16712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6"/>
  </w:num>
  <w:num w:numId="4">
    <w:abstractNumId w:val="3"/>
  </w:num>
  <w:num w:numId="5">
    <w:abstractNumId w:val="2"/>
  </w:num>
  <w:num w:numId="6">
    <w:abstractNumId w:val="13"/>
  </w:num>
  <w:num w:numId="7">
    <w:abstractNumId w:val="18"/>
  </w:num>
  <w:num w:numId="8">
    <w:abstractNumId w:val="10"/>
  </w:num>
  <w:num w:numId="9">
    <w:abstractNumId w:val="4"/>
  </w:num>
  <w:num w:numId="10">
    <w:abstractNumId w:val="11"/>
  </w:num>
  <w:num w:numId="11">
    <w:abstractNumId w:val="12"/>
  </w:num>
  <w:num w:numId="12">
    <w:abstractNumId w:val="14"/>
  </w:num>
  <w:num w:numId="13">
    <w:abstractNumId w:val="16"/>
  </w:num>
  <w:num w:numId="14">
    <w:abstractNumId w:val="8"/>
  </w:num>
  <w:num w:numId="15">
    <w:abstractNumId w:val="20"/>
  </w:num>
  <w:num w:numId="16">
    <w:abstractNumId w:val="15"/>
  </w:num>
  <w:num w:numId="17">
    <w:abstractNumId w:val="19"/>
  </w:num>
  <w:num w:numId="18">
    <w:abstractNumId w:val="5"/>
  </w:num>
  <w:num w:numId="19">
    <w:abstractNumId w:val="21"/>
  </w:num>
  <w:num w:numId="20">
    <w:abstractNumId w:val="1"/>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8C5649"/>
    <w:rsid w:val="00002B78"/>
    <w:rsid w:val="00004E97"/>
    <w:rsid w:val="000108EC"/>
    <w:rsid w:val="00011D24"/>
    <w:rsid w:val="00013FF4"/>
    <w:rsid w:val="000153FC"/>
    <w:rsid w:val="00020FE1"/>
    <w:rsid w:val="00022E13"/>
    <w:rsid w:val="00032388"/>
    <w:rsid w:val="000334E6"/>
    <w:rsid w:val="000342B4"/>
    <w:rsid w:val="00035CE2"/>
    <w:rsid w:val="00044F0C"/>
    <w:rsid w:val="000509C9"/>
    <w:rsid w:val="00055275"/>
    <w:rsid w:val="0005553B"/>
    <w:rsid w:val="000604D2"/>
    <w:rsid w:val="0009005E"/>
    <w:rsid w:val="00094024"/>
    <w:rsid w:val="000941C5"/>
    <w:rsid w:val="000A6451"/>
    <w:rsid w:val="000B064E"/>
    <w:rsid w:val="000B69CF"/>
    <w:rsid w:val="000B716E"/>
    <w:rsid w:val="000C1465"/>
    <w:rsid w:val="000C4342"/>
    <w:rsid w:val="000C790C"/>
    <w:rsid w:val="000D7F3A"/>
    <w:rsid w:val="000E25C6"/>
    <w:rsid w:val="000E348C"/>
    <w:rsid w:val="000F059D"/>
    <w:rsid w:val="000F061D"/>
    <w:rsid w:val="000F0CA3"/>
    <w:rsid w:val="000F4794"/>
    <w:rsid w:val="00103517"/>
    <w:rsid w:val="001070C3"/>
    <w:rsid w:val="00113A09"/>
    <w:rsid w:val="00122C93"/>
    <w:rsid w:val="00124F12"/>
    <w:rsid w:val="00144E3A"/>
    <w:rsid w:val="0015060C"/>
    <w:rsid w:val="001538E6"/>
    <w:rsid w:val="0016018A"/>
    <w:rsid w:val="00161F0E"/>
    <w:rsid w:val="00170E2A"/>
    <w:rsid w:val="00177394"/>
    <w:rsid w:val="00180D66"/>
    <w:rsid w:val="00182C18"/>
    <w:rsid w:val="00183CC2"/>
    <w:rsid w:val="001900E4"/>
    <w:rsid w:val="00190F88"/>
    <w:rsid w:val="00193070"/>
    <w:rsid w:val="00193931"/>
    <w:rsid w:val="001A4066"/>
    <w:rsid w:val="001A6AE4"/>
    <w:rsid w:val="001B01FD"/>
    <w:rsid w:val="001B03E6"/>
    <w:rsid w:val="001B4A71"/>
    <w:rsid w:val="001B4E01"/>
    <w:rsid w:val="001B5486"/>
    <w:rsid w:val="001C60D2"/>
    <w:rsid w:val="001D5B54"/>
    <w:rsid w:val="001E1DBF"/>
    <w:rsid w:val="001E4639"/>
    <w:rsid w:val="001E4A7D"/>
    <w:rsid w:val="001E5D78"/>
    <w:rsid w:val="001E6501"/>
    <w:rsid w:val="001E7374"/>
    <w:rsid w:val="001F43A8"/>
    <w:rsid w:val="001F5CD6"/>
    <w:rsid w:val="001F7E7E"/>
    <w:rsid w:val="002003A3"/>
    <w:rsid w:val="00203E82"/>
    <w:rsid w:val="0021263D"/>
    <w:rsid w:val="00213F0C"/>
    <w:rsid w:val="00214094"/>
    <w:rsid w:val="0021592D"/>
    <w:rsid w:val="00217E4D"/>
    <w:rsid w:val="0022195B"/>
    <w:rsid w:val="00222D76"/>
    <w:rsid w:val="00223EB1"/>
    <w:rsid w:val="00230A43"/>
    <w:rsid w:val="00231344"/>
    <w:rsid w:val="0023436E"/>
    <w:rsid w:val="002347C0"/>
    <w:rsid w:val="0023688B"/>
    <w:rsid w:val="00241A6C"/>
    <w:rsid w:val="00242D2B"/>
    <w:rsid w:val="00262E2B"/>
    <w:rsid w:val="00267074"/>
    <w:rsid w:val="002702EC"/>
    <w:rsid w:val="00270429"/>
    <w:rsid w:val="002723E9"/>
    <w:rsid w:val="00272F9D"/>
    <w:rsid w:val="00277929"/>
    <w:rsid w:val="00283B82"/>
    <w:rsid w:val="0028433E"/>
    <w:rsid w:val="002846E9"/>
    <w:rsid w:val="00284C34"/>
    <w:rsid w:val="0029066C"/>
    <w:rsid w:val="002A22DF"/>
    <w:rsid w:val="002A4155"/>
    <w:rsid w:val="002B50DB"/>
    <w:rsid w:val="002C12AB"/>
    <w:rsid w:val="002C3304"/>
    <w:rsid w:val="002C4245"/>
    <w:rsid w:val="002C5443"/>
    <w:rsid w:val="002C608F"/>
    <w:rsid w:val="002C7CAC"/>
    <w:rsid w:val="002D0D98"/>
    <w:rsid w:val="002D3306"/>
    <w:rsid w:val="002D48AA"/>
    <w:rsid w:val="002D7BAA"/>
    <w:rsid w:val="002D7F54"/>
    <w:rsid w:val="002E3FF4"/>
    <w:rsid w:val="002E7B46"/>
    <w:rsid w:val="002F78C8"/>
    <w:rsid w:val="00301CF3"/>
    <w:rsid w:val="00302A6C"/>
    <w:rsid w:val="00304D7A"/>
    <w:rsid w:val="0032274B"/>
    <w:rsid w:val="0032715C"/>
    <w:rsid w:val="00330520"/>
    <w:rsid w:val="00334280"/>
    <w:rsid w:val="00337CA5"/>
    <w:rsid w:val="00356F68"/>
    <w:rsid w:val="00362478"/>
    <w:rsid w:val="003670A1"/>
    <w:rsid w:val="00375B25"/>
    <w:rsid w:val="003855E3"/>
    <w:rsid w:val="00387090"/>
    <w:rsid w:val="00396542"/>
    <w:rsid w:val="0039685B"/>
    <w:rsid w:val="003A31A6"/>
    <w:rsid w:val="003A7940"/>
    <w:rsid w:val="003A7F0C"/>
    <w:rsid w:val="003A7F79"/>
    <w:rsid w:val="003B046B"/>
    <w:rsid w:val="003B0A96"/>
    <w:rsid w:val="003B3D94"/>
    <w:rsid w:val="003B6404"/>
    <w:rsid w:val="003C449B"/>
    <w:rsid w:val="003D0994"/>
    <w:rsid w:val="003D21FF"/>
    <w:rsid w:val="003D7A2B"/>
    <w:rsid w:val="003E0128"/>
    <w:rsid w:val="003E58BC"/>
    <w:rsid w:val="003F0112"/>
    <w:rsid w:val="003F071A"/>
    <w:rsid w:val="003F160B"/>
    <w:rsid w:val="003F2E1A"/>
    <w:rsid w:val="003F5F89"/>
    <w:rsid w:val="003F6818"/>
    <w:rsid w:val="00400032"/>
    <w:rsid w:val="00400B5B"/>
    <w:rsid w:val="00403036"/>
    <w:rsid w:val="00405A00"/>
    <w:rsid w:val="00405B28"/>
    <w:rsid w:val="00420870"/>
    <w:rsid w:val="004226BE"/>
    <w:rsid w:val="004334DD"/>
    <w:rsid w:val="00433962"/>
    <w:rsid w:val="00436994"/>
    <w:rsid w:val="0043791B"/>
    <w:rsid w:val="004402FB"/>
    <w:rsid w:val="00441483"/>
    <w:rsid w:val="00441BCB"/>
    <w:rsid w:val="0045176A"/>
    <w:rsid w:val="00456332"/>
    <w:rsid w:val="00461826"/>
    <w:rsid w:val="00477C19"/>
    <w:rsid w:val="004800F9"/>
    <w:rsid w:val="0049134A"/>
    <w:rsid w:val="004A358D"/>
    <w:rsid w:val="004A407D"/>
    <w:rsid w:val="004A58CB"/>
    <w:rsid w:val="004B0436"/>
    <w:rsid w:val="004B1795"/>
    <w:rsid w:val="004B56DD"/>
    <w:rsid w:val="004C020F"/>
    <w:rsid w:val="004C1AFD"/>
    <w:rsid w:val="004C558B"/>
    <w:rsid w:val="004D009B"/>
    <w:rsid w:val="004D1E4B"/>
    <w:rsid w:val="004F1F88"/>
    <w:rsid w:val="004F5F1B"/>
    <w:rsid w:val="00502374"/>
    <w:rsid w:val="005060A1"/>
    <w:rsid w:val="00510FE4"/>
    <w:rsid w:val="00514C7F"/>
    <w:rsid w:val="00516072"/>
    <w:rsid w:val="0051699D"/>
    <w:rsid w:val="00525F1D"/>
    <w:rsid w:val="005332EC"/>
    <w:rsid w:val="00534418"/>
    <w:rsid w:val="005346A9"/>
    <w:rsid w:val="005353AB"/>
    <w:rsid w:val="005560BC"/>
    <w:rsid w:val="005573BE"/>
    <w:rsid w:val="00572700"/>
    <w:rsid w:val="005768C5"/>
    <w:rsid w:val="00576DFB"/>
    <w:rsid w:val="00580468"/>
    <w:rsid w:val="0058603B"/>
    <w:rsid w:val="00586910"/>
    <w:rsid w:val="0058707D"/>
    <w:rsid w:val="005936D2"/>
    <w:rsid w:val="0059431B"/>
    <w:rsid w:val="005A0160"/>
    <w:rsid w:val="005A39CC"/>
    <w:rsid w:val="005B4730"/>
    <w:rsid w:val="005B598C"/>
    <w:rsid w:val="005C393B"/>
    <w:rsid w:val="005C6DCF"/>
    <w:rsid w:val="005D258A"/>
    <w:rsid w:val="005D54F3"/>
    <w:rsid w:val="005E05D7"/>
    <w:rsid w:val="005E41E7"/>
    <w:rsid w:val="005E450F"/>
    <w:rsid w:val="005F2387"/>
    <w:rsid w:val="006227EE"/>
    <w:rsid w:val="0062298A"/>
    <w:rsid w:val="00624A76"/>
    <w:rsid w:val="00626514"/>
    <w:rsid w:val="00626589"/>
    <w:rsid w:val="0062716C"/>
    <w:rsid w:val="006339A0"/>
    <w:rsid w:val="006413A8"/>
    <w:rsid w:val="00642E56"/>
    <w:rsid w:val="006464C9"/>
    <w:rsid w:val="00651E00"/>
    <w:rsid w:val="00657EDC"/>
    <w:rsid w:val="00671B7F"/>
    <w:rsid w:val="00674572"/>
    <w:rsid w:val="00675933"/>
    <w:rsid w:val="006760FB"/>
    <w:rsid w:val="00676A5E"/>
    <w:rsid w:val="00687763"/>
    <w:rsid w:val="00692B0D"/>
    <w:rsid w:val="00693E0E"/>
    <w:rsid w:val="00695B92"/>
    <w:rsid w:val="006A1124"/>
    <w:rsid w:val="006A1AE3"/>
    <w:rsid w:val="006C30E1"/>
    <w:rsid w:val="006C4607"/>
    <w:rsid w:val="006D48F1"/>
    <w:rsid w:val="006D4B8B"/>
    <w:rsid w:val="006F068F"/>
    <w:rsid w:val="006F17CA"/>
    <w:rsid w:val="006F43DC"/>
    <w:rsid w:val="006F45BE"/>
    <w:rsid w:val="007004FC"/>
    <w:rsid w:val="0070568F"/>
    <w:rsid w:val="00706670"/>
    <w:rsid w:val="00716FF0"/>
    <w:rsid w:val="0072417C"/>
    <w:rsid w:val="00734450"/>
    <w:rsid w:val="00745F67"/>
    <w:rsid w:val="00746E60"/>
    <w:rsid w:val="0075039E"/>
    <w:rsid w:val="00752D9D"/>
    <w:rsid w:val="00754784"/>
    <w:rsid w:val="00757C6E"/>
    <w:rsid w:val="0076140D"/>
    <w:rsid w:val="00762BDA"/>
    <w:rsid w:val="00764667"/>
    <w:rsid w:val="00765B0C"/>
    <w:rsid w:val="00772ED8"/>
    <w:rsid w:val="007805FD"/>
    <w:rsid w:val="00784422"/>
    <w:rsid w:val="00785CC4"/>
    <w:rsid w:val="00785F24"/>
    <w:rsid w:val="007918A2"/>
    <w:rsid w:val="007B05C4"/>
    <w:rsid w:val="007B3B54"/>
    <w:rsid w:val="007B3FA0"/>
    <w:rsid w:val="007B5C98"/>
    <w:rsid w:val="007C0F2C"/>
    <w:rsid w:val="007C2BCC"/>
    <w:rsid w:val="007C4EF0"/>
    <w:rsid w:val="007C649D"/>
    <w:rsid w:val="007D0253"/>
    <w:rsid w:val="007D099D"/>
    <w:rsid w:val="007D17CD"/>
    <w:rsid w:val="007E2664"/>
    <w:rsid w:val="007E3ABF"/>
    <w:rsid w:val="007E5BFA"/>
    <w:rsid w:val="007E6689"/>
    <w:rsid w:val="007E731C"/>
    <w:rsid w:val="007F0A03"/>
    <w:rsid w:val="007F7B9B"/>
    <w:rsid w:val="008017D3"/>
    <w:rsid w:val="00805D4E"/>
    <w:rsid w:val="00810040"/>
    <w:rsid w:val="00817988"/>
    <w:rsid w:val="0082023A"/>
    <w:rsid w:val="00821A7A"/>
    <w:rsid w:val="0082237F"/>
    <w:rsid w:val="00822E12"/>
    <w:rsid w:val="008253F8"/>
    <w:rsid w:val="00827060"/>
    <w:rsid w:val="008301C3"/>
    <w:rsid w:val="008325E4"/>
    <w:rsid w:val="00832A2B"/>
    <w:rsid w:val="00833F4F"/>
    <w:rsid w:val="00845811"/>
    <w:rsid w:val="00846994"/>
    <w:rsid w:val="00850451"/>
    <w:rsid w:val="00852042"/>
    <w:rsid w:val="008534C9"/>
    <w:rsid w:val="00855789"/>
    <w:rsid w:val="0085599D"/>
    <w:rsid w:val="0087510C"/>
    <w:rsid w:val="0088104A"/>
    <w:rsid w:val="008824E2"/>
    <w:rsid w:val="008964D5"/>
    <w:rsid w:val="0089738E"/>
    <w:rsid w:val="008A721A"/>
    <w:rsid w:val="008B57FB"/>
    <w:rsid w:val="008B5FDB"/>
    <w:rsid w:val="008B6ED3"/>
    <w:rsid w:val="008C50F4"/>
    <w:rsid w:val="008C5649"/>
    <w:rsid w:val="008C56EC"/>
    <w:rsid w:val="008D7C94"/>
    <w:rsid w:val="008E201A"/>
    <w:rsid w:val="008E3175"/>
    <w:rsid w:val="008E44A2"/>
    <w:rsid w:val="008E697D"/>
    <w:rsid w:val="008F14B7"/>
    <w:rsid w:val="008F70DE"/>
    <w:rsid w:val="00901205"/>
    <w:rsid w:val="00903263"/>
    <w:rsid w:val="00906A21"/>
    <w:rsid w:val="009079C3"/>
    <w:rsid w:val="00910462"/>
    <w:rsid w:val="00912049"/>
    <w:rsid w:val="00915AB1"/>
    <w:rsid w:val="00916E49"/>
    <w:rsid w:val="00917532"/>
    <w:rsid w:val="009235BA"/>
    <w:rsid w:val="00924023"/>
    <w:rsid w:val="00924CE2"/>
    <w:rsid w:val="00925B9F"/>
    <w:rsid w:val="00931AED"/>
    <w:rsid w:val="00934350"/>
    <w:rsid w:val="009412D0"/>
    <w:rsid w:val="009476A3"/>
    <w:rsid w:val="0095334F"/>
    <w:rsid w:val="00965897"/>
    <w:rsid w:val="0096765C"/>
    <w:rsid w:val="00971E4E"/>
    <w:rsid w:val="0097244D"/>
    <w:rsid w:val="009727E4"/>
    <w:rsid w:val="009823B8"/>
    <w:rsid w:val="009934C5"/>
    <w:rsid w:val="00994C0F"/>
    <w:rsid w:val="009A27C5"/>
    <w:rsid w:val="009A55EC"/>
    <w:rsid w:val="009B22D7"/>
    <w:rsid w:val="009B7104"/>
    <w:rsid w:val="009B72ED"/>
    <w:rsid w:val="009C3ACD"/>
    <w:rsid w:val="009C6DEB"/>
    <w:rsid w:val="009D6504"/>
    <w:rsid w:val="009E12D7"/>
    <w:rsid w:val="009E661A"/>
    <w:rsid w:val="009E66F0"/>
    <w:rsid w:val="00A03071"/>
    <w:rsid w:val="00A03753"/>
    <w:rsid w:val="00A06781"/>
    <w:rsid w:val="00A074C3"/>
    <w:rsid w:val="00A11E65"/>
    <w:rsid w:val="00A1509C"/>
    <w:rsid w:val="00A23DAE"/>
    <w:rsid w:val="00A25FF8"/>
    <w:rsid w:val="00A34260"/>
    <w:rsid w:val="00A43CA1"/>
    <w:rsid w:val="00A4674C"/>
    <w:rsid w:val="00A5252F"/>
    <w:rsid w:val="00A54AA8"/>
    <w:rsid w:val="00A56218"/>
    <w:rsid w:val="00A64E59"/>
    <w:rsid w:val="00A654EE"/>
    <w:rsid w:val="00A70CFD"/>
    <w:rsid w:val="00A7160B"/>
    <w:rsid w:val="00A72338"/>
    <w:rsid w:val="00A72A0B"/>
    <w:rsid w:val="00A81E42"/>
    <w:rsid w:val="00A83DA2"/>
    <w:rsid w:val="00A864FE"/>
    <w:rsid w:val="00A86F41"/>
    <w:rsid w:val="00A87D04"/>
    <w:rsid w:val="00A91780"/>
    <w:rsid w:val="00A924B0"/>
    <w:rsid w:val="00A950C5"/>
    <w:rsid w:val="00AA1D25"/>
    <w:rsid w:val="00AA7D7D"/>
    <w:rsid w:val="00AB2B1A"/>
    <w:rsid w:val="00AB2D6C"/>
    <w:rsid w:val="00AB397F"/>
    <w:rsid w:val="00AB5832"/>
    <w:rsid w:val="00AB7E97"/>
    <w:rsid w:val="00AC51F2"/>
    <w:rsid w:val="00AE44EE"/>
    <w:rsid w:val="00AE5066"/>
    <w:rsid w:val="00AE5E24"/>
    <w:rsid w:val="00AE61B7"/>
    <w:rsid w:val="00AE6CBA"/>
    <w:rsid w:val="00AE79AD"/>
    <w:rsid w:val="00AF35E4"/>
    <w:rsid w:val="00AF5CDE"/>
    <w:rsid w:val="00AF5FFB"/>
    <w:rsid w:val="00B113AD"/>
    <w:rsid w:val="00B11A57"/>
    <w:rsid w:val="00B13F7C"/>
    <w:rsid w:val="00B211C3"/>
    <w:rsid w:val="00B25597"/>
    <w:rsid w:val="00B267B9"/>
    <w:rsid w:val="00B33E09"/>
    <w:rsid w:val="00B3454B"/>
    <w:rsid w:val="00B3691B"/>
    <w:rsid w:val="00B426F2"/>
    <w:rsid w:val="00B435D8"/>
    <w:rsid w:val="00B50708"/>
    <w:rsid w:val="00B50C68"/>
    <w:rsid w:val="00B51293"/>
    <w:rsid w:val="00B52B1E"/>
    <w:rsid w:val="00B55481"/>
    <w:rsid w:val="00B56C32"/>
    <w:rsid w:val="00B57ACF"/>
    <w:rsid w:val="00B62C3D"/>
    <w:rsid w:val="00B642DD"/>
    <w:rsid w:val="00B64BB1"/>
    <w:rsid w:val="00B64FC3"/>
    <w:rsid w:val="00B65E47"/>
    <w:rsid w:val="00B73008"/>
    <w:rsid w:val="00B73166"/>
    <w:rsid w:val="00B83E5F"/>
    <w:rsid w:val="00B8426C"/>
    <w:rsid w:val="00B910EB"/>
    <w:rsid w:val="00B91B8D"/>
    <w:rsid w:val="00B94E90"/>
    <w:rsid w:val="00BA5E45"/>
    <w:rsid w:val="00BB0A82"/>
    <w:rsid w:val="00BB1B8C"/>
    <w:rsid w:val="00BB7C94"/>
    <w:rsid w:val="00BC0A9D"/>
    <w:rsid w:val="00BD0783"/>
    <w:rsid w:val="00BD3A97"/>
    <w:rsid w:val="00BD49CF"/>
    <w:rsid w:val="00BD7F31"/>
    <w:rsid w:val="00BE634E"/>
    <w:rsid w:val="00BF3F4F"/>
    <w:rsid w:val="00BF40ED"/>
    <w:rsid w:val="00BF5BC2"/>
    <w:rsid w:val="00C071F9"/>
    <w:rsid w:val="00C1133D"/>
    <w:rsid w:val="00C14F99"/>
    <w:rsid w:val="00C23FE3"/>
    <w:rsid w:val="00C27A08"/>
    <w:rsid w:val="00C30BF6"/>
    <w:rsid w:val="00C31312"/>
    <w:rsid w:val="00C326C6"/>
    <w:rsid w:val="00C33A2D"/>
    <w:rsid w:val="00C35295"/>
    <w:rsid w:val="00C36ADD"/>
    <w:rsid w:val="00C36E74"/>
    <w:rsid w:val="00C40595"/>
    <w:rsid w:val="00C41621"/>
    <w:rsid w:val="00C4491E"/>
    <w:rsid w:val="00C449FA"/>
    <w:rsid w:val="00C44D69"/>
    <w:rsid w:val="00C5012D"/>
    <w:rsid w:val="00C5384F"/>
    <w:rsid w:val="00C565D0"/>
    <w:rsid w:val="00C56964"/>
    <w:rsid w:val="00C6009B"/>
    <w:rsid w:val="00C63C6E"/>
    <w:rsid w:val="00C656D5"/>
    <w:rsid w:val="00C67103"/>
    <w:rsid w:val="00C7016C"/>
    <w:rsid w:val="00C71BB9"/>
    <w:rsid w:val="00C75C2F"/>
    <w:rsid w:val="00C85D58"/>
    <w:rsid w:val="00C94C28"/>
    <w:rsid w:val="00C97953"/>
    <w:rsid w:val="00C97A84"/>
    <w:rsid w:val="00CB0247"/>
    <w:rsid w:val="00CB3440"/>
    <w:rsid w:val="00CC1692"/>
    <w:rsid w:val="00CD138B"/>
    <w:rsid w:val="00CD3E31"/>
    <w:rsid w:val="00CD74A3"/>
    <w:rsid w:val="00CE0527"/>
    <w:rsid w:val="00CE5B23"/>
    <w:rsid w:val="00CF3E48"/>
    <w:rsid w:val="00CF70AD"/>
    <w:rsid w:val="00CF7729"/>
    <w:rsid w:val="00D00059"/>
    <w:rsid w:val="00D01A5A"/>
    <w:rsid w:val="00D107FA"/>
    <w:rsid w:val="00D12275"/>
    <w:rsid w:val="00D12766"/>
    <w:rsid w:val="00D17B5E"/>
    <w:rsid w:val="00D20FF4"/>
    <w:rsid w:val="00D23A58"/>
    <w:rsid w:val="00D24D2C"/>
    <w:rsid w:val="00D35881"/>
    <w:rsid w:val="00D37588"/>
    <w:rsid w:val="00D45701"/>
    <w:rsid w:val="00D477C6"/>
    <w:rsid w:val="00D56C4A"/>
    <w:rsid w:val="00D60240"/>
    <w:rsid w:val="00D6401C"/>
    <w:rsid w:val="00D73277"/>
    <w:rsid w:val="00D74FEA"/>
    <w:rsid w:val="00D82AFD"/>
    <w:rsid w:val="00D83613"/>
    <w:rsid w:val="00D96F7A"/>
    <w:rsid w:val="00DA09D3"/>
    <w:rsid w:val="00DA533A"/>
    <w:rsid w:val="00DA7DA5"/>
    <w:rsid w:val="00DB073B"/>
    <w:rsid w:val="00DB12E2"/>
    <w:rsid w:val="00DB78F0"/>
    <w:rsid w:val="00DC2E43"/>
    <w:rsid w:val="00DC4E65"/>
    <w:rsid w:val="00DD095C"/>
    <w:rsid w:val="00DD1020"/>
    <w:rsid w:val="00DD1330"/>
    <w:rsid w:val="00DE0B83"/>
    <w:rsid w:val="00DE1A81"/>
    <w:rsid w:val="00DE1C13"/>
    <w:rsid w:val="00DE4E10"/>
    <w:rsid w:val="00DF5936"/>
    <w:rsid w:val="00E02ABF"/>
    <w:rsid w:val="00E06C24"/>
    <w:rsid w:val="00E13BE0"/>
    <w:rsid w:val="00E14995"/>
    <w:rsid w:val="00E179CD"/>
    <w:rsid w:val="00E23E8D"/>
    <w:rsid w:val="00E3639F"/>
    <w:rsid w:val="00E37F98"/>
    <w:rsid w:val="00E40D22"/>
    <w:rsid w:val="00E46559"/>
    <w:rsid w:val="00E64A21"/>
    <w:rsid w:val="00E6670C"/>
    <w:rsid w:val="00E670DE"/>
    <w:rsid w:val="00E72B21"/>
    <w:rsid w:val="00E74718"/>
    <w:rsid w:val="00E776E8"/>
    <w:rsid w:val="00E80795"/>
    <w:rsid w:val="00E81075"/>
    <w:rsid w:val="00E92C1F"/>
    <w:rsid w:val="00E9351C"/>
    <w:rsid w:val="00E95D4B"/>
    <w:rsid w:val="00EA7178"/>
    <w:rsid w:val="00EB199F"/>
    <w:rsid w:val="00EC1E51"/>
    <w:rsid w:val="00EC23F7"/>
    <w:rsid w:val="00EC3099"/>
    <w:rsid w:val="00EC4BD8"/>
    <w:rsid w:val="00EC63EB"/>
    <w:rsid w:val="00ED412F"/>
    <w:rsid w:val="00EE66D9"/>
    <w:rsid w:val="00EE799F"/>
    <w:rsid w:val="00EF1484"/>
    <w:rsid w:val="00EF36B2"/>
    <w:rsid w:val="00F066CE"/>
    <w:rsid w:val="00F201EC"/>
    <w:rsid w:val="00F208A9"/>
    <w:rsid w:val="00F35DD2"/>
    <w:rsid w:val="00F40341"/>
    <w:rsid w:val="00F41D75"/>
    <w:rsid w:val="00F5139D"/>
    <w:rsid w:val="00F52FB2"/>
    <w:rsid w:val="00F5313D"/>
    <w:rsid w:val="00F6152E"/>
    <w:rsid w:val="00F63DAC"/>
    <w:rsid w:val="00F7454F"/>
    <w:rsid w:val="00F77988"/>
    <w:rsid w:val="00F77F48"/>
    <w:rsid w:val="00FB2E53"/>
    <w:rsid w:val="00FB30F1"/>
    <w:rsid w:val="00FB53E7"/>
    <w:rsid w:val="00FC0FA1"/>
    <w:rsid w:val="00FC5A63"/>
    <w:rsid w:val="00FC5D8E"/>
    <w:rsid w:val="00FD0D64"/>
    <w:rsid w:val="00FE24C1"/>
    <w:rsid w:val="00FE2D73"/>
    <w:rsid w:val="00FE747A"/>
    <w:rsid w:val="00FF19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3">
    <w:name w:val="heading 3"/>
    <w:basedOn w:val="Normal"/>
    <w:next w:val="Normal"/>
    <w:link w:val="Heading3Char"/>
    <w:unhideWhenUsed/>
    <w:qFormat/>
    <w:rsid w:val="00FE2D73"/>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link w:val="BalloonTextChar"/>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aliases w:val="SUPERS"/>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link w:val="NormalWebChar"/>
    <w:rsid w:val="00C97A84"/>
    <w:pPr>
      <w:spacing w:before="100" w:beforeAutospacing="1" w:after="100" w:afterAutospacing="1"/>
    </w:pPr>
  </w:style>
  <w:style w:type="paragraph" w:styleId="BodyText2">
    <w:name w:val="Body Text 2"/>
    <w:basedOn w:val="Normal"/>
    <w:link w:val="BodyText2Char"/>
    <w:rsid w:val="000342B4"/>
    <w:pPr>
      <w:spacing w:after="120" w:line="480" w:lineRule="auto"/>
    </w:pPr>
  </w:style>
  <w:style w:type="character" w:customStyle="1" w:styleId="BodyText2Char">
    <w:name w:val="Body Text 2 Char"/>
    <w:basedOn w:val="DefaultParagraphFont"/>
    <w:link w:val="BodyText2"/>
    <w:rsid w:val="000342B4"/>
    <w:rPr>
      <w:sz w:val="24"/>
      <w:szCs w:val="24"/>
      <w:lang w:val="lv-LV" w:eastAsia="lv-LV"/>
    </w:rPr>
  </w:style>
  <w:style w:type="character" w:styleId="Strong">
    <w:name w:val="Strong"/>
    <w:basedOn w:val="DefaultParagraphFont"/>
    <w:uiPriority w:val="22"/>
    <w:qFormat/>
    <w:rsid w:val="00E74718"/>
    <w:rPr>
      <w:b/>
      <w:bCs/>
    </w:rPr>
  </w:style>
  <w:style w:type="character" w:customStyle="1" w:styleId="Heading3Char">
    <w:name w:val="Heading 3 Char"/>
    <w:basedOn w:val="DefaultParagraphFont"/>
    <w:link w:val="Heading3"/>
    <w:rsid w:val="00FE2D73"/>
    <w:rPr>
      <w:rFonts w:ascii="Cambria" w:hAnsi="Cambria"/>
      <w:b/>
      <w:bCs/>
      <w:sz w:val="26"/>
      <w:szCs w:val="26"/>
      <w:lang w:val="en-US" w:eastAsia="en-US"/>
    </w:rPr>
  </w:style>
  <w:style w:type="paragraph" w:styleId="Title">
    <w:name w:val="Title"/>
    <w:basedOn w:val="Normal"/>
    <w:link w:val="TitleChar"/>
    <w:qFormat/>
    <w:rsid w:val="00FE2D73"/>
    <w:pPr>
      <w:jc w:val="center"/>
    </w:pPr>
    <w:rPr>
      <w:b/>
      <w:szCs w:val="20"/>
    </w:rPr>
  </w:style>
  <w:style w:type="character" w:customStyle="1" w:styleId="TitleChar">
    <w:name w:val="Title Char"/>
    <w:basedOn w:val="DefaultParagraphFont"/>
    <w:link w:val="Title"/>
    <w:rsid w:val="00FE2D73"/>
    <w:rPr>
      <w:b/>
      <w:sz w:val="24"/>
    </w:rPr>
  </w:style>
  <w:style w:type="paragraph" w:styleId="BodyTextIndent">
    <w:name w:val="Body Text Indent"/>
    <w:basedOn w:val="Normal"/>
    <w:link w:val="BodyTextIndentChar"/>
    <w:rsid w:val="00FE2D73"/>
    <w:pPr>
      <w:spacing w:after="120"/>
      <w:ind w:left="283"/>
    </w:pPr>
  </w:style>
  <w:style w:type="character" w:customStyle="1" w:styleId="BodyTextIndentChar">
    <w:name w:val="Body Text Indent Char"/>
    <w:basedOn w:val="DefaultParagraphFont"/>
    <w:link w:val="BodyTextIndent"/>
    <w:rsid w:val="00FE2D73"/>
    <w:rPr>
      <w:sz w:val="24"/>
      <w:szCs w:val="24"/>
    </w:rPr>
  </w:style>
  <w:style w:type="paragraph" w:customStyle="1" w:styleId="NormalMK">
    <w:name w:val="Normal MK"/>
    <w:basedOn w:val="Normal"/>
    <w:rsid w:val="00FE2D73"/>
    <w:rPr>
      <w:rFonts w:ascii="RimTimes" w:hAnsi="RimTimes"/>
      <w:sz w:val="28"/>
      <w:szCs w:val="20"/>
      <w:lang w:eastAsia="en-US"/>
    </w:rPr>
  </w:style>
  <w:style w:type="paragraph" w:styleId="EnvelopeReturn">
    <w:name w:val="envelope return"/>
    <w:basedOn w:val="Normal"/>
    <w:rsid w:val="00FE2D73"/>
    <w:pPr>
      <w:keepLines/>
      <w:widowControl w:val="0"/>
      <w:spacing w:before="600"/>
    </w:pPr>
    <w:rPr>
      <w:sz w:val="26"/>
      <w:szCs w:val="20"/>
      <w:lang w:val="en-AU" w:eastAsia="en-US"/>
    </w:rPr>
  </w:style>
  <w:style w:type="paragraph" w:customStyle="1" w:styleId="a">
    <w:name w:val="a"/>
    <w:basedOn w:val="Normal"/>
    <w:uiPriority w:val="99"/>
    <w:rsid w:val="00FE2D73"/>
    <w:pPr>
      <w:spacing w:before="100" w:beforeAutospacing="1" w:after="100" w:afterAutospacing="1"/>
    </w:pPr>
    <w:rPr>
      <w:color w:val="306060"/>
    </w:rPr>
  </w:style>
  <w:style w:type="character" w:customStyle="1" w:styleId="HeaderChar">
    <w:name w:val="Header Char"/>
    <w:basedOn w:val="DefaultParagraphFont"/>
    <w:link w:val="Header"/>
    <w:rsid w:val="00FE2D73"/>
    <w:rPr>
      <w:sz w:val="24"/>
      <w:szCs w:val="24"/>
    </w:rPr>
  </w:style>
  <w:style w:type="paragraph" w:customStyle="1" w:styleId="Default">
    <w:name w:val="Default"/>
    <w:rsid w:val="00FE2D7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FE2D73"/>
    <w:pPr>
      <w:ind w:left="720"/>
      <w:contextualSpacing/>
    </w:pPr>
  </w:style>
  <w:style w:type="character" w:customStyle="1" w:styleId="NormalWebChar">
    <w:name w:val="Normal (Web) Char"/>
    <w:basedOn w:val="DefaultParagraphFont"/>
    <w:link w:val="NormalWeb"/>
    <w:locked/>
    <w:rsid w:val="00FE2D73"/>
    <w:rPr>
      <w:sz w:val="24"/>
      <w:szCs w:val="24"/>
    </w:rPr>
  </w:style>
  <w:style w:type="character" w:customStyle="1" w:styleId="BalloonTextChar">
    <w:name w:val="Balloon Text Char"/>
    <w:basedOn w:val="DefaultParagraphFont"/>
    <w:link w:val="BalloonText"/>
    <w:semiHidden/>
    <w:rsid w:val="00FE2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4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52D0-DC51-465B-ABCD-0E58F6C2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8130</Words>
  <Characters>4635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„Elektroenerģijas tirdzniecības un piegādes noteikumi” </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12740</CharactersWithSpaces>
  <SharedDoc>false</SharedDoc>
  <HLinks>
    <vt:vector size="6" baseType="variant">
      <vt:variant>
        <vt:i4>1966140</vt:i4>
      </vt:variant>
      <vt:variant>
        <vt:i4>0</vt:i4>
      </vt:variant>
      <vt:variant>
        <vt:i4>0</vt:i4>
      </vt:variant>
      <vt:variant>
        <vt:i4>5</vt:i4>
      </vt:variant>
      <vt:variant>
        <vt:lpwstr>mailto:Natalja.Andrukovica@em.gov.lv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„Elektroenerģijas tirdzniecības un piegādes noteikumi” </dc:title>
  <dc:subject>MK noteikumu anotācija</dc:subject>
  <dc:creator>Jānis Bunkovskis</dc:creator>
  <cp:keywords/>
  <dc:description>janis.bunkovskis@em.gov.lv
67013170</dc:description>
  <cp:lastModifiedBy>BunkovskisJ</cp:lastModifiedBy>
  <cp:revision>4</cp:revision>
  <cp:lastPrinted>2010-07-28T12:46:00Z</cp:lastPrinted>
  <dcterms:created xsi:type="dcterms:W3CDTF">2011-09-22T07:36:00Z</dcterms:created>
  <dcterms:modified xsi:type="dcterms:W3CDTF">2011-10-06T10:35:00Z</dcterms:modified>
</cp:coreProperties>
</file>