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8C" w:rsidRPr="008F3FAE" w:rsidRDefault="00880D7E" w:rsidP="00CE5A53">
      <w:pPr>
        <w:jc w:val="center"/>
        <w:outlineLvl w:val="0"/>
        <w:rPr>
          <w:rFonts w:eastAsia="Times New Roman"/>
          <w:b/>
          <w:sz w:val="25"/>
          <w:szCs w:val="25"/>
          <w:lang w:val="lv-LV" w:eastAsia="lv-LV"/>
        </w:rPr>
      </w:pPr>
      <w:bookmarkStart w:id="0" w:name="OLE_LINK6"/>
      <w:bookmarkStart w:id="1" w:name="OLE_LINK7"/>
      <w:bookmarkStart w:id="2" w:name="OLE_LINK4"/>
      <w:bookmarkStart w:id="3" w:name="OLE_LINK5"/>
      <w:bookmarkStart w:id="4" w:name="OLE_LINK8"/>
      <w:bookmarkStart w:id="5" w:name="OLE_LINK10"/>
      <w:bookmarkStart w:id="6" w:name="OLE_LINK9"/>
      <w:bookmarkStart w:id="7" w:name="OLE_LINK11"/>
      <w:bookmarkStart w:id="8" w:name="OLE_LINK12"/>
      <w:bookmarkStart w:id="9" w:name="OLE_LINK3"/>
      <w:bookmarkStart w:id="10" w:name="OLE_LINK1"/>
      <w:bookmarkStart w:id="11" w:name="OLE_LINK2"/>
      <w:r w:rsidRPr="008F3FAE">
        <w:rPr>
          <w:b/>
          <w:sz w:val="25"/>
          <w:szCs w:val="25"/>
          <w:lang w:val="lv-LV"/>
        </w:rPr>
        <w:t>Ministru kabine</w:t>
      </w:r>
      <w:r w:rsidR="000B5B40" w:rsidRPr="008F3FAE">
        <w:rPr>
          <w:b/>
          <w:sz w:val="25"/>
          <w:szCs w:val="25"/>
          <w:lang w:val="lv-LV"/>
        </w:rPr>
        <w:t>ta noteikumu projekta „</w:t>
      </w:r>
      <w:r w:rsidR="00766612" w:rsidRPr="008F3FAE">
        <w:rPr>
          <w:b/>
          <w:sz w:val="25"/>
          <w:szCs w:val="25"/>
          <w:lang w:val="lv-LV"/>
        </w:rPr>
        <w:t>Grozījumi Ministru kabineta 2008.gada 7.oktobra noteikumos Nr.835 „Noteikumi par darbības programmas “Uzņēmējdarbība un inovācijas” papildinājuma 2.3.2.1.aktivitāti “Biznesa inkubatori””</w:t>
      </w:r>
      <w:r w:rsidRPr="008F3FAE">
        <w:rPr>
          <w:b/>
          <w:bCs/>
          <w:sz w:val="25"/>
          <w:szCs w:val="25"/>
          <w:lang w:val="lv-LV" w:eastAsia="lv-LV"/>
        </w:rPr>
        <w:t>”</w:t>
      </w:r>
      <w:r w:rsidR="007E5D4D" w:rsidRPr="008F3FAE">
        <w:rPr>
          <w:rFonts w:eastAsia="Times New Roman"/>
          <w:b/>
          <w:sz w:val="25"/>
          <w:szCs w:val="25"/>
          <w:lang w:val="lv-LV" w:eastAsia="lv-LV"/>
        </w:rPr>
        <w:t xml:space="preserve"> sākotnējās ietekmes novērtējuma ziņojums (anotācija)</w:t>
      </w:r>
      <w:bookmarkEnd w:id="0"/>
      <w:bookmarkEnd w:id="1"/>
      <w:bookmarkEnd w:id="2"/>
    </w:p>
    <w:bookmarkEnd w:id="3"/>
    <w:bookmarkEnd w:id="4"/>
    <w:bookmarkEnd w:id="5"/>
    <w:bookmarkEnd w:id="6"/>
    <w:bookmarkEnd w:id="7"/>
    <w:bookmarkEnd w:id="8"/>
    <w:p w:rsidR="004B638C" w:rsidRPr="008F3FAE" w:rsidRDefault="004B638C" w:rsidP="00CE5A53">
      <w:pPr>
        <w:jc w:val="center"/>
        <w:rPr>
          <w:rFonts w:eastAsia="Times New Roman"/>
          <w:b/>
          <w:sz w:val="25"/>
          <w:szCs w:val="25"/>
          <w:lang w:val="lv-LV" w:eastAsia="lv-LV"/>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3134"/>
        <w:gridCol w:w="5953"/>
      </w:tblGrid>
      <w:tr w:rsidR="00BB09C5" w:rsidRPr="008F3FAE" w:rsidTr="000729ED">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bookmarkEnd w:id="9"/>
          <w:bookmarkEnd w:id="10"/>
          <w:bookmarkEnd w:id="11"/>
          <w:p w:rsidR="00BB09C5" w:rsidRPr="008F3FAE" w:rsidRDefault="00E73425" w:rsidP="00CE5A53">
            <w:pPr>
              <w:jc w:val="center"/>
              <w:rPr>
                <w:rFonts w:eastAsia="Times New Roman"/>
                <w:b/>
                <w:sz w:val="25"/>
                <w:szCs w:val="25"/>
                <w:lang w:val="lv-LV" w:eastAsia="lv-LV"/>
              </w:rPr>
            </w:pPr>
            <w:r w:rsidRPr="008F3FAE">
              <w:rPr>
                <w:rFonts w:eastAsia="Times New Roman"/>
                <w:b/>
                <w:sz w:val="25"/>
                <w:szCs w:val="25"/>
                <w:lang w:val="lv-LV" w:eastAsia="lv-LV"/>
              </w:rPr>
              <w:t xml:space="preserve">I.Tiesību akta projekta izstrādes </w:t>
            </w:r>
            <w:r w:rsidR="007E5D4D" w:rsidRPr="008F3FAE">
              <w:rPr>
                <w:rFonts w:eastAsia="Times New Roman"/>
                <w:b/>
                <w:sz w:val="25"/>
                <w:szCs w:val="25"/>
                <w:lang w:val="lv-LV" w:eastAsia="lv-LV"/>
              </w:rPr>
              <w:t>nepieciešamība</w:t>
            </w:r>
          </w:p>
        </w:tc>
      </w:tr>
      <w:tr w:rsidR="00BB09C5" w:rsidRPr="008F3FAE" w:rsidTr="00C257B7">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8F3FAE" w:rsidRDefault="00BB09C5" w:rsidP="00CE5A53">
            <w:pPr>
              <w:rPr>
                <w:rFonts w:eastAsia="Times New Roman"/>
                <w:sz w:val="25"/>
                <w:szCs w:val="25"/>
                <w:lang w:val="lv-LV" w:eastAsia="lv-LV"/>
              </w:rPr>
            </w:pPr>
            <w:r w:rsidRPr="008F3FAE">
              <w:rPr>
                <w:rFonts w:eastAsia="Times New Roman"/>
                <w:sz w:val="25"/>
                <w:szCs w:val="25"/>
                <w:lang w:val="lv-LV" w:eastAsia="lv-LV"/>
              </w:rPr>
              <w:t>1</w:t>
            </w:r>
            <w:r w:rsidR="00F15932" w:rsidRPr="008F3FAE">
              <w:rPr>
                <w:rFonts w:eastAsia="Times New Roman"/>
                <w:sz w:val="25"/>
                <w:szCs w:val="25"/>
                <w:lang w:val="lv-LV" w:eastAsia="lv-LV"/>
              </w:rPr>
              <w:t>. Pamatojums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EF0674" w:rsidRPr="008F3FAE" w:rsidRDefault="00700070" w:rsidP="00CE5A53">
            <w:pPr>
              <w:jc w:val="both"/>
              <w:rPr>
                <w:sz w:val="25"/>
                <w:szCs w:val="25"/>
                <w:lang w:val="lv-LV"/>
              </w:rPr>
            </w:pPr>
            <w:r w:rsidRPr="008F3FAE">
              <w:rPr>
                <w:sz w:val="25"/>
                <w:szCs w:val="25"/>
                <w:lang w:val="lv-LV"/>
              </w:rPr>
              <w:t xml:space="preserve">Noteikumu projekts sagatavots, pamatojoties uz Eiropas Savienības struktūrfondu un </w:t>
            </w:r>
            <w:r w:rsidRPr="008F3FAE">
              <w:rPr>
                <w:sz w:val="25"/>
                <w:szCs w:val="25"/>
                <w:lang w:val="lv-LV"/>
              </w:rPr>
              <w:br/>
              <w:t xml:space="preserve">Kohēzijas fonda vadības likuma </w:t>
            </w:r>
            <w:r w:rsidRPr="008F3FAE">
              <w:rPr>
                <w:sz w:val="25"/>
                <w:szCs w:val="25"/>
                <w:lang w:val="lv-LV"/>
              </w:rPr>
              <w:br/>
              <w:t>18.panta 10.punktu.</w:t>
            </w:r>
          </w:p>
        </w:tc>
      </w:tr>
      <w:tr w:rsidR="00BB09C5" w:rsidRPr="008F3FAE" w:rsidTr="00C257B7">
        <w:trPr>
          <w:trHeight w:val="360"/>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8F3FAE" w:rsidRDefault="00BB09C5" w:rsidP="00CE5A53">
            <w:pPr>
              <w:rPr>
                <w:rFonts w:eastAsia="Times New Roman"/>
                <w:sz w:val="25"/>
                <w:szCs w:val="25"/>
                <w:lang w:val="lv-LV" w:eastAsia="lv-LV"/>
              </w:rPr>
            </w:pPr>
            <w:r w:rsidRPr="008F3FAE">
              <w:rPr>
                <w:rFonts w:eastAsia="Times New Roman"/>
                <w:sz w:val="25"/>
                <w:szCs w:val="25"/>
                <w:lang w:val="lv-LV" w:eastAsia="lv-LV"/>
              </w:rPr>
              <w:t>2</w:t>
            </w:r>
            <w:r w:rsidR="00F15932" w:rsidRPr="008F3FAE">
              <w:rPr>
                <w:rFonts w:eastAsia="Times New Roman"/>
                <w:sz w:val="25"/>
                <w:szCs w:val="25"/>
                <w:lang w:val="lv-LV" w:eastAsia="lv-LV"/>
              </w:rPr>
              <w:t>. Pašreizējā situācija un problēma</w:t>
            </w:r>
            <w:r w:rsidR="007E5D4D" w:rsidRPr="008F3FAE">
              <w:rPr>
                <w:rFonts w:eastAsia="Times New Roman"/>
                <w:sz w:val="25"/>
                <w:szCs w:val="25"/>
                <w:lang w:val="lv-LV" w:eastAsia="lv-LV"/>
              </w:rPr>
              <w:t>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6D59C5" w:rsidRPr="008F3FAE" w:rsidRDefault="006D59C5" w:rsidP="001E7AD3">
            <w:pPr>
              <w:spacing w:before="75"/>
              <w:ind w:firstLine="552"/>
              <w:jc w:val="both"/>
              <w:rPr>
                <w:rFonts w:eastAsia="Times New Roman"/>
                <w:sz w:val="25"/>
                <w:szCs w:val="25"/>
                <w:lang w:val="lv-LV" w:eastAsia="lv-LV"/>
              </w:rPr>
            </w:pPr>
            <w:r w:rsidRPr="008F3FAE">
              <w:rPr>
                <w:rFonts w:eastAsia="Times New Roman"/>
                <w:sz w:val="25"/>
                <w:szCs w:val="25"/>
                <w:lang w:val="lv-LV" w:eastAsia="lv-LV"/>
              </w:rPr>
              <w:t>2008.gada 7.oktobrī Ministru kabinets apstiprināja Ministru kabineta noteikumus Nr.835 „Noteikumi par darbības programmas “Uzņēmējdarbība un inovācijas” papildinājuma 2.3.2.1.aktivitāti “Biznesa inkubatori””” (turpmāk MK noteikumi Nr.835).</w:t>
            </w:r>
          </w:p>
          <w:p w:rsidR="006D59C5" w:rsidRPr="008F3FAE" w:rsidRDefault="007F3403" w:rsidP="001E7AD3">
            <w:pPr>
              <w:spacing w:before="75"/>
              <w:ind w:firstLine="552"/>
              <w:jc w:val="both"/>
              <w:rPr>
                <w:rFonts w:eastAsia="Times New Roman"/>
                <w:sz w:val="25"/>
                <w:szCs w:val="25"/>
                <w:lang w:val="lv-LV" w:eastAsia="lv-LV"/>
              </w:rPr>
            </w:pPr>
            <w:r w:rsidRPr="008F3FAE">
              <w:rPr>
                <w:rFonts w:eastAsia="Times New Roman"/>
                <w:sz w:val="25"/>
                <w:szCs w:val="25"/>
                <w:lang w:val="lv-LV" w:eastAsia="lv-LV"/>
              </w:rPr>
              <w:t>MK noteikumi nosaka, ka valsts aģentūra „Latvijas Investīciju un attīstības aģentūra” veic iepirkumu, lai atlasītu biznesa inkubatoru operatorus.</w:t>
            </w:r>
          </w:p>
          <w:p w:rsidR="006B0DA2" w:rsidRPr="008F3FAE" w:rsidRDefault="006B0DA2" w:rsidP="006B0DA2">
            <w:pPr>
              <w:spacing w:before="75"/>
              <w:ind w:firstLine="720"/>
              <w:jc w:val="both"/>
              <w:rPr>
                <w:rFonts w:eastAsia="Times New Roman"/>
                <w:sz w:val="25"/>
                <w:szCs w:val="25"/>
                <w:lang w:val="lv-LV" w:eastAsia="lv-LV"/>
              </w:rPr>
            </w:pPr>
            <w:r w:rsidRPr="008F3FAE">
              <w:rPr>
                <w:rFonts w:eastAsia="Times New Roman"/>
                <w:sz w:val="25"/>
                <w:szCs w:val="25"/>
                <w:lang w:val="lv-LV" w:eastAsia="lv-LV"/>
              </w:rPr>
              <w:t>LIAA uzsāka iepirkumu 2009.gada 27.februārī, savukārt pēdējo līgumu ar biznesa inkubator</w:t>
            </w:r>
            <w:r w:rsidR="00B00C75" w:rsidRPr="008F3FAE">
              <w:rPr>
                <w:rFonts w:eastAsia="Times New Roman"/>
                <w:sz w:val="25"/>
                <w:szCs w:val="25"/>
                <w:lang w:val="lv-LV" w:eastAsia="lv-LV"/>
              </w:rPr>
              <w:t>a operator</w:t>
            </w:r>
            <w:r w:rsidRPr="008F3FAE">
              <w:rPr>
                <w:rFonts w:eastAsia="Times New Roman"/>
                <w:sz w:val="25"/>
                <w:szCs w:val="25"/>
                <w:lang w:val="lv-LV" w:eastAsia="lv-LV"/>
              </w:rPr>
              <w:t xml:space="preserve">u noslēdza 2010.gada 26.augustā. </w:t>
            </w:r>
            <w:r w:rsidR="00B00C75" w:rsidRPr="008F3FAE">
              <w:rPr>
                <w:rFonts w:eastAsia="Times New Roman"/>
                <w:sz w:val="25"/>
                <w:szCs w:val="25"/>
                <w:lang w:val="lv-LV" w:eastAsia="lv-LV"/>
              </w:rPr>
              <w:t xml:space="preserve">Kopā tika noslēgti 10 līgumi, tādējādi izveidojot Kurzemē, Zemgalē, Vidzemē un Latgalē katrā divus biznesa inkubatorus, Rīgas reģionā un Rīgas pilsētā – </w:t>
            </w:r>
            <w:r w:rsidR="005D456B" w:rsidRPr="008F3FAE">
              <w:rPr>
                <w:rFonts w:eastAsia="Times New Roman"/>
                <w:sz w:val="25"/>
                <w:szCs w:val="25"/>
                <w:lang w:val="lv-LV" w:eastAsia="lv-LV"/>
              </w:rPr>
              <w:t xml:space="preserve">pa </w:t>
            </w:r>
            <w:r w:rsidR="00B00C75" w:rsidRPr="008F3FAE">
              <w:rPr>
                <w:rFonts w:eastAsia="Times New Roman"/>
                <w:sz w:val="25"/>
                <w:szCs w:val="25"/>
                <w:lang w:val="lv-LV" w:eastAsia="lv-LV"/>
              </w:rPr>
              <w:t xml:space="preserve">vienam. </w:t>
            </w:r>
          </w:p>
          <w:p w:rsidR="00FA3CB0" w:rsidRPr="008F3FAE" w:rsidRDefault="00FA3CB0" w:rsidP="001E7AD3">
            <w:pPr>
              <w:spacing w:before="75"/>
              <w:ind w:firstLine="552"/>
              <w:jc w:val="both"/>
              <w:rPr>
                <w:rFonts w:eastAsia="Times New Roman"/>
                <w:sz w:val="25"/>
                <w:szCs w:val="25"/>
                <w:lang w:val="lv-LV" w:eastAsia="lv-LV"/>
              </w:rPr>
            </w:pPr>
            <w:r w:rsidRPr="008F3FAE">
              <w:rPr>
                <w:rFonts w:eastAsia="Times New Roman"/>
                <w:sz w:val="25"/>
                <w:szCs w:val="25"/>
                <w:lang w:val="lv-LV" w:eastAsia="lv-LV"/>
              </w:rPr>
              <w:t>Saskaņā ar MK noteikumu Nr.835 50.punktu biznesa inkubatora operators nodrošina visus šo noteikumu 62.punktā minētos pakalpojumus. Savukārt saskaņā ar MK noteikumu Nr.835  51.punktu biznesa inkubatora telpu platība ir 2000 m</w:t>
            </w:r>
            <w:r w:rsidRPr="008F3FAE">
              <w:rPr>
                <w:rFonts w:eastAsia="Times New Roman"/>
                <w:sz w:val="25"/>
                <w:szCs w:val="25"/>
                <w:vertAlign w:val="superscript"/>
                <w:lang w:val="lv-LV" w:eastAsia="lv-LV"/>
              </w:rPr>
              <w:t>2</w:t>
            </w:r>
            <w:r w:rsidRPr="008F3FAE">
              <w:rPr>
                <w:rFonts w:eastAsia="Times New Roman"/>
                <w:sz w:val="25"/>
                <w:szCs w:val="25"/>
                <w:lang w:val="lv-LV" w:eastAsia="lv-LV"/>
              </w:rPr>
              <w:t xml:space="preserve">. </w:t>
            </w:r>
          </w:p>
          <w:p w:rsidR="008375E3" w:rsidRPr="008F3FAE" w:rsidRDefault="0089484D">
            <w:pPr>
              <w:spacing w:before="75"/>
              <w:jc w:val="both"/>
              <w:rPr>
                <w:rFonts w:eastAsia="Times New Roman"/>
                <w:sz w:val="25"/>
                <w:szCs w:val="25"/>
                <w:lang w:val="lv-LV" w:eastAsia="lv-LV"/>
              </w:rPr>
            </w:pPr>
            <w:r w:rsidRPr="008F3FAE">
              <w:rPr>
                <w:rFonts w:eastAsia="Times New Roman"/>
                <w:sz w:val="25"/>
                <w:szCs w:val="25"/>
                <w:lang w:val="lv-LV" w:eastAsia="lv-LV"/>
              </w:rPr>
              <w:t xml:space="preserve">         </w:t>
            </w:r>
            <w:r w:rsidR="00FA3CB0" w:rsidRPr="008F3FAE">
              <w:rPr>
                <w:rFonts w:eastAsia="Times New Roman"/>
                <w:sz w:val="25"/>
                <w:szCs w:val="25"/>
                <w:lang w:val="lv-LV" w:eastAsia="lv-LV"/>
              </w:rPr>
              <w:t xml:space="preserve">MK noteikumu </w:t>
            </w:r>
            <w:r w:rsidR="004879F5" w:rsidRPr="008F3FAE">
              <w:rPr>
                <w:rFonts w:eastAsia="Times New Roman"/>
                <w:sz w:val="25"/>
                <w:szCs w:val="25"/>
                <w:lang w:val="lv-LV" w:eastAsia="lv-LV"/>
              </w:rPr>
              <w:t xml:space="preserve">Nr.835 </w:t>
            </w:r>
            <w:r w:rsidR="00FA3CB0" w:rsidRPr="008F3FAE">
              <w:rPr>
                <w:rFonts w:eastAsia="Times New Roman"/>
                <w:sz w:val="25"/>
                <w:szCs w:val="25"/>
                <w:lang w:val="lv-LV" w:eastAsia="lv-LV"/>
              </w:rPr>
              <w:t>53.punkts nosaka, ka LIAA ar biznesa inkubatora operatora pakalpojumu sniedzēju noslēdz līgumu par pakalpojumu sniegšanu un līgumā nosaka</w:t>
            </w:r>
            <w:r w:rsidR="00FA3CB0" w:rsidRPr="008F3FAE">
              <w:rPr>
                <w:rFonts w:ascii="Verdana" w:eastAsia="Times New Roman" w:hAnsi="Verdana"/>
                <w:sz w:val="25"/>
                <w:szCs w:val="25"/>
                <w:lang w:val="lv-LV" w:eastAsia="lv-LV"/>
              </w:rPr>
              <w:t xml:space="preserve"> </w:t>
            </w:r>
            <w:r w:rsidR="0016462B" w:rsidRPr="008F3FAE">
              <w:rPr>
                <w:rFonts w:eastAsia="Times New Roman"/>
                <w:sz w:val="25"/>
                <w:szCs w:val="25"/>
                <w:lang w:val="lv-LV" w:eastAsia="lv-LV"/>
              </w:rPr>
              <w:t>līguma priekšmetu, pakalpojuma sniegšanas noteikumus, līgumslēdzēju pušu pienākumus, tiesības, saistības, atbildību, finansēšanas un savstarpējo norēķinu kārtību</w:t>
            </w:r>
            <w:r w:rsidR="00FA3CB0" w:rsidRPr="008F3FAE">
              <w:rPr>
                <w:rFonts w:eastAsia="Times New Roman"/>
                <w:sz w:val="25"/>
                <w:szCs w:val="25"/>
                <w:lang w:val="lv-LV" w:eastAsia="lv-LV"/>
              </w:rPr>
              <w:t>.</w:t>
            </w:r>
          </w:p>
          <w:p w:rsidR="008375E3" w:rsidRPr="008F3FAE" w:rsidRDefault="00CD0222">
            <w:pPr>
              <w:spacing w:before="75"/>
              <w:jc w:val="both"/>
              <w:rPr>
                <w:rFonts w:eastAsia="Times New Roman"/>
                <w:sz w:val="25"/>
                <w:szCs w:val="25"/>
                <w:lang w:val="lv-LV" w:eastAsia="lv-LV"/>
              </w:rPr>
            </w:pPr>
            <w:r w:rsidRPr="008F3FAE">
              <w:rPr>
                <w:rFonts w:eastAsia="Times New Roman"/>
                <w:sz w:val="25"/>
                <w:szCs w:val="25"/>
                <w:lang w:val="lv-LV" w:eastAsia="lv-LV"/>
              </w:rPr>
              <w:t xml:space="preserve"> </w:t>
            </w:r>
            <w:r w:rsidR="004879F5" w:rsidRPr="008F3FAE">
              <w:rPr>
                <w:rFonts w:eastAsia="Times New Roman"/>
                <w:sz w:val="25"/>
                <w:szCs w:val="25"/>
                <w:lang w:val="lv-LV" w:eastAsia="lv-LV"/>
              </w:rPr>
              <w:t xml:space="preserve">         </w:t>
            </w:r>
            <w:r w:rsidR="00FA3CB0" w:rsidRPr="008F3FAE">
              <w:rPr>
                <w:rFonts w:eastAsia="Times New Roman"/>
                <w:sz w:val="25"/>
                <w:szCs w:val="25"/>
                <w:lang w:val="lv-LV" w:eastAsia="lv-LV"/>
              </w:rPr>
              <w:t>LIAA, s</w:t>
            </w:r>
            <w:r w:rsidR="001B2AA3" w:rsidRPr="008F3FAE">
              <w:rPr>
                <w:rFonts w:eastAsia="Times New Roman"/>
                <w:sz w:val="25"/>
                <w:szCs w:val="25"/>
                <w:lang w:val="lv-LV" w:eastAsia="lv-LV"/>
              </w:rPr>
              <w:t>agatavojot iepirkuma dokumentāciju,  secinā</w:t>
            </w:r>
            <w:r w:rsidR="00FA3CB0" w:rsidRPr="008F3FAE">
              <w:rPr>
                <w:rFonts w:eastAsia="Times New Roman"/>
                <w:sz w:val="25"/>
                <w:szCs w:val="25"/>
                <w:lang w:val="lv-LV" w:eastAsia="lv-LV"/>
              </w:rPr>
              <w:t>ja</w:t>
            </w:r>
            <w:r w:rsidR="001B2AA3" w:rsidRPr="008F3FAE">
              <w:rPr>
                <w:rFonts w:eastAsia="Times New Roman"/>
                <w:sz w:val="25"/>
                <w:szCs w:val="25"/>
                <w:lang w:val="lv-LV" w:eastAsia="lv-LV"/>
              </w:rPr>
              <w:t xml:space="preserve">, ka spēkā esošie MK noteikumi Nr.835 </w:t>
            </w:r>
            <w:r w:rsidR="0006739D" w:rsidRPr="008F3FAE">
              <w:rPr>
                <w:rFonts w:eastAsia="Times New Roman"/>
                <w:sz w:val="25"/>
                <w:szCs w:val="25"/>
                <w:lang w:val="lv-LV" w:eastAsia="lv-LV"/>
              </w:rPr>
              <w:t xml:space="preserve">pietiekami precīzi neatrunā rīcību </w:t>
            </w:r>
            <w:r w:rsidR="00003815" w:rsidRPr="008F3FAE">
              <w:rPr>
                <w:rFonts w:eastAsia="Times New Roman"/>
                <w:sz w:val="25"/>
                <w:szCs w:val="25"/>
                <w:lang w:val="lv-LV" w:eastAsia="lv-LV"/>
              </w:rPr>
              <w:t>trijos</w:t>
            </w:r>
            <w:r w:rsidR="0006739D" w:rsidRPr="008F3FAE">
              <w:rPr>
                <w:rFonts w:eastAsia="Times New Roman"/>
                <w:sz w:val="25"/>
                <w:szCs w:val="25"/>
                <w:lang w:val="lv-LV" w:eastAsia="lv-LV"/>
              </w:rPr>
              <w:t xml:space="preserve"> gadījumos:</w:t>
            </w:r>
          </w:p>
          <w:p w:rsidR="008375E3" w:rsidRPr="008F3FAE" w:rsidRDefault="0016462B">
            <w:pPr>
              <w:pStyle w:val="ListParagraph"/>
              <w:numPr>
                <w:ilvl w:val="0"/>
                <w:numId w:val="9"/>
              </w:numPr>
              <w:spacing w:before="75"/>
              <w:jc w:val="both"/>
              <w:rPr>
                <w:rFonts w:eastAsia="Times New Roman"/>
                <w:sz w:val="25"/>
                <w:szCs w:val="25"/>
                <w:lang w:val="lv-LV" w:eastAsia="lv-LV"/>
              </w:rPr>
            </w:pPr>
            <w:r w:rsidRPr="008F3FAE">
              <w:rPr>
                <w:rFonts w:eastAsia="Times New Roman"/>
                <w:sz w:val="25"/>
                <w:szCs w:val="25"/>
                <w:lang w:val="lv-LV" w:eastAsia="lv-LV"/>
              </w:rPr>
              <w:t xml:space="preserve">Biznesa inkubatoru operatori nevar noslēgt līgumus ar telpu īpašniekiem, jo inkubators tiek aizpildīts pakāpeniski. Kamēr inkubatora telpas nav pilnībā aizpildītas, inkubatora operatoram nav līdzekļi, lai maksātu telpu īpašniekam. MK noteikumi Nr.835 atrunā kopējo biznesa inkubatora telpu platību, kura jāsasniedz 2 gadu laikā, tomēr MK </w:t>
            </w:r>
            <w:r w:rsidRPr="008F3FAE">
              <w:rPr>
                <w:rFonts w:eastAsia="Times New Roman"/>
                <w:sz w:val="25"/>
                <w:szCs w:val="25"/>
                <w:lang w:val="lv-LV" w:eastAsia="lv-LV"/>
              </w:rPr>
              <w:lastRenderedPageBreak/>
              <w:t>noteikumos nav skaidrots vai biznesa inkubatora operatoram ir tiesības saņemt finansējumu par daļēji aizpildītām inkubatora telpām.</w:t>
            </w:r>
          </w:p>
          <w:p w:rsidR="008375E3" w:rsidRPr="008F3FAE" w:rsidRDefault="0016462B" w:rsidP="00A55459">
            <w:pPr>
              <w:spacing w:before="75"/>
              <w:ind w:left="709"/>
              <w:jc w:val="both"/>
              <w:rPr>
                <w:rFonts w:eastAsia="Times New Roman"/>
                <w:sz w:val="25"/>
                <w:szCs w:val="25"/>
                <w:lang w:val="lv-LV" w:eastAsia="lv-LV"/>
              </w:rPr>
            </w:pPr>
            <w:r w:rsidRPr="008F3FAE">
              <w:rPr>
                <w:rFonts w:eastAsia="Times New Roman"/>
                <w:sz w:val="25"/>
                <w:szCs w:val="25"/>
                <w:lang w:val="lv-LV" w:eastAsia="lv-LV"/>
              </w:rPr>
              <w:t xml:space="preserve">Pamatojoties uz augstāk minēto MK noteikumos Nr.835 ir nepieciešams iekļaut skaidrojumu, lai nodrošinātu skaidru un nepārprotamu normas pielietošanu, ka biznesa inkubatora operatoram ir tiesības saņemt finansējumu arī par darbības sākumā veiktajām darbībām, proti, vienu gadu sedzot izmaksas par neizmantotajām telpām.  </w:t>
            </w:r>
          </w:p>
          <w:p w:rsidR="00CE4F65" w:rsidRPr="008F3FAE" w:rsidRDefault="0016462B" w:rsidP="007A519B">
            <w:pPr>
              <w:pStyle w:val="ListParagraph"/>
              <w:numPr>
                <w:ilvl w:val="0"/>
                <w:numId w:val="9"/>
              </w:numPr>
              <w:spacing w:before="75"/>
              <w:ind w:left="709"/>
              <w:jc w:val="both"/>
              <w:rPr>
                <w:rFonts w:eastAsia="Times New Roman"/>
                <w:sz w:val="25"/>
                <w:szCs w:val="25"/>
                <w:lang w:val="lv-LV" w:eastAsia="lv-LV"/>
              </w:rPr>
            </w:pPr>
            <w:r w:rsidRPr="008F3FAE">
              <w:rPr>
                <w:sz w:val="25"/>
                <w:szCs w:val="25"/>
                <w:lang w:val="lv-LV" w:eastAsia="lv-LV"/>
              </w:rPr>
              <w:t xml:space="preserve">Papildus tam, ir nesamērīgs apgrūtinājums sadalīt inkubatora operatora darbības (administratīvā) izmaksas uz inkubatora iekļautajiem komersantiem. </w:t>
            </w:r>
            <w:r w:rsidR="001E3996" w:rsidRPr="008F3FAE">
              <w:rPr>
                <w:rFonts w:eastAsia="Times New Roman"/>
                <w:sz w:val="25"/>
                <w:szCs w:val="25"/>
                <w:lang w:val="lv-LV" w:eastAsia="lv-LV"/>
              </w:rPr>
              <w:t>Lai sākuma posmā vienkāršotu inkubatora operatora darbību, operatoram jāļauj izvēlēties vai sadalīt inkubatora darbības (administratīvās)  izmaksas uz komersantiem. Inkubatoriem, kuri nesadala vispārējās darbības izmaksas uz komersantiem, šīs izmaksas tiek uzskatītas par komercdarbības atbalstu pašiem operatoriem. No 2013.gada 1.janvāra min</w:t>
            </w:r>
            <w:r w:rsidR="000C6C6A" w:rsidRPr="008F3FAE">
              <w:rPr>
                <w:rFonts w:eastAsia="Times New Roman"/>
                <w:sz w:val="25"/>
                <w:szCs w:val="25"/>
                <w:lang w:val="lv-LV" w:eastAsia="lv-LV"/>
              </w:rPr>
              <w:t>ētā izmaksas ir jāsadala uz komersantiem.</w:t>
            </w:r>
            <w:r w:rsidR="000C6C6A" w:rsidRPr="008F3FAE">
              <w:rPr>
                <w:rFonts w:eastAsia="Times New Roman"/>
                <w:sz w:val="25"/>
                <w:szCs w:val="25"/>
                <w:lang w:val="lv-LV" w:eastAsia="lv-LV"/>
              </w:rPr>
              <w:br/>
            </w:r>
            <w:r w:rsidR="00C67F5F" w:rsidRPr="008F3FAE">
              <w:rPr>
                <w:rFonts w:eastAsia="Times New Roman"/>
                <w:sz w:val="25"/>
                <w:szCs w:val="25"/>
                <w:lang w:val="lv-LV" w:eastAsia="lv-LV"/>
              </w:rPr>
              <w:t>Saskaņā ar spēkā esoš</w:t>
            </w:r>
            <w:r w:rsidR="00BD6934" w:rsidRPr="008F3FAE">
              <w:rPr>
                <w:rFonts w:eastAsia="Times New Roman"/>
                <w:sz w:val="25"/>
                <w:szCs w:val="25"/>
                <w:lang w:val="lv-LV" w:eastAsia="lv-LV"/>
              </w:rPr>
              <w:t xml:space="preserve">ajiem </w:t>
            </w:r>
            <w:r w:rsidR="00C67F5F" w:rsidRPr="008F3FAE">
              <w:rPr>
                <w:rFonts w:eastAsia="Times New Roman"/>
                <w:sz w:val="25"/>
                <w:szCs w:val="25"/>
                <w:lang w:val="lv-LV" w:eastAsia="lv-LV"/>
              </w:rPr>
              <w:t>MK noteikum</w:t>
            </w:r>
            <w:r w:rsidR="00BD6934" w:rsidRPr="008F3FAE">
              <w:rPr>
                <w:rFonts w:eastAsia="Times New Roman"/>
                <w:sz w:val="25"/>
                <w:szCs w:val="25"/>
                <w:lang w:val="lv-LV" w:eastAsia="lv-LV"/>
              </w:rPr>
              <w:t>iem Nr.835, aktivitātes mērķis ir veicināt jaunu, dzīvotspējīgu un konkurētspējīgu komersantu veidošanos un attīstību Latvijas reģionos, nodrošinot tos ar komercdarbībai nepieciešamo vidi un konsultatīvajiem pakalpojumiem.</w:t>
            </w:r>
            <w:r w:rsidR="007A519B" w:rsidRPr="008F3FAE">
              <w:rPr>
                <w:rFonts w:eastAsia="Times New Roman"/>
                <w:sz w:val="25"/>
                <w:szCs w:val="25"/>
                <w:lang w:val="lv-LV" w:eastAsia="lv-LV"/>
              </w:rPr>
              <w:t xml:space="preserve"> Līdz ar to, gala labuma saņēmējs ir komersants un viss LIAA izmaksātais finansējums ir jāsadala uz komersantiem kā de </w:t>
            </w:r>
            <w:proofErr w:type="spellStart"/>
            <w:r w:rsidR="007A519B" w:rsidRPr="008F3FAE">
              <w:rPr>
                <w:rFonts w:eastAsia="Times New Roman"/>
                <w:sz w:val="25"/>
                <w:szCs w:val="25"/>
                <w:lang w:val="lv-LV" w:eastAsia="lv-LV"/>
              </w:rPr>
              <w:t>minimis</w:t>
            </w:r>
            <w:proofErr w:type="spellEnd"/>
            <w:r w:rsidR="007A519B" w:rsidRPr="008F3FAE">
              <w:rPr>
                <w:rFonts w:eastAsia="Times New Roman"/>
                <w:sz w:val="25"/>
                <w:szCs w:val="25"/>
                <w:lang w:val="lv-LV" w:eastAsia="lv-LV"/>
              </w:rPr>
              <w:t xml:space="preserve"> atbalsts. </w:t>
            </w:r>
          </w:p>
          <w:p w:rsidR="007B2C9A" w:rsidRPr="008F3FAE" w:rsidRDefault="007B2C9A" w:rsidP="007B2C9A">
            <w:pPr>
              <w:pStyle w:val="ListParagraph"/>
              <w:jc w:val="both"/>
              <w:rPr>
                <w:rFonts w:eastAsia="Times New Roman"/>
                <w:sz w:val="25"/>
                <w:szCs w:val="25"/>
                <w:lang w:val="lv-LV" w:eastAsia="lv-LV"/>
              </w:rPr>
            </w:pPr>
            <w:r w:rsidRPr="008F3FAE">
              <w:rPr>
                <w:rFonts w:eastAsia="Times New Roman"/>
                <w:sz w:val="25"/>
                <w:szCs w:val="25"/>
                <w:lang w:val="lv-LV" w:eastAsia="lv-LV"/>
              </w:rPr>
              <w:t xml:space="preserve">No MK noteikumu Nr.835 40.4.punkta izriet, ka visas izmaksas, kas saistītas ar inkubatora apsaimniekošanu un pakalpojumu sniegšanu komersantiem ir attiecināmās izmaksas (var tik segtas no aktivitātes finansējuma). </w:t>
            </w:r>
          </w:p>
          <w:p w:rsidR="007B2C9A" w:rsidRPr="008F3FAE" w:rsidRDefault="007B2C9A" w:rsidP="007B2C9A">
            <w:pPr>
              <w:pStyle w:val="ListParagraph"/>
              <w:jc w:val="both"/>
              <w:rPr>
                <w:rFonts w:eastAsia="Times New Roman"/>
                <w:sz w:val="25"/>
                <w:szCs w:val="25"/>
                <w:lang w:val="lv-LV" w:eastAsia="lv-LV"/>
              </w:rPr>
            </w:pPr>
            <w:r w:rsidRPr="008F3FAE">
              <w:rPr>
                <w:rFonts w:eastAsia="Times New Roman"/>
                <w:sz w:val="25"/>
                <w:szCs w:val="25"/>
                <w:lang w:val="lv-LV" w:eastAsia="lv-LV"/>
              </w:rPr>
              <w:t>Savukārt 63.un 64.punkts nosaka, ka pamats valsts atbalsta uzskaitei ir biznesa inkubatorā iekļautajiem komersantiem sniegto pakalpojumu izmaksas.</w:t>
            </w:r>
            <w:r w:rsidR="00A63E2D" w:rsidRPr="008F3FAE">
              <w:rPr>
                <w:rFonts w:eastAsia="Times New Roman"/>
                <w:sz w:val="25"/>
                <w:szCs w:val="25"/>
                <w:lang w:val="lv-LV" w:eastAsia="lv-LV"/>
              </w:rPr>
              <w:t xml:space="preserve">  </w:t>
            </w:r>
            <w:r w:rsidR="000C6C6A" w:rsidRPr="008F3FAE">
              <w:rPr>
                <w:rFonts w:eastAsia="Times New Roman"/>
                <w:sz w:val="25"/>
                <w:szCs w:val="25"/>
                <w:lang w:val="lv-LV" w:eastAsia="lv-LV"/>
              </w:rPr>
              <w:t xml:space="preserve">Tas nozīmē, ka vispārējās biznesa inkubatora darbības izmaksas (piemēram, paša biznesa inkubatora operatora administratīvās izmaksas) ir </w:t>
            </w:r>
            <w:r w:rsidRPr="008F3FAE">
              <w:rPr>
                <w:rFonts w:eastAsia="Times New Roman"/>
                <w:sz w:val="25"/>
                <w:szCs w:val="25"/>
                <w:lang w:val="lv-LV" w:eastAsia="lv-LV"/>
              </w:rPr>
              <w:t>jāpieskaita pakalpojumu tiešajām izmaksām.</w:t>
            </w:r>
            <w:r w:rsidR="0040463B" w:rsidRPr="008F3FAE">
              <w:rPr>
                <w:rFonts w:eastAsia="Times New Roman"/>
                <w:sz w:val="25"/>
                <w:szCs w:val="25"/>
                <w:lang w:val="lv-LV" w:eastAsia="lv-LV"/>
              </w:rPr>
              <w:t xml:space="preserve"> Piemēram, izdalot </w:t>
            </w:r>
            <w:r w:rsidR="000C6C6A" w:rsidRPr="008F3FAE">
              <w:rPr>
                <w:rFonts w:eastAsia="Times New Roman"/>
                <w:sz w:val="25"/>
                <w:szCs w:val="25"/>
                <w:lang w:val="lv-LV" w:eastAsia="lv-LV"/>
              </w:rPr>
              <w:t xml:space="preserve">biznesa inkubatora operatora administratīvās izmaksas ar </w:t>
            </w:r>
            <w:r w:rsidRPr="008F3FAE">
              <w:rPr>
                <w:rFonts w:eastAsia="Times New Roman"/>
                <w:sz w:val="25"/>
                <w:szCs w:val="25"/>
                <w:lang w:val="lv-LV" w:eastAsia="lv-LV"/>
              </w:rPr>
              <w:t>aizņemot inkubatora platību</w:t>
            </w:r>
            <w:r w:rsidR="0040463B" w:rsidRPr="008F3FAE">
              <w:rPr>
                <w:rFonts w:eastAsia="Times New Roman"/>
                <w:sz w:val="25"/>
                <w:szCs w:val="25"/>
                <w:lang w:val="lv-LV" w:eastAsia="lv-LV"/>
              </w:rPr>
              <w:t xml:space="preserve">. </w:t>
            </w:r>
            <w:r w:rsidRPr="008F3FAE">
              <w:rPr>
                <w:rFonts w:eastAsia="Times New Roman"/>
                <w:sz w:val="25"/>
                <w:szCs w:val="25"/>
                <w:lang w:val="lv-LV" w:eastAsia="lv-LV"/>
              </w:rPr>
              <w:t xml:space="preserve">Izrakstot rēķinu par telpu nomu, inkubatora administratīvās izmaksas tiek pieskaitītas nomas maksai proporcionāli attiecīgā komersanta aizņemtajai platību. </w:t>
            </w:r>
          </w:p>
          <w:p w:rsidR="00003815" w:rsidRPr="008F3FAE" w:rsidRDefault="00003815" w:rsidP="00003815">
            <w:pPr>
              <w:pStyle w:val="ListParagraph"/>
              <w:numPr>
                <w:ilvl w:val="0"/>
                <w:numId w:val="9"/>
              </w:numPr>
              <w:spacing w:before="75"/>
              <w:jc w:val="both"/>
              <w:rPr>
                <w:rFonts w:eastAsia="Times New Roman"/>
                <w:sz w:val="25"/>
                <w:szCs w:val="25"/>
                <w:lang w:val="lv-LV" w:eastAsia="lv-LV"/>
              </w:rPr>
            </w:pPr>
            <w:r w:rsidRPr="008F3FAE">
              <w:rPr>
                <w:rFonts w:eastAsia="Times New Roman"/>
                <w:sz w:val="25"/>
                <w:szCs w:val="25"/>
                <w:lang w:val="lv-LV" w:eastAsia="lv-LV"/>
              </w:rPr>
              <w:t xml:space="preserve">MK noteikumi Nr.835 uzliek pienākumu </w:t>
            </w:r>
            <w:r w:rsidRPr="008F3FAE">
              <w:rPr>
                <w:sz w:val="25"/>
                <w:szCs w:val="25"/>
                <w:lang w:val="lv-LV" w:eastAsia="lv-LV"/>
              </w:rPr>
              <w:t xml:space="preserve">inkubatora operatoram sniegt minimālos pakalpojumus komersantiem, bet pietiekoši precīzi neatrunā tiesības sniegt arī papildus pakalpojumus. </w:t>
            </w:r>
            <w:r w:rsidR="00E62F4C" w:rsidRPr="008F3FAE">
              <w:rPr>
                <w:sz w:val="25"/>
                <w:szCs w:val="25"/>
                <w:lang w:val="lv-LV" w:eastAsia="lv-LV"/>
              </w:rPr>
              <w:t>Piemēram, laboratorijas iekārtu izmantošana, dizaina konsultācijas, testēšanas pakalpojumi, loģistikas konsultācijas u.c. pakalpojumi (šie pakalpojumi katrā inkubatorā var būt atšķirīgi).</w:t>
            </w:r>
          </w:p>
          <w:p w:rsidR="00003815" w:rsidRPr="008F3FAE" w:rsidRDefault="009A5386" w:rsidP="00003815">
            <w:pPr>
              <w:pStyle w:val="ListParagraph"/>
              <w:spacing w:before="75"/>
              <w:jc w:val="both"/>
              <w:rPr>
                <w:rFonts w:eastAsia="Times New Roman"/>
                <w:sz w:val="25"/>
                <w:szCs w:val="25"/>
                <w:lang w:val="lv-LV" w:eastAsia="lv-LV"/>
              </w:rPr>
            </w:pPr>
            <w:r w:rsidRPr="008F3FAE">
              <w:rPr>
                <w:rFonts w:eastAsia="Times New Roman"/>
                <w:sz w:val="25"/>
                <w:szCs w:val="25"/>
                <w:lang w:val="lv-LV" w:eastAsia="lv-LV"/>
              </w:rPr>
              <w:t xml:space="preserve">Tāpēc nepieciešams precizēt MK noteikumos Nr.835 iekļautās normas, lai skaidri un nepārprotami atļautu inkubatoru operatoriem sniegt arī papildus pakalpojumus komersantiem.  </w:t>
            </w:r>
          </w:p>
          <w:p w:rsidR="00CA5A64" w:rsidRPr="008F3FAE" w:rsidRDefault="00CA5A64" w:rsidP="009126A0">
            <w:pPr>
              <w:spacing w:before="75"/>
              <w:ind w:firstLine="720"/>
              <w:jc w:val="both"/>
              <w:rPr>
                <w:rFonts w:eastAsia="Times New Roman"/>
                <w:sz w:val="25"/>
                <w:szCs w:val="25"/>
                <w:lang w:val="lv-LV" w:eastAsia="lv-LV"/>
              </w:rPr>
            </w:pPr>
            <w:r w:rsidRPr="008F3FAE">
              <w:rPr>
                <w:rFonts w:eastAsia="Times New Roman"/>
                <w:sz w:val="25"/>
                <w:szCs w:val="25"/>
                <w:lang w:val="lv-LV" w:eastAsia="lv-LV"/>
              </w:rPr>
              <w:t xml:space="preserve">Ņemot vērā, ka MK noteikumi Nr.835 neparedzēja </w:t>
            </w:r>
            <w:r w:rsidR="004879F5" w:rsidRPr="008F3FAE">
              <w:rPr>
                <w:rFonts w:eastAsia="Times New Roman"/>
                <w:sz w:val="25"/>
                <w:szCs w:val="25"/>
                <w:lang w:val="lv-LV" w:eastAsia="lv-LV"/>
              </w:rPr>
              <w:t xml:space="preserve">  </w:t>
            </w:r>
            <w:r w:rsidRPr="008F3FAE">
              <w:rPr>
                <w:rFonts w:eastAsia="Times New Roman"/>
                <w:sz w:val="25"/>
                <w:szCs w:val="25"/>
                <w:lang w:val="lv-LV" w:eastAsia="lv-LV"/>
              </w:rPr>
              <w:t>LIAA rīcību augstāk norād</w:t>
            </w:r>
            <w:r w:rsidR="00D34A6E" w:rsidRPr="008F3FAE">
              <w:rPr>
                <w:rFonts w:eastAsia="Times New Roman"/>
                <w:sz w:val="25"/>
                <w:szCs w:val="25"/>
                <w:lang w:val="lv-LV" w:eastAsia="lv-LV"/>
              </w:rPr>
              <w:t>ītajos</w:t>
            </w:r>
            <w:r w:rsidRPr="008F3FAE">
              <w:rPr>
                <w:rFonts w:eastAsia="Times New Roman"/>
                <w:sz w:val="25"/>
                <w:szCs w:val="25"/>
                <w:lang w:val="lv-LV" w:eastAsia="lv-LV"/>
              </w:rPr>
              <w:t xml:space="preserve"> gadījumos, LIAA, lai nodrošinātu samērīgu un ekonomiski pamatotu biznesa inkubatora darbību, šādus principus, proti, biznesa inkubatora operatora tiesības saņemt finansējumu arī par neaizņemtā telpām pirmajā darbībās gadā, tiesības neveikt inkubatora darbības izmaksu sadalījumu uz katru biznesa inkubatorā iesaistīto komersantu, </w:t>
            </w:r>
            <w:r w:rsidR="009A5386" w:rsidRPr="008F3FAE">
              <w:rPr>
                <w:rFonts w:eastAsia="Times New Roman"/>
                <w:sz w:val="25"/>
                <w:szCs w:val="25"/>
                <w:lang w:val="lv-LV" w:eastAsia="lv-LV"/>
              </w:rPr>
              <w:t xml:space="preserve">kā arī tiesības sniegt papildus pakalpojumus </w:t>
            </w:r>
            <w:r w:rsidRPr="008F3FAE">
              <w:rPr>
                <w:rFonts w:eastAsia="Times New Roman"/>
                <w:sz w:val="25"/>
                <w:szCs w:val="25"/>
                <w:lang w:val="lv-LV" w:eastAsia="lv-LV"/>
              </w:rPr>
              <w:t xml:space="preserve">ir iestrādājusi iepirkuma dokumentācijā un līgumos ar biznesa inkubatora operatoriem.  </w:t>
            </w:r>
            <w:r w:rsidR="00C932EC" w:rsidRPr="008F3FAE">
              <w:rPr>
                <w:rFonts w:eastAsia="Times New Roman"/>
                <w:sz w:val="25"/>
                <w:szCs w:val="25"/>
                <w:lang w:val="lv-LV" w:eastAsia="lv-LV"/>
              </w:rPr>
              <w:t xml:space="preserve">Tas nozīmē, ka visi potenciālie </w:t>
            </w:r>
            <w:r w:rsidR="007C7593" w:rsidRPr="008F3FAE">
              <w:rPr>
                <w:rFonts w:eastAsia="Times New Roman"/>
                <w:sz w:val="25"/>
                <w:szCs w:val="25"/>
                <w:lang w:val="lv-LV" w:eastAsia="lv-LV"/>
              </w:rPr>
              <w:t>piegādātāji</w:t>
            </w:r>
            <w:r w:rsidR="000A5739" w:rsidRPr="008F3FAE">
              <w:rPr>
                <w:rFonts w:eastAsia="Times New Roman"/>
                <w:sz w:val="25"/>
                <w:szCs w:val="25"/>
                <w:lang w:val="lv-LV" w:eastAsia="lv-LV"/>
              </w:rPr>
              <w:t xml:space="preserve"> jau sākotnēji</w:t>
            </w:r>
            <w:r w:rsidR="007C7593" w:rsidRPr="008F3FAE">
              <w:rPr>
                <w:rFonts w:eastAsia="Times New Roman"/>
                <w:sz w:val="25"/>
                <w:szCs w:val="25"/>
                <w:lang w:val="lv-LV" w:eastAsia="lv-LV"/>
              </w:rPr>
              <w:t xml:space="preserve"> bija informēti par šiem risinājumiem un varēja iesniegt savus piedāvājumus.</w:t>
            </w:r>
          </w:p>
          <w:p w:rsidR="008375E3" w:rsidRPr="008F3FAE" w:rsidRDefault="00D34A6E" w:rsidP="009126A0">
            <w:pPr>
              <w:spacing w:before="75"/>
              <w:ind w:firstLine="720"/>
              <w:jc w:val="both"/>
              <w:rPr>
                <w:rFonts w:eastAsia="Times New Roman"/>
                <w:sz w:val="25"/>
                <w:szCs w:val="25"/>
                <w:lang w:val="lv-LV" w:eastAsia="lv-LV"/>
              </w:rPr>
            </w:pPr>
            <w:r w:rsidRPr="008F3FAE">
              <w:rPr>
                <w:rFonts w:eastAsia="Times New Roman"/>
                <w:sz w:val="25"/>
                <w:szCs w:val="25"/>
                <w:lang w:val="lv-LV" w:eastAsia="lv-LV"/>
              </w:rPr>
              <w:t>Līdz ar to, grozot MK noteikumus Nr.835, netiek kropļota konkurence.</w:t>
            </w:r>
          </w:p>
          <w:p w:rsidR="008375E3" w:rsidRPr="008F3FAE" w:rsidRDefault="0089484D" w:rsidP="009126A0">
            <w:pPr>
              <w:spacing w:before="75"/>
              <w:ind w:firstLine="720"/>
              <w:jc w:val="both"/>
              <w:rPr>
                <w:rFonts w:eastAsia="Times New Roman"/>
                <w:sz w:val="25"/>
                <w:szCs w:val="25"/>
                <w:lang w:val="lv-LV" w:eastAsia="lv-LV"/>
              </w:rPr>
            </w:pPr>
            <w:r w:rsidRPr="008F3FAE">
              <w:rPr>
                <w:rFonts w:eastAsia="Times New Roman"/>
                <w:sz w:val="25"/>
                <w:szCs w:val="25"/>
                <w:lang w:val="lv-LV" w:eastAsia="lv-LV"/>
              </w:rPr>
              <w:t>Ekonomikas ministrija norāda, ka</w:t>
            </w:r>
            <w:r w:rsidR="00C50273" w:rsidRPr="008F3FAE">
              <w:rPr>
                <w:rFonts w:eastAsia="Times New Roman"/>
                <w:sz w:val="25"/>
                <w:szCs w:val="25"/>
                <w:lang w:val="lv-LV" w:eastAsia="lv-LV"/>
              </w:rPr>
              <w:t>,</w:t>
            </w:r>
            <w:r w:rsidRPr="008F3FAE">
              <w:rPr>
                <w:rFonts w:eastAsia="Times New Roman"/>
                <w:sz w:val="25"/>
                <w:szCs w:val="25"/>
                <w:lang w:val="lv-LV" w:eastAsia="lv-LV"/>
              </w:rPr>
              <w:t xml:space="preserve"> atbilstoši MK noteikumu Nr.835 prasībām</w:t>
            </w:r>
            <w:r w:rsidR="00C50273" w:rsidRPr="008F3FAE">
              <w:rPr>
                <w:rFonts w:eastAsia="Times New Roman"/>
                <w:sz w:val="25"/>
                <w:szCs w:val="25"/>
                <w:lang w:val="lv-LV" w:eastAsia="lv-LV"/>
              </w:rPr>
              <w:t>,</w:t>
            </w:r>
            <w:r w:rsidRPr="008F3FAE">
              <w:rPr>
                <w:rFonts w:eastAsia="Times New Roman"/>
                <w:sz w:val="25"/>
                <w:szCs w:val="25"/>
                <w:lang w:val="lv-LV" w:eastAsia="lv-LV"/>
              </w:rPr>
              <w:t xml:space="preserve"> biznesu inkubatoru operatoru atlases kārta ir noslēgusies, līdz ar to grozījumi attiecināmi uz esošo biznesa inkubatoru darbību.</w:t>
            </w:r>
          </w:p>
          <w:p w:rsidR="00ED1EA2" w:rsidRPr="008F3FAE" w:rsidRDefault="0089484D" w:rsidP="000F0E51">
            <w:pPr>
              <w:ind w:firstLine="720"/>
              <w:jc w:val="both"/>
              <w:rPr>
                <w:sz w:val="25"/>
                <w:szCs w:val="25"/>
                <w:lang w:val="lv-LV"/>
              </w:rPr>
            </w:pPr>
            <w:r w:rsidRPr="008F3FAE">
              <w:rPr>
                <w:rFonts w:eastAsia="Times New Roman"/>
                <w:sz w:val="25"/>
                <w:szCs w:val="25"/>
                <w:lang w:val="lv-LV" w:eastAsia="lv-LV"/>
              </w:rPr>
              <w:t xml:space="preserve">Grozījumi </w:t>
            </w:r>
            <w:r w:rsidR="00CA5A64" w:rsidRPr="008F3FAE">
              <w:rPr>
                <w:rFonts w:eastAsia="Times New Roman"/>
                <w:sz w:val="25"/>
                <w:szCs w:val="25"/>
                <w:lang w:val="lv-LV" w:eastAsia="lv-LV"/>
              </w:rPr>
              <w:t xml:space="preserve">uzskatāmi par biznesa operatoriem labvēlīgākiem un nemaina to tiesisko </w:t>
            </w:r>
            <w:r w:rsidR="00D34A6E" w:rsidRPr="008F3FAE">
              <w:rPr>
                <w:rFonts w:eastAsia="Times New Roman"/>
                <w:sz w:val="25"/>
                <w:szCs w:val="25"/>
                <w:lang w:val="lv-LV" w:eastAsia="lv-LV"/>
              </w:rPr>
              <w:t>stāvokli, jo nostiprina jau līgumā starp LIAA un biznesa inkubatora operatoriem nostiprināto kārtību</w:t>
            </w:r>
            <w:r w:rsidRPr="008F3FAE">
              <w:rPr>
                <w:rFonts w:eastAsia="Times New Roman"/>
                <w:sz w:val="25"/>
                <w:szCs w:val="25"/>
                <w:lang w:val="lv-LV" w:eastAsia="lv-LV"/>
              </w:rPr>
              <w:t>. Līdz ar to</w:t>
            </w:r>
            <w:r w:rsidR="00E8312B" w:rsidRPr="008F3FAE">
              <w:rPr>
                <w:rFonts w:eastAsia="Times New Roman"/>
                <w:sz w:val="25"/>
                <w:szCs w:val="25"/>
                <w:lang w:val="lv-LV" w:eastAsia="lv-LV"/>
              </w:rPr>
              <w:t>, izmaksas, kas minētas MK noteikumu Nr.835 grozījumos</w:t>
            </w:r>
            <w:r w:rsidR="000F0E51" w:rsidRPr="008F3FAE">
              <w:rPr>
                <w:rFonts w:eastAsia="Times New Roman"/>
                <w:sz w:val="25"/>
                <w:szCs w:val="25"/>
                <w:lang w:val="lv-LV" w:eastAsia="lv-LV"/>
              </w:rPr>
              <w:t>,</w:t>
            </w:r>
            <w:r w:rsidR="00E8312B" w:rsidRPr="008F3FAE">
              <w:rPr>
                <w:rFonts w:eastAsia="Times New Roman"/>
                <w:sz w:val="25"/>
                <w:szCs w:val="25"/>
                <w:lang w:val="lv-LV" w:eastAsia="lv-LV"/>
              </w:rPr>
              <w:t xml:space="preserve"> ir attiecināmas</w:t>
            </w:r>
            <w:r w:rsidR="000F0E51" w:rsidRPr="008F3FAE">
              <w:rPr>
                <w:rFonts w:eastAsia="Times New Roman"/>
                <w:sz w:val="25"/>
                <w:szCs w:val="25"/>
                <w:lang w:val="lv-LV" w:eastAsia="lv-LV"/>
              </w:rPr>
              <w:t xml:space="preserve"> (var tik segtas no aktivitātes finansējuma)</w:t>
            </w:r>
            <w:r w:rsidR="00E8312B" w:rsidRPr="008F3FAE">
              <w:rPr>
                <w:rFonts w:eastAsia="Times New Roman"/>
                <w:sz w:val="25"/>
                <w:szCs w:val="25"/>
                <w:lang w:val="lv-LV" w:eastAsia="lv-LV"/>
              </w:rPr>
              <w:t xml:space="preserve">, ja tās radušās pēc </w:t>
            </w:r>
            <w:r w:rsidRPr="008F3FAE">
              <w:rPr>
                <w:sz w:val="25"/>
                <w:szCs w:val="25"/>
                <w:lang w:val="lv-LV"/>
              </w:rPr>
              <w:t xml:space="preserve">MK noteikumu Nr.835 </w:t>
            </w:r>
            <w:r w:rsidR="00E8312B" w:rsidRPr="008F3FAE">
              <w:rPr>
                <w:sz w:val="25"/>
                <w:szCs w:val="25"/>
                <w:lang w:val="lv-LV"/>
              </w:rPr>
              <w:t xml:space="preserve">spēkā stāšanās </w:t>
            </w:r>
            <w:r w:rsidRPr="008F3FAE">
              <w:rPr>
                <w:sz w:val="25"/>
                <w:szCs w:val="25"/>
                <w:lang w:val="lv-LV"/>
              </w:rPr>
              <w:t>brīža.</w:t>
            </w:r>
          </w:p>
        </w:tc>
      </w:tr>
      <w:tr w:rsidR="00537A29" w:rsidRPr="008F3FAE" w:rsidTr="00C257B7">
        <w:trPr>
          <w:trHeight w:val="360"/>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8F3FAE" w:rsidRDefault="00537A29" w:rsidP="00CE5A53">
            <w:pPr>
              <w:rPr>
                <w:rFonts w:eastAsia="Times New Roman"/>
                <w:sz w:val="25"/>
                <w:szCs w:val="25"/>
                <w:lang w:val="lv-LV" w:eastAsia="lv-LV"/>
              </w:rPr>
            </w:pPr>
            <w:r w:rsidRPr="008F3FAE">
              <w:rPr>
                <w:rFonts w:eastAsia="Times New Roman"/>
                <w:sz w:val="25"/>
                <w:szCs w:val="25"/>
                <w:lang w:val="lv-LV" w:eastAsia="lv-LV"/>
              </w:rPr>
              <w:lastRenderedPageBreak/>
              <w:t>3. Saistītie politikas ietekmes novērtējumi un pētījumi</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FA3D2C" w:rsidRPr="008F3FAE" w:rsidRDefault="00FA3D2C" w:rsidP="00FA3D2C">
            <w:pPr>
              <w:pStyle w:val="NormalWeb"/>
              <w:spacing w:before="0" w:beforeAutospacing="0" w:after="0" w:afterAutospacing="0"/>
              <w:rPr>
                <w:b/>
                <w:sz w:val="25"/>
                <w:szCs w:val="25"/>
                <w:lang w:val="lv-LV"/>
              </w:rPr>
            </w:pPr>
            <w:r w:rsidRPr="008F3FAE">
              <w:rPr>
                <w:iCs/>
                <w:sz w:val="25"/>
                <w:szCs w:val="25"/>
                <w:lang w:val="lv-LV"/>
              </w:rPr>
              <w:t>Projekts šo jomu neskar</w:t>
            </w:r>
            <w:r w:rsidRPr="008F3FAE">
              <w:rPr>
                <w:b/>
                <w:sz w:val="25"/>
                <w:szCs w:val="25"/>
                <w:lang w:val="lv-LV"/>
              </w:rPr>
              <w:t>.</w:t>
            </w:r>
          </w:p>
          <w:p w:rsidR="00004E51" w:rsidRPr="008F3FAE" w:rsidRDefault="00004E51" w:rsidP="00CE5A53">
            <w:pPr>
              <w:jc w:val="both"/>
              <w:rPr>
                <w:color w:val="000000"/>
                <w:sz w:val="25"/>
                <w:szCs w:val="25"/>
                <w:lang w:val="lv-LV"/>
              </w:rPr>
            </w:pPr>
          </w:p>
        </w:tc>
      </w:tr>
      <w:tr w:rsidR="00BB09C5" w:rsidRPr="008F3FAE" w:rsidTr="00C257B7">
        <w:trPr>
          <w:trHeight w:val="1068"/>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8F3FAE" w:rsidRDefault="00537A29" w:rsidP="00CE5A53">
            <w:pPr>
              <w:rPr>
                <w:rFonts w:eastAsia="Times New Roman"/>
                <w:sz w:val="25"/>
                <w:szCs w:val="25"/>
                <w:lang w:val="lv-LV" w:eastAsia="lv-LV"/>
              </w:rPr>
            </w:pPr>
            <w:r w:rsidRPr="008F3FAE">
              <w:rPr>
                <w:rFonts w:eastAsia="Times New Roman"/>
                <w:sz w:val="25"/>
                <w:szCs w:val="25"/>
                <w:lang w:val="lv-LV" w:eastAsia="lv-LV"/>
              </w:rPr>
              <w:t>4. Tiesiskā regulējuma mērķis un būtība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E86B6D" w:rsidRPr="008F3FAE" w:rsidRDefault="00E86B6D" w:rsidP="00BA5EB1">
            <w:pPr>
              <w:jc w:val="both"/>
              <w:rPr>
                <w:color w:val="000000" w:themeColor="text1"/>
                <w:sz w:val="25"/>
                <w:szCs w:val="25"/>
                <w:lang w:val="lv-LV"/>
              </w:rPr>
            </w:pPr>
            <w:r w:rsidRPr="008F3FAE">
              <w:rPr>
                <w:color w:val="000000" w:themeColor="text1"/>
                <w:sz w:val="25"/>
                <w:szCs w:val="25"/>
                <w:lang w:val="lv-LV"/>
              </w:rPr>
              <w:t xml:space="preserve">MK noteikumos </w:t>
            </w:r>
            <w:r w:rsidR="00D82F66" w:rsidRPr="008F3FAE">
              <w:rPr>
                <w:color w:val="000000" w:themeColor="text1"/>
                <w:sz w:val="25"/>
                <w:szCs w:val="25"/>
                <w:lang w:val="lv-LV"/>
              </w:rPr>
              <w:t>paredzēt sekojošus risinājumus, kas vienkāršo „Biznesa inkubatoru” aktivitātes īstenošanu:</w:t>
            </w:r>
          </w:p>
          <w:p w:rsidR="00D82F66" w:rsidRPr="008F3FAE" w:rsidRDefault="00D82F66" w:rsidP="00D82F66">
            <w:pPr>
              <w:spacing w:before="75"/>
              <w:ind w:firstLine="552"/>
              <w:jc w:val="both"/>
              <w:rPr>
                <w:rFonts w:eastAsia="Times New Roman"/>
                <w:sz w:val="25"/>
                <w:szCs w:val="25"/>
                <w:lang w:val="lv-LV" w:eastAsia="lv-LV"/>
              </w:rPr>
            </w:pPr>
            <w:r w:rsidRPr="008F3FAE">
              <w:rPr>
                <w:rFonts w:eastAsia="Times New Roman"/>
                <w:sz w:val="25"/>
                <w:szCs w:val="25"/>
                <w:lang w:val="lv-LV" w:eastAsia="lv-LV"/>
              </w:rPr>
              <w:t>Paredzēt komercdarbības atbalstu biznesa inkubatora operatoram tā darbības sākumā – vienu gadu sedzot izmaksas par neizmantotajām telpām.</w:t>
            </w:r>
          </w:p>
          <w:p w:rsidR="00CE53B5" w:rsidRPr="008F3FAE" w:rsidRDefault="00CE53B5" w:rsidP="00D82F66">
            <w:pPr>
              <w:spacing w:before="75"/>
              <w:ind w:firstLine="552"/>
              <w:jc w:val="both"/>
              <w:rPr>
                <w:rFonts w:eastAsia="Times New Roman"/>
                <w:sz w:val="25"/>
                <w:szCs w:val="25"/>
                <w:lang w:val="lv-LV" w:eastAsia="lv-LV"/>
              </w:rPr>
            </w:pPr>
            <w:r w:rsidRPr="008F3FAE">
              <w:rPr>
                <w:rFonts w:eastAsia="Times New Roman"/>
                <w:sz w:val="25"/>
                <w:szCs w:val="25"/>
                <w:lang w:val="lv-LV" w:eastAsia="lv-LV"/>
              </w:rPr>
              <w:t xml:space="preserve">Attiecīgi ir jāprecizē </w:t>
            </w:r>
            <w:r w:rsidR="00F5252F" w:rsidRPr="008F3FAE">
              <w:rPr>
                <w:rFonts w:eastAsia="Times New Roman"/>
                <w:sz w:val="25"/>
                <w:szCs w:val="25"/>
                <w:lang w:val="lv-LV" w:eastAsia="lv-LV"/>
              </w:rPr>
              <w:t>MK noteikumu Nr.835 54.punkts</w:t>
            </w:r>
            <w:r w:rsidR="00B23D37" w:rsidRPr="008F3FAE">
              <w:rPr>
                <w:rFonts w:eastAsia="Times New Roman"/>
                <w:sz w:val="25"/>
                <w:szCs w:val="25"/>
                <w:lang w:val="lv-LV" w:eastAsia="lv-LV"/>
              </w:rPr>
              <w:t>, atrunājot, ka LIAA</w:t>
            </w:r>
            <w:r w:rsidR="007962D2" w:rsidRPr="008F3FAE">
              <w:rPr>
                <w:rFonts w:eastAsia="Times New Roman"/>
                <w:sz w:val="25"/>
                <w:szCs w:val="25"/>
                <w:lang w:val="lv-LV" w:eastAsia="lv-LV"/>
              </w:rPr>
              <w:t xml:space="preserve"> </w:t>
            </w:r>
            <w:r w:rsidR="007B2C9A" w:rsidRPr="008F3FAE">
              <w:rPr>
                <w:rFonts w:eastAsia="Times New Roman"/>
                <w:sz w:val="25"/>
                <w:szCs w:val="25"/>
                <w:lang w:val="lv-LV" w:eastAsia="lv-LV"/>
              </w:rPr>
              <w:t>piešķir un</w:t>
            </w:r>
            <w:r w:rsidR="00B23D37" w:rsidRPr="008F3FAE">
              <w:rPr>
                <w:rFonts w:eastAsia="Times New Roman"/>
                <w:sz w:val="25"/>
                <w:szCs w:val="25"/>
                <w:lang w:val="lv-LV" w:eastAsia="lv-LV"/>
              </w:rPr>
              <w:t xml:space="preserve"> uzskaita biznesu inkubatoru operatoriem piešķirto</w:t>
            </w:r>
            <w:r w:rsidR="007962D2" w:rsidRPr="008F3FAE">
              <w:rPr>
                <w:rFonts w:eastAsia="Times New Roman"/>
                <w:sz w:val="25"/>
                <w:szCs w:val="25"/>
                <w:lang w:val="lv-LV" w:eastAsia="lv-LV"/>
              </w:rPr>
              <w:t xml:space="preserve"> </w:t>
            </w:r>
            <w:r w:rsidR="00B23D37" w:rsidRPr="008F3FAE">
              <w:rPr>
                <w:rFonts w:eastAsia="Times New Roman"/>
                <w:sz w:val="25"/>
                <w:szCs w:val="25"/>
                <w:lang w:val="lv-LV" w:eastAsia="lv-LV"/>
              </w:rPr>
              <w:t xml:space="preserve">atbalstu. Savukārt </w:t>
            </w:r>
            <w:r w:rsidR="00E35168" w:rsidRPr="008F3FAE">
              <w:rPr>
                <w:sz w:val="25"/>
                <w:szCs w:val="25"/>
                <w:lang w:val="lv-LV" w:eastAsia="lv-LV"/>
              </w:rPr>
              <w:t xml:space="preserve">inkubatorā iekļautajiem komersantiem, tā pat kā līdz šim, </w:t>
            </w:r>
            <w:r w:rsidR="007B2C9A" w:rsidRPr="008F3FAE">
              <w:rPr>
                <w:sz w:val="25"/>
                <w:szCs w:val="25"/>
                <w:lang w:val="lv-LV" w:eastAsia="lv-LV"/>
              </w:rPr>
              <w:t>atbalstu piešķir</w:t>
            </w:r>
            <w:r w:rsidR="007962D2" w:rsidRPr="008F3FAE">
              <w:rPr>
                <w:sz w:val="25"/>
                <w:szCs w:val="25"/>
                <w:lang w:val="lv-LV" w:eastAsia="lv-LV"/>
              </w:rPr>
              <w:t xml:space="preserve"> un </w:t>
            </w:r>
            <w:r w:rsidR="00E35168" w:rsidRPr="008F3FAE">
              <w:rPr>
                <w:sz w:val="25"/>
                <w:szCs w:val="25"/>
                <w:lang w:val="lv-LV" w:eastAsia="lv-LV"/>
              </w:rPr>
              <w:t xml:space="preserve">piešķirto atbalstu uzskaita inkubatora </w:t>
            </w:r>
            <w:r w:rsidR="000A2DD6" w:rsidRPr="008F3FAE">
              <w:rPr>
                <w:sz w:val="25"/>
                <w:szCs w:val="25"/>
                <w:lang w:val="lv-LV" w:eastAsia="lv-LV"/>
              </w:rPr>
              <w:t>operators. Papildus tam, tiek atrunāts, ka līgumā, ko LIAA ir noslēgusi ar biznesa inkubatora operatoru, LIAA ir  deleģējusi atbalsta uzskaiti operatoram.</w:t>
            </w:r>
            <w:r w:rsidR="00BF2A6B" w:rsidRPr="008F3FAE">
              <w:rPr>
                <w:sz w:val="25"/>
                <w:szCs w:val="25"/>
                <w:lang w:val="lv-LV" w:eastAsia="lv-LV"/>
              </w:rPr>
              <w:t xml:space="preserve"> </w:t>
            </w:r>
          </w:p>
          <w:p w:rsidR="009A5386" w:rsidRPr="008F3FAE" w:rsidRDefault="00D82F66" w:rsidP="009A5386">
            <w:pPr>
              <w:spacing w:before="75"/>
              <w:ind w:firstLine="552"/>
              <w:jc w:val="both"/>
              <w:rPr>
                <w:rFonts w:eastAsia="Times New Roman"/>
                <w:sz w:val="25"/>
                <w:szCs w:val="25"/>
                <w:lang w:val="lv-LV" w:eastAsia="lv-LV"/>
              </w:rPr>
            </w:pPr>
            <w:r w:rsidRPr="008F3FAE">
              <w:rPr>
                <w:rFonts w:eastAsia="Times New Roman"/>
                <w:sz w:val="25"/>
                <w:szCs w:val="25"/>
                <w:lang w:val="lv-LV" w:eastAsia="lv-LV"/>
              </w:rPr>
              <w:t xml:space="preserve">Lai </w:t>
            </w:r>
            <w:r w:rsidR="004D049F" w:rsidRPr="008F3FAE">
              <w:rPr>
                <w:rFonts w:eastAsia="Times New Roman"/>
                <w:sz w:val="25"/>
                <w:szCs w:val="25"/>
                <w:lang w:val="lv-LV" w:eastAsia="lv-LV"/>
              </w:rPr>
              <w:t xml:space="preserve">sākuma posmā </w:t>
            </w:r>
            <w:r w:rsidRPr="008F3FAE">
              <w:rPr>
                <w:rFonts w:eastAsia="Times New Roman"/>
                <w:sz w:val="25"/>
                <w:szCs w:val="25"/>
                <w:lang w:val="lv-LV" w:eastAsia="lv-LV"/>
              </w:rPr>
              <w:t xml:space="preserve">vienkāršotu inkubatora operatora darbību, operators </w:t>
            </w:r>
            <w:r w:rsidR="004D049F" w:rsidRPr="008F3FAE">
              <w:rPr>
                <w:rFonts w:eastAsia="Times New Roman"/>
                <w:sz w:val="25"/>
                <w:szCs w:val="25"/>
                <w:lang w:val="lv-LV" w:eastAsia="lv-LV"/>
              </w:rPr>
              <w:t xml:space="preserve">līdz 2012.gada 31.decembrim </w:t>
            </w:r>
            <w:r w:rsidRPr="008F3FAE">
              <w:rPr>
                <w:rFonts w:eastAsia="Times New Roman"/>
                <w:sz w:val="25"/>
                <w:szCs w:val="25"/>
                <w:lang w:val="lv-LV" w:eastAsia="lv-LV"/>
              </w:rPr>
              <w:t>var izvēlēties vai sadalīt inkubatora darbības (administratīvās)  izmaksas uz komersantiem. Inkubatoriem, kuri nesadala vispārējās darbības izmaksas uz komersantiem, šīs izmaksas tiek uzskatītas par komercdarbības atbalstu pašiem operatoriem.</w:t>
            </w:r>
            <w:r w:rsidR="00C265D4" w:rsidRPr="008F3FAE">
              <w:rPr>
                <w:rFonts w:eastAsia="Times New Roman"/>
                <w:sz w:val="25"/>
                <w:szCs w:val="25"/>
                <w:lang w:val="lv-LV" w:eastAsia="lv-LV"/>
              </w:rPr>
              <w:t xml:space="preserve"> </w:t>
            </w:r>
            <w:r w:rsidR="004D049F" w:rsidRPr="008F3FAE">
              <w:rPr>
                <w:rFonts w:eastAsia="Times New Roman"/>
                <w:sz w:val="25"/>
                <w:szCs w:val="25"/>
                <w:lang w:val="lv-LV" w:eastAsia="lv-LV"/>
              </w:rPr>
              <w:t xml:space="preserve">No 2013.gada 1.janvāra minētā izmaksas ir jāsadala uz komersantiem. </w:t>
            </w:r>
            <w:r w:rsidR="009A5386" w:rsidRPr="008F3FAE">
              <w:rPr>
                <w:rFonts w:eastAsia="Times New Roman"/>
                <w:sz w:val="25"/>
                <w:szCs w:val="25"/>
                <w:lang w:val="lv-LV" w:eastAsia="lv-LV"/>
              </w:rPr>
              <w:t>Nepieciešams precizēt MK noteikumos Nr.835 iekļautās normas, lai skaidri un nepārprotami atļautu inkubatoru operatoriem sniegt arī papildus pakalpojumus komersantiem.</w:t>
            </w:r>
          </w:p>
          <w:p w:rsidR="00E76F38" w:rsidRPr="008F3FAE" w:rsidRDefault="00E76F38" w:rsidP="00E76F38">
            <w:pPr>
              <w:spacing w:before="75"/>
              <w:ind w:firstLine="552"/>
              <w:jc w:val="both"/>
              <w:rPr>
                <w:rFonts w:eastAsia="Times New Roman"/>
                <w:sz w:val="25"/>
                <w:szCs w:val="25"/>
                <w:lang w:val="lv-LV" w:eastAsia="lv-LV"/>
              </w:rPr>
            </w:pPr>
            <w:r w:rsidRPr="008F3FAE">
              <w:rPr>
                <w:rFonts w:eastAsia="Times New Roman"/>
                <w:sz w:val="25"/>
                <w:szCs w:val="25"/>
                <w:lang w:val="lv-LV" w:eastAsia="lv-LV"/>
              </w:rPr>
              <w:t>Lai īpaši uzsvērtu, ka MK noteikumu Nr.835  ietvaros netiek piešķirts eksporta atbalsts, MK noteikumos Nr.835 tiek papildināts neatbalstāmo izmaksu uzskaitījums, speciāli izceļot, ka atbalstu nevar piešķirt izmaksām, kas saistītas ar eksporta atbalstu. Atbalstu var piešķirt saistībā ar dalību tirdzniecības izstādēs, mācībām vai konsultāciju pakalpojumiem, kas vajadzīgi jauna vai esoša produkta laišanai tirgū. Jāatzīmē, ka arī līdz šim eksporta atbalsts MK noteikumos Nr.835 ietvaros netika piešķirts – to aizliedza MK noteikumu Nr.835 64.punkts.</w:t>
            </w:r>
          </w:p>
          <w:p w:rsidR="00141540" w:rsidRPr="008F3FAE" w:rsidRDefault="00ED1EA2" w:rsidP="009A5386">
            <w:pPr>
              <w:spacing w:before="75"/>
              <w:ind w:firstLine="552"/>
              <w:jc w:val="both"/>
              <w:rPr>
                <w:rFonts w:eastAsia="Times New Roman"/>
                <w:sz w:val="25"/>
                <w:szCs w:val="25"/>
                <w:lang w:val="lv-LV" w:eastAsia="lv-LV"/>
              </w:rPr>
            </w:pPr>
            <w:r w:rsidRPr="008F3FAE">
              <w:rPr>
                <w:rFonts w:eastAsia="Times New Roman"/>
                <w:sz w:val="25"/>
                <w:szCs w:val="25"/>
                <w:lang w:val="lv-LV" w:eastAsia="lv-LV"/>
              </w:rPr>
              <w:t xml:space="preserve">Papildus tam MK noteikumi paredz labot tehnisku kļūdu </w:t>
            </w:r>
            <w:r w:rsidR="00141540" w:rsidRPr="008F3FAE">
              <w:rPr>
                <w:rFonts w:eastAsia="Times New Roman"/>
                <w:sz w:val="25"/>
                <w:szCs w:val="25"/>
                <w:lang w:val="lv-LV" w:eastAsia="lv-LV"/>
              </w:rPr>
              <w:t xml:space="preserve">60.1. un 60.3.apakšpunktā – papildināt atbalstāmo komersantu sarakstu ar „vidējiem komersantiem”, kuri jau ir minēti MK noteikumu Nr.835 27.1.3. un 27.1.4.apakšpunktā un 1.pielikumā. Papildus tam, norādu, ka nav nepieciešams papildināt 27.1.3. un 27.1.4.apakšpunktā un 1.pielikumā minēto uzskaitījumu ar „sīkajiem komersantiem”, jo </w:t>
            </w:r>
            <w:r w:rsidR="00141540" w:rsidRPr="008F3FAE">
              <w:rPr>
                <w:sz w:val="25"/>
                <w:szCs w:val="25"/>
                <w:lang w:val="lv-LV"/>
              </w:rPr>
              <w:t>saskaņā ar Eiropas Komisijas 2008.gada 6.augusta Regulas (EK) Nr. 800/2008, kas atzīst noteiktas atbalsta kategorijas par saderīgām ar kopējo tirgu, piemērojot Līguma 87. un 88.pantu (vispārējā grupu atbrīvojuma regula), I pielikuma 2.panta 2.punktu, „mazie komersanti” jau sevī ietver „sīkos komersantus”.</w:t>
            </w:r>
          </w:p>
          <w:p w:rsidR="00420D30" w:rsidRPr="008F3FAE" w:rsidRDefault="00141540" w:rsidP="00141540">
            <w:pPr>
              <w:spacing w:before="75"/>
              <w:ind w:firstLine="552"/>
              <w:jc w:val="both"/>
              <w:rPr>
                <w:rFonts w:eastAsia="Times New Roman"/>
                <w:sz w:val="25"/>
                <w:szCs w:val="25"/>
                <w:lang w:val="lv-LV" w:eastAsia="lv-LV"/>
              </w:rPr>
            </w:pPr>
            <w:r w:rsidRPr="008F3FAE">
              <w:rPr>
                <w:rFonts w:eastAsia="Times New Roman"/>
                <w:sz w:val="25"/>
                <w:szCs w:val="25"/>
                <w:lang w:val="lv-LV" w:eastAsia="lv-LV"/>
              </w:rPr>
              <w:t xml:space="preserve">Kā arī labot tehnisku kļūdu </w:t>
            </w:r>
            <w:r w:rsidR="00ED1EA2" w:rsidRPr="008F3FAE">
              <w:rPr>
                <w:rFonts w:eastAsia="Times New Roman"/>
                <w:sz w:val="25"/>
                <w:szCs w:val="25"/>
                <w:lang w:val="lv-LV" w:eastAsia="lv-LV"/>
              </w:rPr>
              <w:t>61.1.apakšpunktā – papildināt neatbalstāmo nozaru uzskaitījumu ar tērauda rūpniecību, kura jau ir minēta MK noteikumu Nr.835 2.pielikumā, bet nav minēta MK noteikumu Nr.835 pamattekstā.</w:t>
            </w:r>
          </w:p>
          <w:p w:rsidR="0053349D" w:rsidRPr="008F3FAE" w:rsidRDefault="0053349D" w:rsidP="00141540">
            <w:pPr>
              <w:spacing w:before="75"/>
              <w:ind w:firstLine="552"/>
              <w:jc w:val="both"/>
              <w:rPr>
                <w:rFonts w:eastAsia="Times New Roman"/>
                <w:sz w:val="25"/>
                <w:szCs w:val="25"/>
                <w:lang w:val="lv-LV" w:eastAsia="lv-LV"/>
              </w:rPr>
            </w:pPr>
            <w:r w:rsidRPr="008F3FAE">
              <w:rPr>
                <w:rFonts w:eastAsia="Times New Roman"/>
                <w:sz w:val="25"/>
                <w:szCs w:val="25"/>
                <w:lang w:val="lv-LV" w:eastAsia="lv-LV"/>
              </w:rPr>
              <w:t xml:space="preserve">Papildus tam tiek precizēts arī MK noteikumu Nr.835 61.3.apakšpunkts, </w:t>
            </w:r>
            <w:r w:rsidR="00A07270" w:rsidRPr="008F3FAE">
              <w:rPr>
                <w:rFonts w:eastAsia="Times New Roman"/>
                <w:sz w:val="25"/>
                <w:szCs w:val="25"/>
                <w:lang w:val="lv-LV" w:eastAsia="lv-LV"/>
              </w:rPr>
              <w:t xml:space="preserve">precīzāk atrunājot kā tiek kontrolēta nodokļu nomaksa inkubatora komersantos. Tai skaitā iestrādājot arī Publisko iepirkumu likumā iekļauto normu, ka ir pieļaujami nenozīmīgi nodokļu parādi – līdz 100 latiem. </w:t>
            </w:r>
            <w:r w:rsidRPr="008F3FAE">
              <w:rPr>
                <w:rFonts w:eastAsia="Times New Roman"/>
                <w:sz w:val="25"/>
                <w:szCs w:val="25"/>
                <w:lang w:val="lv-LV" w:eastAsia="lv-LV"/>
              </w:rPr>
              <w:t xml:space="preserve">  </w:t>
            </w:r>
          </w:p>
        </w:tc>
      </w:tr>
      <w:tr w:rsidR="00537A29" w:rsidRPr="008F3FAE" w:rsidTr="00C257B7">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8F3FAE" w:rsidRDefault="00537A29" w:rsidP="00CE5A53">
            <w:pPr>
              <w:rPr>
                <w:rFonts w:eastAsia="Times New Roman"/>
                <w:sz w:val="25"/>
                <w:szCs w:val="25"/>
                <w:lang w:val="lv-LV" w:eastAsia="lv-LV"/>
              </w:rPr>
            </w:pPr>
            <w:r w:rsidRPr="008F3FAE">
              <w:rPr>
                <w:rFonts w:eastAsia="Times New Roman"/>
                <w:sz w:val="25"/>
                <w:szCs w:val="25"/>
                <w:lang w:val="lv-LV" w:eastAsia="lv-LV"/>
              </w:rPr>
              <w:t>5. Projekta izstrādē iesaistītās institūcijas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8375E3" w:rsidRPr="008F3FAE" w:rsidRDefault="00947886">
            <w:pPr>
              <w:pStyle w:val="NormalWeb"/>
              <w:spacing w:before="0" w:beforeAutospacing="0" w:after="0" w:afterAutospacing="0"/>
              <w:jc w:val="both"/>
              <w:rPr>
                <w:b/>
                <w:sz w:val="25"/>
                <w:szCs w:val="25"/>
                <w:lang w:val="lv-LV"/>
              </w:rPr>
            </w:pPr>
            <w:r w:rsidRPr="008F3FAE">
              <w:rPr>
                <w:iCs/>
                <w:sz w:val="25"/>
                <w:szCs w:val="25"/>
                <w:lang w:val="lv-LV"/>
              </w:rPr>
              <w:t>Valsts aģentūra „Latvijas Investīciju un attīstības aģentūra”</w:t>
            </w:r>
          </w:p>
          <w:p w:rsidR="00004E51" w:rsidRPr="008F3FAE" w:rsidRDefault="00004E51" w:rsidP="00CE5A53">
            <w:pPr>
              <w:pStyle w:val="BodyText"/>
              <w:ind w:right="142"/>
              <w:rPr>
                <w:sz w:val="25"/>
                <w:szCs w:val="25"/>
              </w:rPr>
            </w:pPr>
          </w:p>
        </w:tc>
      </w:tr>
      <w:tr w:rsidR="00AB248D" w:rsidRPr="008F3FAE" w:rsidTr="00C257B7">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AB248D" w:rsidRPr="008F3FAE" w:rsidRDefault="00AB248D" w:rsidP="00CE5A53">
            <w:pPr>
              <w:rPr>
                <w:rFonts w:eastAsia="Times New Roman"/>
                <w:sz w:val="25"/>
                <w:szCs w:val="25"/>
                <w:lang w:val="lv-LV" w:eastAsia="lv-LV"/>
              </w:rPr>
            </w:pPr>
            <w:r w:rsidRPr="008F3FAE">
              <w:rPr>
                <w:rFonts w:eastAsia="Times New Roman"/>
                <w:sz w:val="25"/>
                <w:szCs w:val="25"/>
                <w:lang w:val="lv-LV" w:eastAsia="lv-LV"/>
              </w:rPr>
              <w:t>6. Iemesli, kādēļ netika nodrošināta sabiedrības līdzdalība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FA3D2C" w:rsidRPr="008F3FAE" w:rsidRDefault="00FA3D2C" w:rsidP="00FA3D2C">
            <w:pPr>
              <w:pStyle w:val="NormalWeb"/>
              <w:spacing w:before="0" w:beforeAutospacing="0" w:after="0" w:afterAutospacing="0"/>
              <w:rPr>
                <w:b/>
                <w:sz w:val="25"/>
                <w:szCs w:val="25"/>
                <w:lang w:val="lv-LV"/>
              </w:rPr>
            </w:pPr>
            <w:r w:rsidRPr="008F3FAE">
              <w:rPr>
                <w:iCs/>
                <w:sz w:val="25"/>
                <w:szCs w:val="25"/>
                <w:lang w:val="lv-LV"/>
              </w:rPr>
              <w:t>Projekts šo jomu neskar</w:t>
            </w:r>
            <w:r w:rsidRPr="008F3FAE">
              <w:rPr>
                <w:b/>
                <w:sz w:val="25"/>
                <w:szCs w:val="25"/>
                <w:lang w:val="lv-LV"/>
              </w:rPr>
              <w:t>.</w:t>
            </w:r>
          </w:p>
          <w:p w:rsidR="00004E51" w:rsidRPr="008F3FAE" w:rsidRDefault="00004E51" w:rsidP="00CE5A53">
            <w:pPr>
              <w:pStyle w:val="BodyText"/>
              <w:ind w:right="142"/>
              <w:rPr>
                <w:sz w:val="25"/>
                <w:szCs w:val="25"/>
              </w:rPr>
            </w:pPr>
          </w:p>
        </w:tc>
      </w:tr>
      <w:tr w:rsidR="00BB09C5" w:rsidRPr="008F3FAE" w:rsidTr="00C257B7">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8F3FAE" w:rsidRDefault="00D07CDB" w:rsidP="00CE5A53">
            <w:pPr>
              <w:rPr>
                <w:rFonts w:eastAsia="Times New Roman"/>
                <w:sz w:val="25"/>
                <w:szCs w:val="25"/>
                <w:lang w:val="lv-LV" w:eastAsia="lv-LV"/>
              </w:rPr>
            </w:pPr>
            <w:r w:rsidRPr="008F3FAE">
              <w:rPr>
                <w:rFonts w:eastAsia="Times New Roman"/>
                <w:sz w:val="25"/>
                <w:szCs w:val="25"/>
                <w:lang w:val="lv-LV" w:eastAsia="lv-LV"/>
              </w:rPr>
              <w:t> 7</w:t>
            </w:r>
            <w:r w:rsidR="00BB09C5" w:rsidRPr="008F3FAE">
              <w:rPr>
                <w:rFonts w:eastAsia="Times New Roman"/>
                <w:sz w:val="25"/>
                <w:szCs w:val="25"/>
                <w:lang w:val="lv-LV" w:eastAsia="lv-LV"/>
              </w:rPr>
              <w:t>. Cita informācija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8F3FAE" w:rsidRDefault="007E5D4D" w:rsidP="00CE5A53">
            <w:pPr>
              <w:jc w:val="both"/>
              <w:rPr>
                <w:sz w:val="25"/>
                <w:szCs w:val="25"/>
                <w:lang w:val="lv-LV"/>
              </w:rPr>
            </w:pPr>
            <w:r w:rsidRPr="008F3FAE">
              <w:rPr>
                <w:sz w:val="25"/>
                <w:szCs w:val="25"/>
                <w:lang w:val="lv-LV"/>
              </w:rPr>
              <w:t>Nav.</w:t>
            </w:r>
          </w:p>
        </w:tc>
      </w:tr>
    </w:tbl>
    <w:p w:rsidR="004B638C" w:rsidRPr="008F3FAE" w:rsidRDefault="004B638C" w:rsidP="00CE5A53">
      <w:pPr>
        <w:pStyle w:val="NormalWeb"/>
        <w:spacing w:before="0" w:beforeAutospacing="0" w:after="0" w:afterAutospacing="0"/>
        <w:jc w:val="center"/>
        <w:rPr>
          <w:b/>
          <w:sz w:val="25"/>
          <w:szCs w:val="25"/>
          <w:lang w:val="lv-LV"/>
        </w:rPr>
      </w:pPr>
    </w:p>
    <w:p w:rsidR="007877B2" w:rsidRPr="008F3FAE" w:rsidRDefault="007877B2" w:rsidP="00CE5A53">
      <w:pPr>
        <w:pStyle w:val="NormalWeb"/>
        <w:spacing w:before="0" w:beforeAutospacing="0" w:after="0" w:afterAutospacing="0"/>
        <w:jc w:val="center"/>
        <w:rPr>
          <w:b/>
          <w:sz w:val="25"/>
          <w:szCs w:val="25"/>
          <w:lang w:val="lv-LV"/>
        </w:rPr>
      </w:pPr>
    </w:p>
    <w:tbl>
      <w:tblPr>
        <w:tblpPr w:leftFromText="180" w:rightFromText="18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000"/>
      </w:tblPr>
      <w:tblGrid>
        <w:gridCol w:w="851"/>
        <w:gridCol w:w="3265"/>
        <w:gridCol w:w="5240"/>
      </w:tblGrid>
      <w:tr w:rsidR="00F621F0" w:rsidRPr="008F3FAE" w:rsidTr="00C35BF1">
        <w:tc>
          <w:tcPr>
            <w:tcW w:w="9356" w:type="dxa"/>
            <w:gridSpan w:val="3"/>
            <w:vAlign w:val="center"/>
          </w:tcPr>
          <w:p w:rsidR="00F621F0" w:rsidRPr="008F3FAE" w:rsidRDefault="00C82B27" w:rsidP="00471B85">
            <w:pPr>
              <w:pStyle w:val="naisnod"/>
              <w:spacing w:before="0" w:after="0"/>
              <w:rPr>
                <w:sz w:val="25"/>
                <w:szCs w:val="25"/>
              </w:rPr>
            </w:pPr>
            <w:r w:rsidRPr="008F3FAE">
              <w:rPr>
                <w:sz w:val="25"/>
                <w:szCs w:val="25"/>
              </w:rPr>
              <w:t>II. Tiesību akta projekta ietekme uz sabiedrību</w:t>
            </w:r>
          </w:p>
        </w:tc>
      </w:tr>
      <w:tr w:rsidR="00F621F0" w:rsidRPr="008F3FAE" w:rsidTr="00C35BF1">
        <w:trPr>
          <w:trHeight w:val="467"/>
        </w:trPr>
        <w:tc>
          <w:tcPr>
            <w:tcW w:w="851" w:type="dxa"/>
          </w:tcPr>
          <w:p w:rsidR="00F621F0" w:rsidRPr="008F3FAE" w:rsidRDefault="00C82B27" w:rsidP="00471B85">
            <w:pPr>
              <w:pStyle w:val="naiskr"/>
              <w:spacing w:before="0" w:after="0"/>
              <w:rPr>
                <w:sz w:val="25"/>
                <w:szCs w:val="25"/>
              </w:rPr>
            </w:pPr>
            <w:r w:rsidRPr="008F3FAE">
              <w:rPr>
                <w:sz w:val="25"/>
                <w:szCs w:val="25"/>
              </w:rPr>
              <w:t>1.</w:t>
            </w:r>
          </w:p>
        </w:tc>
        <w:tc>
          <w:tcPr>
            <w:tcW w:w="3265" w:type="dxa"/>
          </w:tcPr>
          <w:p w:rsidR="007E5D4D" w:rsidRPr="008F3FAE" w:rsidRDefault="00C82B27">
            <w:pPr>
              <w:pStyle w:val="naiskr"/>
              <w:spacing w:before="0" w:after="0"/>
              <w:rPr>
                <w:sz w:val="25"/>
                <w:szCs w:val="25"/>
              </w:rPr>
            </w:pPr>
            <w:r w:rsidRPr="008F3FAE">
              <w:rPr>
                <w:sz w:val="25"/>
                <w:szCs w:val="25"/>
              </w:rPr>
              <w:t>Sabiedrības mērķgrupa</w:t>
            </w:r>
          </w:p>
        </w:tc>
        <w:tc>
          <w:tcPr>
            <w:tcW w:w="5240" w:type="dxa"/>
          </w:tcPr>
          <w:p w:rsidR="00D82F66" w:rsidRPr="008F3FAE" w:rsidRDefault="00D82F66" w:rsidP="00492165">
            <w:pPr>
              <w:pStyle w:val="naiskr"/>
              <w:jc w:val="both"/>
              <w:rPr>
                <w:iCs/>
                <w:sz w:val="25"/>
                <w:szCs w:val="25"/>
              </w:rPr>
            </w:pPr>
            <w:r w:rsidRPr="008F3FAE">
              <w:rPr>
                <w:iCs/>
                <w:sz w:val="25"/>
                <w:szCs w:val="25"/>
              </w:rPr>
              <w:t>2.3.2.1.aktivitāt</w:t>
            </w:r>
            <w:r w:rsidR="00634091" w:rsidRPr="008F3FAE">
              <w:rPr>
                <w:iCs/>
                <w:sz w:val="25"/>
                <w:szCs w:val="25"/>
              </w:rPr>
              <w:t>es</w:t>
            </w:r>
            <w:r w:rsidRPr="008F3FAE">
              <w:rPr>
                <w:iCs/>
                <w:sz w:val="25"/>
                <w:szCs w:val="25"/>
              </w:rPr>
              <w:t xml:space="preserve"> “Biznesa inkubatori”</w:t>
            </w:r>
            <w:r w:rsidR="00634091" w:rsidRPr="008F3FAE">
              <w:rPr>
                <w:iCs/>
                <w:sz w:val="25"/>
                <w:szCs w:val="25"/>
              </w:rPr>
              <w:t xml:space="preserve"> </w:t>
            </w:r>
            <w:r w:rsidR="000912E4" w:rsidRPr="008F3FAE">
              <w:rPr>
                <w:iCs/>
                <w:sz w:val="25"/>
                <w:szCs w:val="25"/>
              </w:rPr>
              <w:t xml:space="preserve">mērķa grupa ir </w:t>
            </w:r>
            <w:r w:rsidR="00492165" w:rsidRPr="008F3FAE">
              <w:rPr>
                <w:iCs/>
                <w:sz w:val="25"/>
                <w:szCs w:val="25"/>
              </w:rPr>
              <w:t>pašvaldības, kuru teritorijā tiks veicināta komercdarbība, inkubatora operatori un inkubatoros izvietotie, izveidotie un cita veida atbalstu saņēmušie komersanti.</w:t>
            </w:r>
          </w:p>
        </w:tc>
      </w:tr>
      <w:tr w:rsidR="00F621F0" w:rsidRPr="008F3FAE" w:rsidTr="00C35BF1">
        <w:trPr>
          <w:trHeight w:val="523"/>
        </w:trPr>
        <w:tc>
          <w:tcPr>
            <w:tcW w:w="851" w:type="dxa"/>
          </w:tcPr>
          <w:p w:rsidR="00F621F0" w:rsidRPr="008F3FAE" w:rsidRDefault="00C82B27" w:rsidP="00471B85">
            <w:pPr>
              <w:pStyle w:val="naiskr"/>
              <w:spacing w:before="0" w:after="0"/>
              <w:rPr>
                <w:sz w:val="25"/>
                <w:szCs w:val="25"/>
              </w:rPr>
            </w:pPr>
            <w:r w:rsidRPr="008F3FAE">
              <w:rPr>
                <w:sz w:val="25"/>
                <w:szCs w:val="25"/>
              </w:rPr>
              <w:t>2.</w:t>
            </w:r>
          </w:p>
        </w:tc>
        <w:tc>
          <w:tcPr>
            <w:tcW w:w="3265" w:type="dxa"/>
          </w:tcPr>
          <w:p w:rsidR="007E5D4D" w:rsidRPr="008F3FAE" w:rsidRDefault="00C82B27">
            <w:pPr>
              <w:pStyle w:val="naiskr"/>
              <w:spacing w:before="0" w:after="0"/>
              <w:rPr>
                <w:sz w:val="25"/>
                <w:szCs w:val="25"/>
              </w:rPr>
            </w:pPr>
            <w:r w:rsidRPr="008F3FAE">
              <w:rPr>
                <w:sz w:val="25"/>
                <w:szCs w:val="25"/>
              </w:rPr>
              <w:t>Citas sabiedrības grupas (bez mērķgrupas), kuras tiesiskais regulējums arī ietekmē vai varētu ietekmēt</w:t>
            </w:r>
          </w:p>
        </w:tc>
        <w:tc>
          <w:tcPr>
            <w:tcW w:w="5240" w:type="dxa"/>
          </w:tcPr>
          <w:p w:rsidR="00FA3D2C" w:rsidRPr="008F3FAE" w:rsidRDefault="00FA3D2C" w:rsidP="00FA3D2C">
            <w:pPr>
              <w:pStyle w:val="NormalWeb"/>
              <w:spacing w:before="0" w:beforeAutospacing="0" w:after="0" w:afterAutospacing="0"/>
              <w:rPr>
                <w:b/>
                <w:sz w:val="25"/>
                <w:szCs w:val="25"/>
                <w:lang w:val="lv-LV"/>
              </w:rPr>
            </w:pPr>
            <w:r w:rsidRPr="008F3FAE">
              <w:rPr>
                <w:iCs/>
                <w:sz w:val="25"/>
                <w:szCs w:val="25"/>
                <w:lang w:val="lv-LV"/>
              </w:rPr>
              <w:t>Projekts šo jomu neskar</w:t>
            </w:r>
            <w:r w:rsidRPr="008F3FAE">
              <w:rPr>
                <w:b/>
                <w:sz w:val="25"/>
                <w:szCs w:val="25"/>
                <w:lang w:val="lv-LV"/>
              </w:rPr>
              <w:t>.</w:t>
            </w:r>
          </w:p>
          <w:p w:rsidR="007E5D4D" w:rsidRPr="008F3FAE" w:rsidRDefault="007E5D4D">
            <w:pPr>
              <w:pStyle w:val="naiskr"/>
              <w:spacing w:before="0" w:after="0"/>
              <w:jc w:val="both"/>
              <w:rPr>
                <w:sz w:val="25"/>
                <w:szCs w:val="25"/>
              </w:rPr>
            </w:pPr>
          </w:p>
        </w:tc>
      </w:tr>
      <w:tr w:rsidR="00F621F0" w:rsidRPr="008F3FAE" w:rsidTr="00C35BF1">
        <w:trPr>
          <w:trHeight w:val="517"/>
        </w:trPr>
        <w:tc>
          <w:tcPr>
            <w:tcW w:w="851" w:type="dxa"/>
          </w:tcPr>
          <w:p w:rsidR="00F621F0" w:rsidRPr="008F3FAE" w:rsidRDefault="00C82B27" w:rsidP="00471B85">
            <w:pPr>
              <w:pStyle w:val="naiskr"/>
              <w:spacing w:before="0" w:after="0"/>
              <w:rPr>
                <w:sz w:val="25"/>
                <w:szCs w:val="25"/>
              </w:rPr>
            </w:pPr>
            <w:r w:rsidRPr="008F3FAE">
              <w:rPr>
                <w:sz w:val="25"/>
                <w:szCs w:val="25"/>
              </w:rPr>
              <w:t>3.</w:t>
            </w:r>
          </w:p>
        </w:tc>
        <w:tc>
          <w:tcPr>
            <w:tcW w:w="3265" w:type="dxa"/>
          </w:tcPr>
          <w:p w:rsidR="007E5D4D" w:rsidRPr="008F3FAE" w:rsidRDefault="00C82B27">
            <w:pPr>
              <w:pStyle w:val="naiskr"/>
              <w:spacing w:before="0" w:after="0"/>
              <w:rPr>
                <w:sz w:val="25"/>
                <w:szCs w:val="25"/>
              </w:rPr>
            </w:pPr>
            <w:r w:rsidRPr="008F3FAE">
              <w:rPr>
                <w:sz w:val="25"/>
                <w:szCs w:val="25"/>
              </w:rPr>
              <w:t>Tiesiskā regulējuma finansiālā ietekme</w:t>
            </w:r>
          </w:p>
        </w:tc>
        <w:tc>
          <w:tcPr>
            <w:tcW w:w="5240" w:type="dxa"/>
          </w:tcPr>
          <w:p w:rsidR="007E5D4D" w:rsidRPr="008F3FAE" w:rsidRDefault="00492165" w:rsidP="00DA4963">
            <w:pPr>
              <w:pStyle w:val="naiskr"/>
              <w:spacing w:before="0" w:after="0"/>
              <w:jc w:val="both"/>
              <w:rPr>
                <w:sz w:val="25"/>
                <w:szCs w:val="25"/>
              </w:rPr>
            </w:pPr>
            <w:r w:rsidRPr="008F3FAE">
              <w:rPr>
                <w:iCs/>
                <w:sz w:val="25"/>
                <w:szCs w:val="25"/>
              </w:rPr>
              <w:t>Projekts šo jomu neskar</w:t>
            </w:r>
            <w:r w:rsidRPr="008F3FAE">
              <w:rPr>
                <w:b/>
                <w:sz w:val="25"/>
                <w:szCs w:val="25"/>
              </w:rPr>
              <w:t>.</w:t>
            </w:r>
          </w:p>
        </w:tc>
      </w:tr>
      <w:tr w:rsidR="00F621F0" w:rsidRPr="008F3FAE" w:rsidTr="00C35BF1">
        <w:trPr>
          <w:trHeight w:val="517"/>
        </w:trPr>
        <w:tc>
          <w:tcPr>
            <w:tcW w:w="851" w:type="dxa"/>
          </w:tcPr>
          <w:p w:rsidR="00F621F0" w:rsidRPr="008F3FAE" w:rsidRDefault="00C82B27" w:rsidP="00471B85">
            <w:pPr>
              <w:pStyle w:val="naiskr"/>
              <w:spacing w:before="0" w:after="0"/>
              <w:rPr>
                <w:sz w:val="25"/>
                <w:szCs w:val="25"/>
              </w:rPr>
            </w:pPr>
            <w:r w:rsidRPr="008F3FAE">
              <w:rPr>
                <w:sz w:val="25"/>
                <w:szCs w:val="25"/>
              </w:rPr>
              <w:t>4.</w:t>
            </w:r>
          </w:p>
        </w:tc>
        <w:tc>
          <w:tcPr>
            <w:tcW w:w="3265" w:type="dxa"/>
          </w:tcPr>
          <w:p w:rsidR="007E5D4D" w:rsidRPr="008F3FAE" w:rsidRDefault="00C82B27">
            <w:pPr>
              <w:pStyle w:val="naiskr"/>
              <w:spacing w:before="0" w:after="0"/>
              <w:rPr>
                <w:sz w:val="25"/>
                <w:szCs w:val="25"/>
              </w:rPr>
            </w:pPr>
            <w:r w:rsidRPr="008F3FAE">
              <w:rPr>
                <w:sz w:val="25"/>
                <w:szCs w:val="25"/>
              </w:rPr>
              <w:t>Tiesiskā regulējuma nefinansiālā ietekme</w:t>
            </w:r>
          </w:p>
        </w:tc>
        <w:tc>
          <w:tcPr>
            <w:tcW w:w="5240" w:type="dxa"/>
          </w:tcPr>
          <w:p w:rsidR="007E5D4D" w:rsidRPr="008F3FAE" w:rsidRDefault="00D9386E" w:rsidP="00D9386E">
            <w:pPr>
              <w:pStyle w:val="NormalWeb"/>
              <w:spacing w:before="0" w:beforeAutospacing="0" w:after="0" w:afterAutospacing="0"/>
              <w:rPr>
                <w:b/>
                <w:sz w:val="25"/>
                <w:szCs w:val="25"/>
                <w:lang w:val="lv-LV"/>
              </w:rPr>
            </w:pPr>
            <w:r w:rsidRPr="008F3FAE">
              <w:rPr>
                <w:iCs/>
                <w:sz w:val="25"/>
                <w:szCs w:val="25"/>
                <w:lang w:val="lv-LV"/>
              </w:rPr>
              <w:t>Projekts šo jomu neskar</w:t>
            </w:r>
            <w:r w:rsidRPr="008F3FAE">
              <w:rPr>
                <w:b/>
                <w:sz w:val="25"/>
                <w:szCs w:val="25"/>
                <w:lang w:val="lv-LV"/>
              </w:rPr>
              <w:t>.</w:t>
            </w:r>
          </w:p>
        </w:tc>
      </w:tr>
      <w:tr w:rsidR="00F621F0" w:rsidRPr="008F3FAE" w:rsidTr="00C35BF1">
        <w:trPr>
          <w:trHeight w:val="531"/>
        </w:trPr>
        <w:tc>
          <w:tcPr>
            <w:tcW w:w="851" w:type="dxa"/>
          </w:tcPr>
          <w:p w:rsidR="00F621F0" w:rsidRPr="008F3FAE" w:rsidRDefault="00C82B27" w:rsidP="00471B85">
            <w:pPr>
              <w:pStyle w:val="naiskr"/>
              <w:spacing w:before="0" w:after="0"/>
              <w:rPr>
                <w:sz w:val="25"/>
                <w:szCs w:val="25"/>
              </w:rPr>
            </w:pPr>
            <w:r w:rsidRPr="008F3FAE">
              <w:rPr>
                <w:sz w:val="25"/>
                <w:szCs w:val="25"/>
              </w:rPr>
              <w:t>5.</w:t>
            </w:r>
          </w:p>
        </w:tc>
        <w:tc>
          <w:tcPr>
            <w:tcW w:w="3265" w:type="dxa"/>
          </w:tcPr>
          <w:p w:rsidR="007E5D4D" w:rsidRPr="008F3FAE" w:rsidRDefault="00C82B27">
            <w:pPr>
              <w:pStyle w:val="naiskr"/>
              <w:spacing w:before="0" w:after="0"/>
              <w:rPr>
                <w:sz w:val="25"/>
                <w:szCs w:val="25"/>
              </w:rPr>
            </w:pPr>
            <w:r w:rsidRPr="008F3FAE">
              <w:rPr>
                <w:sz w:val="25"/>
                <w:szCs w:val="25"/>
              </w:rPr>
              <w:t>Administratīvās procedūras raksturojums</w:t>
            </w:r>
          </w:p>
        </w:tc>
        <w:tc>
          <w:tcPr>
            <w:tcW w:w="5240" w:type="dxa"/>
          </w:tcPr>
          <w:p w:rsidR="00FA3D2C" w:rsidRPr="008F3FAE" w:rsidRDefault="00FA3D2C" w:rsidP="00FA3D2C">
            <w:pPr>
              <w:pStyle w:val="NormalWeb"/>
              <w:spacing w:before="0" w:beforeAutospacing="0" w:after="0" w:afterAutospacing="0"/>
              <w:rPr>
                <w:b/>
                <w:sz w:val="25"/>
                <w:szCs w:val="25"/>
                <w:lang w:val="lv-LV"/>
              </w:rPr>
            </w:pPr>
            <w:r w:rsidRPr="008F3FAE">
              <w:rPr>
                <w:iCs/>
                <w:sz w:val="25"/>
                <w:szCs w:val="25"/>
                <w:lang w:val="lv-LV"/>
              </w:rPr>
              <w:t>Projekts šo jomu neskar</w:t>
            </w:r>
            <w:r w:rsidRPr="008F3FAE">
              <w:rPr>
                <w:b/>
                <w:sz w:val="25"/>
                <w:szCs w:val="25"/>
                <w:lang w:val="lv-LV"/>
              </w:rPr>
              <w:t>.</w:t>
            </w:r>
          </w:p>
          <w:p w:rsidR="007E5D4D" w:rsidRPr="008F3FAE" w:rsidRDefault="007E5D4D" w:rsidP="00B40127">
            <w:pPr>
              <w:pStyle w:val="naiskr"/>
              <w:spacing w:before="0" w:after="0"/>
              <w:rPr>
                <w:sz w:val="25"/>
                <w:szCs w:val="25"/>
              </w:rPr>
            </w:pPr>
          </w:p>
        </w:tc>
      </w:tr>
      <w:tr w:rsidR="00F621F0" w:rsidRPr="008F3FAE" w:rsidTr="00C35BF1">
        <w:trPr>
          <w:trHeight w:val="357"/>
        </w:trPr>
        <w:tc>
          <w:tcPr>
            <w:tcW w:w="851" w:type="dxa"/>
          </w:tcPr>
          <w:p w:rsidR="00F621F0" w:rsidRPr="008F3FAE" w:rsidRDefault="00C82B27" w:rsidP="00471B85">
            <w:pPr>
              <w:pStyle w:val="naiskr"/>
              <w:spacing w:before="0" w:after="0"/>
              <w:rPr>
                <w:sz w:val="25"/>
                <w:szCs w:val="25"/>
              </w:rPr>
            </w:pPr>
            <w:r w:rsidRPr="008F3FAE">
              <w:rPr>
                <w:sz w:val="25"/>
                <w:szCs w:val="25"/>
              </w:rPr>
              <w:t>6.</w:t>
            </w:r>
          </w:p>
        </w:tc>
        <w:tc>
          <w:tcPr>
            <w:tcW w:w="3265" w:type="dxa"/>
          </w:tcPr>
          <w:p w:rsidR="007E5D4D" w:rsidRPr="008F3FAE" w:rsidRDefault="00C82B27">
            <w:pPr>
              <w:pStyle w:val="naiskr"/>
              <w:spacing w:before="0" w:after="0"/>
              <w:rPr>
                <w:sz w:val="25"/>
                <w:szCs w:val="25"/>
              </w:rPr>
            </w:pPr>
            <w:r w:rsidRPr="008F3FAE">
              <w:rPr>
                <w:sz w:val="25"/>
                <w:szCs w:val="25"/>
              </w:rPr>
              <w:t>Administratīvo izmaksu monetārs novērtējums</w:t>
            </w:r>
          </w:p>
        </w:tc>
        <w:tc>
          <w:tcPr>
            <w:tcW w:w="5240" w:type="dxa"/>
          </w:tcPr>
          <w:p w:rsidR="00FA3D2C" w:rsidRPr="008F3FAE" w:rsidRDefault="00FA3D2C" w:rsidP="00FA3D2C">
            <w:pPr>
              <w:pStyle w:val="NormalWeb"/>
              <w:spacing w:before="0" w:beforeAutospacing="0" w:after="0" w:afterAutospacing="0"/>
              <w:rPr>
                <w:b/>
                <w:sz w:val="25"/>
                <w:szCs w:val="25"/>
                <w:lang w:val="lv-LV"/>
              </w:rPr>
            </w:pPr>
            <w:r w:rsidRPr="008F3FAE">
              <w:rPr>
                <w:iCs/>
                <w:sz w:val="25"/>
                <w:szCs w:val="25"/>
                <w:lang w:val="lv-LV"/>
              </w:rPr>
              <w:t>Projekts šo jomu neskar</w:t>
            </w:r>
            <w:r w:rsidRPr="008F3FAE">
              <w:rPr>
                <w:b/>
                <w:sz w:val="25"/>
                <w:szCs w:val="25"/>
                <w:lang w:val="lv-LV"/>
              </w:rPr>
              <w:t>.</w:t>
            </w:r>
          </w:p>
          <w:p w:rsidR="007E5D4D" w:rsidRPr="008F3FAE" w:rsidRDefault="007E5D4D" w:rsidP="00B40127">
            <w:pPr>
              <w:pStyle w:val="naiskr"/>
              <w:spacing w:before="0" w:after="0"/>
              <w:rPr>
                <w:sz w:val="25"/>
                <w:szCs w:val="25"/>
              </w:rPr>
            </w:pPr>
          </w:p>
        </w:tc>
      </w:tr>
      <w:tr w:rsidR="00F621F0" w:rsidRPr="008F3FAE" w:rsidTr="00C35BF1">
        <w:trPr>
          <w:trHeight w:val="489"/>
        </w:trPr>
        <w:tc>
          <w:tcPr>
            <w:tcW w:w="851" w:type="dxa"/>
          </w:tcPr>
          <w:p w:rsidR="00F621F0" w:rsidRPr="008F3FAE" w:rsidRDefault="00C82B27" w:rsidP="00471B85">
            <w:pPr>
              <w:pStyle w:val="naiskr"/>
              <w:spacing w:before="0" w:after="0"/>
              <w:rPr>
                <w:sz w:val="25"/>
                <w:szCs w:val="25"/>
              </w:rPr>
            </w:pPr>
            <w:r w:rsidRPr="008F3FAE">
              <w:rPr>
                <w:sz w:val="25"/>
                <w:szCs w:val="25"/>
              </w:rPr>
              <w:t>7.</w:t>
            </w:r>
          </w:p>
        </w:tc>
        <w:tc>
          <w:tcPr>
            <w:tcW w:w="3265" w:type="dxa"/>
          </w:tcPr>
          <w:p w:rsidR="007E5D4D" w:rsidRPr="008F3FAE" w:rsidRDefault="00C82B27">
            <w:pPr>
              <w:pStyle w:val="naiskr"/>
              <w:spacing w:before="0" w:after="0"/>
              <w:rPr>
                <w:sz w:val="25"/>
                <w:szCs w:val="25"/>
              </w:rPr>
            </w:pPr>
            <w:r w:rsidRPr="008F3FAE">
              <w:rPr>
                <w:sz w:val="25"/>
                <w:szCs w:val="25"/>
              </w:rPr>
              <w:t>Cita informācija</w:t>
            </w:r>
          </w:p>
        </w:tc>
        <w:tc>
          <w:tcPr>
            <w:tcW w:w="5240" w:type="dxa"/>
          </w:tcPr>
          <w:p w:rsidR="007E5D4D" w:rsidRPr="008F3FAE" w:rsidRDefault="00C82B27">
            <w:pPr>
              <w:pStyle w:val="naiskr"/>
              <w:spacing w:before="0" w:after="0"/>
              <w:rPr>
                <w:sz w:val="25"/>
                <w:szCs w:val="25"/>
              </w:rPr>
            </w:pPr>
            <w:r w:rsidRPr="008F3FAE">
              <w:rPr>
                <w:sz w:val="25"/>
                <w:szCs w:val="25"/>
              </w:rPr>
              <w:t>Nav.</w:t>
            </w:r>
          </w:p>
        </w:tc>
      </w:tr>
    </w:tbl>
    <w:p w:rsidR="00885AEF" w:rsidRPr="008F3FAE" w:rsidRDefault="00885AEF" w:rsidP="00CE5A53">
      <w:pPr>
        <w:pStyle w:val="NormalWeb"/>
        <w:spacing w:before="0" w:beforeAutospacing="0" w:after="0" w:afterAutospacing="0"/>
        <w:jc w:val="center"/>
        <w:rPr>
          <w:b/>
          <w:sz w:val="25"/>
          <w:szCs w:val="25"/>
          <w:lang w:val="lv-LV"/>
        </w:rPr>
      </w:pPr>
    </w:p>
    <w:p w:rsidR="007877B2" w:rsidRPr="008F3FAE" w:rsidRDefault="007877B2" w:rsidP="00CE5A53">
      <w:pPr>
        <w:pStyle w:val="NormalWeb"/>
        <w:spacing w:before="0" w:beforeAutospacing="0" w:after="0" w:afterAutospacing="0"/>
        <w:jc w:val="center"/>
        <w:rPr>
          <w:b/>
          <w:sz w:val="25"/>
          <w:szCs w:val="25"/>
          <w:lang w:val="lv-LV"/>
        </w:rPr>
      </w:pPr>
    </w:p>
    <w:p w:rsidR="00E63BFD" w:rsidRPr="008F3FAE" w:rsidRDefault="00E63BFD" w:rsidP="00E63BFD">
      <w:pPr>
        <w:tabs>
          <w:tab w:val="left" w:pos="7655"/>
        </w:tabs>
        <w:jc w:val="both"/>
        <w:rPr>
          <w:b/>
          <w:sz w:val="25"/>
          <w:szCs w:val="25"/>
          <w:lang w:val="lv-LV"/>
        </w:rPr>
      </w:pPr>
      <w:r w:rsidRPr="008F3FAE">
        <w:rPr>
          <w:b/>
          <w:sz w:val="25"/>
          <w:szCs w:val="25"/>
          <w:lang w:val="lv-LV"/>
        </w:rPr>
        <w:t xml:space="preserve">Anotācijas III. - </w:t>
      </w:r>
      <w:r w:rsidR="000834CE" w:rsidRPr="008F3FAE">
        <w:rPr>
          <w:b/>
          <w:sz w:val="25"/>
          <w:szCs w:val="25"/>
          <w:lang w:val="lv-LV"/>
        </w:rPr>
        <w:t>I</w:t>
      </w:r>
      <w:r w:rsidRPr="008F3FAE">
        <w:rPr>
          <w:b/>
          <w:sz w:val="25"/>
          <w:szCs w:val="25"/>
          <w:lang w:val="lv-LV"/>
        </w:rPr>
        <w:t xml:space="preserve">V. sadaļa - </w:t>
      </w:r>
      <w:r w:rsidRPr="008F3FAE">
        <w:rPr>
          <w:iCs/>
          <w:sz w:val="25"/>
          <w:szCs w:val="25"/>
          <w:lang w:val="lv-LV"/>
        </w:rPr>
        <w:t>projekts šīs jomas neskar</w:t>
      </w:r>
      <w:r w:rsidRPr="008F3FAE">
        <w:rPr>
          <w:b/>
          <w:sz w:val="25"/>
          <w:szCs w:val="25"/>
          <w:lang w:val="lv-LV"/>
        </w:rPr>
        <w:t>.</w:t>
      </w:r>
    </w:p>
    <w:p w:rsidR="00315A4C" w:rsidRPr="008F3FAE" w:rsidRDefault="00315A4C" w:rsidP="00315A4C">
      <w:pPr>
        <w:pStyle w:val="NormalWeb"/>
        <w:spacing w:before="0" w:beforeAutospacing="0" w:after="0" w:afterAutospacing="0"/>
        <w:jc w:val="center"/>
        <w:rPr>
          <w:b/>
          <w:sz w:val="25"/>
          <w:szCs w:val="25"/>
          <w:lang w:val="lv-LV"/>
        </w:rPr>
      </w:pPr>
    </w:p>
    <w:p w:rsidR="007877B2" w:rsidRDefault="007877B2" w:rsidP="00315A4C">
      <w:pPr>
        <w:pStyle w:val="NormalWeb"/>
        <w:spacing w:before="0" w:beforeAutospacing="0" w:after="0" w:afterAutospacing="0"/>
        <w:jc w:val="center"/>
        <w:rPr>
          <w:b/>
          <w:sz w:val="25"/>
          <w:szCs w:val="25"/>
          <w:lang w:val="lv-LV"/>
        </w:rPr>
      </w:pPr>
    </w:p>
    <w:p w:rsidR="008F3FAE" w:rsidRPr="008F3FAE" w:rsidRDefault="008F3FAE" w:rsidP="00315A4C">
      <w:pPr>
        <w:pStyle w:val="NormalWeb"/>
        <w:spacing w:before="0" w:beforeAutospacing="0" w:after="0" w:afterAutospacing="0"/>
        <w:jc w:val="center"/>
        <w:rPr>
          <w:b/>
          <w:sz w:val="25"/>
          <w:szCs w:val="25"/>
          <w:lang w:val="lv-LV"/>
        </w:rPr>
      </w:pPr>
    </w:p>
    <w:tbl>
      <w:tblPr>
        <w:tblW w:w="5057" w:type="pct"/>
        <w:tblInd w:w="-104" w:type="dxa"/>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30" w:type="dxa"/>
          <w:left w:w="30" w:type="dxa"/>
          <w:bottom w:w="30" w:type="dxa"/>
          <w:right w:w="30" w:type="dxa"/>
        </w:tblCellMar>
        <w:tblLook w:val="04A0"/>
      </w:tblPr>
      <w:tblGrid>
        <w:gridCol w:w="652"/>
        <w:gridCol w:w="3592"/>
        <w:gridCol w:w="4991"/>
      </w:tblGrid>
      <w:tr w:rsidR="00315A4C" w:rsidRPr="008F3FAE" w:rsidTr="00E92D2E">
        <w:tc>
          <w:tcPr>
            <w:tcW w:w="5000" w:type="pct"/>
            <w:gridSpan w:val="3"/>
            <w:vAlign w:val="center"/>
            <w:hideMark/>
          </w:tcPr>
          <w:p w:rsidR="00315A4C" w:rsidRPr="008F3FAE" w:rsidRDefault="00315A4C" w:rsidP="00E92D2E">
            <w:pPr>
              <w:spacing w:before="100" w:beforeAutospacing="1" w:after="100" w:afterAutospacing="1"/>
              <w:jc w:val="center"/>
              <w:rPr>
                <w:rFonts w:eastAsia="Times New Roman"/>
                <w:sz w:val="25"/>
                <w:szCs w:val="25"/>
                <w:lang w:val="lv-LV" w:eastAsia="lv-LV"/>
              </w:rPr>
            </w:pPr>
            <w:r w:rsidRPr="008F3FAE">
              <w:rPr>
                <w:rFonts w:eastAsia="Times New Roman"/>
                <w:b/>
                <w:bCs/>
                <w:sz w:val="25"/>
                <w:szCs w:val="25"/>
                <w:bdr w:val="none" w:sz="0" w:space="0" w:color="auto" w:frame="1"/>
                <w:lang w:val="lv-LV" w:eastAsia="lv-LV"/>
              </w:rPr>
              <w:t>V. Tiesību akta projekta atbilstība Latvijas Republikas starptautiskajām saistībām</w:t>
            </w:r>
          </w:p>
        </w:tc>
      </w:tr>
      <w:tr w:rsidR="00315A4C" w:rsidRPr="008F3FAE" w:rsidTr="00E92D2E">
        <w:tc>
          <w:tcPr>
            <w:tcW w:w="353" w:type="pct"/>
            <w:hideMark/>
          </w:tcPr>
          <w:p w:rsidR="00315A4C" w:rsidRPr="008F3FAE" w:rsidRDefault="00315A4C" w:rsidP="00E92D2E">
            <w:pPr>
              <w:spacing w:line="245" w:lineRule="atLeast"/>
              <w:rPr>
                <w:rFonts w:eastAsia="Times New Roman"/>
                <w:sz w:val="25"/>
                <w:szCs w:val="25"/>
                <w:lang w:val="lv-LV" w:eastAsia="lv-LV"/>
              </w:rPr>
            </w:pPr>
            <w:r w:rsidRPr="008F3FAE">
              <w:rPr>
                <w:rFonts w:eastAsia="Times New Roman"/>
                <w:sz w:val="25"/>
                <w:szCs w:val="25"/>
                <w:lang w:val="lv-LV" w:eastAsia="lv-LV"/>
              </w:rPr>
              <w:t>1.</w:t>
            </w:r>
          </w:p>
        </w:tc>
        <w:tc>
          <w:tcPr>
            <w:tcW w:w="1945" w:type="pct"/>
            <w:hideMark/>
          </w:tcPr>
          <w:p w:rsidR="00315A4C" w:rsidRPr="008F3FAE" w:rsidRDefault="00315A4C" w:rsidP="00E92D2E">
            <w:pPr>
              <w:spacing w:line="245" w:lineRule="atLeast"/>
              <w:rPr>
                <w:rFonts w:eastAsia="Times New Roman"/>
                <w:sz w:val="25"/>
                <w:szCs w:val="25"/>
                <w:lang w:val="lv-LV" w:eastAsia="lv-LV"/>
              </w:rPr>
            </w:pPr>
            <w:r w:rsidRPr="008F3FAE">
              <w:rPr>
                <w:rFonts w:eastAsia="Times New Roman"/>
                <w:sz w:val="25"/>
                <w:szCs w:val="25"/>
                <w:lang w:val="lv-LV" w:eastAsia="lv-LV"/>
              </w:rPr>
              <w:t>Saistības pret Eiropas Savienību</w:t>
            </w:r>
          </w:p>
        </w:tc>
        <w:tc>
          <w:tcPr>
            <w:tcW w:w="2702" w:type="pct"/>
            <w:hideMark/>
          </w:tcPr>
          <w:p w:rsidR="00315A4C" w:rsidRPr="008F3FAE" w:rsidRDefault="00315A4C" w:rsidP="00315A4C">
            <w:pPr>
              <w:spacing w:line="245" w:lineRule="atLeast"/>
              <w:rPr>
                <w:sz w:val="25"/>
                <w:szCs w:val="25"/>
                <w:lang w:val="lv-LV"/>
              </w:rPr>
            </w:pPr>
            <w:r w:rsidRPr="008F3FAE">
              <w:rPr>
                <w:sz w:val="25"/>
                <w:szCs w:val="25"/>
                <w:lang w:val="lv-LV"/>
              </w:rPr>
              <w:t xml:space="preserve">Komisijas 2006.gada 15.decembra Regula (EK) Nr. 1998/2006 par Līguma 87. un 88.panta piemērošanu </w:t>
            </w:r>
            <w:r w:rsidRPr="008F3FAE">
              <w:rPr>
                <w:i/>
                <w:sz w:val="25"/>
                <w:szCs w:val="25"/>
                <w:lang w:val="lv-LV"/>
              </w:rPr>
              <w:t xml:space="preserve">de </w:t>
            </w:r>
            <w:proofErr w:type="spellStart"/>
            <w:r w:rsidRPr="008F3FAE">
              <w:rPr>
                <w:i/>
                <w:sz w:val="25"/>
                <w:szCs w:val="25"/>
                <w:lang w:val="lv-LV"/>
              </w:rPr>
              <w:t>minimis</w:t>
            </w:r>
            <w:proofErr w:type="spellEnd"/>
            <w:r w:rsidRPr="008F3FAE">
              <w:rPr>
                <w:i/>
                <w:sz w:val="25"/>
                <w:szCs w:val="25"/>
                <w:lang w:val="lv-LV"/>
              </w:rPr>
              <w:t xml:space="preserve"> </w:t>
            </w:r>
            <w:r w:rsidRPr="008F3FAE">
              <w:rPr>
                <w:sz w:val="25"/>
                <w:szCs w:val="25"/>
                <w:lang w:val="lv-LV"/>
              </w:rPr>
              <w:t>atbalstam (turpmāk – Regula Nr.1998/2006).</w:t>
            </w:r>
          </w:p>
        </w:tc>
      </w:tr>
      <w:tr w:rsidR="00315A4C" w:rsidRPr="008F3FAE" w:rsidTr="00E92D2E">
        <w:tc>
          <w:tcPr>
            <w:tcW w:w="353" w:type="pct"/>
            <w:hideMark/>
          </w:tcPr>
          <w:p w:rsidR="00315A4C" w:rsidRPr="008F3FAE" w:rsidRDefault="00315A4C" w:rsidP="00E92D2E">
            <w:pPr>
              <w:spacing w:line="245" w:lineRule="atLeast"/>
              <w:rPr>
                <w:rFonts w:eastAsia="Times New Roman"/>
                <w:sz w:val="25"/>
                <w:szCs w:val="25"/>
                <w:lang w:val="lv-LV" w:eastAsia="lv-LV"/>
              </w:rPr>
            </w:pPr>
            <w:r w:rsidRPr="008F3FAE">
              <w:rPr>
                <w:rFonts w:eastAsia="Times New Roman"/>
                <w:sz w:val="25"/>
                <w:szCs w:val="25"/>
                <w:lang w:val="lv-LV" w:eastAsia="lv-LV"/>
              </w:rPr>
              <w:t>2.</w:t>
            </w:r>
          </w:p>
        </w:tc>
        <w:tc>
          <w:tcPr>
            <w:tcW w:w="1945" w:type="pct"/>
            <w:hideMark/>
          </w:tcPr>
          <w:p w:rsidR="00315A4C" w:rsidRPr="008F3FAE" w:rsidRDefault="00315A4C" w:rsidP="00E92D2E">
            <w:pPr>
              <w:spacing w:line="245" w:lineRule="atLeast"/>
              <w:rPr>
                <w:rFonts w:eastAsia="Times New Roman"/>
                <w:sz w:val="25"/>
                <w:szCs w:val="25"/>
                <w:lang w:val="lv-LV" w:eastAsia="lv-LV"/>
              </w:rPr>
            </w:pPr>
            <w:r w:rsidRPr="008F3FAE">
              <w:rPr>
                <w:rFonts w:eastAsia="Times New Roman"/>
                <w:sz w:val="25"/>
                <w:szCs w:val="25"/>
                <w:lang w:val="lv-LV" w:eastAsia="lv-LV"/>
              </w:rPr>
              <w:t>Citas starptautiskās saistības</w:t>
            </w:r>
          </w:p>
        </w:tc>
        <w:tc>
          <w:tcPr>
            <w:tcW w:w="2702" w:type="pct"/>
            <w:hideMark/>
          </w:tcPr>
          <w:p w:rsidR="00315A4C" w:rsidRPr="008F3FAE" w:rsidRDefault="00315A4C" w:rsidP="00E92D2E">
            <w:pPr>
              <w:spacing w:line="245" w:lineRule="atLeast"/>
              <w:rPr>
                <w:rFonts w:eastAsia="Times New Roman"/>
                <w:sz w:val="25"/>
                <w:szCs w:val="25"/>
                <w:lang w:val="lv-LV" w:eastAsia="lv-LV"/>
              </w:rPr>
            </w:pPr>
            <w:r w:rsidRPr="008F3FAE">
              <w:rPr>
                <w:rFonts w:eastAsia="Times New Roman"/>
                <w:sz w:val="25"/>
                <w:szCs w:val="25"/>
                <w:lang w:val="lv-LV" w:eastAsia="lv-LV"/>
              </w:rPr>
              <w:t xml:space="preserve"> Nav</w:t>
            </w:r>
          </w:p>
        </w:tc>
      </w:tr>
      <w:tr w:rsidR="00315A4C" w:rsidRPr="008F3FAE" w:rsidTr="00E92D2E">
        <w:trPr>
          <w:trHeight w:val="1305"/>
        </w:trPr>
        <w:tc>
          <w:tcPr>
            <w:tcW w:w="353" w:type="pct"/>
            <w:hideMark/>
          </w:tcPr>
          <w:p w:rsidR="00315A4C" w:rsidRPr="008F3FAE" w:rsidRDefault="00315A4C" w:rsidP="00E92D2E">
            <w:pPr>
              <w:spacing w:line="245" w:lineRule="atLeast"/>
              <w:rPr>
                <w:rFonts w:eastAsia="Times New Roman"/>
                <w:sz w:val="25"/>
                <w:szCs w:val="25"/>
                <w:lang w:val="lv-LV" w:eastAsia="lv-LV"/>
              </w:rPr>
            </w:pPr>
            <w:r w:rsidRPr="008F3FAE">
              <w:rPr>
                <w:rFonts w:eastAsia="Times New Roman"/>
                <w:sz w:val="25"/>
                <w:szCs w:val="25"/>
                <w:lang w:val="lv-LV" w:eastAsia="lv-LV"/>
              </w:rPr>
              <w:t>3.</w:t>
            </w:r>
          </w:p>
        </w:tc>
        <w:tc>
          <w:tcPr>
            <w:tcW w:w="1945" w:type="pct"/>
            <w:hideMark/>
          </w:tcPr>
          <w:p w:rsidR="00315A4C" w:rsidRPr="008F3FAE" w:rsidRDefault="00315A4C" w:rsidP="00E92D2E">
            <w:pPr>
              <w:spacing w:line="245" w:lineRule="atLeast"/>
              <w:rPr>
                <w:rFonts w:eastAsia="Times New Roman"/>
                <w:sz w:val="25"/>
                <w:szCs w:val="25"/>
                <w:lang w:val="lv-LV" w:eastAsia="lv-LV"/>
              </w:rPr>
            </w:pPr>
            <w:r w:rsidRPr="008F3FAE">
              <w:rPr>
                <w:rFonts w:eastAsia="Times New Roman"/>
                <w:sz w:val="25"/>
                <w:szCs w:val="25"/>
                <w:lang w:val="lv-LV" w:eastAsia="lv-LV"/>
              </w:rPr>
              <w:t>Cita informācija</w:t>
            </w:r>
          </w:p>
        </w:tc>
        <w:tc>
          <w:tcPr>
            <w:tcW w:w="2702" w:type="pct"/>
            <w:hideMark/>
          </w:tcPr>
          <w:p w:rsidR="00315A4C" w:rsidRPr="008F3FAE" w:rsidRDefault="00315A4C" w:rsidP="00E92D2E">
            <w:pPr>
              <w:spacing w:before="100" w:beforeAutospacing="1" w:after="100" w:afterAutospacing="1"/>
              <w:rPr>
                <w:rFonts w:eastAsia="Times New Roman"/>
                <w:sz w:val="25"/>
                <w:szCs w:val="25"/>
                <w:lang w:val="lv-LV" w:eastAsia="lv-LV"/>
              </w:rPr>
            </w:pPr>
            <w:r w:rsidRPr="008F3FAE">
              <w:rPr>
                <w:rFonts w:eastAsia="Times New Roman"/>
                <w:sz w:val="25"/>
                <w:szCs w:val="25"/>
                <w:lang w:val="lv-LV" w:eastAsia="lv-LV"/>
              </w:rPr>
              <w:t xml:space="preserve"> Nav</w:t>
            </w:r>
          </w:p>
        </w:tc>
      </w:tr>
    </w:tbl>
    <w:p w:rsidR="00315A4C" w:rsidRPr="008F3FAE" w:rsidRDefault="00315A4C" w:rsidP="00315A4C">
      <w:pPr>
        <w:spacing w:line="245" w:lineRule="atLeast"/>
        <w:rPr>
          <w:rFonts w:ascii="Verdana" w:eastAsia="Times New Roman" w:hAnsi="Verdana"/>
          <w:vanish/>
          <w:color w:val="000000"/>
          <w:sz w:val="25"/>
          <w:szCs w:val="25"/>
          <w:lang w:val="lv-LV" w:eastAsia="lv-LV"/>
        </w:rPr>
      </w:pPr>
    </w:p>
    <w:tbl>
      <w:tblPr>
        <w:tblW w:w="5061" w:type="pct"/>
        <w:tblInd w:w="-112" w:type="dxa"/>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30" w:type="dxa"/>
          <w:left w:w="30" w:type="dxa"/>
          <w:bottom w:w="30" w:type="dxa"/>
          <w:right w:w="30" w:type="dxa"/>
        </w:tblCellMar>
        <w:tblLook w:val="04A0"/>
      </w:tblPr>
      <w:tblGrid>
        <w:gridCol w:w="1940"/>
        <w:gridCol w:w="1826"/>
        <w:gridCol w:w="2739"/>
        <w:gridCol w:w="2737"/>
      </w:tblGrid>
      <w:tr w:rsidR="00315A4C" w:rsidRPr="008F3FAE" w:rsidTr="00E92D2E">
        <w:trPr>
          <w:trHeight w:val="510"/>
        </w:trPr>
        <w:tc>
          <w:tcPr>
            <w:tcW w:w="5000" w:type="pct"/>
            <w:gridSpan w:val="4"/>
            <w:vAlign w:val="center"/>
            <w:hideMark/>
          </w:tcPr>
          <w:p w:rsidR="00315A4C" w:rsidRPr="008F3FAE" w:rsidRDefault="00315A4C" w:rsidP="00E92D2E">
            <w:pPr>
              <w:spacing w:before="100" w:beforeAutospacing="1" w:after="100" w:afterAutospacing="1"/>
              <w:jc w:val="center"/>
              <w:rPr>
                <w:rFonts w:eastAsia="Times New Roman"/>
                <w:sz w:val="25"/>
                <w:szCs w:val="25"/>
                <w:lang w:val="lv-LV" w:eastAsia="lv-LV"/>
              </w:rPr>
            </w:pPr>
            <w:r w:rsidRPr="008F3FAE">
              <w:rPr>
                <w:rFonts w:eastAsia="Times New Roman"/>
                <w:b/>
                <w:bCs/>
                <w:sz w:val="25"/>
                <w:szCs w:val="25"/>
                <w:bdr w:val="none" w:sz="0" w:space="0" w:color="auto" w:frame="1"/>
                <w:lang w:val="lv-LV" w:eastAsia="lv-LV"/>
              </w:rPr>
              <w:t>1.tabula</w:t>
            </w:r>
            <w:r w:rsidRPr="008F3FAE">
              <w:rPr>
                <w:rFonts w:eastAsia="Times New Roman"/>
                <w:b/>
                <w:bCs/>
                <w:sz w:val="25"/>
                <w:szCs w:val="25"/>
                <w:bdr w:val="none" w:sz="0" w:space="0" w:color="auto" w:frame="1"/>
                <w:lang w:val="lv-LV" w:eastAsia="lv-LV"/>
              </w:rPr>
              <w:br/>
              <w:t>Tiesību akta projekta atbilstība ES tiesību aktiem</w:t>
            </w:r>
          </w:p>
        </w:tc>
      </w:tr>
      <w:tr w:rsidR="00315A4C" w:rsidRPr="008F3FAE" w:rsidTr="00E92D2E">
        <w:tc>
          <w:tcPr>
            <w:tcW w:w="1049" w:type="pct"/>
            <w:hideMark/>
          </w:tcPr>
          <w:p w:rsidR="00315A4C" w:rsidRPr="008F3FAE" w:rsidRDefault="00315A4C" w:rsidP="00E92D2E">
            <w:pPr>
              <w:spacing w:line="245" w:lineRule="atLeast"/>
              <w:rPr>
                <w:rFonts w:eastAsia="Times New Roman"/>
                <w:sz w:val="25"/>
                <w:szCs w:val="25"/>
                <w:lang w:val="lv-LV" w:eastAsia="lv-LV"/>
              </w:rPr>
            </w:pPr>
            <w:r w:rsidRPr="008F3FAE">
              <w:rPr>
                <w:rFonts w:eastAsia="Times New Roman"/>
                <w:sz w:val="25"/>
                <w:szCs w:val="25"/>
                <w:lang w:val="lv-LV" w:eastAsia="lv-LV"/>
              </w:rPr>
              <w:t>Attiecīgā ES tiesību akta datums, numurs un nosaukums</w:t>
            </w:r>
          </w:p>
        </w:tc>
        <w:tc>
          <w:tcPr>
            <w:tcW w:w="3951" w:type="pct"/>
            <w:gridSpan w:val="3"/>
            <w:hideMark/>
          </w:tcPr>
          <w:p w:rsidR="00315A4C" w:rsidRPr="008F3FAE" w:rsidRDefault="00315A4C" w:rsidP="00E92D2E">
            <w:pPr>
              <w:spacing w:line="245" w:lineRule="atLeast"/>
              <w:jc w:val="both"/>
              <w:rPr>
                <w:sz w:val="25"/>
                <w:szCs w:val="25"/>
                <w:lang w:val="lv-LV"/>
              </w:rPr>
            </w:pPr>
            <w:r w:rsidRPr="008F3FAE">
              <w:rPr>
                <w:sz w:val="25"/>
                <w:szCs w:val="25"/>
                <w:lang w:val="lv-LV"/>
              </w:rPr>
              <w:t>Ar normatīvo aktu tiek ieviestas šāda Eiropas Savienības tiesību akta prasības:</w:t>
            </w:r>
          </w:p>
          <w:p w:rsidR="00315A4C" w:rsidRPr="008F3FAE" w:rsidRDefault="00315A4C" w:rsidP="00E92D2E">
            <w:pPr>
              <w:spacing w:line="245" w:lineRule="atLeast"/>
              <w:jc w:val="both"/>
              <w:rPr>
                <w:rFonts w:eastAsia="Times New Roman"/>
                <w:sz w:val="25"/>
                <w:szCs w:val="25"/>
                <w:lang w:val="lv-LV" w:eastAsia="lv-LV"/>
              </w:rPr>
            </w:pPr>
            <w:r w:rsidRPr="008F3FAE">
              <w:rPr>
                <w:sz w:val="25"/>
                <w:szCs w:val="25"/>
                <w:lang w:val="lv-LV"/>
              </w:rPr>
              <w:t xml:space="preserve">Komisijas 2006.gada 15.decembra Regula (EK) Nr. 1998/2006 par Līguma 87. un 88.panta piemērošanu </w:t>
            </w:r>
            <w:r w:rsidRPr="008F3FAE">
              <w:rPr>
                <w:i/>
                <w:sz w:val="25"/>
                <w:szCs w:val="25"/>
                <w:lang w:val="lv-LV"/>
              </w:rPr>
              <w:t xml:space="preserve">de </w:t>
            </w:r>
            <w:proofErr w:type="spellStart"/>
            <w:r w:rsidRPr="008F3FAE">
              <w:rPr>
                <w:i/>
                <w:sz w:val="25"/>
                <w:szCs w:val="25"/>
                <w:lang w:val="lv-LV"/>
              </w:rPr>
              <w:t>minimis</w:t>
            </w:r>
            <w:proofErr w:type="spellEnd"/>
            <w:r w:rsidRPr="008F3FAE">
              <w:rPr>
                <w:i/>
                <w:sz w:val="25"/>
                <w:szCs w:val="25"/>
                <w:lang w:val="lv-LV"/>
              </w:rPr>
              <w:t xml:space="preserve"> </w:t>
            </w:r>
            <w:r w:rsidRPr="008F3FAE">
              <w:rPr>
                <w:sz w:val="25"/>
                <w:szCs w:val="25"/>
                <w:lang w:val="lv-LV"/>
              </w:rPr>
              <w:t>atbalstam (turpmāk – Komisijas regula Nr.1998/2006).</w:t>
            </w:r>
          </w:p>
        </w:tc>
      </w:tr>
      <w:tr w:rsidR="00315A4C" w:rsidRPr="008F3FAE" w:rsidTr="00E92D2E">
        <w:tc>
          <w:tcPr>
            <w:tcW w:w="1049" w:type="pct"/>
            <w:vAlign w:val="center"/>
            <w:hideMark/>
          </w:tcPr>
          <w:p w:rsidR="00315A4C" w:rsidRPr="008F3FAE" w:rsidRDefault="00315A4C" w:rsidP="00E92D2E">
            <w:pPr>
              <w:spacing w:before="100" w:beforeAutospacing="1" w:after="100" w:afterAutospacing="1"/>
              <w:jc w:val="center"/>
              <w:rPr>
                <w:rFonts w:eastAsia="Times New Roman"/>
                <w:sz w:val="25"/>
                <w:szCs w:val="25"/>
                <w:lang w:val="lv-LV" w:eastAsia="lv-LV"/>
              </w:rPr>
            </w:pPr>
            <w:r w:rsidRPr="008F3FAE">
              <w:rPr>
                <w:rFonts w:eastAsia="Times New Roman"/>
                <w:sz w:val="25"/>
                <w:szCs w:val="25"/>
                <w:lang w:val="lv-LV" w:eastAsia="lv-LV"/>
              </w:rPr>
              <w:t>A</w:t>
            </w:r>
          </w:p>
        </w:tc>
        <w:tc>
          <w:tcPr>
            <w:tcW w:w="988" w:type="pct"/>
            <w:vAlign w:val="center"/>
            <w:hideMark/>
          </w:tcPr>
          <w:p w:rsidR="00315A4C" w:rsidRPr="008F3FAE" w:rsidRDefault="00315A4C" w:rsidP="00E92D2E">
            <w:pPr>
              <w:spacing w:before="100" w:beforeAutospacing="1" w:after="100" w:afterAutospacing="1"/>
              <w:jc w:val="center"/>
              <w:rPr>
                <w:rFonts w:eastAsia="Times New Roman"/>
                <w:sz w:val="25"/>
                <w:szCs w:val="25"/>
                <w:lang w:val="lv-LV" w:eastAsia="lv-LV"/>
              </w:rPr>
            </w:pPr>
            <w:r w:rsidRPr="008F3FAE">
              <w:rPr>
                <w:rFonts w:eastAsia="Times New Roman"/>
                <w:sz w:val="25"/>
                <w:szCs w:val="25"/>
                <w:lang w:val="lv-LV" w:eastAsia="lv-LV"/>
              </w:rPr>
              <w:t>B</w:t>
            </w:r>
          </w:p>
        </w:tc>
        <w:tc>
          <w:tcPr>
            <w:tcW w:w="1482" w:type="pct"/>
            <w:vAlign w:val="center"/>
            <w:hideMark/>
          </w:tcPr>
          <w:p w:rsidR="00315A4C" w:rsidRPr="008F3FAE" w:rsidRDefault="00315A4C" w:rsidP="00E92D2E">
            <w:pPr>
              <w:spacing w:before="100" w:beforeAutospacing="1" w:after="100" w:afterAutospacing="1"/>
              <w:jc w:val="center"/>
              <w:rPr>
                <w:rFonts w:eastAsia="Times New Roman"/>
                <w:sz w:val="25"/>
                <w:szCs w:val="25"/>
                <w:lang w:val="lv-LV" w:eastAsia="lv-LV"/>
              </w:rPr>
            </w:pPr>
            <w:r w:rsidRPr="008F3FAE">
              <w:rPr>
                <w:rFonts w:eastAsia="Times New Roman"/>
                <w:sz w:val="25"/>
                <w:szCs w:val="25"/>
                <w:lang w:val="lv-LV" w:eastAsia="lv-LV"/>
              </w:rPr>
              <w:t>C</w:t>
            </w:r>
          </w:p>
        </w:tc>
        <w:tc>
          <w:tcPr>
            <w:tcW w:w="1482" w:type="pct"/>
            <w:vAlign w:val="center"/>
            <w:hideMark/>
          </w:tcPr>
          <w:p w:rsidR="00315A4C" w:rsidRPr="008F3FAE" w:rsidRDefault="00315A4C" w:rsidP="00E92D2E">
            <w:pPr>
              <w:spacing w:before="100" w:beforeAutospacing="1" w:after="100" w:afterAutospacing="1"/>
              <w:jc w:val="center"/>
              <w:rPr>
                <w:rFonts w:eastAsia="Times New Roman"/>
                <w:sz w:val="25"/>
                <w:szCs w:val="25"/>
                <w:lang w:val="lv-LV" w:eastAsia="lv-LV"/>
              </w:rPr>
            </w:pPr>
            <w:r w:rsidRPr="008F3FAE">
              <w:rPr>
                <w:rFonts w:eastAsia="Times New Roman"/>
                <w:sz w:val="25"/>
                <w:szCs w:val="25"/>
                <w:lang w:val="lv-LV" w:eastAsia="lv-LV"/>
              </w:rPr>
              <w:t>D</w:t>
            </w:r>
          </w:p>
        </w:tc>
      </w:tr>
      <w:tr w:rsidR="00315A4C" w:rsidRPr="008F3FAE" w:rsidTr="00E92D2E">
        <w:tc>
          <w:tcPr>
            <w:tcW w:w="1049" w:type="pct"/>
            <w:hideMark/>
          </w:tcPr>
          <w:p w:rsidR="00315A4C" w:rsidRPr="008F3FAE" w:rsidRDefault="00315A4C" w:rsidP="00E92D2E">
            <w:pPr>
              <w:spacing w:line="245" w:lineRule="atLeast"/>
              <w:jc w:val="both"/>
              <w:rPr>
                <w:rFonts w:eastAsia="Times New Roman"/>
                <w:sz w:val="25"/>
                <w:szCs w:val="25"/>
                <w:lang w:val="lv-LV" w:eastAsia="lv-LV"/>
              </w:rPr>
            </w:pPr>
            <w:r w:rsidRPr="008F3FAE">
              <w:rPr>
                <w:rFonts w:eastAsia="Times New Roman"/>
                <w:sz w:val="25"/>
                <w:szCs w:val="25"/>
                <w:lang w:val="lv-LV" w:eastAsia="lv-LV"/>
              </w:rPr>
              <w:t>Attiecīgā ES tiesību akta panta numurs (uzskaitot katru tiesību akta vienību – pantu, daļu, punktu, apakšpunktu)</w:t>
            </w:r>
          </w:p>
        </w:tc>
        <w:tc>
          <w:tcPr>
            <w:tcW w:w="988" w:type="pct"/>
            <w:hideMark/>
          </w:tcPr>
          <w:p w:rsidR="00315A4C" w:rsidRPr="008F3FAE" w:rsidRDefault="00315A4C" w:rsidP="00E92D2E">
            <w:pPr>
              <w:spacing w:line="245" w:lineRule="atLeast"/>
              <w:jc w:val="both"/>
              <w:rPr>
                <w:rFonts w:eastAsia="Times New Roman"/>
                <w:sz w:val="25"/>
                <w:szCs w:val="25"/>
                <w:lang w:val="lv-LV" w:eastAsia="lv-LV"/>
              </w:rPr>
            </w:pPr>
            <w:r w:rsidRPr="008F3FAE">
              <w:rPr>
                <w:rFonts w:eastAsia="Times New Roman"/>
                <w:sz w:val="25"/>
                <w:szCs w:val="25"/>
                <w:lang w:val="lv-LV" w:eastAsia="lv-LV"/>
              </w:rPr>
              <w:t>Projekta vienība, kas pārņem vai ievieš katru šīs tabulas A ailē minēto ES tiesību akta vienību, vai tiesību akts, kur attiecīgā ES tiesību akta vienība pārņemta vai ieviesta</w:t>
            </w:r>
          </w:p>
        </w:tc>
        <w:tc>
          <w:tcPr>
            <w:tcW w:w="1482" w:type="pct"/>
            <w:hideMark/>
          </w:tcPr>
          <w:p w:rsidR="00315A4C" w:rsidRPr="008F3FAE" w:rsidRDefault="00315A4C" w:rsidP="00E92D2E">
            <w:pPr>
              <w:spacing w:line="245" w:lineRule="atLeast"/>
              <w:jc w:val="both"/>
              <w:rPr>
                <w:rFonts w:eastAsia="Times New Roman"/>
                <w:sz w:val="25"/>
                <w:szCs w:val="25"/>
                <w:lang w:val="lv-LV" w:eastAsia="lv-LV"/>
              </w:rPr>
            </w:pPr>
            <w:r w:rsidRPr="008F3FAE">
              <w:rPr>
                <w:rFonts w:eastAsia="Times New Roman"/>
                <w:sz w:val="25"/>
                <w:szCs w:val="25"/>
                <w:lang w:val="lv-LV" w:eastAsia="lv-LV"/>
              </w:rPr>
              <w:t>Informācija par to, vai šīs tabulas A ailē minētās ES tiesību akta vienības tiek pārņemtas vai ieviestas pilnībā vai daļēji.</w:t>
            </w:r>
          </w:p>
          <w:p w:rsidR="00315A4C" w:rsidRPr="008F3FAE" w:rsidRDefault="00315A4C" w:rsidP="00E92D2E">
            <w:pPr>
              <w:spacing w:before="100" w:beforeAutospacing="1" w:after="100" w:afterAutospacing="1"/>
              <w:jc w:val="both"/>
              <w:rPr>
                <w:rFonts w:eastAsia="Times New Roman"/>
                <w:sz w:val="25"/>
                <w:szCs w:val="25"/>
                <w:lang w:val="lv-LV" w:eastAsia="lv-LV"/>
              </w:rPr>
            </w:pPr>
            <w:r w:rsidRPr="008F3FAE">
              <w:rPr>
                <w:rFonts w:eastAsia="Times New Roman"/>
                <w:sz w:val="25"/>
                <w:szCs w:val="25"/>
                <w:lang w:val="lv-LV" w:eastAsia="lv-LV"/>
              </w:rPr>
              <w:t>Ja attiecīgā ES tiesību akta vienība tiek pārņemta vai ieviesta daļēji, sniedz attiecīgu skaidrojumu, kā arī precīzi norāda, kad un kādā veidā ES tiesību akta vienība tiks pārņemta vai ieviesta pilnībā.</w:t>
            </w:r>
          </w:p>
          <w:p w:rsidR="00315A4C" w:rsidRPr="008F3FAE" w:rsidRDefault="00315A4C" w:rsidP="00E92D2E">
            <w:pPr>
              <w:spacing w:before="100" w:beforeAutospacing="1" w:after="100" w:afterAutospacing="1"/>
              <w:jc w:val="both"/>
              <w:rPr>
                <w:rFonts w:eastAsia="Times New Roman"/>
                <w:sz w:val="25"/>
                <w:szCs w:val="25"/>
                <w:lang w:val="lv-LV" w:eastAsia="lv-LV"/>
              </w:rPr>
            </w:pPr>
            <w:r w:rsidRPr="008F3FAE">
              <w:rPr>
                <w:rFonts w:eastAsia="Times New Roman"/>
                <w:sz w:val="25"/>
                <w:szCs w:val="25"/>
                <w:lang w:val="lv-LV" w:eastAsia="lv-LV"/>
              </w:rPr>
              <w:t>Norāda institūciju, kas ir atbildīga par šo saistību izpildi pilnībā</w:t>
            </w:r>
          </w:p>
        </w:tc>
        <w:tc>
          <w:tcPr>
            <w:tcW w:w="1482" w:type="pct"/>
            <w:hideMark/>
          </w:tcPr>
          <w:p w:rsidR="00315A4C" w:rsidRPr="008F3FAE" w:rsidRDefault="00315A4C" w:rsidP="00E92D2E">
            <w:pPr>
              <w:spacing w:line="245" w:lineRule="atLeast"/>
              <w:jc w:val="both"/>
              <w:rPr>
                <w:rFonts w:eastAsia="Times New Roman"/>
                <w:sz w:val="25"/>
                <w:szCs w:val="25"/>
                <w:lang w:val="lv-LV" w:eastAsia="lv-LV"/>
              </w:rPr>
            </w:pPr>
            <w:r w:rsidRPr="008F3FAE">
              <w:rPr>
                <w:rFonts w:eastAsia="Times New Roman"/>
                <w:sz w:val="25"/>
                <w:szCs w:val="25"/>
                <w:lang w:val="lv-LV" w:eastAsia="lv-LV"/>
              </w:rPr>
              <w:t>Informācija par to, vai šīs tabulas B ailē minētās projekta vienības paredz stingrākas prasības nekā šīs tabulas A ailē minētās ES tiesību akta vienības.</w:t>
            </w:r>
          </w:p>
          <w:p w:rsidR="00315A4C" w:rsidRPr="008F3FAE" w:rsidRDefault="00315A4C" w:rsidP="00E92D2E">
            <w:pPr>
              <w:spacing w:before="100" w:beforeAutospacing="1" w:after="100" w:afterAutospacing="1"/>
              <w:jc w:val="both"/>
              <w:rPr>
                <w:rFonts w:eastAsia="Times New Roman"/>
                <w:sz w:val="25"/>
                <w:szCs w:val="25"/>
                <w:lang w:val="lv-LV" w:eastAsia="lv-LV"/>
              </w:rPr>
            </w:pPr>
            <w:r w:rsidRPr="008F3FAE">
              <w:rPr>
                <w:rFonts w:eastAsia="Times New Roman"/>
                <w:sz w:val="25"/>
                <w:szCs w:val="25"/>
                <w:lang w:val="lv-LV" w:eastAsia="lv-LV"/>
              </w:rPr>
              <w:t>Ja projekts satur stingrākas prasības nekā attiecīgais ES tiesību akts, norāda pamatojumu un samērīgumu.</w:t>
            </w:r>
          </w:p>
          <w:p w:rsidR="00315A4C" w:rsidRPr="008F3FAE" w:rsidRDefault="00315A4C" w:rsidP="00E92D2E">
            <w:pPr>
              <w:spacing w:before="100" w:beforeAutospacing="1" w:after="100" w:afterAutospacing="1"/>
              <w:jc w:val="both"/>
              <w:rPr>
                <w:rFonts w:eastAsia="Times New Roman"/>
                <w:sz w:val="25"/>
                <w:szCs w:val="25"/>
                <w:lang w:val="lv-LV" w:eastAsia="lv-LV"/>
              </w:rPr>
            </w:pPr>
            <w:r w:rsidRPr="008F3FAE">
              <w:rPr>
                <w:rFonts w:eastAsia="Times New Roman"/>
                <w:sz w:val="25"/>
                <w:szCs w:val="25"/>
                <w:lang w:val="lv-LV"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315A4C" w:rsidRPr="008F3FAE" w:rsidTr="00E92D2E">
        <w:tc>
          <w:tcPr>
            <w:tcW w:w="1049" w:type="pct"/>
            <w:hideMark/>
          </w:tcPr>
          <w:p w:rsidR="001434F6" w:rsidRPr="008F3FAE" w:rsidRDefault="001434F6" w:rsidP="001434F6">
            <w:pPr>
              <w:spacing w:line="245" w:lineRule="atLeast"/>
              <w:jc w:val="both"/>
              <w:rPr>
                <w:sz w:val="25"/>
                <w:szCs w:val="25"/>
                <w:lang w:val="lv-LV"/>
              </w:rPr>
            </w:pPr>
            <w:r w:rsidRPr="008F3FAE">
              <w:rPr>
                <w:sz w:val="25"/>
                <w:szCs w:val="25"/>
                <w:lang w:val="lv-LV"/>
              </w:rPr>
              <w:t xml:space="preserve">Regula </w:t>
            </w:r>
            <w:r w:rsidR="00315A4C" w:rsidRPr="008F3FAE">
              <w:rPr>
                <w:sz w:val="25"/>
                <w:szCs w:val="25"/>
                <w:lang w:val="lv-LV"/>
              </w:rPr>
              <w:t>Nr.1998/2006.</w:t>
            </w:r>
          </w:p>
          <w:p w:rsidR="00315A4C" w:rsidRPr="008F3FAE" w:rsidRDefault="00315A4C" w:rsidP="00E92D2E">
            <w:pPr>
              <w:spacing w:line="245" w:lineRule="atLeast"/>
              <w:jc w:val="both"/>
              <w:rPr>
                <w:sz w:val="25"/>
                <w:szCs w:val="25"/>
                <w:lang w:val="lv-LV"/>
              </w:rPr>
            </w:pPr>
          </w:p>
        </w:tc>
        <w:tc>
          <w:tcPr>
            <w:tcW w:w="988" w:type="pct"/>
            <w:hideMark/>
          </w:tcPr>
          <w:p w:rsidR="00315A4C" w:rsidRPr="008F3FAE" w:rsidRDefault="00315A4C" w:rsidP="00E92D2E">
            <w:pPr>
              <w:spacing w:line="245" w:lineRule="atLeast"/>
              <w:jc w:val="both"/>
              <w:rPr>
                <w:rFonts w:eastAsia="Times New Roman"/>
                <w:sz w:val="25"/>
                <w:szCs w:val="25"/>
                <w:lang w:val="lv-LV" w:eastAsia="lv-LV"/>
              </w:rPr>
            </w:pPr>
            <w:r w:rsidRPr="008F3FAE">
              <w:rPr>
                <w:sz w:val="25"/>
                <w:szCs w:val="25"/>
                <w:lang w:val="lv-LV"/>
              </w:rPr>
              <w:t xml:space="preserve">Ministru kabineta noteikumu projekta </w:t>
            </w:r>
            <w:r w:rsidR="00CF6236" w:rsidRPr="008F3FAE">
              <w:rPr>
                <w:sz w:val="25"/>
                <w:szCs w:val="25"/>
                <w:lang w:val="lv-LV"/>
              </w:rPr>
              <w:t>2</w:t>
            </w:r>
            <w:r w:rsidRPr="008F3FAE">
              <w:rPr>
                <w:sz w:val="25"/>
                <w:szCs w:val="25"/>
                <w:lang w:val="lv-LV"/>
              </w:rPr>
              <w:t>.</w:t>
            </w:r>
            <w:r w:rsidR="00CF6236" w:rsidRPr="008F3FAE">
              <w:rPr>
                <w:sz w:val="25"/>
                <w:szCs w:val="25"/>
                <w:lang w:val="lv-LV"/>
              </w:rPr>
              <w:t>un 4.</w:t>
            </w:r>
            <w:r w:rsidRPr="008F3FAE">
              <w:rPr>
                <w:sz w:val="25"/>
                <w:szCs w:val="25"/>
                <w:lang w:val="lv-LV"/>
              </w:rPr>
              <w:t xml:space="preserve">punkts. </w:t>
            </w:r>
          </w:p>
          <w:p w:rsidR="00315A4C" w:rsidRPr="008F3FAE" w:rsidRDefault="00315A4C" w:rsidP="00E92D2E">
            <w:pPr>
              <w:spacing w:line="245" w:lineRule="atLeast"/>
              <w:jc w:val="both"/>
              <w:rPr>
                <w:rFonts w:eastAsia="Times New Roman"/>
                <w:sz w:val="25"/>
                <w:szCs w:val="25"/>
                <w:lang w:val="lv-LV" w:eastAsia="lv-LV"/>
              </w:rPr>
            </w:pPr>
          </w:p>
        </w:tc>
        <w:tc>
          <w:tcPr>
            <w:tcW w:w="1482" w:type="pct"/>
            <w:hideMark/>
          </w:tcPr>
          <w:p w:rsidR="00315A4C" w:rsidRPr="008F3FAE" w:rsidRDefault="00315A4C" w:rsidP="001434F6">
            <w:pPr>
              <w:jc w:val="both"/>
              <w:rPr>
                <w:rFonts w:eastAsia="Times New Roman"/>
                <w:sz w:val="25"/>
                <w:szCs w:val="25"/>
                <w:lang w:val="lv-LV" w:eastAsia="lv-LV"/>
              </w:rPr>
            </w:pPr>
            <w:r w:rsidRPr="008F3FAE">
              <w:rPr>
                <w:sz w:val="25"/>
                <w:szCs w:val="25"/>
                <w:lang w:val="lv-LV"/>
              </w:rPr>
              <w:t>Ieviesta pilnībā</w:t>
            </w:r>
            <w:r w:rsidRPr="008F3FAE">
              <w:rPr>
                <w:rFonts w:eastAsia="Times New Roman"/>
                <w:sz w:val="25"/>
                <w:szCs w:val="25"/>
                <w:lang w:val="lv-LV" w:eastAsia="lv-LV"/>
              </w:rPr>
              <w:t>.</w:t>
            </w:r>
            <w:r w:rsidR="001434F6" w:rsidRPr="008F3FAE">
              <w:rPr>
                <w:rFonts w:eastAsia="Times New Roman"/>
                <w:sz w:val="25"/>
                <w:szCs w:val="25"/>
                <w:lang w:val="lv-LV" w:eastAsia="lv-LV"/>
              </w:rPr>
              <w:t xml:space="preserve"> </w:t>
            </w:r>
          </w:p>
        </w:tc>
        <w:tc>
          <w:tcPr>
            <w:tcW w:w="1482" w:type="pct"/>
            <w:hideMark/>
          </w:tcPr>
          <w:p w:rsidR="001434F6" w:rsidRPr="008F3FAE" w:rsidRDefault="00315A4C" w:rsidP="001434F6">
            <w:pPr>
              <w:rPr>
                <w:rFonts w:eastAsia="Times New Roman"/>
                <w:sz w:val="25"/>
                <w:szCs w:val="25"/>
                <w:lang w:val="lv-LV" w:eastAsia="lv-LV"/>
              </w:rPr>
            </w:pPr>
            <w:r w:rsidRPr="008F3FAE">
              <w:rPr>
                <w:sz w:val="25"/>
                <w:szCs w:val="25"/>
                <w:lang w:val="lv-LV"/>
              </w:rPr>
              <w:t>Neparedz stingrākas prasības.</w:t>
            </w:r>
          </w:p>
          <w:p w:rsidR="00315A4C" w:rsidRPr="008F3FAE" w:rsidRDefault="00315A4C" w:rsidP="00E92D2E">
            <w:pPr>
              <w:rPr>
                <w:rFonts w:eastAsia="Times New Roman"/>
                <w:sz w:val="25"/>
                <w:szCs w:val="25"/>
                <w:lang w:val="lv-LV" w:eastAsia="lv-LV"/>
              </w:rPr>
            </w:pPr>
          </w:p>
        </w:tc>
      </w:tr>
      <w:tr w:rsidR="00315A4C" w:rsidRPr="008F3FAE" w:rsidTr="00E92D2E">
        <w:tc>
          <w:tcPr>
            <w:tcW w:w="1049" w:type="pct"/>
            <w:hideMark/>
          </w:tcPr>
          <w:p w:rsidR="00315A4C" w:rsidRPr="008F3FAE" w:rsidRDefault="00315A4C" w:rsidP="00E92D2E">
            <w:pPr>
              <w:spacing w:line="245" w:lineRule="atLeast"/>
              <w:rPr>
                <w:rFonts w:eastAsia="Times New Roman"/>
                <w:sz w:val="25"/>
                <w:szCs w:val="25"/>
                <w:lang w:val="lv-LV" w:eastAsia="lv-LV"/>
              </w:rPr>
            </w:pPr>
            <w:r w:rsidRPr="008F3FAE">
              <w:rPr>
                <w:rFonts w:eastAsia="Times New Roman"/>
                <w:sz w:val="25"/>
                <w:szCs w:val="25"/>
                <w:lang w:val="lv-LV" w:eastAsia="lv-LV"/>
              </w:rPr>
              <w:t>Kā ir izmantota ES tiesību aktā paredzētā rīcības brīvība dalībvalstij pārņemt vai ieviest noteiktas ES tiesību akta normas?</w:t>
            </w:r>
          </w:p>
          <w:p w:rsidR="00315A4C" w:rsidRPr="008F3FAE" w:rsidRDefault="00315A4C" w:rsidP="00E92D2E">
            <w:pPr>
              <w:spacing w:before="100" w:beforeAutospacing="1" w:after="100" w:afterAutospacing="1"/>
              <w:rPr>
                <w:rFonts w:eastAsia="Times New Roman"/>
                <w:sz w:val="25"/>
                <w:szCs w:val="25"/>
                <w:lang w:val="lv-LV" w:eastAsia="lv-LV"/>
              </w:rPr>
            </w:pPr>
            <w:r w:rsidRPr="008F3FAE">
              <w:rPr>
                <w:rFonts w:eastAsia="Times New Roman"/>
                <w:sz w:val="25"/>
                <w:szCs w:val="25"/>
                <w:lang w:val="lv-LV" w:eastAsia="lv-LV"/>
              </w:rPr>
              <w:t>Kādēļ?</w:t>
            </w:r>
          </w:p>
        </w:tc>
        <w:tc>
          <w:tcPr>
            <w:tcW w:w="3951" w:type="pct"/>
            <w:gridSpan w:val="3"/>
            <w:hideMark/>
          </w:tcPr>
          <w:p w:rsidR="00315A4C" w:rsidRPr="008F3FAE" w:rsidRDefault="00315A4C" w:rsidP="00E92D2E">
            <w:pPr>
              <w:pStyle w:val="naiskr"/>
              <w:jc w:val="both"/>
              <w:rPr>
                <w:iCs/>
                <w:sz w:val="25"/>
                <w:szCs w:val="25"/>
              </w:rPr>
            </w:pPr>
            <w:r w:rsidRPr="008F3FAE">
              <w:rPr>
                <w:iCs/>
                <w:sz w:val="25"/>
                <w:szCs w:val="25"/>
              </w:rPr>
              <w:t>Lai sniegtu valsts atbalstu, kā arī piešķirtu struktūrfondu līdzfinansējumu,  dalībvalstij ir jāpiemēro Regula Nr.1998/2006;</w:t>
            </w:r>
          </w:p>
          <w:p w:rsidR="00315A4C" w:rsidRPr="008F3FAE" w:rsidRDefault="00315A4C" w:rsidP="00E92D2E">
            <w:pPr>
              <w:spacing w:line="245" w:lineRule="atLeast"/>
              <w:rPr>
                <w:rFonts w:eastAsia="Times New Roman"/>
                <w:sz w:val="25"/>
                <w:szCs w:val="25"/>
                <w:lang w:val="lv-LV" w:eastAsia="lv-LV"/>
              </w:rPr>
            </w:pPr>
          </w:p>
        </w:tc>
      </w:tr>
      <w:tr w:rsidR="00315A4C" w:rsidRPr="008F3FAE" w:rsidTr="00E92D2E">
        <w:tc>
          <w:tcPr>
            <w:tcW w:w="1049" w:type="pct"/>
            <w:hideMark/>
          </w:tcPr>
          <w:p w:rsidR="00315A4C" w:rsidRPr="008F3FAE" w:rsidRDefault="00315A4C" w:rsidP="00E92D2E">
            <w:pPr>
              <w:spacing w:line="245" w:lineRule="atLeast"/>
              <w:jc w:val="both"/>
              <w:rPr>
                <w:rFonts w:eastAsia="Times New Roman"/>
                <w:sz w:val="25"/>
                <w:szCs w:val="25"/>
                <w:lang w:val="lv-LV" w:eastAsia="lv-LV"/>
              </w:rPr>
            </w:pPr>
            <w:r w:rsidRPr="008F3FAE">
              <w:rPr>
                <w:rFonts w:eastAsia="Times New Roman"/>
                <w:sz w:val="25"/>
                <w:szCs w:val="25"/>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51" w:type="pct"/>
            <w:gridSpan w:val="3"/>
            <w:hideMark/>
          </w:tcPr>
          <w:p w:rsidR="00315A4C" w:rsidRPr="008F3FAE" w:rsidRDefault="00315A4C" w:rsidP="00E92D2E">
            <w:pPr>
              <w:spacing w:line="245" w:lineRule="atLeast"/>
              <w:jc w:val="both"/>
              <w:rPr>
                <w:rFonts w:eastAsia="Times New Roman"/>
                <w:sz w:val="25"/>
                <w:szCs w:val="25"/>
                <w:lang w:val="lv-LV" w:eastAsia="lv-LV"/>
              </w:rPr>
            </w:pPr>
            <w:r w:rsidRPr="008F3FAE">
              <w:rPr>
                <w:sz w:val="25"/>
                <w:szCs w:val="25"/>
                <w:lang w:val="lv-LV"/>
              </w:rPr>
              <w:t>Paziņojumu Eiropas Komisijai (turpmāk – EK) nav nepieciešams sniegt, jo MK noteikumu projekts saskaņā ar Regulas Nr.1998/2006 2.pantu ir atbrīvots no iepriekšējas paziņošanas EK.</w:t>
            </w:r>
          </w:p>
        </w:tc>
      </w:tr>
      <w:tr w:rsidR="00315A4C" w:rsidRPr="008F3FAE" w:rsidTr="00E92D2E">
        <w:tc>
          <w:tcPr>
            <w:tcW w:w="1049" w:type="pct"/>
            <w:hideMark/>
          </w:tcPr>
          <w:p w:rsidR="00315A4C" w:rsidRPr="008F3FAE" w:rsidRDefault="00315A4C" w:rsidP="00E92D2E">
            <w:pPr>
              <w:spacing w:line="245" w:lineRule="atLeast"/>
              <w:rPr>
                <w:rFonts w:eastAsia="Times New Roman"/>
                <w:sz w:val="25"/>
                <w:szCs w:val="25"/>
                <w:lang w:val="lv-LV" w:eastAsia="lv-LV"/>
              </w:rPr>
            </w:pPr>
            <w:r w:rsidRPr="008F3FAE">
              <w:rPr>
                <w:rFonts w:eastAsia="Times New Roman"/>
                <w:sz w:val="25"/>
                <w:szCs w:val="25"/>
                <w:lang w:val="lv-LV" w:eastAsia="lv-LV"/>
              </w:rPr>
              <w:t>Cita informācija</w:t>
            </w:r>
          </w:p>
        </w:tc>
        <w:tc>
          <w:tcPr>
            <w:tcW w:w="3951" w:type="pct"/>
            <w:gridSpan w:val="3"/>
            <w:hideMark/>
          </w:tcPr>
          <w:p w:rsidR="00315A4C" w:rsidRPr="008F3FAE" w:rsidRDefault="00315A4C" w:rsidP="00E92D2E">
            <w:pPr>
              <w:spacing w:before="100" w:beforeAutospacing="1" w:after="100" w:afterAutospacing="1"/>
              <w:rPr>
                <w:rFonts w:eastAsia="Times New Roman"/>
                <w:sz w:val="25"/>
                <w:szCs w:val="25"/>
                <w:lang w:val="lv-LV" w:eastAsia="lv-LV"/>
              </w:rPr>
            </w:pPr>
            <w:r w:rsidRPr="008F3FAE">
              <w:rPr>
                <w:rFonts w:eastAsia="Times New Roman"/>
                <w:sz w:val="25"/>
                <w:szCs w:val="25"/>
                <w:lang w:val="lv-LV" w:eastAsia="lv-LV"/>
              </w:rPr>
              <w:t xml:space="preserve"> Nav</w:t>
            </w:r>
          </w:p>
        </w:tc>
      </w:tr>
    </w:tbl>
    <w:p w:rsidR="000834CE" w:rsidRPr="008F3FAE" w:rsidRDefault="000834CE" w:rsidP="00E63BFD">
      <w:pPr>
        <w:tabs>
          <w:tab w:val="left" w:pos="7655"/>
        </w:tabs>
        <w:jc w:val="both"/>
        <w:rPr>
          <w:b/>
          <w:sz w:val="25"/>
          <w:szCs w:val="25"/>
          <w:lang w:val="lv-LV"/>
        </w:rPr>
      </w:pPr>
    </w:p>
    <w:p w:rsidR="007877B2" w:rsidRPr="008F3FAE" w:rsidRDefault="007877B2" w:rsidP="00E63BFD">
      <w:pPr>
        <w:tabs>
          <w:tab w:val="left" w:pos="7655"/>
        </w:tabs>
        <w:jc w:val="both"/>
        <w:rPr>
          <w:b/>
          <w:sz w:val="25"/>
          <w:szCs w:val="25"/>
          <w:lang w:val="lv-LV"/>
        </w:rPr>
      </w:pPr>
    </w:p>
    <w:p w:rsidR="000834CE" w:rsidRPr="008F3FAE" w:rsidRDefault="000834CE" w:rsidP="00E63BFD">
      <w:pPr>
        <w:tabs>
          <w:tab w:val="left" w:pos="7655"/>
        </w:tabs>
        <w:jc w:val="both"/>
        <w:rPr>
          <w:bCs/>
          <w:sz w:val="25"/>
          <w:szCs w:val="25"/>
          <w:lang w:val="lv-LV"/>
        </w:rPr>
      </w:pPr>
      <w:r w:rsidRPr="008F3FAE">
        <w:rPr>
          <w:b/>
          <w:sz w:val="25"/>
          <w:szCs w:val="25"/>
          <w:lang w:val="lv-LV"/>
        </w:rPr>
        <w:t xml:space="preserve">Anotācijas VI. sadaļa - </w:t>
      </w:r>
      <w:r w:rsidRPr="008F3FAE">
        <w:rPr>
          <w:iCs/>
          <w:sz w:val="25"/>
          <w:szCs w:val="25"/>
          <w:lang w:val="lv-LV"/>
        </w:rPr>
        <w:t>projekts šīs jomas neskar</w:t>
      </w:r>
      <w:r w:rsidRPr="008F3FAE">
        <w:rPr>
          <w:b/>
          <w:sz w:val="25"/>
          <w:szCs w:val="25"/>
          <w:lang w:val="lv-LV"/>
        </w:rPr>
        <w:t>.</w:t>
      </w:r>
    </w:p>
    <w:p w:rsidR="00E63BFD" w:rsidRPr="008F3FAE" w:rsidRDefault="00E63BFD" w:rsidP="00CE5A53">
      <w:pPr>
        <w:pStyle w:val="NormalWeb"/>
        <w:spacing w:before="0" w:beforeAutospacing="0" w:after="0" w:afterAutospacing="0"/>
        <w:jc w:val="center"/>
        <w:rPr>
          <w:b/>
          <w:sz w:val="25"/>
          <w:szCs w:val="25"/>
          <w:lang w:val="lv-LV"/>
        </w:rPr>
      </w:pPr>
    </w:p>
    <w:p w:rsidR="007877B2" w:rsidRPr="008F3FAE" w:rsidRDefault="007877B2" w:rsidP="00CE5A53">
      <w:pPr>
        <w:pStyle w:val="NormalWeb"/>
        <w:spacing w:before="0" w:beforeAutospacing="0" w:after="0" w:afterAutospacing="0"/>
        <w:jc w:val="center"/>
        <w:rPr>
          <w:b/>
          <w:sz w:val="25"/>
          <w:szCs w:val="25"/>
          <w:lang w:val="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3417"/>
        <w:gridCol w:w="5670"/>
      </w:tblGrid>
      <w:tr w:rsidR="00BB09C5" w:rsidRPr="008F3FAE" w:rsidTr="00B17C2B">
        <w:tc>
          <w:tcPr>
            <w:tcW w:w="9087" w:type="dxa"/>
            <w:gridSpan w:val="2"/>
            <w:hideMark/>
          </w:tcPr>
          <w:p w:rsidR="00BB09C5" w:rsidRPr="008F3FAE" w:rsidRDefault="007E5D4D" w:rsidP="00CE5A53">
            <w:pPr>
              <w:jc w:val="center"/>
              <w:rPr>
                <w:rFonts w:eastAsia="Times New Roman"/>
                <w:b/>
                <w:sz w:val="25"/>
                <w:szCs w:val="25"/>
                <w:lang w:val="lv-LV" w:eastAsia="lv-LV"/>
              </w:rPr>
            </w:pPr>
            <w:r w:rsidRPr="008F3FAE">
              <w:rPr>
                <w:rFonts w:eastAsia="Times New Roman"/>
                <w:b/>
                <w:sz w:val="25"/>
                <w:szCs w:val="25"/>
                <w:lang w:val="lv-LV" w:eastAsia="lv-LV"/>
              </w:rPr>
              <w:t>VII. Tiesību akta projekta izpildes nodrošināšana un tās ietekme uz institūcijām</w:t>
            </w:r>
          </w:p>
        </w:tc>
      </w:tr>
      <w:tr w:rsidR="00AB248D" w:rsidRPr="008F3FAE" w:rsidTr="004B638C">
        <w:tc>
          <w:tcPr>
            <w:tcW w:w="3417" w:type="dxa"/>
            <w:hideMark/>
          </w:tcPr>
          <w:p w:rsidR="00AB248D" w:rsidRPr="008F3FAE" w:rsidRDefault="00AB248D" w:rsidP="00CE5A53">
            <w:pPr>
              <w:rPr>
                <w:rFonts w:eastAsia="Times New Roman"/>
                <w:sz w:val="25"/>
                <w:szCs w:val="25"/>
                <w:lang w:val="lv-LV" w:eastAsia="lv-LV"/>
              </w:rPr>
            </w:pPr>
            <w:r w:rsidRPr="008F3FAE">
              <w:rPr>
                <w:rFonts w:eastAsia="Times New Roman"/>
                <w:sz w:val="25"/>
                <w:szCs w:val="25"/>
                <w:lang w:val="lv-LV" w:eastAsia="lv-LV"/>
              </w:rPr>
              <w:t>1. Projekta izpildē iesaistītās institūcijas</w:t>
            </w:r>
          </w:p>
        </w:tc>
        <w:tc>
          <w:tcPr>
            <w:tcW w:w="5670" w:type="dxa"/>
            <w:hideMark/>
          </w:tcPr>
          <w:p w:rsidR="00004E51" w:rsidRPr="008F3FAE" w:rsidRDefault="00C82B27" w:rsidP="002A126D">
            <w:pPr>
              <w:jc w:val="both"/>
              <w:rPr>
                <w:rFonts w:eastAsia="Times New Roman"/>
                <w:sz w:val="25"/>
                <w:szCs w:val="25"/>
                <w:lang w:val="lv-LV" w:eastAsia="lv-LV"/>
              </w:rPr>
            </w:pPr>
            <w:r w:rsidRPr="008F3FAE">
              <w:rPr>
                <w:sz w:val="25"/>
                <w:szCs w:val="25"/>
                <w:lang w:val="lv-LV"/>
              </w:rPr>
              <w:t xml:space="preserve">Noteikumu projekta izpildē ir iesaistīta </w:t>
            </w:r>
            <w:r w:rsidR="00862D34" w:rsidRPr="008F3FAE">
              <w:rPr>
                <w:sz w:val="25"/>
                <w:szCs w:val="25"/>
                <w:lang w:val="lv-LV"/>
              </w:rPr>
              <w:t>Latvijas Investīciju un attīstības aģentūra</w:t>
            </w:r>
            <w:r w:rsidR="002A126D" w:rsidRPr="008F3FAE">
              <w:rPr>
                <w:sz w:val="25"/>
                <w:szCs w:val="25"/>
                <w:lang w:val="lv-LV"/>
              </w:rPr>
              <w:t>.</w:t>
            </w:r>
          </w:p>
        </w:tc>
      </w:tr>
      <w:tr w:rsidR="00AB248D" w:rsidRPr="008F3FAE" w:rsidTr="004B638C">
        <w:tc>
          <w:tcPr>
            <w:tcW w:w="3417" w:type="dxa"/>
            <w:hideMark/>
          </w:tcPr>
          <w:p w:rsidR="00AB248D" w:rsidRPr="008F3FAE" w:rsidRDefault="00AB248D" w:rsidP="00CE5A53">
            <w:pPr>
              <w:rPr>
                <w:rFonts w:eastAsia="Times New Roman"/>
                <w:sz w:val="25"/>
                <w:szCs w:val="25"/>
                <w:lang w:val="lv-LV" w:eastAsia="lv-LV"/>
              </w:rPr>
            </w:pPr>
            <w:r w:rsidRPr="008F3FAE">
              <w:rPr>
                <w:rFonts w:eastAsia="Times New Roman"/>
                <w:sz w:val="25"/>
                <w:szCs w:val="25"/>
                <w:lang w:val="lv-LV" w:eastAsia="lv-LV"/>
              </w:rPr>
              <w:t xml:space="preserve">2. </w:t>
            </w:r>
            <w:r w:rsidR="00E07DF2" w:rsidRPr="008F3FAE">
              <w:rPr>
                <w:rFonts w:eastAsia="Times New Roman"/>
                <w:sz w:val="25"/>
                <w:szCs w:val="25"/>
                <w:lang w:val="lv-LV" w:eastAsia="lv-LV"/>
              </w:rPr>
              <w:t>Projekta izpildes ietekme uz pārvaldes funkcijā</w:t>
            </w:r>
          </w:p>
        </w:tc>
        <w:tc>
          <w:tcPr>
            <w:tcW w:w="5670" w:type="dxa"/>
            <w:hideMark/>
          </w:tcPr>
          <w:p w:rsidR="00AB248D" w:rsidRPr="008F3FAE" w:rsidRDefault="00C82B27" w:rsidP="002A126D">
            <w:pPr>
              <w:jc w:val="both"/>
              <w:rPr>
                <w:sz w:val="25"/>
                <w:szCs w:val="25"/>
                <w:lang w:val="lv-LV"/>
              </w:rPr>
            </w:pPr>
            <w:r w:rsidRPr="008F3FAE">
              <w:rPr>
                <w:sz w:val="25"/>
                <w:szCs w:val="25"/>
                <w:lang w:val="lv-LV"/>
              </w:rPr>
              <w:t xml:space="preserve">Noteikumu projekta izpildi nodrošinās </w:t>
            </w:r>
            <w:r w:rsidR="00700070" w:rsidRPr="008F3FAE">
              <w:rPr>
                <w:sz w:val="25"/>
                <w:szCs w:val="25"/>
                <w:lang w:val="lv-LV"/>
              </w:rPr>
              <w:t xml:space="preserve">Latvijas Investīciju un attīstības aģentūras </w:t>
            </w:r>
            <w:r w:rsidRPr="008F3FAE">
              <w:rPr>
                <w:sz w:val="25"/>
                <w:szCs w:val="25"/>
                <w:lang w:val="lv-LV"/>
              </w:rPr>
              <w:t>darbības ietvaros.</w:t>
            </w:r>
          </w:p>
        </w:tc>
      </w:tr>
      <w:tr w:rsidR="00BB09C5" w:rsidRPr="008F3FAE" w:rsidTr="004B638C">
        <w:trPr>
          <w:trHeight w:val="930"/>
        </w:trPr>
        <w:tc>
          <w:tcPr>
            <w:tcW w:w="3417" w:type="dxa"/>
            <w:hideMark/>
          </w:tcPr>
          <w:p w:rsidR="00BB09C5" w:rsidRPr="008F3FAE" w:rsidRDefault="00E07DF2" w:rsidP="00CE5A53">
            <w:pPr>
              <w:rPr>
                <w:rFonts w:eastAsia="Times New Roman"/>
                <w:sz w:val="25"/>
                <w:szCs w:val="25"/>
                <w:lang w:val="lv-LV" w:eastAsia="lv-LV"/>
              </w:rPr>
            </w:pPr>
            <w:r w:rsidRPr="008F3FAE">
              <w:rPr>
                <w:rFonts w:eastAsia="Times New Roman"/>
                <w:sz w:val="25"/>
                <w:szCs w:val="25"/>
                <w:lang w:val="lv-LV" w:eastAsia="lv-LV"/>
              </w:rPr>
              <w:t>3. Projekta izpildes ietekme uz pārvaldes institucionālo struktūru. Jaunu institūciju izveide</w:t>
            </w:r>
          </w:p>
        </w:tc>
        <w:tc>
          <w:tcPr>
            <w:tcW w:w="5670" w:type="dxa"/>
            <w:hideMark/>
          </w:tcPr>
          <w:p w:rsidR="00004E51" w:rsidRPr="008F3FAE" w:rsidRDefault="00C82B27" w:rsidP="00CE5A53">
            <w:pPr>
              <w:jc w:val="both"/>
              <w:rPr>
                <w:rFonts w:eastAsia="Times New Roman"/>
                <w:sz w:val="25"/>
                <w:szCs w:val="25"/>
                <w:lang w:val="lv-LV" w:eastAsia="lv-LV"/>
              </w:rPr>
            </w:pPr>
            <w:r w:rsidRPr="008F3FAE">
              <w:rPr>
                <w:sz w:val="25"/>
                <w:szCs w:val="25"/>
                <w:lang w:val="lv-LV"/>
              </w:rPr>
              <w:t>Noteikumu projekta izpildei nav nepieciešams radīt jaunas institūcijas.</w:t>
            </w:r>
          </w:p>
        </w:tc>
      </w:tr>
      <w:tr w:rsidR="00BB09C5" w:rsidRPr="008F3FAE" w:rsidTr="004B638C">
        <w:trPr>
          <w:trHeight w:val="1133"/>
        </w:trPr>
        <w:tc>
          <w:tcPr>
            <w:tcW w:w="3417" w:type="dxa"/>
            <w:hideMark/>
          </w:tcPr>
          <w:p w:rsidR="00BB09C5" w:rsidRPr="008F3FAE" w:rsidRDefault="00E07DF2" w:rsidP="00CE5A53">
            <w:pPr>
              <w:rPr>
                <w:rFonts w:eastAsia="Times New Roman"/>
                <w:sz w:val="25"/>
                <w:szCs w:val="25"/>
                <w:lang w:val="lv-LV" w:eastAsia="lv-LV"/>
              </w:rPr>
            </w:pPr>
            <w:r w:rsidRPr="008F3FAE">
              <w:rPr>
                <w:rFonts w:eastAsia="Times New Roman"/>
                <w:sz w:val="25"/>
                <w:szCs w:val="25"/>
                <w:lang w:val="lv-LV" w:eastAsia="lv-LV"/>
              </w:rPr>
              <w:t>4. Projekta izpildes ietekmes uz pārvaldes institucionālo struktūru. Esošu institūciju likvidācija</w:t>
            </w:r>
          </w:p>
        </w:tc>
        <w:tc>
          <w:tcPr>
            <w:tcW w:w="5670" w:type="dxa"/>
            <w:hideMark/>
          </w:tcPr>
          <w:p w:rsidR="00004E51" w:rsidRPr="008F3FAE" w:rsidRDefault="00C82B27" w:rsidP="00CE5A53">
            <w:pPr>
              <w:jc w:val="both"/>
              <w:rPr>
                <w:rFonts w:eastAsia="Times New Roman"/>
                <w:sz w:val="25"/>
                <w:szCs w:val="25"/>
                <w:lang w:val="lv-LV" w:eastAsia="lv-LV"/>
              </w:rPr>
            </w:pPr>
            <w:r w:rsidRPr="008F3FAE">
              <w:rPr>
                <w:sz w:val="25"/>
                <w:szCs w:val="25"/>
                <w:lang w:val="lv-LV"/>
              </w:rPr>
              <w:t>Noteikumu projekta izpildei nav nepieciešams likvidēt esošās institūcijas.</w:t>
            </w:r>
          </w:p>
        </w:tc>
      </w:tr>
      <w:tr w:rsidR="00BB09C5" w:rsidRPr="008F3FAE" w:rsidTr="004B638C">
        <w:trPr>
          <w:trHeight w:val="912"/>
        </w:trPr>
        <w:tc>
          <w:tcPr>
            <w:tcW w:w="3417" w:type="dxa"/>
            <w:hideMark/>
          </w:tcPr>
          <w:p w:rsidR="00BB09C5" w:rsidRPr="008F3FAE" w:rsidRDefault="00E07DF2" w:rsidP="00CE5A53">
            <w:pPr>
              <w:rPr>
                <w:rFonts w:eastAsia="Times New Roman"/>
                <w:sz w:val="25"/>
                <w:szCs w:val="25"/>
                <w:lang w:val="lv-LV" w:eastAsia="lv-LV"/>
              </w:rPr>
            </w:pPr>
            <w:r w:rsidRPr="008F3FAE">
              <w:rPr>
                <w:rFonts w:eastAsia="Times New Roman"/>
                <w:sz w:val="25"/>
                <w:szCs w:val="25"/>
                <w:lang w:val="lv-LV" w:eastAsia="lv-LV"/>
              </w:rPr>
              <w:t>5. Projekta izpildes ietekmes uz pārvaldes institucionālo struktūru. Esošu institūciju reorganizācija</w:t>
            </w:r>
          </w:p>
        </w:tc>
        <w:tc>
          <w:tcPr>
            <w:tcW w:w="5670" w:type="dxa"/>
            <w:hideMark/>
          </w:tcPr>
          <w:p w:rsidR="00004E51" w:rsidRPr="008F3FAE" w:rsidRDefault="00C852AB" w:rsidP="00CE5A53">
            <w:pPr>
              <w:jc w:val="both"/>
              <w:rPr>
                <w:rFonts w:eastAsia="Times New Roman"/>
                <w:sz w:val="25"/>
                <w:szCs w:val="25"/>
                <w:lang w:val="lv-LV" w:eastAsia="lv-LV"/>
              </w:rPr>
            </w:pPr>
            <w:r w:rsidRPr="008F3FAE">
              <w:rPr>
                <w:sz w:val="25"/>
                <w:szCs w:val="25"/>
                <w:lang w:val="lv-LV"/>
              </w:rPr>
              <w:t>Noteikumu projekta izpildei nav nepieciešams reorganizēt esošās institūcijas.</w:t>
            </w:r>
          </w:p>
        </w:tc>
      </w:tr>
      <w:tr w:rsidR="00BB09C5" w:rsidRPr="008F3FAE" w:rsidTr="004B638C">
        <w:tc>
          <w:tcPr>
            <w:tcW w:w="3417" w:type="dxa"/>
            <w:hideMark/>
          </w:tcPr>
          <w:p w:rsidR="00BB09C5" w:rsidRPr="008F3FAE" w:rsidRDefault="00E07DF2" w:rsidP="00CE5A53">
            <w:pPr>
              <w:rPr>
                <w:rFonts w:eastAsia="Times New Roman"/>
                <w:sz w:val="25"/>
                <w:szCs w:val="25"/>
                <w:lang w:val="lv-LV" w:eastAsia="lv-LV"/>
              </w:rPr>
            </w:pPr>
            <w:r w:rsidRPr="008F3FAE">
              <w:rPr>
                <w:rFonts w:eastAsia="Times New Roman"/>
                <w:sz w:val="25"/>
                <w:szCs w:val="25"/>
                <w:lang w:val="lv-LV" w:eastAsia="lv-LV"/>
              </w:rPr>
              <w:t>6</w:t>
            </w:r>
            <w:r w:rsidR="00BB09C5" w:rsidRPr="008F3FAE">
              <w:rPr>
                <w:rFonts w:eastAsia="Times New Roman"/>
                <w:sz w:val="25"/>
                <w:szCs w:val="25"/>
                <w:lang w:val="lv-LV" w:eastAsia="lv-LV"/>
              </w:rPr>
              <w:t>. Cita informācija</w:t>
            </w:r>
          </w:p>
        </w:tc>
        <w:tc>
          <w:tcPr>
            <w:tcW w:w="5670" w:type="dxa"/>
            <w:hideMark/>
          </w:tcPr>
          <w:p w:rsidR="00004E51" w:rsidRPr="008F3FAE" w:rsidRDefault="00476ADF" w:rsidP="00CE5A53">
            <w:pPr>
              <w:rPr>
                <w:rFonts w:eastAsia="Times New Roman"/>
                <w:sz w:val="25"/>
                <w:szCs w:val="25"/>
                <w:lang w:val="lv-LV" w:eastAsia="lv-LV"/>
              </w:rPr>
            </w:pPr>
            <w:r w:rsidRPr="008F3FAE">
              <w:rPr>
                <w:rFonts w:eastAsia="Times New Roman"/>
                <w:sz w:val="25"/>
                <w:szCs w:val="25"/>
                <w:lang w:val="lv-LV" w:eastAsia="lv-LV"/>
              </w:rPr>
              <w:t>Nav.</w:t>
            </w:r>
          </w:p>
        </w:tc>
      </w:tr>
    </w:tbl>
    <w:p w:rsidR="00A82AE0" w:rsidRPr="008F3FAE" w:rsidRDefault="00A82AE0" w:rsidP="00CE5A53">
      <w:pPr>
        <w:tabs>
          <w:tab w:val="left" w:pos="7655"/>
        </w:tabs>
        <w:jc w:val="both"/>
        <w:rPr>
          <w:bCs/>
          <w:sz w:val="25"/>
          <w:szCs w:val="25"/>
          <w:lang w:val="lv-LV"/>
        </w:rPr>
      </w:pPr>
    </w:p>
    <w:p w:rsidR="007877B2" w:rsidRPr="008F3FAE" w:rsidRDefault="007877B2" w:rsidP="00CE5A53">
      <w:pPr>
        <w:tabs>
          <w:tab w:val="left" w:pos="7655"/>
        </w:tabs>
        <w:jc w:val="both"/>
        <w:rPr>
          <w:bCs/>
          <w:sz w:val="25"/>
          <w:szCs w:val="25"/>
          <w:lang w:val="lv-LV"/>
        </w:rPr>
      </w:pPr>
    </w:p>
    <w:p w:rsidR="007877B2" w:rsidRDefault="007877B2" w:rsidP="00CE5A53">
      <w:pPr>
        <w:tabs>
          <w:tab w:val="left" w:pos="7655"/>
        </w:tabs>
        <w:jc w:val="both"/>
        <w:rPr>
          <w:bCs/>
          <w:sz w:val="25"/>
          <w:szCs w:val="25"/>
          <w:lang w:val="lv-LV"/>
        </w:rPr>
      </w:pPr>
    </w:p>
    <w:p w:rsidR="008F3FAE" w:rsidRDefault="008F3FAE" w:rsidP="00CE5A53">
      <w:pPr>
        <w:tabs>
          <w:tab w:val="left" w:pos="7655"/>
        </w:tabs>
        <w:jc w:val="both"/>
        <w:rPr>
          <w:bCs/>
          <w:sz w:val="25"/>
          <w:szCs w:val="25"/>
          <w:lang w:val="lv-LV"/>
        </w:rPr>
      </w:pPr>
    </w:p>
    <w:p w:rsidR="008F3FAE" w:rsidRDefault="008F3FAE" w:rsidP="00CE5A53">
      <w:pPr>
        <w:tabs>
          <w:tab w:val="left" w:pos="7655"/>
        </w:tabs>
        <w:jc w:val="both"/>
        <w:rPr>
          <w:bCs/>
          <w:sz w:val="25"/>
          <w:szCs w:val="25"/>
          <w:lang w:val="lv-LV"/>
        </w:rPr>
      </w:pPr>
    </w:p>
    <w:p w:rsidR="008F3FAE" w:rsidRDefault="008F3FAE" w:rsidP="00CE5A53">
      <w:pPr>
        <w:tabs>
          <w:tab w:val="left" w:pos="7655"/>
        </w:tabs>
        <w:jc w:val="both"/>
        <w:rPr>
          <w:bCs/>
          <w:sz w:val="25"/>
          <w:szCs w:val="25"/>
          <w:lang w:val="lv-LV"/>
        </w:rPr>
      </w:pPr>
    </w:p>
    <w:p w:rsidR="008F3FAE" w:rsidRDefault="008F3FAE" w:rsidP="00CE5A53">
      <w:pPr>
        <w:tabs>
          <w:tab w:val="left" w:pos="7655"/>
        </w:tabs>
        <w:jc w:val="both"/>
        <w:rPr>
          <w:bCs/>
          <w:sz w:val="25"/>
          <w:szCs w:val="25"/>
          <w:lang w:val="lv-LV"/>
        </w:rPr>
      </w:pPr>
    </w:p>
    <w:p w:rsidR="008F3FAE" w:rsidRDefault="008F3FAE" w:rsidP="00CE5A53">
      <w:pPr>
        <w:tabs>
          <w:tab w:val="left" w:pos="7655"/>
        </w:tabs>
        <w:jc w:val="both"/>
        <w:rPr>
          <w:bCs/>
          <w:sz w:val="25"/>
          <w:szCs w:val="25"/>
          <w:lang w:val="lv-LV"/>
        </w:rPr>
      </w:pPr>
    </w:p>
    <w:p w:rsidR="008F3FAE" w:rsidRDefault="008F3FAE" w:rsidP="00CE5A53">
      <w:pPr>
        <w:tabs>
          <w:tab w:val="left" w:pos="7655"/>
        </w:tabs>
        <w:jc w:val="both"/>
        <w:rPr>
          <w:bCs/>
          <w:sz w:val="25"/>
          <w:szCs w:val="25"/>
          <w:lang w:val="lv-LV"/>
        </w:rPr>
      </w:pPr>
    </w:p>
    <w:p w:rsidR="008F3FAE" w:rsidRPr="008F3FAE" w:rsidRDefault="008F3FAE" w:rsidP="00CE5A53">
      <w:pPr>
        <w:tabs>
          <w:tab w:val="left" w:pos="7655"/>
        </w:tabs>
        <w:jc w:val="both"/>
        <w:rPr>
          <w:bCs/>
          <w:sz w:val="25"/>
          <w:szCs w:val="25"/>
          <w:lang w:val="lv-LV"/>
        </w:rPr>
      </w:pPr>
    </w:p>
    <w:p w:rsidR="00403EAD" w:rsidRPr="008F3FAE" w:rsidRDefault="00C82B27" w:rsidP="00CE5A53">
      <w:pPr>
        <w:tabs>
          <w:tab w:val="left" w:pos="7655"/>
        </w:tabs>
        <w:jc w:val="both"/>
        <w:rPr>
          <w:bCs/>
          <w:sz w:val="25"/>
          <w:szCs w:val="25"/>
          <w:lang w:val="lv-LV"/>
        </w:rPr>
      </w:pPr>
      <w:r w:rsidRPr="008F3FAE">
        <w:rPr>
          <w:bCs/>
          <w:sz w:val="25"/>
          <w:szCs w:val="25"/>
          <w:lang w:val="lv-LV"/>
        </w:rPr>
        <w:t>Ekonomikas ministrs</w:t>
      </w:r>
      <w:r w:rsidRPr="008F3FAE">
        <w:rPr>
          <w:bCs/>
          <w:sz w:val="25"/>
          <w:szCs w:val="25"/>
          <w:lang w:val="lv-LV"/>
        </w:rPr>
        <w:tab/>
        <w:t>A.Kampars</w:t>
      </w:r>
    </w:p>
    <w:p w:rsidR="007877B2" w:rsidRPr="008F3FAE" w:rsidRDefault="007877B2" w:rsidP="00CE5A53">
      <w:pPr>
        <w:pStyle w:val="EnvelopeReturn"/>
        <w:jc w:val="both"/>
        <w:rPr>
          <w:rFonts w:ascii="Times New Roman" w:hAnsi="Times New Roman"/>
          <w:color w:val="000000"/>
          <w:sz w:val="25"/>
          <w:szCs w:val="25"/>
          <w:lang w:val="lv-LV"/>
        </w:rPr>
      </w:pPr>
    </w:p>
    <w:p w:rsidR="007877B2" w:rsidRPr="008F3FAE" w:rsidRDefault="007877B2" w:rsidP="00CE5A53">
      <w:pPr>
        <w:pStyle w:val="EnvelopeReturn"/>
        <w:jc w:val="both"/>
        <w:rPr>
          <w:rFonts w:ascii="Times New Roman" w:hAnsi="Times New Roman"/>
          <w:color w:val="000000"/>
          <w:sz w:val="25"/>
          <w:szCs w:val="25"/>
          <w:lang w:val="lv-LV"/>
        </w:rPr>
      </w:pPr>
    </w:p>
    <w:p w:rsidR="007877B2" w:rsidRDefault="007877B2" w:rsidP="00CE5A53">
      <w:pPr>
        <w:pStyle w:val="EnvelopeReturn"/>
        <w:jc w:val="both"/>
        <w:rPr>
          <w:rFonts w:ascii="Times New Roman" w:hAnsi="Times New Roman"/>
          <w:color w:val="000000"/>
          <w:sz w:val="25"/>
          <w:szCs w:val="25"/>
          <w:lang w:val="lv-LV"/>
        </w:rPr>
      </w:pPr>
    </w:p>
    <w:p w:rsidR="008F3FAE" w:rsidRDefault="008F3FAE" w:rsidP="00CE5A53">
      <w:pPr>
        <w:pStyle w:val="EnvelopeReturn"/>
        <w:jc w:val="both"/>
        <w:rPr>
          <w:rFonts w:ascii="Times New Roman" w:hAnsi="Times New Roman"/>
          <w:color w:val="000000"/>
          <w:sz w:val="25"/>
          <w:szCs w:val="25"/>
          <w:lang w:val="lv-LV"/>
        </w:rPr>
      </w:pPr>
    </w:p>
    <w:p w:rsidR="008F3FAE" w:rsidRDefault="008F3FAE" w:rsidP="00CE5A53">
      <w:pPr>
        <w:pStyle w:val="EnvelopeReturn"/>
        <w:jc w:val="both"/>
        <w:rPr>
          <w:rFonts w:ascii="Times New Roman" w:hAnsi="Times New Roman"/>
          <w:color w:val="000000"/>
          <w:sz w:val="25"/>
          <w:szCs w:val="25"/>
          <w:lang w:val="lv-LV"/>
        </w:rPr>
      </w:pPr>
    </w:p>
    <w:p w:rsidR="008F3FAE" w:rsidRPr="008F3FAE" w:rsidRDefault="008F3FAE" w:rsidP="00CE5A53">
      <w:pPr>
        <w:pStyle w:val="EnvelopeReturn"/>
        <w:jc w:val="both"/>
        <w:rPr>
          <w:rFonts w:ascii="Times New Roman" w:hAnsi="Times New Roman"/>
          <w:color w:val="000000"/>
          <w:sz w:val="25"/>
          <w:szCs w:val="25"/>
          <w:lang w:val="lv-LV"/>
        </w:rPr>
      </w:pPr>
    </w:p>
    <w:p w:rsidR="00403EAD" w:rsidRPr="008F3FAE" w:rsidRDefault="00C82B27" w:rsidP="00CE5A53">
      <w:pPr>
        <w:pStyle w:val="EnvelopeReturn"/>
        <w:jc w:val="both"/>
        <w:rPr>
          <w:rFonts w:ascii="Times New Roman" w:hAnsi="Times New Roman"/>
          <w:color w:val="000000"/>
          <w:sz w:val="25"/>
          <w:szCs w:val="25"/>
          <w:lang w:val="lv-LV"/>
        </w:rPr>
      </w:pPr>
      <w:r w:rsidRPr="008F3FAE">
        <w:rPr>
          <w:rFonts w:ascii="Times New Roman" w:hAnsi="Times New Roman"/>
          <w:color w:val="000000"/>
          <w:sz w:val="25"/>
          <w:szCs w:val="25"/>
          <w:lang w:val="lv-LV"/>
        </w:rPr>
        <w:t>Vīza: Valsts sekretār</w:t>
      </w:r>
      <w:r w:rsidR="0054660D" w:rsidRPr="008F3FAE">
        <w:rPr>
          <w:rFonts w:ascii="Times New Roman" w:hAnsi="Times New Roman"/>
          <w:color w:val="000000"/>
          <w:sz w:val="25"/>
          <w:szCs w:val="25"/>
          <w:lang w:val="lv-LV"/>
        </w:rPr>
        <w:t>s</w:t>
      </w:r>
      <w:r w:rsidR="0054660D" w:rsidRPr="008F3FAE">
        <w:rPr>
          <w:rFonts w:ascii="Times New Roman" w:hAnsi="Times New Roman"/>
          <w:color w:val="000000"/>
          <w:sz w:val="25"/>
          <w:szCs w:val="25"/>
          <w:lang w:val="lv-LV"/>
        </w:rPr>
        <w:tab/>
      </w:r>
      <w:r w:rsidRPr="008F3FAE">
        <w:rPr>
          <w:rFonts w:ascii="Times New Roman" w:hAnsi="Times New Roman"/>
          <w:color w:val="000000"/>
          <w:sz w:val="25"/>
          <w:szCs w:val="25"/>
          <w:lang w:val="lv-LV"/>
        </w:rPr>
        <w:tab/>
      </w:r>
      <w:r w:rsidRPr="008F3FAE">
        <w:rPr>
          <w:rFonts w:ascii="Times New Roman" w:hAnsi="Times New Roman"/>
          <w:color w:val="000000"/>
          <w:sz w:val="25"/>
          <w:szCs w:val="25"/>
          <w:lang w:val="lv-LV"/>
        </w:rPr>
        <w:tab/>
      </w:r>
      <w:r w:rsidRPr="008F3FAE">
        <w:rPr>
          <w:rFonts w:ascii="Times New Roman" w:hAnsi="Times New Roman"/>
          <w:color w:val="000000"/>
          <w:sz w:val="25"/>
          <w:szCs w:val="25"/>
          <w:lang w:val="lv-LV"/>
        </w:rPr>
        <w:tab/>
      </w:r>
      <w:r w:rsidRPr="008F3FAE">
        <w:rPr>
          <w:rFonts w:ascii="Times New Roman" w:hAnsi="Times New Roman"/>
          <w:color w:val="000000"/>
          <w:sz w:val="25"/>
          <w:szCs w:val="25"/>
          <w:lang w:val="lv-LV"/>
        </w:rPr>
        <w:tab/>
      </w:r>
      <w:r w:rsidRPr="008F3FAE">
        <w:rPr>
          <w:rFonts w:ascii="Times New Roman" w:hAnsi="Times New Roman"/>
          <w:color w:val="000000"/>
          <w:sz w:val="25"/>
          <w:szCs w:val="25"/>
          <w:lang w:val="lv-LV"/>
        </w:rPr>
        <w:tab/>
      </w:r>
      <w:r w:rsidRPr="008F3FAE">
        <w:rPr>
          <w:rFonts w:ascii="Times New Roman" w:hAnsi="Times New Roman"/>
          <w:color w:val="000000"/>
          <w:sz w:val="25"/>
          <w:szCs w:val="25"/>
          <w:lang w:val="lv-LV"/>
        </w:rPr>
        <w:tab/>
        <w:t xml:space="preserve">      </w:t>
      </w:r>
      <w:r w:rsidR="0054660D" w:rsidRPr="008F3FAE">
        <w:rPr>
          <w:rFonts w:ascii="Times New Roman" w:hAnsi="Times New Roman"/>
          <w:color w:val="000000"/>
          <w:sz w:val="25"/>
          <w:szCs w:val="25"/>
          <w:lang w:val="lv-LV"/>
        </w:rPr>
        <w:tab/>
        <w:t>J</w:t>
      </w:r>
      <w:r w:rsidRPr="008F3FAE">
        <w:rPr>
          <w:rFonts w:ascii="Times New Roman" w:hAnsi="Times New Roman"/>
          <w:color w:val="000000"/>
          <w:sz w:val="25"/>
          <w:szCs w:val="25"/>
          <w:lang w:val="lv-LV"/>
        </w:rPr>
        <w:t>.</w:t>
      </w:r>
      <w:r w:rsidR="0054660D" w:rsidRPr="008F3FAE">
        <w:rPr>
          <w:rFonts w:ascii="Times New Roman" w:hAnsi="Times New Roman"/>
          <w:color w:val="000000"/>
          <w:sz w:val="25"/>
          <w:szCs w:val="25"/>
          <w:lang w:val="lv-LV"/>
        </w:rPr>
        <w:t>Pūce</w:t>
      </w:r>
    </w:p>
    <w:p w:rsidR="00710EA1" w:rsidRPr="008F3FAE" w:rsidRDefault="00710EA1" w:rsidP="00CE5A53">
      <w:pPr>
        <w:jc w:val="both"/>
        <w:rPr>
          <w:color w:val="000000"/>
          <w:sz w:val="25"/>
          <w:szCs w:val="25"/>
          <w:lang w:val="lv-LV"/>
        </w:rPr>
      </w:pPr>
    </w:p>
    <w:p w:rsidR="007877B2" w:rsidRDefault="007877B2" w:rsidP="00CE5A53">
      <w:pPr>
        <w:jc w:val="both"/>
        <w:rPr>
          <w:color w:val="000000"/>
          <w:sz w:val="25"/>
          <w:szCs w:val="25"/>
          <w:lang w:val="lv-LV"/>
        </w:rPr>
      </w:pPr>
    </w:p>
    <w:p w:rsidR="008F3FAE" w:rsidRDefault="008F3FAE" w:rsidP="00CE5A53">
      <w:pPr>
        <w:jc w:val="both"/>
        <w:rPr>
          <w:color w:val="000000"/>
          <w:sz w:val="25"/>
          <w:szCs w:val="25"/>
          <w:lang w:val="lv-LV"/>
        </w:rPr>
      </w:pPr>
    </w:p>
    <w:p w:rsidR="008F3FAE" w:rsidRDefault="008F3FAE" w:rsidP="00CE5A53">
      <w:pPr>
        <w:jc w:val="both"/>
        <w:rPr>
          <w:color w:val="000000"/>
          <w:sz w:val="25"/>
          <w:szCs w:val="25"/>
          <w:lang w:val="lv-LV"/>
        </w:rPr>
      </w:pPr>
    </w:p>
    <w:p w:rsidR="008F3FAE" w:rsidRDefault="008F3FAE" w:rsidP="00CE5A53">
      <w:pPr>
        <w:jc w:val="both"/>
        <w:rPr>
          <w:color w:val="000000"/>
          <w:sz w:val="25"/>
          <w:szCs w:val="25"/>
          <w:lang w:val="lv-LV"/>
        </w:rPr>
      </w:pPr>
    </w:p>
    <w:p w:rsidR="008F3FAE" w:rsidRDefault="008F3FAE" w:rsidP="00CE5A53">
      <w:pPr>
        <w:jc w:val="both"/>
        <w:rPr>
          <w:color w:val="000000"/>
          <w:sz w:val="25"/>
          <w:szCs w:val="25"/>
          <w:lang w:val="lv-LV"/>
        </w:rPr>
      </w:pPr>
    </w:p>
    <w:p w:rsidR="008F3FAE" w:rsidRDefault="008F3FAE" w:rsidP="00CE5A53">
      <w:pPr>
        <w:jc w:val="both"/>
        <w:rPr>
          <w:color w:val="000000"/>
          <w:sz w:val="25"/>
          <w:szCs w:val="25"/>
          <w:lang w:val="lv-LV"/>
        </w:rPr>
      </w:pPr>
    </w:p>
    <w:p w:rsidR="008F3FAE" w:rsidRDefault="008F3FAE" w:rsidP="00CE5A53">
      <w:pPr>
        <w:jc w:val="both"/>
        <w:rPr>
          <w:color w:val="000000"/>
          <w:sz w:val="25"/>
          <w:szCs w:val="25"/>
          <w:lang w:val="lv-LV"/>
        </w:rPr>
      </w:pPr>
    </w:p>
    <w:p w:rsidR="008F3FAE" w:rsidRDefault="008F3FAE" w:rsidP="00CE5A53">
      <w:pPr>
        <w:jc w:val="both"/>
        <w:rPr>
          <w:color w:val="000000"/>
          <w:sz w:val="25"/>
          <w:szCs w:val="25"/>
          <w:lang w:val="lv-LV"/>
        </w:rPr>
      </w:pPr>
    </w:p>
    <w:p w:rsidR="008F3FAE" w:rsidRDefault="008F3FAE" w:rsidP="00CE5A53">
      <w:pPr>
        <w:jc w:val="both"/>
        <w:rPr>
          <w:color w:val="000000"/>
          <w:sz w:val="25"/>
          <w:szCs w:val="25"/>
          <w:lang w:val="lv-LV"/>
        </w:rPr>
      </w:pPr>
    </w:p>
    <w:p w:rsidR="008F3FAE" w:rsidRPr="008F3FAE" w:rsidRDefault="008F3FAE" w:rsidP="00CE5A53">
      <w:pPr>
        <w:jc w:val="both"/>
        <w:rPr>
          <w:color w:val="000000"/>
          <w:sz w:val="25"/>
          <w:szCs w:val="25"/>
          <w:lang w:val="lv-LV"/>
        </w:rPr>
      </w:pPr>
    </w:p>
    <w:p w:rsidR="007877B2" w:rsidRPr="008F3FAE" w:rsidRDefault="007877B2" w:rsidP="00CE5A53">
      <w:pPr>
        <w:jc w:val="both"/>
        <w:rPr>
          <w:color w:val="000000"/>
          <w:sz w:val="25"/>
          <w:szCs w:val="25"/>
          <w:lang w:val="lv-LV"/>
        </w:rPr>
      </w:pPr>
    </w:p>
    <w:p w:rsidR="007877B2" w:rsidRPr="008F3FAE" w:rsidRDefault="007877B2" w:rsidP="00CE5A53">
      <w:pPr>
        <w:jc w:val="both"/>
        <w:rPr>
          <w:color w:val="000000"/>
          <w:sz w:val="25"/>
          <w:szCs w:val="25"/>
          <w:lang w:val="lv-LV"/>
        </w:rPr>
      </w:pPr>
    </w:p>
    <w:p w:rsidR="00885AEF" w:rsidRPr="008F3FAE" w:rsidRDefault="00CB6C09" w:rsidP="00CE5A53">
      <w:pPr>
        <w:jc w:val="both"/>
        <w:rPr>
          <w:color w:val="000000"/>
          <w:lang w:val="lv-LV"/>
        </w:rPr>
      </w:pPr>
      <w:r w:rsidRPr="008F3FAE">
        <w:rPr>
          <w:color w:val="000000"/>
          <w:lang w:val="lv-LV"/>
        </w:rPr>
        <w:fldChar w:fldCharType="begin"/>
      </w:r>
      <w:r w:rsidR="009A2028" w:rsidRPr="008F3FAE">
        <w:rPr>
          <w:color w:val="000000"/>
          <w:lang w:val="lv-LV"/>
        </w:rPr>
        <w:instrText xml:space="preserve"> TIME \@ "dd.MM.yyyy HH:mm" </w:instrText>
      </w:r>
      <w:r w:rsidRPr="008F3FAE">
        <w:rPr>
          <w:color w:val="000000"/>
          <w:lang w:val="lv-LV"/>
        </w:rPr>
        <w:fldChar w:fldCharType="separate"/>
      </w:r>
      <w:r w:rsidR="00E12D44">
        <w:rPr>
          <w:noProof/>
          <w:color w:val="000000"/>
          <w:lang w:val="lv-LV"/>
        </w:rPr>
        <w:t>06.10.2011 13:52</w:t>
      </w:r>
      <w:r w:rsidRPr="008F3FAE">
        <w:rPr>
          <w:color w:val="000000"/>
          <w:lang w:val="lv-LV"/>
        </w:rPr>
        <w:fldChar w:fldCharType="end"/>
      </w:r>
    </w:p>
    <w:p w:rsidR="00D07CDB" w:rsidRPr="008F3FAE" w:rsidRDefault="00CB6C09" w:rsidP="00CE5A53">
      <w:pPr>
        <w:jc w:val="both"/>
        <w:rPr>
          <w:color w:val="000000"/>
          <w:lang w:val="lv-LV"/>
        </w:rPr>
      </w:pPr>
      <w:fldSimple w:instr=" NUMWORDS   \* MERGEFORMAT ">
        <w:r w:rsidR="00E12D44" w:rsidRPr="00E12D44">
          <w:rPr>
            <w:noProof/>
            <w:color w:val="000000"/>
            <w:lang w:val="lv-LV"/>
          </w:rPr>
          <w:t>1757</w:t>
        </w:r>
      </w:fldSimple>
    </w:p>
    <w:p w:rsidR="00004E51" w:rsidRPr="008F3FAE" w:rsidRDefault="00902BE7" w:rsidP="00CE5A53">
      <w:pPr>
        <w:jc w:val="both"/>
        <w:rPr>
          <w:color w:val="000000"/>
          <w:lang w:val="lv-LV"/>
        </w:rPr>
      </w:pPr>
      <w:r w:rsidRPr="008F3FAE">
        <w:rPr>
          <w:color w:val="000000"/>
          <w:lang w:val="lv-LV"/>
        </w:rPr>
        <w:t>Gatis Silovs</w:t>
      </w:r>
    </w:p>
    <w:p w:rsidR="00FA1511" w:rsidRPr="00B03D28" w:rsidRDefault="00456ADC" w:rsidP="00CE5A53">
      <w:pPr>
        <w:jc w:val="both"/>
        <w:rPr>
          <w:lang w:val="lv-LV"/>
        </w:rPr>
      </w:pPr>
      <w:r w:rsidRPr="008F3FAE">
        <w:rPr>
          <w:color w:val="000000"/>
          <w:lang w:val="lv-LV"/>
        </w:rPr>
        <w:t>67013</w:t>
      </w:r>
      <w:r w:rsidR="00902BE7" w:rsidRPr="008F3FAE">
        <w:rPr>
          <w:color w:val="000000"/>
          <w:lang w:val="lv-LV"/>
        </w:rPr>
        <w:t>209</w:t>
      </w:r>
      <w:r w:rsidR="00C852AB" w:rsidRPr="008F3FAE">
        <w:rPr>
          <w:color w:val="000000"/>
          <w:lang w:val="lv-LV"/>
        </w:rPr>
        <w:t xml:space="preserve">, </w:t>
      </w:r>
      <w:r w:rsidR="00902BE7" w:rsidRPr="008F3FAE">
        <w:rPr>
          <w:lang w:val="lv-LV"/>
        </w:rPr>
        <w:t>Gatis.Silovs</w:t>
      </w:r>
      <w:r w:rsidR="00C852AB" w:rsidRPr="008F3FAE">
        <w:rPr>
          <w:lang w:val="lv-LV"/>
        </w:rPr>
        <w:t>@em.gov.lv</w:t>
      </w:r>
    </w:p>
    <w:sectPr w:rsidR="00FA1511" w:rsidRPr="00B03D28" w:rsidSect="00B014C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56B" w:rsidRDefault="0032556B" w:rsidP="00B014C2">
      <w:r>
        <w:separator/>
      </w:r>
    </w:p>
  </w:endnote>
  <w:endnote w:type="continuationSeparator" w:id="0">
    <w:p w:rsidR="0032556B" w:rsidRDefault="0032556B" w:rsidP="00B0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D2C" w:rsidRDefault="00CB6C09" w:rsidP="003E6D2C">
    <w:pPr>
      <w:jc w:val="both"/>
      <w:outlineLvl w:val="0"/>
      <w:rPr>
        <w:rFonts w:eastAsia="Times New Roman"/>
        <w:b/>
        <w:sz w:val="28"/>
        <w:szCs w:val="28"/>
        <w:lang w:val="lv-LV" w:eastAsia="lv-LV"/>
      </w:rPr>
    </w:pPr>
    <w:fldSimple w:instr=" FILENAME   \* MERGEFORMAT ">
      <w:r w:rsidR="009E2805">
        <w:rPr>
          <w:noProof/>
        </w:rPr>
        <w:t>EMAnot_061011_groz835</w:t>
      </w:r>
    </w:fldSimple>
    <w:r w:rsidR="003E6D2C" w:rsidRPr="00AD1A60">
      <w:t xml:space="preserve">; </w:t>
    </w:r>
    <w:r w:rsidR="000C415E" w:rsidRPr="000C415E">
      <w:rPr>
        <w:lang w:val="lv-LV"/>
      </w:rPr>
      <w:t>Ministru kabineta noteikumu projekta „Grozījumi Ministru kabineta 2008.gada 7.oktobra noteikumos Nr.835 „Noteikumi par darbības programmas “Uzņēmējdarbība un inovācijas” papildinājuma 2.3.2.1.aktivitāti “Biznesa inkubatori”””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D2C" w:rsidRDefault="00CB6C09" w:rsidP="003E6D2C">
    <w:pPr>
      <w:jc w:val="both"/>
      <w:outlineLvl w:val="0"/>
      <w:rPr>
        <w:rFonts w:eastAsia="Times New Roman"/>
        <w:b/>
        <w:sz w:val="28"/>
        <w:szCs w:val="28"/>
        <w:lang w:val="lv-LV" w:eastAsia="lv-LV"/>
      </w:rPr>
    </w:pPr>
    <w:fldSimple w:instr=" FILENAME   \* MERGEFORMAT ">
      <w:r w:rsidR="009E2805">
        <w:rPr>
          <w:noProof/>
        </w:rPr>
        <w:t>EMAnot_061011_groz835</w:t>
      </w:r>
    </w:fldSimple>
    <w:r w:rsidR="000D1257" w:rsidRPr="00AD1A60">
      <w:t xml:space="preserve">; </w:t>
    </w:r>
    <w:r w:rsidR="000C415E" w:rsidRPr="000C415E">
      <w:rPr>
        <w:lang w:val="lv-LV"/>
      </w:rPr>
      <w:t>Ministru kabineta noteikumu projekta „Grozījumi Ministru kabineta 2008.gada 7.oktobra noteikumos Nr.835 „Noteikumi par darbības programmas “Uzņēmējdarbība un inovācijas” papildinājuma 2.3.2.1.aktivitāti “Biznesa inkubatori”””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56B" w:rsidRDefault="0032556B" w:rsidP="00B014C2">
      <w:r>
        <w:separator/>
      </w:r>
    </w:p>
  </w:footnote>
  <w:footnote w:type="continuationSeparator" w:id="0">
    <w:p w:rsidR="0032556B" w:rsidRDefault="0032556B" w:rsidP="00B0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57" w:rsidRPr="00B014C2" w:rsidRDefault="00CB6C09">
    <w:pPr>
      <w:pStyle w:val="Header"/>
      <w:jc w:val="center"/>
      <w:rPr>
        <w:sz w:val="24"/>
        <w:szCs w:val="24"/>
      </w:rPr>
    </w:pPr>
    <w:r w:rsidRPr="00B014C2">
      <w:rPr>
        <w:sz w:val="24"/>
        <w:szCs w:val="24"/>
      </w:rPr>
      <w:fldChar w:fldCharType="begin"/>
    </w:r>
    <w:r w:rsidR="000D1257" w:rsidRPr="00B014C2">
      <w:rPr>
        <w:sz w:val="24"/>
        <w:szCs w:val="24"/>
      </w:rPr>
      <w:instrText xml:space="preserve"> PAGE   \* MERGEFORMAT </w:instrText>
    </w:r>
    <w:r w:rsidRPr="00B014C2">
      <w:rPr>
        <w:sz w:val="24"/>
        <w:szCs w:val="24"/>
      </w:rPr>
      <w:fldChar w:fldCharType="separate"/>
    </w:r>
    <w:r w:rsidR="00E12D44">
      <w:rPr>
        <w:noProof/>
        <w:sz w:val="24"/>
        <w:szCs w:val="24"/>
      </w:rPr>
      <w:t>8</w:t>
    </w:r>
    <w:r w:rsidRPr="00B014C2">
      <w:rPr>
        <w:sz w:val="24"/>
        <w:szCs w:val="24"/>
      </w:rPr>
      <w:fldChar w:fldCharType="end"/>
    </w:r>
  </w:p>
  <w:p w:rsidR="000D1257" w:rsidRDefault="000D12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240E"/>
    <w:multiLevelType w:val="hybridMultilevel"/>
    <w:tmpl w:val="F2E853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7C673D4"/>
    <w:multiLevelType w:val="hybridMultilevel"/>
    <w:tmpl w:val="937C8CC2"/>
    <w:lvl w:ilvl="0" w:tplc="C7F6DE7A">
      <w:start w:val="200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3C984F69"/>
    <w:multiLevelType w:val="hybridMultilevel"/>
    <w:tmpl w:val="001A3FCC"/>
    <w:lvl w:ilvl="0" w:tplc="013EF558">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58DA79B7"/>
    <w:multiLevelType w:val="hybridMultilevel"/>
    <w:tmpl w:val="FFDE7B3C"/>
    <w:lvl w:ilvl="0" w:tplc="5EE8603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4B83233"/>
    <w:multiLevelType w:val="hybridMultilevel"/>
    <w:tmpl w:val="4BE2A3F4"/>
    <w:lvl w:ilvl="0" w:tplc="1124D03C">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6F142C6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712C625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791B46C5"/>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7"/>
  </w:num>
  <w:num w:numId="6">
    <w:abstractNumId w:val="3"/>
  </w:num>
  <w:num w:numId="7">
    <w:abstractNumId w:val="2"/>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rsids>
    <w:rsidRoot w:val="00BB09C5"/>
    <w:rsid w:val="000016AB"/>
    <w:rsid w:val="00003815"/>
    <w:rsid w:val="00004E51"/>
    <w:rsid w:val="0001186C"/>
    <w:rsid w:val="000158C8"/>
    <w:rsid w:val="0001764D"/>
    <w:rsid w:val="000229E4"/>
    <w:rsid w:val="00025B0A"/>
    <w:rsid w:val="0002603A"/>
    <w:rsid w:val="00026C03"/>
    <w:rsid w:val="0002762A"/>
    <w:rsid w:val="0003046E"/>
    <w:rsid w:val="00036E03"/>
    <w:rsid w:val="000415DE"/>
    <w:rsid w:val="0004167C"/>
    <w:rsid w:val="00047EF5"/>
    <w:rsid w:val="00050EA4"/>
    <w:rsid w:val="0005157A"/>
    <w:rsid w:val="00051692"/>
    <w:rsid w:val="00052E11"/>
    <w:rsid w:val="00052E89"/>
    <w:rsid w:val="00054808"/>
    <w:rsid w:val="00056A8D"/>
    <w:rsid w:val="000643D5"/>
    <w:rsid w:val="0006739D"/>
    <w:rsid w:val="0007058B"/>
    <w:rsid w:val="000729ED"/>
    <w:rsid w:val="00080012"/>
    <w:rsid w:val="00083227"/>
    <w:rsid w:val="000834CE"/>
    <w:rsid w:val="00085E74"/>
    <w:rsid w:val="000912E4"/>
    <w:rsid w:val="000921C6"/>
    <w:rsid w:val="0009399C"/>
    <w:rsid w:val="00097583"/>
    <w:rsid w:val="000A2DD6"/>
    <w:rsid w:val="000A434E"/>
    <w:rsid w:val="000A4AED"/>
    <w:rsid w:val="000A5739"/>
    <w:rsid w:val="000B0719"/>
    <w:rsid w:val="000B1E7C"/>
    <w:rsid w:val="000B5B40"/>
    <w:rsid w:val="000C0F34"/>
    <w:rsid w:val="000C415E"/>
    <w:rsid w:val="000C6C6A"/>
    <w:rsid w:val="000D0388"/>
    <w:rsid w:val="000D1257"/>
    <w:rsid w:val="000D140B"/>
    <w:rsid w:val="000D16B7"/>
    <w:rsid w:val="000D2305"/>
    <w:rsid w:val="000D2F05"/>
    <w:rsid w:val="000D30E0"/>
    <w:rsid w:val="000D4B8D"/>
    <w:rsid w:val="000D6F7F"/>
    <w:rsid w:val="000D72B7"/>
    <w:rsid w:val="000E17B8"/>
    <w:rsid w:val="000E321D"/>
    <w:rsid w:val="000E409F"/>
    <w:rsid w:val="000E4277"/>
    <w:rsid w:val="000E485D"/>
    <w:rsid w:val="000F0E51"/>
    <w:rsid w:val="000F1335"/>
    <w:rsid w:val="000F3F4C"/>
    <w:rsid w:val="000F6E9E"/>
    <w:rsid w:val="001002E4"/>
    <w:rsid w:val="00100EA4"/>
    <w:rsid w:val="00101FE0"/>
    <w:rsid w:val="00103BF3"/>
    <w:rsid w:val="0010410B"/>
    <w:rsid w:val="001047E8"/>
    <w:rsid w:val="00107DB4"/>
    <w:rsid w:val="00110E66"/>
    <w:rsid w:val="00113586"/>
    <w:rsid w:val="00115CC4"/>
    <w:rsid w:val="00115E25"/>
    <w:rsid w:val="0011745E"/>
    <w:rsid w:val="00120CE4"/>
    <w:rsid w:val="00121FD8"/>
    <w:rsid w:val="001226E1"/>
    <w:rsid w:val="00122FCA"/>
    <w:rsid w:val="00123268"/>
    <w:rsid w:val="001237C7"/>
    <w:rsid w:val="00124930"/>
    <w:rsid w:val="00130133"/>
    <w:rsid w:val="00130C6B"/>
    <w:rsid w:val="00131C62"/>
    <w:rsid w:val="00141540"/>
    <w:rsid w:val="00141EF2"/>
    <w:rsid w:val="00142CBB"/>
    <w:rsid w:val="001434F6"/>
    <w:rsid w:val="001507B4"/>
    <w:rsid w:val="00156BF0"/>
    <w:rsid w:val="00157107"/>
    <w:rsid w:val="00160129"/>
    <w:rsid w:val="0016462B"/>
    <w:rsid w:val="00166B88"/>
    <w:rsid w:val="001705C0"/>
    <w:rsid w:val="001706B5"/>
    <w:rsid w:val="001720E2"/>
    <w:rsid w:val="0017312C"/>
    <w:rsid w:val="00174DB6"/>
    <w:rsid w:val="001764E7"/>
    <w:rsid w:val="00177A26"/>
    <w:rsid w:val="00177DD5"/>
    <w:rsid w:val="001831F7"/>
    <w:rsid w:val="001857A2"/>
    <w:rsid w:val="001871BB"/>
    <w:rsid w:val="00191102"/>
    <w:rsid w:val="0019343D"/>
    <w:rsid w:val="00193BE3"/>
    <w:rsid w:val="00195030"/>
    <w:rsid w:val="001973A7"/>
    <w:rsid w:val="001A0D4B"/>
    <w:rsid w:val="001A6894"/>
    <w:rsid w:val="001B2AA3"/>
    <w:rsid w:val="001B3236"/>
    <w:rsid w:val="001B3656"/>
    <w:rsid w:val="001B5F4D"/>
    <w:rsid w:val="001B5F59"/>
    <w:rsid w:val="001B6A67"/>
    <w:rsid w:val="001B6D15"/>
    <w:rsid w:val="001B796F"/>
    <w:rsid w:val="001C1452"/>
    <w:rsid w:val="001C1BFF"/>
    <w:rsid w:val="001D1BF7"/>
    <w:rsid w:val="001D37CE"/>
    <w:rsid w:val="001D5E9C"/>
    <w:rsid w:val="001D6919"/>
    <w:rsid w:val="001D76FC"/>
    <w:rsid w:val="001E3996"/>
    <w:rsid w:val="001E5031"/>
    <w:rsid w:val="001E667B"/>
    <w:rsid w:val="001E7AD3"/>
    <w:rsid w:val="001F02C1"/>
    <w:rsid w:val="001F7479"/>
    <w:rsid w:val="001F7527"/>
    <w:rsid w:val="0020388F"/>
    <w:rsid w:val="00205FEE"/>
    <w:rsid w:val="00207992"/>
    <w:rsid w:val="0021241F"/>
    <w:rsid w:val="00213D6A"/>
    <w:rsid w:val="002167AA"/>
    <w:rsid w:val="00216C36"/>
    <w:rsid w:val="00217BC1"/>
    <w:rsid w:val="002208D0"/>
    <w:rsid w:val="00222C39"/>
    <w:rsid w:val="00223C20"/>
    <w:rsid w:val="00230834"/>
    <w:rsid w:val="0023085A"/>
    <w:rsid w:val="00230FB6"/>
    <w:rsid w:val="00233657"/>
    <w:rsid w:val="00240CAE"/>
    <w:rsid w:val="00243A9D"/>
    <w:rsid w:val="002467FE"/>
    <w:rsid w:val="00247529"/>
    <w:rsid w:val="002507A0"/>
    <w:rsid w:val="00251085"/>
    <w:rsid w:val="002528F7"/>
    <w:rsid w:val="0025362E"/>
    <w:rsid w:val="00257A14"/>
    <w:rsid w:val="00257EAE"/>
    <w:rsid w:val="00265959"/>
    <w:rsid w:val="0026604A"/>
    <w:rsid w:val="002719E9"/>
    <w:rsid w:val="00271DF1"/>
    <w:rsid w:val="002720E3"/>
    <w:rsid w:val="002748FF"/>
    <w:rsid w:val="00277740"/>
    <w:rsid w:val="0028114E"/>
    <w:rsid w:val="00284615"/>
    <w:rsid w:val="0028698C"/>
    <w:rsid w:val="00287EF0"/>
    <w:rsid w:val="0029015A"/>
    <w:rsid w:val="002901CC"/>
    <w:rsid w:val="00294771"/>
    <w:rsid w:val="00297053"/>
    <w:rsid w:val="002A0CEE"/>
    <w:rsid w:val="002A126D"/>
    <w:rsid w:val="002A2D39"/>
    <w:rsid w:val="002A646A"/>
    <w:rsid w:val="002B1204"/>
    <w:rsid w:val="002B3CE5"/>
    <w:rsid w:val="002B415C"/>
    <w:rsid w:val="002B4D01"/>
    <w:rsid w:val="002C0E0E"/>
    <w:rsid w:val="002C20C8"/>
    <w:rsid w:val="002C6922"/>
    <w:rsid w:val="002C6A14"/>
    <w:rsid w:val="002C7CFA"/>
    <w:rsid w:val="002D1B4E"/>
    <w:rsid w:val="002D7773"/>
    <w:rsid w:val="002D7DF1"/>
    <w:rsid w:val="002E0D23"/>
    <w:rsid w:val="002E3518"/>
    <w:rsid w:val="002E507C"/>
    <w:rsid w:val="002E6122"/>
    <w:rsid w:val="002E652E"/>
    <w:rsid w:val="002E7530"/>
    <w:rsid w:val="002F02D8"/>
    <w:rsid w:val="002F063C"/>
    <w:rsid w:val="002F1D51"/>
    <w:rsid w:val="002F2FD6"/>
    <w:rsid w:val="002F423D"/>
    <w:rsid w:val="002F4553"/>
    <w:rsid w:val="002F53BF"/>
    <w:rsid w:val="002F5BBF"/>
    <w:rsid w:val="002F6D2C"/>
    <w:rsid w:val="003000F0"/>
    <w:rsid w:val="00303B7C"/>
    <w:rsid w:val="003108D5"/>
    <w:rsid w:val="00315A4C"/>
    <w:rsid w:val="00315F0A"/>
    <w:rsid w:val="003205FD"/>
    <w:rsid w:val="00320B71"/>
    <w:rsid w:val="00322A15"/>
    <w:rsid w:val="0032394F"/>
    <w:rsid w:val="0032556B"/>
    <w:rsid w:val="00325B53"/>
    <w:rsid w:val="00331A35"/>
    <w:rsid w:val="0033352C"/>
    <w:rsid w:val="00335837"/>
    <w:rsid w:val="0033716A"/>
    <w:rsid w:val="003372CD"/>
    <w:rsid w:val="00340CB9"/>
    <w:rsid w:val="0034284E"/>
    <w:rsid w:val="0034329B"/>
    <w:rsid w:val="003451DA"/>
    <w:rsid w:val="00347805"/>
    <w:rsid w:val="00350552"/>
    <w:rsid w:val="003525FA"/>
    <w:rsid w:val="00352D46"/>
    <w:rsid w:val="0035647E"/>
    <w:rsid w:val="00360437"/>
    <w:rsid w:val="00361DA6"/>
    <w:rsid w:val="003633B3"/>
    <w:rsid w:val="00363B7B"/>
    <w:rsid w:val="00366821"/>
    <w:rsid w:val="00374BCF"/>
    <w:rsid w:val="003756B1"/>
    <w:rsid w:val="00375A4C"/>
    <w:rsid w:val="00382BEB"/>
    <w:rsid w:val="00383500"/>
    <w:rsid w:val="00384799"/>
    <w:rsid w:val="00391539"/>
    <w:rsid w:val="00394112"/>
    <w:rsid w:val="003970C6"/>
    <w:rsid w:val="003A054D"/>
    <w:rsid w:val="003A2B62"/>
    <w:rsid w:val="003A5963"/>
    <w:rsid w:val="003B6CB3"/>
    <w:rsid w:val="003C3FA4"/>
    <w:rsid w:val="003C5D28"/>
    <w:rsid w:val="003D57B8"/>
    <w:rsid w:val="003E0167"/>
    <w:rsid w:val="003E28D2"/>
    <w:rsid w:val="003E2968"/>
    <w:rsid w:val="003E3604"/>
    <w:rsid w:val="003E6281"/>
    <w:rsid w:val="003E6CB3"/>
    <w:rsid w:val="003E6D2C"/>
    <w:rsid w:val="003F08FF"/>
    <w:rsid w:val="003F095C"/>
    <w:rsid w:val="003F1F27"/>
    <w:rsid w:val="003F2569"/>
    <w:rsid w:val="003F464F"/>
    <w:rsid w:val="003F4E09"/>
    <w:rsid w:val="00402B2B"/>
    <w:rsid w:val="00403279"/>
    <w:rsid w:val="00403EAD"/>
    <w:rsid w:val="0040463B"/>
    <w:rsid w:val="00404D4B"/>
    <w:rsid w:val="00404E4B"/>
    <w:rsid w:val="004124AF"/>
    <w:rsid w:val="00420D30"/>
    <w:rsid w:val="00420FC8"/>
    <w:rsid w:val="0042395B"/>
    <w:rsid w:val="0042472B"/>
    <w:rsid w:val="004250DB"/>
    <w:rsid w:val="004260C8"/>
    <w:rsid w:val="0043243D"/>
    <w:rsid w:val="004368B2"/>
    <w:rsid w:val="00436E6A"/>
    <w:rsid w:val="00442B72"/>
    <w:rsid w:val="004527EA"/>
    <w:rsid w:val="00456ADC"/>
    <w:rsid w:val="00460A29"/>
    <w:rsid w:val="0046325B"/>
    <w:rsid w:val="00465662"/>
    <w:rsid w:val="004657AC"/>
    <w:rsid w:val="00471B85"/>
    <w:rsid w:val="00472755"/>
    <w:rsid w:val="00476ADF"/>
    <w:rsid w:val="004775F4"/>
    <w:rsid w:val="0048009D"/>
    <w:rsid w:val="004829AD"/>
    <w:rsid w:val="00484C10"/>
    <w:rsid w:val="00485D96"/>
    <w:rsid w:val="004878E3"/>
    <w:rsid w:val="004879F5"/>
    <w:rsid w:val="00492165"/>
    <w:rsid w:val="00495737"/>
    <w:rsid w:val="00496958"/>
    <w:rsid w:val="004A19D5"/>
    <w:rsid w:val="004A1A10"/>
    <w:rsid w:val="004A20FA"/>
    <w:rsid w:val="004A3CF2"/>
    <w:rsid w:val="004A7CF9"/>
    <w:rsid w:val="004B3CA5"/>
    <w:rsid w:val="004B638C"/>
    <w:rsid w:val="004B66D0"/>
    <w:rsid w:val="004B7F5A"/>
    <w:rsid w:val="004C2217"/>
    <w:rsid w:val="004C54F0"/>
    <w:rsid w:val="004C6609"/>
    <w:rsid w:val="004C7B7E"/>
    <w:rsid w:val="004D049F"/>
    <w:rsid w:val="004D20A7"/>
    <w:rsid w:val="004D4997"/>
    <w:rsid w:val="004D6AC5"/>
    <w:rsid w:val="004E36C8"/>
    <w:rsid w:val="004E5E7D"/>
    <w:rsid w:val="004E7663"/>
    <w:rsid w:val="004E7F2B"/>
    <w:rsid w:val="004F01EB"/>
    <w:rsid w:val="004F2F36"/>
    <w:rsid w:val="004F2F91"/>
    <w:rsid w:val="004F4161"/>
    <w:rsid w:val="004F68A1"/>
    <w:rsid w:val="004F7105"/>
    <w:rsid w:val="00502E9A"/>
    <w:rsid w:val="005064C9"/>
    <w:rsid w:val="00510235"/>
    <w:rsid w:val="00517C20"/>
    <w:rsid w:val="00522B62"/>
    <w:rsid w:val="005279FC"/>
    <w:rsid w:val="00531E23"/>
    <w:rsid w:val="0053349D"/>
    <w:rsid w:val="00533893"/>
    <w:rsid w:val="0053500F"/>
    <w:rsid w:val="00535FD4"/>
    <w:rsid w:val="00536F9F"/>
    <w:rsid w:val="00537A29"/>
    <w:rsid w:val="005422C3"/>
    <w:rsid w:val="00542F49"/>
    <w:rsid w:val="00543C3A"/>
    <w:rsid w:val="0054481A"/>
    <w:rsid w:val="0054660D"/>
    <w:rsid w:val="005471CA"/>
    <w:rsid w:val="00547AEE"/>
    <w:rsid w:val="00551B3C"/>
    <w:rsid w:val="00554A7A"/>
    <w:rsid w:val="00556A56"/>
    <w:rsid w:val="00560311"/>
    <w:rsid w:val="005603F4"/>
    <w:rsid w:val="00561CB9"/>
    <w:rsid w:val="00561D17"/>
    <w:rsid w:val="0056528D"/>
    <w:rsid w:val="00575602"/>
    <w:rsid w:val="00575C67"/>
    <w:rsid w:val="00576B09"/>
    <w:rsid w:val="00580317"/>
    <w:rsid w:val="00581975"/>
    <w:rsid w:val="0058249F"/>
    <w:rsid w:val="0058679B"/>
    <w:rsid w:val="005867C2"/>
    <w:rsid w:val="005867EB"/>
    <w:rsid w:val="005877DA"/>
    <w:rsid w:val="00590B68"/>
    <w:rsid w:val="005A15E6"/>
    <w:rsid w:val="005B1EC4"/>
    <w:rsid w:val="005B29DE"/>
    <w:rsid w:val="005B4178"/>
    <w:rsid w:val="005B4D4E"/>
    <w:rsid w:val="005C03F5"/>
    <w:rsid w:val="005C251D"/>
    <w:rsid w:val="005C3235"/>
    <w:rsid w:val="005C5E2B"/>
    <w:rsid w:val="005C6DDB"/>
    <w:rsid w:val="005D3658"/>
    <w:rsid w:val="005D456B"/>
    <w:rsid w:val="005E2C40"/>
    <w:rsid w:val="005F129D"/>
    <w:rsid w:val="005F351C"/>
    <w:rsid w:val="005F36F7"/>
    <w:rsid w:val="005F5121"/>
    <w:rsid w:val="005F65CE"/>
    <w:rsid w:val="006056A8"/>
    <w:rsid w:val="00606694"/>
    <w:rsid w:val="006126A9"/>
    <w:rsid w:val="00613019"/>
    <w:rsid w:val="00616CBC"/>
    <w:rsid w:val="006171B4"/>
    <w:rsid w:val="006218A6"/>
    <w:rsid w:val="006224F7"/>
    <w:rsid w:val="00622AD2"/>
    <w:rsid w:val="006232A1"/>
    <w:rsid w:val="00623730"/>
    <w:rsid w:val="0062777C"/>
    <w:rsid w:val="00630367"/>
    <w:rsid w:val="00631039"/>
    <w:rsid w:val="006316BA"/>
    <w:rsid w:val="00634091"/>
    <w:rsid w:val="006349DF"/>
    <w:rsid w:val="00636440"/>
    <w:rsid w:val="00636975"/>
    <w:rsid w:val="006456BB"/>
    <w:rsid w:val="00647FA6"/>
    <w:rsid w:val="00650716"/>
    <w:rsid w:val="00651669"/>
    <w:rsid w:val="006673C2"/>
    <w:rsid w:val="00672A2F"/>
    <w:rsid w:val="00674088"/>
    <w:rsid w:val="00674BA7"/>
    <w:rsid w:val="00676770"/>
    <w:rsid w:val="00681496"/>
    <w:rsid w:val="006904CD"/>
    <w:rsid w:val="006910BE"/>
    <w:rsid w:val="00693FAB"/>
    <w:rsid w:val="00696772"/>
    <w:rsid w:val="0069780B"/>
    <w:rsid w:val="006A1013"/>
    <w:rsid w:val="006A36AE"/>
    <w:rsid w:val="006A5C46"/>
    <w:rsid w:val="006A7638"/>
    <w:rsid w:val="006B0DA2"/>
    <w:rsid w:val="006B1596"/>
    <w:rsid w:val="006B584A"/>
    <w:rsid w:val="006C04B0"/>
    <w:rsid w:val="006C136E"/>
    <w:rsid w:val="006C1797"/>
    <w:rsid w:val="006C2143"/>
    <w:rsid w:val="006C50C6"/>
    <w:rsid w:val="006D0B9B"/>
    <w:rsid w:val="006D1F62"/>
    <w:rsid w:val="006D3A18"/>
    <w:rsid w:val="006D4C40"/>
    <w:rsid w:val="006D59C5"/>
    <w:rsid w:val="006D69A4"/>
    <w:rsid w:val="006E2C3C"/>
    <w:rsid w:val="006E3C5D"/>
    <w:rsid w:val="006E5232"/>
    <w:rsid w:val="006E53FC"/>
    <w:rsid w:val="006E67D7"/>
    <w:rsid w:val="006E6F33"/>
    <w:rsid w:val="006F0C19"/>
    <w:rsid w:val="006F24A8"/>
    <w:rsid w:val="006F56C1"/>
    <w:rsid w:val="006F5786"/>
    <w:rsid w:val="006F6E45"/>
    <w:rsid w:val="00700070"/>
    <w:rsid w:val="007058AC"/>
    <w:rsid w:val="007058E9"/>
    <w:rsid w:val="0071026C"/>
    <w:rsid w:val="0071061F"/>
    <w:rsid w:val="00710EA1"/>
    <w:rsid w:val="0071224D"/>
    <w:rsid w:val="0071657D"/>
    <w:rsid w:val="007217E4"/>
    <w:rsid w:val="00725107"/>
    <w:rsid w:val="0072668A"/>
    <w:rsid w:val="007278CF"/>
    <w:rsid w:val="007315C5"/>
    <w:rsid w:val="007355DD"/>
    <w:rsid w:val="007363F2"/>
    <w:rsid w:val="00737AB8"/>
    <w:rsid w:val="00741F6A"/>
    <w:rsid w:val="007543C1"/>
    <w:rsid w:val="007547B1"/>
    <w:rsid w:val="00760465"/>
    <w:rsid w:val="00762A8E"/>
    <w:rsid w:val="00766612"/>
    <w:rsid w:val="00767185"/>
    <w:rsid w:val="007677D4"/>
    <w:rsid w:val="0077435A"/>
    <w:rsid w:val="00781E75"/>
    <w:rsid w:val="007821CF"/>
    <w:rsid w:val="007877B2"/>
    <w:rsid w:val="00787BED"/>
    <w:rsid w:val="00794B98"/>
    <w:rsid w:val="007962D2"/>
    <w:rsid w:val="007A09C3"/>
    <w:rsid w:val="007A0D95"/>
    <w:rsid w:val="007A14D0"/>
    <w:rsid w:val="007A1D95"/>
    <w:rsid w:val="007A25F6"/>
    <w:rsid w:val="007A3DB5"/>
    <w:rsid w:val="007A519B"/>
    <w:rsid w:val="007A71C1"/>
    <w:rsid w:val="007A7FC5"/>
    <w:rsid w:val="007B1BE8"/>
    <w:rsid w:val="007B2C9A"/>
    <w:rsid w:val="007B52F0"/>
    <w:rsid w:val="007C2992"/>
    <w:rsid w:val="007C7593"/>
    <w:rsid w:val="007D6900"/>
    <w:rsid w:val="007D7613"/>
    <w:rsid w:val="007D7A8A"/>
    <w:rsid w:val="007E20C4"/>
    <w:rsid w:val="007E34D8"/>
    <w:rsid w:val="007E5D4D"/>
    <w:rsid w:val="007E6A88"/>
    <w:rsid w:val="007E7623"/>
    <w:rsid w:val="007F0242"/>
    <w:rsid w:val="007F0C15"/>
    <w:rsid w:val="007F3403"/>
    <w:rsid w:val="00810454"/>
    <w:rsid w:val="00812990"/>
    <w:rsid w:val="00817839"/>
    <w:rsid w:val="00822AD1"/>
    <w:rsid w:val="00823419"/>
    <w:rsid w:val="0082376A"/>
    <w:rsid w:val="008238CA"/>
    <w:rsid w:val="00823CBA"/>
    <w:rsid w:val="008265EF"/>
    <w:rsid w:val="00827407"/>
    <w:rsid w:val="00830230"/>
    <w:rsid w:val="00832642"/>
    <w:rsid w:val="008370D7"/>
    <w:rsid w:val="008375E3"/>
    <w:rsid w:val="00843294"/>
    <w:rsid w:val="00845F2C"/>
    <w:rsid w:val="00852F12"/>
    <w:rsid w:val="008549AE"/>
    <w:rsid w:val="00855943"/>
    <w:rsid w:val="00860387"/>
    <w:rsid w:val="00860FDE"/>
    <w:rsid w:val="00862B8A"/>
    <w:rsid w:val="00862D34"/>
    <w:rsid w:val="008673FC"/>
    <w:rsid w:val="00872146"/>
    <w:rsid w:val="00874C25"/>
    <w:rsid w:val="00877265"/>
    <w:rsid w:val="00877FED"/>
    <w:rsid w:val="00880D7E"/>
    <w:rsid w:val="00885AEF"/>
    <w:rsid w:val="00890831"/>
    <w:rsid w:val="0089090B"/>
    <w:rsid w:val="00891DAA"/>
    <w:rsid w:val="008927D8"/>
    <w:rsid w:val="0089484D"/>
    <w:rsid w:val="00895A3D"/>
    <w:rsid w:val="0089622A"/>
    <w:rsid w:val="008972A4"/>
    <w:rsid w:val="00897C16"/>
    <w:rsid w:val="008A515D"/>
    <w:rsid w:val="008A6918"/>
    <w:rsid w:val="008B6C2F"/>
    <w:rsid w:val="008C37BE"/>
    <w:rsid w:val="008C446D"/>
    <w:rsid w:val="008C47D6"/>
    <w:rsid w:val="008C6A8C"/>
    <w:rsid w:val="008C76E4"/>
    <w:rsid w:val="008C7B79"/>
    <w:rsid w:val="008D0A17"/>
    <w:rsid w:val="008D17E5"/>
    <w:rsid w:val="008D5529"/>
    <w:rsid w:val="008D5FFB"/>
    <w:rsid w:val="008D6725"/>
    <w:rsid w:val="008D78FF"/>
    <w:rsid w:val="008E0248"/>
    <w:rsid w:val="008E2ECE"/>
    <w:rsid w:val="008E45A6"/>
    <w:rsid w:val="008F063E"/>
    <w:rsid w:val="008F122D"/>
    <w:rsid w:val="008F3FAE"/>
    <w:rsid w:val="008F48C1"/>
    <w:rsid w:val="008F4C9D"/>
    <w:rsid w:val="008F5394"/>
    <w:rsid w:val="0090048A"/>
    <w:rsid w:val="00902BE7"/>
    <w:rsid w:val="0090395A"/>
    <w:rsid w:val="0090449A"/>
    <w:rsid w:val="0090536A"/>
    <w:rsid w:val="009062D3"/>
    <w:rsid w:val="0090670A"/>
    <w:rsid w:val="00906840"/>
    <w:rsid w:val="00906909"/>
    <w:rsid w:val="00911B94"/>
    <w:rsid w:val="009126A0"/>
    <w:rsid w:val="00914CB3"/>
    <w:rsid w:val="00916054"/>
    <w:rsid w:val="00916509"/>
    <w:rsid w:val="009243DD"/>
    <w:rsid w:val="0092468A"/>
    <w:rsid w:val="00925417"/>
    <w:rsid w:val="00925C96"/>
    <w:rsid w:val="00927127"/>
    <w:rsid w:val="00932C66"/>
    <w:rsid w:val="009347CA"/>
    <w:rsid w:val="00937618"/>
    <w:rsid w:val="00940388"/>
    <w:rsid w:val="009414BE"/>
    <w:rsid w:val="00944628"/>
    <w:rsid w:val="00944903"/>
    <w:rsid w:val="00945AEE"/>
    <w:rsid w:val="0094732D"/>
    <w:rsid w:val="00947886"/>
    <w:rsid w:val="00950000"/>
    <w:rsid w:val="00953044"/>
    <w:rsid w:val="0095696B"/>
    <w:rsid w:val="00956B8F"/>
    <w:rsid w:val="00962CEA"/>
    <w:rsid w:val="0096699E"/>
    <w:rsid w:val="009741BB"/>
    <w:rsid w:val="00976DE4"/>
    <w:rsid w:val="00981078"/>
    <w:rsid w:val="00981D69"/>
    <w:rsid w:val="00990026"/>
    <w:rsid w:val="0099344A"/>
    <w:rsid w:val="00995388"/>
    <w:rsid w:val="009A164D"/>
    <w:rsid w:val="009A2028"/>
    <w:rsid w:val="009A38AD"/>
    <w:rsid w:val="009A4789"/>
    <w:rsid w:val="009A5386"/>
    <w:rsid w:val="009B0DB2"/>
    <w:rsid w:val="009B19AC"/>
    <w:rsid w:val="009B2624"/>
    <w:rsid w:val="009B2F66"/>
    <w:rsid w:val="009B4731"/>
    <w:rsid w:val="009B623D"/>
    <w:rsid w:val="009B658A"/>
    <w:rsid w:val="009B67B9"/>
    <w:rsid w:val="009B6F8D"/>
    <w:rsid w:val="009C2CF9"/>
    <w:rsid w:val="009C34B1"/>
    <w:rsid w:val="009C412F"/>
    <w:rsid w:val="009C60BF"/>
    <w:rsid w:val="009C7064"/>
    <w:rsid w:val="009D10C0"/>
    <w:rsid w:val="009D6B85"/>
    <w:rsid w:val="009E116E"/>
    <w:rsid w:val="009E182A"/>
    <w:rsid w:val="009E1AEA"/>
    <w:rsid w:val="009E2143"/>
    <w:rsid w:val="009E2805"/>
    <w:rsid w:val="009E604D"/>
    <w:rsid w:val="009E66C4"/>
    <w:rsid w:val="009E7DF3"/>
    <w:rsid w:val="009F37B4"/>
    <w:rsid w:val="009F46C9"/>
    <w:rsid w:val="009F5980"/>
    <w:rsid w:val="00A0558E"/>
    <w:rsid w:val="00A07270"/>
    <w:rsid w:val="00A11C66"/>
    <w:rsid w:val="00A14437"/>
    <w:rsid w:val="00A15971"/>
    <w:rsid w:val="00A20A03"/>
    <w:rsid w:val="00A21DBC"/>
    <w:rsid w:val="00A225BC"/>
    <w:rsid w:val="00A22B3F"/>
    <w:rsid w:val="00A30576"/>
    <w:rsid w:val="00A30F97"/>
    <w:rsid w:val="00A326B1"/>
    <w:rsid w:val="00A34AC6"/>
    <w:rsid w:val="00A419B3"/>
    <w:rsid w:val="00A425FC"/>
    <w:rsid w:val="00A44590"/>
    <w:rsid w:val="00A445BC"/>
    <w:rsid w:val="00A47339"/>
    <w:rsid w:val="00A47536"/>
    <w:rsid w:val="00A50326"/>
    <w:rsid w:val="00A51B81"/>
    <w:rsid w:val="00A52BA6"/>
    <w:rsid w:val="00A54D4C"/>
    <w:rsid w:val="00A54E1A"/>
    <w:rsid w:val="00A55459"/>
    <w:rsid w:val="00A55C87"/>
    <w:rsid w:val="00A6113D"/>
    <w:rsid w:val="00A6164F"/>
    <w:rsid w:val="00A62C9B"/>
    <w:rsid w:val="00A63E2D"/>
    <w:rsid w:val="00A66E10"/>
    <w:rsid w:val="00A7667E"/>
    <w:rsid w:val="00A806F1"/>
    <w:rsid w:val="00A82AE0"/>
    <w:rsid w:val="00A84459"/>
    <w:rsid w:val="00A92DAD"/>
    <w:rsid w:val="00A958DC"/>
    <w:rsid w:val="00A963C3"/>
    <w:rsid w:val="00AA04AA"/>
    <w:rsid w:val="00AA1482"/>
    <w:rsid w:val="00AA46D0"/>
    <w:rsid w:val="00AA5C4F"/>
    <w:rsid w:val="00AA5F61"/>
    <w:rsid w:val="00AB067F"/>
    <w:rsid w:val="00AB248D"/>
    <w:rsid w:val="00AB2498"/>
    <w:rsid w:val="00AB2B93"/>
    <w:rsid w:val="00AB38EF"/>
    <w:rsid w:val="00AB488D"/>
    <w:rsid w:val="00AB5B30"/>
    <w:rsid w:val="00AB6E52"/>
    <w:rsid w:val="00AB775F"/>
    <w:rsid w:val="00AC0231"/>
    <w:rsid w:val="00AC2CD8"/>
    <w:rsid w:val="00AC51C0"/>
    <w:rsid w:val="00AC76B6"/>
    <w:rsid w:val="00AC7917"/>
    <w:rsid w:val="00AD01D2"/>
    <w:rsid w:val="00AD1A52"/>
    <w:rsid w:val="00AD1A60"/>
    <w:rsid w:val="00AD2F9E"/>
    <w:rsid w:val="00AD3F56"/>
    <w:rsid w:val="00AD452A"/>
    <w:rsid w:val="00AD56CB"/>
    <w:rsid w:val="00AD5849"/>
    <w:rsid w:val="00AD7DBF"/>
    <w:rsid w:val="00AE05F1"/>
    <w:rsid w:val="00AE1659"/>
    <w:rsid w:val="00AE51EC"/>
    <w:rsid w:val="00AE52B6"/>
    <w:rsid w:val="00AE616D"/>
    <w:rsid w:val="00AE6E0C"/>
    <w:rsid w:val="00AF1E99"/>
    <w:rsid w:val="00B00C75"/>
    <w:rsid w:val="00B014C2"/>
    <w:rsid w:val="00B01C10"/>
    <w:rsid w:val="00B033B8"/>
    <w:rsid w:val="00B03D28"/>
    <w:rsid w:val="00B12730"/>
    <w:rsid w:val="00B1367C"/>
    <w:rsid w:val="00B166B5"/>
    <w:rsid w:val="00B17C2B"/>
    <w:rsid w:val="00B219DE"/>
    <w:rsid w:val="00B221CA"/>
    <w:rsid w:val="00B23B0C"/>
    <w:rsid w:val="00B23D37"/>
    <w:rsid w:val="00B25A18"/>
    <w:rsid w:val="00B26A25"/>
    <w:rsid w:val="00B30133"/>
    <w:rsid w:val="00B31842"/>
    <w:rsid w:val="00B373B9"/>
    <w:rsid w:val="00B37ECA"/>
    <w:rsid w:val="00B40127"/>
    <w:rsid w:val="00B4309E"/>
    <w:rsid w:val="00B45132"/>
    <w:rsid w:val="00B45711"/>
    <w:rsid w:val="00B46611"/>
    <w:rsid w:val="00B5466B"/>
    <w:rsid w:val="00B55CC8"/>
    <w:rsid w:val="00B55EE3"/>
    <w:rsid w:val="00B60DDA"/>
    <w:rsid w:val="00B6151B"/>
    <w:rsid w:val="00B61DAD"/>
    <w:rsid w:val="00B62197"/>
    <w:rsid w:val="00B626F8"/>
    <w:rsid w:val="00B64C25"/>
    <w:rsid w:val="00B67838"/>
    <w:rsid w:val="00B74BCA"/>
    <w:rsid w:val="00B74CFE"/>
    <w:rsid w:val="00B76047"/>
    <w:rsid w:val="00B7774A"/>
    <w:rsid w:val="00B81E82"/>
    <w:rsid w:val="00B8222C"/>
    <w:rsid w:val="00B82499"/>
    <w:rsid w:val="00B85F43"/>
    <w:rsid w:val="00B87294"/>
    <w:rsid w:val="00B87F9A"/>
    <w:rsid w:val="00B912E7"/>
    <w:rsid w:val="00B9156B"/>
    <w:rsid w:val="00B931D1"/>
    <w:rsid w:val="00B97180"/>
    <w:rsid w:val="00BA0A22"/>
    <w:rsid w:val="00BA1883"/>
    <w:rsid w:val="00BA5EB1"/>
    <w:rsid w:val="00BA7293"/>
    <w:rsid w:val="00BA7F55"/>
    <w:rsid w:val="00BB09C5"/>
    <w:rsid w:val="00BB1832"/>
    <w:rsid w:val="00BB27DC"/>
    <w:rsid w:val="00BB4180"/>
    <w:rsid w:val="00BB6516"/>
    <w:rsid w:val="00BB6D20"/>
    <w:rsid w:val="00BC06E8"/>
    <w:rsid w:val="00BC16B4"/>
    <w:rsid w:val="00BC1DE4"/>
    <w:rsid w:val="00BC262B"/>
    <w:rsid w:val="00BC486B"/>
    <w:rsid w:val="00BC4AAD"/>
    <w:rsid w:val="00BC51A3"/>
    <w:rsid w:val="00BC70FB"/>
    <w:rsid w:val="00BD1934"/>
    <w:rsid w:val="00BD22EA"/>
    <w:rsid w:val="00BD6934"/>
    <w:rsid w:val="00BE0EC8"/>
    <w:rsid w:val="00BE1338"/>
    <w:rsid w:val="00BE4892"/>
    <w:rsid w:val="00BE5FD8"/>
    <w:rsid w:val="00BF13E2"/>
    <w:rsid w:val="00BF1558"/>
    <w:rsid w:val="00BF1AD9"/>
    <w:rsid w:val="00BF1C29"/>
    <w:rsid w:val="00BF2A6B"/>
    <w:rsid w:val="00BF344D"/>
    <w:rsid w:val="00BF599F"/>
    <w:rsid w:val="00C00041"/>
    <w:rsid w:val="00C044F2"/>
    <w:rsid w:val="00C04B3F"/>
    <w:rsid w:val="00C0764D"/>
    <w:rsid w:val="00C10877"/>
    <w:rsid w:val="00C10CEA"/>
    <w:rsid w:val="00C112CE"/>
    <w:rsid w:val="00C11C6A"/>
    <w:rsid w:val="00C12C72"/>
    <w:rsid w:val="00C1663D"/>
    <w:rsid w:val="00C16BBF"/>
    <w:rsid w:val="00C20EF9"/>
    <w:rsid w:val="00C21702"/>
    <w:rsid w:val="00C257B7"/>
    <w:rsid w:val="00C265D4"/>
    <w:rsid w:val="00C307D2"/>
    <w:rsid w:val="00C31F73"/>
    <w:rsid w:val="00C32F05"/>
    <w:rsid w:val="00C37B14"/>
    <w:rsid w:val="00C40FDA"/>
    <w:rsid w:val="00C43F6F"/>
    <w:rsid w:val="00C50273"/>
    <w:rsid w:val="00C51843"/>
    <w:rsid w:val="00C5549D"/>
    <w:rsid w:val="00C65DC2"/>
    <w:rsid w:val="00C67F5F"/>
    <w:rsid w:val="00C7152A"/>
    <w:rsid w:val="00C728E5"/>
    <w:rsid w:val="00C7378F"/>
    <w:rsid w:val="00C73791"/>
    <w:rsid w:val="00C800D2"/>
    <w:rsid w:val="00C82A06"/>
    <w:rsid w:val="00C82B27"/>
    <w:rsid w:val="00C85068"/>
    <w:rsid w:val="00C852AB"/>
    <w:rsid w:val="00C87D3E"/>
    <w:rsid w:val="00C910CD"/>
    <w:rsid w:val="00C914F5"/>
    <w:rsid w:val="00C932EC"/>
    <w:rsid w:val="00CA0B16"/>
    <w:rsid w:val="00CA181C"/>
    <w:rsid w:val="00CA334F"/>
    <w:rsid w:val="00CA363B"/>
    <w:rsid w:val="00CA4ADF"/>
    <w:rsid w:val="00CA5A64"/>
    <w:rsid w:val="00CA5DE0"/>
    <w:rsid w:val="00CA6526"/>
    <w:rsid w:val="00CA7E59"/>
    <w:rsid w:val="00CB1942"/>
    <w:rsid w:val="00CB2CB2"/>
    <w:rsid w:val="00CB4D81"/>
    <w:rsid w:val="00CB5D7B"/>
    <w:rsid w:val="00CB6A16"/>
    <w:rsid w:val="00CB6C09"/>
    <w:rsid w:val="00CB7A76"/>
    <w:rsid w:val="00CC69CD"/>
    <w:rsid w:val="00CC7315"/>
    <w:rsid w:val="00CC76C2"/>
    <w:rsid w:val="00CD0222"/>
    <w:rsid w:val="00CD787B"/>
    <w:rsid w:val="00CE09F6"/>
    <w:rsid w:val="00CE46A5"/>
    <w:rsid w:val="00CE4F65"/>
    <w:rsid w:val="00CE53B5"/>
    <w:rsid w:val="00CE5A53"/>
    <w:rsid w:val="00CF05DA"/>
    <w:rsid w:val="00CF370C"/>
    <w:rsid w:val="00CF3AB4"/>
    <w:rsid w:val="00CF5C7C"/>
    <w:rsid w:val="00CF6236"/>
    <w:rsid w:val="00D03BE9"/>
    <w:rsid w:val="00D07CDB"/>
    <w:rsid w:val="00D11D2F"/>
    <w:rsid w:val="00D135FA"/>
    <w:rsid w:val="00D16BE8"/>
    <w:rsid w:val="00D17FC9"/>
    <w:rsid w:val="00D215C9"/>
    <w:rsid w:val="00D23AF2"/>
    <w:rsid w:val="00D25DF0"/>
    <w:rsid w:val="00D270A9"/>
    <w:rsid w:val="00D30469"/>
    <w:rsid w:val="00D315BC"/>
    <w:rsid w:val="00D33157"/>
    <w:rsid w:val="00D33BC8"/>
    <w:rsid w:val="00D347F4"/>
    <w:rsid w:val="00D34A6E"/>
    <w:rsid w:val="00D363B3"/>
    <w:rsid w:val="00D402F5"/>
    <w:rsid w:val="00D42277"/>
    <w:rsid w:val="00D5184D"/>
    <w:rsid w:val="00D51E6D"/>
    <w:rsid w:val="00D561AD"/>
    <w:rsid w:val="00D62CCB"/>
    <w:rsid w:val="00D6344A"/>
    <w:rsid w:val="00D66E4E"/>
    <w:rsid w:val="00D71175"/>
    <w:rsid w:val="00D7256E"/>
    <w:rsid w:val="00D73D92"/>
    <w:rsid w:val="00D74282"/>
    <w:rsid w:val="00D751F5"/>
    <w:rsid w:val="00D75753"/>
    <w:rsid w:val="00D77F11"/>
    <w:rsid w:val="00D82F66"/>
    <w:rsid w:val="00D84793"/>
    <w:rsid w:val="00D9386E"/>
    <w:rsid w:val="00D97223"/>
    <w:rsid w:val="00D97646"/>
    <w:rsid w:val="00DA1041"/>
    <w:rsid w:val="00DA4963"/>
    <w:rsid w:val="00DA52A1"/>
    <w:rsid w:val="00DA61A3"/>
    <w:rsid w:val="00DA7414"/>
    <w:rsid w:val="00DB28DC"/>
    <w:rsid w:val="00DB35ED"/>
    <w:rsid w:val="00DB3BCB"/>
    <w:rsid w:val="00DB41C8"/>
    <w:rsid w:val="00DC3352"/>
    <w:rsid w:val="00DC406B"/>
    <w:rsid w:val="00DC44CC"/>
    <w:rsid w:val="00DC4C6D"/>
    <w:rsid w:val="00DC5ABA"/>
    <w:rsid w:val="00DD0266"/>
    <w:rsid w:val="00DD1A9D"/>
    <w:rsid w:val="00DD28ED"/>
    <w:rsid w:val="00DD32A1"/>
    <w:rsid w:val="00DD3C99"/>
    <w:rsid w:val="00DD42C2"/>
    <w:rsid w:val="00DD50FD"/>
    <w:rsid w:val="00DD7A97"/>
    <w:rsid w:val="00DE043D"/>
    <w:rsid w:val="00DE1404"/>
    <w:rsid w:val="00DE2942"/>
    <w:rsid w:val="00DE54AB"/>
    <w:rsid w:val="00DE5D69"/>
    <w:rsid w:val="00DE67FC"/>
    <w:rsid w:val="00DE6F56"/>
    <w:rsid w:val="00DF0637"/>
    <w:rsid w:val="00DF0A7E"/>
    <w:rsid w:val="00DF2B2C"/>
    <w:rsid w:val="00DF4F04"/>
    <w:rsid w:val="00DF6B2B"/>
    <w:rsid w:val="00E007C1"/>
    <w:rsid w:val="00E00CC5"/>
    <w:rsid w:val="00E03A78"/>
    <w:rsid w:val="00E03A98"/>
    <w:rsid w:val="00E03D7E"/>
    <w:rsid w:val="00E04663"/>
    <w:rsid w:val="00E07DF2"/>
    <w:rsid w:val="00E10D14"/>
    <w:rsid w:val="00E12D44"/>
    <w:rsid w:val="00E14248"/>
    <w:rsid w:val="00E147E0"/>
    <w:rsid w:val="00E22EBE"/>
    <w:rsid w:val="00E26AAA"/>
    <w:rsid w:val="00E26E54"/>
    <w:rsid w:val="00E35168"/>
    <w:rsid w:val="00E374A8"/>
    <w:rsid w:val="00E4147B"/>
    <w:rsid w:val="00E42E89"/>
    <w:rsid w:val="00E4442C"/>
    <w:rsid w:val="00E45814"/>
    <w:rsid w:val="00E4694C"/>
    <w:rsid w:val="00E47E61"/>
    <w:rsid w:val="00E53073"/>
    <w:rsid w:val="00E53C62"/>
    <w:rsid w:val="00E60458"/>
    <w:rsid w:val="00E605BB"/>
    <w:rsid w:val="00E62F4C"/>
    <w:rsid w:val="00E63094"/>
    <w:rsid w:val="00E63BFD"/>
    <w:rsid w:val="00E64584"/>
    <w:rsid w:val="00E65238"/>
    <w:rsid w:val="00E65F36"/>
    <w:rsid w:val="00E65F64"/>
    <w:rsid w:val="00E67992"/>
    <w:rsid w:val="00E70B81"/>
    <w:rsid w:val="00E70B84"/>
    <w:rsid w:val="00E73425"/>
    <w:rsid w:val="00E752B0"/>
    <w:rsid w:val="00E76A2A"/>
    <w:rsid w:val="00E76F38"/>
    <w:rsid w:val="00E77E51"/>
    <w:rsid w:val="00E8312B"/>
    <w:rsid w:val="00E8387C"/>
    <w:rsid w:val="00E83E29"/>
    <w:rsid w:val="00E86B6D"/>
    <w:rsid w:val="00E9044E"/>
    <w:rsid w:val="00E90C7E"/>
    <w:rsid w:val="00E91702"/>
    <w:rsid w:val="00E91FF8"/>
    <w:rsid w:val="00E93D72"/>
    <w:rsid w:val="00E943FC"/>
    <w:rsid w:val="00E96283"/>
    <w:rsid w:val="00E97B1A"/>
    <w:rsid w:val="00EA2820"/>
    <w:rsid w:val="00EA2E4C"/>
    <w:rsid w:val="00EA50BA"/>
    <w:rsid w:val="00EA5412"/>
    <w:rsid w:val="00EA57EF"/>
    <w:rsid w:val="00EB03F5"/>
    <w:rsid w:val="00EB1BE8"/>
    <w:rsid w:val="00EB263C"/>
    <w:rsid w:val="00EB489F"/>
    <w:rsid w:val="00EC2AD9"/>
    <w:rsid w:val="00EC59C9"/>
    <w:rsid w:val="00EC5C1C"/>
    <w:rsid w:val="00ED1CF0"/>
    <w:rsid w:val="00ED1EA2"/>
    <w:rsid w:val="00ED29AD"/>
    <w:rsid w:val="00ED377B"/>
    <w:rsid w:val="00ED4B2E"/>
    <w:rsid w:val="00EE1948"/>
    <w:rsid w:val="00EE1BAE"/>
    <w:rsid w:val="00EE2B7B"/>
    <w:rsid w:val="00EE3C9B"/>
    <w:rsid w:val="00EE424E"/>
    <w:rsid w:val="00EE450A"/>
    <w:rsid w:val="00EE4FC3"/>
    <w:rsid w:val="00EE6809"/>
    <w:rsid w:val="00EF0674"/>
    <w:rsid w:val="00EF26A5"/>
    <w:rsid w:val="00EF335B"/>
    <w:rsid w:val="00EF539D"/>
    <w:rsid w:val="00EF662A"/>
    <w:rsid w:val="00EF6E5B"/>
    <w:rsid w:val="00EF795F"/>
    <w:rsid w:val="00EF7A99"/>
    <w:rsid w:val="00EF7D9D"/>
    <w:rsid w:val="00F010E4"/>
    <w:rsid w:val="00F067B2"/>
    <w:rsid w:val="00F103C0"/>
    <w:rsid w:val="00F15932"/>
    <w:rsid w:val="00F20369"/>
    <w:rsid w:val="00F210C4"/>
    <w:rsid w:val="00F213B5"/>
    <w:rsid w:val="00F24674"/>
    <w:rsid w:val="00F25271"/>
    <w:rsid w:val="00F258DB"/>
    <w:rsid w:val="00F27161"/>
    <w:rsid w:val="00F3042A"/>
    <w:rsid w:val="00F31115"/>
    <w:rsid w:val="00F34F76"/>
    <w:rsid w:val="00F35826"/>
    <w:rsid w:val="00F4498B"/>
    <w:rsid w:val="00F45FC6"/>
    <w:rsid w:val="00F5252F"/>
    <w:rsid w:val="00F53491"/>
    <w:rsid w:val="00F53820"/>
    <w:rsid w:val="00F54C76"/>
    <w:rsid w:val="00F621F0"/>
    <w:rsid w:val="00F6350C"/>
    <w:rsid w:val="00F6526D"/>
    <w:rsid w:val="00F726FF"/>
    <w:rsid w:val="00F73226"/>
    <w:rsid w:val="00F73CBA"/>
    <w:rsid w:val="00F73E4D"/>
    <w:rsid w:val="00F74837"/>
    <w:rsid w:val="00F768B2"/>
    <w:rsid w:val="00F80221"/>
    <w:rsid w:val="00F86808"/>
    <w:rsid w:val="00F942CC"/>
    <w:rsid w:val="00F94B10"/>
    <w:rsid w:val="00F9656B"/>
    <w:rsid w:val="00FA1511"/>
    <w:rsid w:val="00FA2035"/>
    <w:rsid w:val="00FA2370"/>
    <w:rsid w:val="00FA3614"/>
    <w:rsid w:val="00FA3CB0"/>
    <w:rsid w:val="00FA3D2C"/>
    <w:rsid w:val="00FA6053"/>
    <w:rsid w:val="00FA6507"/>
    <w:rsid w:val="00FB1448"/>
    <w:rsid w:val="00FB2469"/>
    <w:rsid w:val="00FC035F"/>
    <w:rsid w:val="00FC1889"/>
    <w:rsid w:val="00FC4CC7"/>
    <w:rsid w:val="00FC6E18"/>
    <w:rsid w:val="00FD42A6"/>
    <w:rsid w:val="00FD63D9"/>
    <w:rsid w:val="00FF375B"/>
    <w:rsid w:val="00FF54DF"/>
    <w:rsid w:val="00FF5C79"/>
    <w:rsid w:val="00FF7B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character" w:customStyle="1" w:styleId="apple-style-span">
    <w:name w:val="apple-style-span"/>
    <w:basedOn w:val="DefaultParagraphFont"/>
    <w:rsid w:val="00B97180"/>
  </w:style>
  <w:style w:type="paragraph" w:styleId="Signature">
    <w:name w:val="Signature"/>
    <w:basedOn w:val="Normal"/>
    <w:next w:val="EnvelopeReturn"/>
    <w:link w:val="SignatureChar"/>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rsid w:val="00CB6A16"/>
    <w:rPr>
      <w:rFonts w:eastAsia="Times New Roman" w:cs="Times New Roman"/>
      <w:sz w:val="26"/>
      <w:szCs w:val="20"/>
      <w:lang w:val="en-AU"/>
    </w:rPr>
  </w:style>
  <w:style w:type="paragraph" w:styleId="EnvelopeReturn">
    <w:name w:val="envelope return"/>
    <w:basedOn w:val="Normal"/>
    <w:uiPriority w:val="99"/>
    <w:unhideWhenUsed/>
    <w:rsid w:val="00CB6A16"/>
    <w:rPr>
      <w:rFonts w:ascii="Cambria" w:eastAsia="Times New Roman" w:hAnsi="Cambria"/>
    </w:rPr>
  </w:style>
  <w:style w:type="paragraph" w:customStyle="1" w:styleId="naisc">
    <w:name w:val="naisc"/>
    <w:basedOn w:val="Normal"/>
    <w:rsid w:val="00B17C2B"/>
    <w:pPr>
      <w:spacing w:before="94" w:after="94"/>
      <w:jc w:val="center"/>
    </w:pPr>
    <w:rPr>
      <w:rFonts w:eastAsia="Times New Roman"/>
      <w:sz w:val="24"/>
      <w:szCs w:val="24"/>
      <w:lang w:val="lv-LV" w:eastAsia="lv-LV"/>
    </w:rPr>
  </w:style>
  <w:style w:type="paragraph" w:styleId="NormalWeb">
    <w:name w:val="Normal (Web)"/>
    <w:basedOn w:val="Normal"/>
    <w:rsid w:val="00166B88"/>
    <w:pPr>
      <w:spacing w:before="100" w:beforeAutospacing="1" w:after="100" w:afterAutospacing="1"/>
    </w:pPr>
    <w:rPr>
      <w:rFonts w:eastAsia="Arial Unicode MS"/>
      <w:sz w:val="24"/>
      <w:szCs w:val="24"/>
      <w:lang w:val="en-GB"/>
    </w:rPr>
  </w:style>
  <w:style w:type="character" w:styleId="CommentReference">
    <w:name w:val="annotation reference"/>
    <w:basedOn w:val="DefaultParagraphFont"/>
    <w:uiPriority w:val="99"/>
    <w:semiHidden/>
    <w:unhideWhenUsed/>
    <w:rsid w:val="00123268"/>
    <w:rPr>
      <w:sz w:val="16"/>
      <w:szCs w:val="16"/>
    </w:rPr>
  </w:style>
  <w:style w:type="paragraph" w:styleId="CommentText">
    <w:name w:val="annotation text"/>
    <w:basedOn w:val="Normal"/>
    <w:link w:val="CommentTextChar"/>
    <w:uiPriority w:val="99"/>
    <w:semiHidden/>
    <w:unhideWhenUsed/>
    <w:rsid w:val="00123268"/>
  </w:style>
  <w:style w:type="character" w:customStyle="1" w:styleId="CommentTextChar">
    <w:name w:val="Comment Text Char"/>
    <w:basedOn w:val="DefaultParagraphFont"/>
    <w:link w:val="CommentText"/>
    <w:uiPriority w:val="99"/>
    <w:semiHidden/>
    <w:rsid w:val="00123268"/>
    <w:rPr>
      <w:lang w:val="en-AU" w:eastAsia="en-US"/>
    </w:rPr>
  </w:style>
  <w:style w:type="paragraph" w:styleId="CommentSubject">
    <w:name w:val="annotation subject"/>
    <w:basedOn w:val="CommentText"/>
    <w:next w:val="CommentText"/>
    <w:link w:val="CommentSubjectChar"/>
    <w:uiPriority w:val="99"/>
    <w:semiHidden/>
    <w:unhideWhenUsed/>
    <w:rsid w:val="00123268"/>
    <w:rPr>
      <w:b/>
      <w:bCs/>
    </w:rPr>
  </w:style>
  <w:style w:type="character" w:customStyle="1" w:styleId="CommentSubjectChar">
    <w:name w:val="Comment Subject Char"/>
    <w:basedOn w:val="CommentTextChar"/>
    <w:link w:val="CommentSubject"/>
    <w:uiPriority w:val="99"/>
    <w:semiHidden/>
    <w:rsid w:val="001232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character" w:customStyle="1" w:styleId="apple-style-span">
    <w:name w:val="apple-style-span"/>
    <w:basedOn w:val="DefaultParagraphFont"/>
    <w:rsid w:val="00B97180"/>
  </w:style>
  <w:style w:type="paragraph" w:styleId="Signature">
    <w:name w:val="Signature"/>
    <w:basedOn w:val="Normal"/>
    <w:next w:val="EnvelopeReturn"/>
    <w:link w:val="SignatureChar"/>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rsid w:val="00CB6A16"/>
    <w:rPr>
      <w:rFonts w:eastAsia="Times New Roman" w:cs="Times New Roman"/>
      <w:sz w:val="26"/>
      <w:szCs w:val="20"/>
      <w:lang w:val="en-AU"/>
    </w:rPr>
  </w:style>
  <w:style w:type="paragraph" w:styleId="EnvelopeReturn">
    <w:name w:val="envelope return"/>
    <w:basedOn w:val="Normal"/>
    <w:uiPriority w:val="99"/>
    <w:unhideWhenUsed/>
    <w:rsid w:val="00CB6A16"/>
    <w:rPr>
      <w:rFonts w:ascii="Cambria" w:eastAsia="Times New Roman" w:hAnsi="Cambria"/>
    </w:rPr>
  </w:style>
  <w:style w:type="paragraph" w:customStyle="1" w:styleId="naisc">
    <w:name w:val="naisc"/>
    <w:basedOn w:val="Normal"/>
    <w:rsid w:val="00B17C2B"/>
    <w:pPr>
      <w:spacing w:before="94" w:after="94"/>
      <w:jc w:val="center"/>
    </w:pPr>
    <w:rPr>
      <w:rFonts w:eastAsia="Times New Roman"/>
      <w:sz w:val="24"/>
      <w:szCs w:val="24"/>
      <w:lang w:val="lv-LV" w:eastAsia="lv-LV"/>
    </w:rPr>
  </w:style>
  <w:style w:type="paragraph" w:styleId="NormalWeb">
    <w:name w:val="Normal (Web)"/>
    <w:basedOn w:val="Normal"/>
    <w:rsid w:val="00166B88"/>
    <w:pPr>
      <w:spacing w:before="100" w:beforeAutospacing="1" w:after="100" w:afterAutospacing="1"/>
    </w:pPr>
    <w:rPr>
      <w:rFonts w:eastAsia="Arial Unicode MS"/>
      <w:sz w:val="24"/>
      <w:szCs w:val="24"/>
      <w:lang w:val="en-GB"/>
    </w:rPr>
  </w:style>
</w:styles>
</file>

<file path=word/webSettings.xml><?xml version="1.0" encoding="utf-8"?>
<w:webSettings xmlns:r="http://schemas.openxmlformats.org/officeDocument/2006/relationships" xmlns:w="http://schemas.openxmlformats.org/wordprocessingml/2006/main">
  <w:divs>
    <w:div w:id="40330337">
      <w:bodyDiv w:val="1"/>
      <w:marLeft w:val="0"/>
      <w:marRight w:val="0"/>
      <w:marTop w:val="0"/>
      <w:marBottom w:val="0"/>
      <w:divBdr>
        <w:top w:val="none" w:sz="0" w:space="0" w:color="auto"/>
        <w:left w:val="none" w:sz="0" w:space="0" w:color="auto"/>
        <w:bottom w:val="none" w:sz="0" w:space="0" w:color="auto"/>
        <w:right w:val="none" w:sz="0" w:space="0" w:color="auto"/>
      </w:divBdr>
    </w:div>
    <w:div w:id="153180399">
      <w:bodyDiv w:val="1"/>
      <w:marLeft w:val="0"/>
      <w:marRight w:val="0"/>
      <w:marTop w:val="0"/>
      <w:marBottom w:val="0"/>
      <w:divBdr>
        <w:top w:val="none" w:sz="0" w:space="0" w:color="auto"/>
        <w:left w:val="none" w:sz="0" w:space="0" w:color="auto"/>
        <w:bottom w:val="none" w:sz="0" w:space="0" w:color="auto"/>
        <w:right w:val="none" w:sz="0" w:space="0" w:color="auto"/>
      </w:divBdr>
      <w:divsChild>
        <w:div w:id="600144619">
          <w:marLeft w:val="0"/>
          <w:marRight w:val="0"/>
          <w:marTop w:val="0"/>
          <w:marBottom w:val="0"/>
          <w:divBdr>
            <w:top w:val="none" w:sz="0" w:space="0" w:color="auto"/>
            <w:left w:val="none" w:sz="0" w:space="0" w:color="auto"/>
            <w:bottom w:val="none" w:sz="0" w:space="0" w:color="auto"/>
            <w:right w:val="none" w:sz="0" w:space="0" w:color="auto"/>
          </w:divBdr>
        </w:div>
      </w:divsChild>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230623800">
      <w:bodyDiv w:val="1"/>
      <w:marLeft w:val="45"/>
      <w:marRight w:val="45"/>
      <w:marTop w:val="90"/>
      <w:marBottom w:val="90"/>
      <w:divBdr>
        <w:top w:val="none" w:sz="0" w:space="0" w:color="auto"/>
        <w:left w:val="none" w:sz="0" w:space="0" w:color="auto"/>
        <w:bottom w:val="none" w:sz="0" w:space="0" w:color="auto"/>
        <w:right w:val="none" w:sz="0" w:space="0" w:color="auto"/>
      </w:divBdr>
      <w:divsChild>
        <w:div w:id="2081949473">
          <w:marLeft w:val="0"/>
          <w:marRight w:val="0"/>
          <w:marTop w:val="240"/>
          <w:marBottom w:val="0"/>
          <w:divBdr>
            <w:top w:val="none" w:sz="0" w:space="0" w:color="auto"/>
            <w:left w:val="none" w:sz="0" w:space="0" w:color="auto"/>
            <w:bottom w:val="none" w:sz="0" w:space="0" w:color="auto"/>
            <w:right w:val="none" w:sz="0" w:space="0" w:color="auto"/>
          </w:divBdr>
        </w:div>
      </w:divsChild>
    </w:div>
    <w:div w:id="550118591">
      <w:bodyDiv w:val="1"/>
      <w:marLeft w:val="0"/>
      <w:marRight w:val="0"/>
      <w:marTop w:val="0"/>
      <w:marBottom w:val="0"/>
      <w:divBdr>
        <w:top w:val="none" w:sz="0" w:space="0" w:color="auto"/>
        <w:left w:val="none" w:sz="0" w:space="0" w:color="auto"/>
        <w:bottom w:val="none" w:sz="0" w:space="0" w:color="auto"/>
        <w:right w:val="none" w:sz="0" w:space="0" w:color="auto"/>
      </w:divBdr>
    </w:div>
    <w:div w:id="1232346339">
      <w:bodyDiv w:val="1"/>
      <w:marLeft w:val="0"/>
      <w:marRight w:val="0"/>
      <w:marTop w:val="0"/>
      <w:marBottom w:val="0"/>
      <w:divBdr>
        <w:top w:val="none" w:sz="0" w:space="0" w:color="auto"/>
        <w:left w:val="none" w:sz="0" w:space="0" w:color="auto"/>
        <w:bottom w:val="none" w:sz="0" w:space="0" w:color="auto"/>
        <w:right w:val="none" w:sz="0" w:space="0" w:color="auto"/>
      </w:divBdr>
    </w:div>
    <w:div w:id="1551187946">
      <w:bodyDiv w:val="1"/>
      <w:marLeft w:val="0"/>
      <w:marRight w:val="0"/>
      <w:marTop w:val="0"/>
      <w:marBottom w:val="0"/>
      <w:divBdr>
        <w:top w:val="none" w:sz="0" w:space="0" w:color="auto"/>
        <w:left w:val="none" w:sz="0" w:space="0" w:color="auto"/>
        <w:bottom w:val="none" w:sz="0" w:space="0" w:color="auto"/>
        <w:right w:val="none" w:sz="0" w:space="0" w:color="auto"/>
      </w:divBdr>
    </w:div>
    <w:div w:id="1620868621">
      <w:bodyDiv w:val="1"/>
      <w:marLeft w:val="0"/>
      <w:marRight w:val="0"/>
      <w:marTop w:val="0"/>
      <w:marBottom w:val="0"/>
      <w:divBdr>
        <w:top w:val="none" w:sz="0" w:space="0" w:color="auto"/>
        <w:left w:val="none" w:sz="0" w:space="0" w:color="auto"/>
        <w:bottom w:val="none" w:sz="0" w:space="0" w:color="auto"/>
        <w:right w:val="none" w:sz="0" w:space="0" w:color="auto"/>
      </w:divBdr>
    </w:div>
    <w:div w:id="1896162609">
      <w:bodyDiv w:val="1"/>
      <w:marLeft w:val="0"/>
      <w:marRight w:val="0"/>
      <w:marTop w:val="0"/>
      <w:marBottom w:val="0"/>
      <w:divBdr>
        <w:top w:val="none" w:sz="0" w:space="0" w:color="auto"/>
        <w:left w:val="none" w:sz="0" w:space="0" w:color="auto"/>
        <w:bottom w:val="none" w:sz="0" w:space="0" w:color="auto"/>
        <w:right w:val="none" w:sz="0" w:space="0" w:color="auto"/>
      </w:divBdr>
    </w:div>
    <w:div w:id="1901941826">
      <w:bodyDiv w:val="1"/>
      <w:marLeft w:val="0"/>
      <w:marRight w:val="0"/>
      <w:marTop w:val="0"/>
      <w:marBottom w:val="0"/>
      <w:divBdr>
        <w:top w:val="none" w:sz="0" w:space="0" w:color="auto"/>
        <w:left w:val="none" w:sz="0" w:space="0" w:color="auto"/>
        <w:bottom w:val="none" w:sz="0" w:space="0" w:color="auto"/>
        <w:right w:val="none" w:sz="0" w:space="0" w:color="auto"/>
      </w:divBdr>
    </w:div>
    <w:div w:id="1958826523">
      <w:bodyDiv w:val="1"/>
      <w:marLeft w:val="0"/>
      <w:marRight w:val="0"/>
      <w:marTop w:val="0"/>
      <w:marBottom w:val="0"/>
      <w:divBdr>
        <w:top w:val="none" w:sz="0" w:space="0" w:color="auto"/>
        <w:left w:val="none" w:sz="0" w:space="0" w:color="auto"/>
        <w:bottom w:val="none" w:sz="0" w:space="0" w:color="auto"/>
        <w:right w:val="none" w:sz="0" w:space="0" w:color="auto"/>
      </w:divBdr>
    </w:div>
    <w:div w:id="2039893768">
      <w:bodyDiv w:val="1"/>
      <w:marLeft w:val="56"/>
      <w:marRight w:val="56"/>
      <w:marTop w:val="112"/>
      <w:marBottom w:val="112"/>
      <w:divBdr>
        <w:top w:val="none" w:sz="0" w:space="0" w:color="auto"/>
        <w:left w:val="none" w:sz="0" w:space="0" w:color="auto"/>
        <w:bottom w:val="none" w:sz="0" w:space="0" w:color="auto"/>
        <w:right w:val="none" w:sz="0" w:space="0" w:color="auto"/>
      </w:divBdr>
      <w:divsChild>
        <w:div w:id="1589923820">
          <w:marLeft w:val="0"/>
          <w:marRight w:val="0"/>
          <w:marTop w:val="240"/>
          <w:marBottom w:val="0"/>
          <w:divBdr>
            <w:top w:val="none" w:sz="0" w:space="0" w:color="auto"/>
            <w:left w:val="none" w:sz="0" w:space="0" w:color="auto"/>
            <w:bottom w:val="none" w:sz="0" w:space="0" w:color="auto"/>
            <w:right w:val="none" w:sz="0" w:space="0" w:color="auto"/>
          </w:divBdr>
        </w:div>
        <w:div w:id="525339194">
          <w:marLeft w:val="0"/>
          <w:marRight w:val="0"/>
          <w:marTop w:val="240"/>
          <w:marBottom w:val="0"/>
          <w:divBdr>
            <w:top w:val="none" w:sz="0" w:space="0" w:color="auto"/>
            <w:left w:val="none" w:sz="0" w:space="0" w:color="auto"/>
            <w:bottom w:val="none" w:sz="0" w:space="0" w:color="auto"/>
            <w:right w:val="none" w:sz="0" w:space="0" w:color="auto"/>
          </w:divBdr>
        </w:div>
        <w:div w:id="1265919273">
          <w:marLeft w:val="0"/>
          <w:marRight w:val="0"/>
          <w:marTop w:val="240"/>
          <w:marBottom w:val="0"/>
          <w:divBdr>
            <w:top w:val="none" w:sz="0" w:space="0" w:color="auto"/>
            <w:left w:val="none" w:sz="0" w:space="0" w:color="auto"/>
            <w:bottom w:val="none" w:sz="0" w:space="0" w:color="auto"/>
            <w:right w:val="none" w:sz="0" w:space="0" w:color="auto"/>
          </w:divBdr>
        </w:div>
        <w:div w:id="2041591595">
          <w:marLeft w:val="0"/>
          <w:marRight w:val="0"/>
          <w:marTop w:val="240"/>
          <w:marBottom w:val="0"/>
          <w:divBdr>
            <w:top w:val="none" w:sz="0" w:space="0" w:color="auto"/>
            <w:left w:val="none" w:sz="0" w:space="0" w:color="auto"/>
            <w:bottom w:val="none" w:sz="0" w:space="0" w:color="auto"/>
            <w:right w:val="none" w:sz="0" w:space="0" w:color="auto"/>
          </w:divBdr>
        </w:div>
      </w:divsChild>
    </w:div>
    <w:div w:id="211728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23FF825-0054-4370-A840-0662774C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1785</Words>
  <Characters>12553</Characters>
  <Application>Microsoft Office Word</Application>
  <DocSecurity>0</DocSecurity>
  <Lines>482</Lines>
  <Paragraphs>137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Ministru kabineta noteikumu projekta „Grozījumi Ministru kabineta 2008.gada 7.oktobra noteikumos Nr.835 „Noteikumi par darbības programmas “Uzņēmējdarbība un inovācijas” papildinājuma 2.3.2.1.aktivitāti “Biznesa inkubatori””” sākotnējās ietekmes novērtēju</vt:lpstr>
      <vt:lpstr>Ministru kabineta noteikumu projekta „Grozījumi Ministru kabineta 2008.gada 7.ok</vt:lpstr>
    </vt:vector>
  </TitlesOfParts>
  <Company>LR Ekonomikas ministrija</Company>
  <LinksUpToDate>false</LinksUpToDate>
  <CharactersWithSpaces>14201</CharactersWithSpaces>
  <SharedDoc>false</SharedDoc>
  <HLinks>
    <vt:vector size="6" baseType="variant">
      <vt:variant>
        <vt:i4>8323164</vt:i4>
      </vt:variant>
      <vt:variant>
        <vt:i4>3</vt:i4>
      </vt:variant>
      <vt:variant>
        <vt:i4>0</vt:i4>
      </vt:variant>
      <vt:variant>
        <vt:i4>5</vt:i4>
      </vt:variant>
      <vt:variant>
        <vt:lpwstr>mailto:Viktorija.Rimjane@em.gov.lv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7.oktobra noteikumos Nr.835 „Noteikumi par darbības programmas “Uzņēmējdarbība un inovācijas” papildinājuma 2.3.2.1.aktivitāti “Biznesa inkubatori””” sākotnējās ietekmes novērtējuma ziņojums (anotācija)</dc:title>
  <dc:subject>Anotācija</dc:subject>
  <dc:creator>Gatis Silovs</dc:creator>
  <dc:description>Gatis.Silovs@em.gov.lv, 67013209</dc:description>
  <cp:lastModifiedBy>Gatis Silovs</cp:lastModifiedBy>
  <cp:revision>33</cp:revision>
  <cp:lastPrinted>2011-08-19T07:12:00Z</cp:lastPrinted>
  <dcterms:created xsi:type="dcterms:W3CDTF">2011-09-20T11:13:00Z</dcterms:created>
  <dcterms:modified xsi:type="dcterms:W3CDTF">2011-10-06T10:52:00Z</dcterms:modified>
</cp:coreProperties>
</file>