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5F" w:rsidRPr="008961BB" w:rsidRDefault="0013525F" w:rsidP="00857D0E">
      <w:pPr>
        <w:pStyle w:val="BodyText"/>
        <w:rPr>
          <w:b/>
          <w:szCs w:val="28"/>
        </w:rPr>
      </w:pPr>
      <w:bookmarkStart w:id="0" w:name="OLE_LINK1"/>
      <w:bookmarkStart w:id="1" w:name="OLE_LINK2"/>
      <w:bookmarkStart w:id="2" w:name="OLE_LINK6"/>
      <w:bookmarkStart w:id="3" w:name="OLE_LINK7"/>
      <w:r w:rsidRPr="008961BB">
        <w:rPr>
          <w:b/>
          <w:szCs w:val="28"/>
        </w:rPr>
        <w:t>Likumprojekta</w:t>
      </w:r>
      <w:r w:rsidR="00027201" w:rsidRPr="008961BB">
        <w:rPr>
          <w:b/>
          <w:szCs w:val="28"/>
        </w:rPr>
        <w:t xml:space="preserve"> </w:t>
      </w:r>
      <w:r w:rsidR="00027201" w:rsidRPr="008961BB">
        <w:rPr>
          <w:b/>
          <w:bCs/>
          <w:szCs w:val="28"/>
        </w:rPr>
        <w:t>„</w:t>
      </w:r>
      <w:r w:rsidR="00EF24FF" w:rsidRPr="008961BB">
        <w:rPr>
          <w:b/>
          <w:szCs w:val="28"/>
        </w:rPr>
        <w:t>Grozījumi</w:t>
      </w:r>
      <w:r w:rsidRPr="008961BB">
        <w:rPr>
          <w:b/>
          <w:szCs w:val="28"/>
        </w:rPr>
        <w:t xml:space="preserve"> </w:t>
      </w:r>
      <w:bookmarkStart w:id="4" w:name="OLE_LINK3"/>
      <w:bookmarkStart w:id="5" w:name="OLE_LINK4"/>
      <w:r w:rsidR="00ED3D78" w:rsidRPr="008961BB">
        <w:rPr>
          <w:b/>
          <w:szCs w:val="28"/>
        </w:rPr>
        <w:t>Latvijas A</w:t>
      </w:r>
      <w:r w:rsidR="00F70C23" w:rsidRPr="008961BB">
        <w:rPr>
          <w:b/>
          <w:szCs w:val="28"/>
        </w:rPr>
        <w:t>dministratīvo pārkāpumu kodeks</w:t>
      </w:r>
      <w:bookmarkEnd w:id="4"/>
      <w:bookmarkEnd w:id="5"/>
      <w:r w:rsidR="00E5345F" w:rsidRPr="008961BB">
        <w:rPr>
          <w:b/>
          <w:szCs w:val="28"/>
        </w:rPr>
        <w:t>ā</w:t>
      </w:r>
      <w:bookmarkEnd w:id="0"/>
      <w:bookmarkEnd w:id="1"/>
      <w:r w:rsidR="00027201" w:rsidRPr="008961BB">
        <w:rPr>
          <w:b/>
          <w:szCs w:val="28"/>
        </w:rPr>
        <w:t>”</w:t>
      </w:r>
    </w:p>
    <w:p w:rsidR="0013525F" w:rsidRPr="008961BB" w:rsidRDefault="0013525F" w:rsidP="0013525F">
      <w:pPr>
        <w:pStyle w:val="BodyText"/>
        <w:rPr>
          <w:b/>
          <w:szCs w:val="28"/>
        </w:rPr>
      </w:pPr>
      <w:r w:rsidRPr="008961BB">
        <w:rPr>
          <w:b/>
          <w:szCs w:val="28"/>
        </w:rPr>
        <w:t>sākotnējās ietekmes novērtējuma ziņojums (anotācija</w:t>
      </w:r>
      <w:bookmarkEnd w:id="2"/>
      <w:bookmarkEnd w:id="3"/>
      <w:r w:rsidRPr="008961BB">
        <w:rPr>
          <w:b/>
          <w:szCs w:val="28"/>
        </w:rPr>
        <w:t>)</w:t>
      </w:r>
    </w:p>
    <w:p w:rsidR="0013525F" w:rsidRPr="008961BB" w:rsidRDefault="0013525F" w:rsidP="0013525F">
      <w:pPr>
        <w:pStyle w:val="BodyText"/>
        <w:rPr>
          <w:b/>
          <w:color w:val="000000"/>
          <w:sz w:val="24"/>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7229"/>
      </w:tblGrid>
      <w:tr w:rsidR="0013525F" w:rsidRPr="008961BB" w:rsidTr="00B44887">
        <w:trPr>
          <w:trHeight w:val="564"/>
          <w:tblCellSpacing w:w="0" w:type="dxa"/>
        </w:trPr>
        <w:tc>
          <w:tcPr>
            <w:tcW w:w="9654" w:type="dxa"/>
            <w:gridSpan w:val="3"/>
            <w:tcBorders>
              <w:top w:val="outset" w:sz="6" w:space="0" w:color="auto"/>
              <w:left w:val="outset" w:sz="6" w:space="0" w:color="auto"/>
              <w:bottom w:val="outset" w:sz="6" w:space="0" w:color="auto"/>
              <w:right w:val="outset" w:sz="6" w:space="0" w:color="auto"/>
            </w:tcBorders>
            <w:vAlign w:val="center"/>
          </w:tcPr>
          <w:p w:rsidR="0013525F" w:rsidRPr="008961BB" w:rsidRDefault="0013525F" w:rsidP="00DF652E">
            <w:pPr>
              <w:pStyle w:val="naisc"/>
              <w:jc w:val="center"/>
            </w:pPr>
            <w:r w:rsidRPr="008961BB">
              <w:rPr>
                <w:b/>
                <w:bCs/>
              </w:rPr>
              <w:t>I. Tiesību akta projekta izstrādes nepieciešamība</w:t>
            </w:r>
          </w:p>
        </w:tc>
      </w:tr>
      <w:tr w:rsidR="0013525F" w:rsidRPr="008961BB" w:rsidTr="00B44887">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1.</w:t>
            </w:r>
          </w:p>
        </w:tc>
        <w:tc>
          <w:tcPr>
            <w:tcW w:w="189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lab"/>
            </w:pPr>
            <w:r w:rsidRPr="008961BB">
              <w:t> Pamatojums</w:t>
            </w:r>
          </w:p>
        </w:tc>
        <w:tc>
          <w:tcPr>
            <w:tcW w:w="7229" w:type="dxa"/>
            <w:tcBorders>
              <w:top w:val="outset" w:sz="6" w:space="0" w:color="auto"/>
              <w:left w:val="outset" w:sz="6" w:space="0" w:color="auto"/>
              <w:bottom w:val="outset" w:sz="6" w:space="0" w:color="auto"/>
              <w:right w:val="outset" w:sz="6" w:space="0" w:color="auto"/>
            </w:tcBorders>
          </w:tcPr>
          <w:p w:rsidR="00CF42BE" w:rsidRPr="008961BB" w:rsidRDefault="00201E77" w:rsidP="00BD132F">
            <w:pPr>
              <w:jc w:val="both"/>
              <w:rPr>
                <w:lang w:val="lv-LV"/>
              </w:rPr>
            </w:pPr>
            <w:r w:rsidRPr="008961BB">
              <w:rPr>
                <w:lang w:val="lv-LV"/>
              </w:rPr>
              <w:t>Likumproje</w:t>
            </w:r>
            <w:r w:rsidR="009B5EB1" w:rsidRPr="008961BB">
              <w:rPr>
                <w:lang w:val="lv-LV"/>
              </w:rPr>
              <w:t xml:space="preserve">kts </w:t>
            </w:r>
            <w:r w:rsidR="00A75D98" w:rsidRPr="008961BB">
              <w:rPr>
                <w:lang w:val="lv-LV"/>
              </w:rPr>
              <w:t>izstrādāts, lai nodrošinātu, ka</w:t>
            </w:r>
            <w:r w:rsidR="009B5EB1" w:rsidRPr="008961BB">
              <w:rPr>
                <w:lang w:val="lv-LV"/>
              </w:rPr>
              <w:t xml:space="preserve"> personas, kuras pārkāpj </w:t>
            </w:r>
            <w:r w:rsidR="00BE6199" w:rsidRPr="008961BB">
              <w:rPr>
                <w:lang w:val="lv-LV"/>
              </w:rPr>
              <w:t>normatīvajos aktos noteikto</w:t>
            </w:r>
            <w:r w:rsidR="00476B55" w:rsidRPr="008961BB">
              <w:rPr>
                <w:lang w:val="lv-LV"/>
              </w:rPr>
              <w:t xml:space="preserve"> </w:t>
            </w:r>
            <w:r w:rsidR="00A938BD" w:rsidRPr="008961BB">
              <w:rPr>
                <w:lang w:val="lv-LV"/>
              </w:rPr>
              <w:t xml:space="preserve">statistikas nodrošināšanai nepieciešamo datu iesniegšanas </w:t>
            </w:r>
            <w:r w:rsidR="00476B55" w:rsidRPr="008961BB">
              <w:rPr>
                <w:lang w:val="lv-LV"/>
              </w:rPr>
              <w:t>kār</w:t>
            </w:r>
            <w:r w:rsidR="00BE6199" w:rsidRPr="008961BB">
              <w:rPr>
                <w:lang w:val="lv-LV"/>
              </w:rPr>
              <w:t>tību</w:t>
            </w:r>
            <w:r w:rsidR="00476B55" w:rsidRPr="008961BB">
              <w:rPr>
                <w:lang w:val="lv-LV"/>
              </w:rPr>
              <w:t xml:space="preserve"> vai neievēro</w:t>
            </w:r>
            <w:r w:rsidR="009B5EB1" w:rsidRPr="008961BB">
              <w:rPr>
                <w:lang w:val="lv-LV"/>
              </w:rPr>
              <w:t xml:space="preserve"> statistiskās konfidencialitātes prasības</w:t>
            </w:r>
            <w:r w:rsidR="003A505E" w:rsidRPr="008961BB">
              <w:rPr>
                <w:lang w:val="lv-LV"/>
              </w:rPr>
              <w:t xml:space="preserve"> attiecībā uz pētniecībai saņemtajiem datiem</w:t>
            </w:r>
            <w:r w:rsidR="00A75D98" w:rsidRPr="008961BB">
              <w:rPr>
                <w:lang w:val="lv-LV"/>
              </w:rPr>
              <w:t>,</w:t>
            </w:r>
            <w:r w:rsidR="00D06524" w:rsidRPr="008961BB">
              <w:rPr>
                <w:lang w:val="lv-LV"/>
              </w:rPr>
              <w:t xml:space="preserve"> tiktu sauktas pie administratīvās atbildības.</w:t>
            </w:r>
          </w:p>
        </w:tc>
      </w:tr>
      <w:tr w:rsidR="0013525F" w:rsidRPr="008961BB" w:rsidTr="00B44887">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2.</w:t>
            </w:r>
          </w:p>
        </w:tc>
        <w:tc>
          <w:tcPr>
            <w:tcW w:w="189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Pašreizējā situācija un problēmas</w:t>
            </w:r>
          </w:p>
        </w:tc>
        <w:tc>
          <w:tcPr>
            <w:tcW w:w="7229" w:type="dxa"/>
            <w:tcBorders>
              <w:top w:val="outset" w:sz="6" w:space="0" w:color="auto"/>
              <w:left w:val="outset" w:sz="6" w:space="0" w:color="auto"/>
              <w:bottom w:val="outset" w:sz="6" w:space="0" w:color="auto"/>
              <w:right w:val="outset" w:sz="6" w:space="0" w:color="auto"/>
            </w:tcBorders>
          </w:tcPr>
          <w:p w:rsidR="0027153D" w:rsidRPr="008961BB" w:rsidRDefault="000C6FC4" w:rsidP="0027153D">
            <w:pPr>
              <w:jc w:val="both"/>
              <w:rPr>
                <w:lang w:val="lv-LV"/>
              </w:rPr>
            </w:pPr>
            <w:r w:rsidRPr="008961BB">
              <w:rPr>
                <w:lang w:val="lv-LV"/>
              </w:rPr>
              <w:t xml:space="preserve">1. </w:t>
            </w:r>
            <w:r w:rsidR="0027153D" w:rsidRPr="008961BB">
              <w:rPr>
                <w:lang w:val="lv-LV"/>
              </w:rPr>
              <w:t>Latvijas Administratīvo pārkāpumu kodeksa (turpmāk – LAPK)</w:t>
            </w:r>
            <w:r w:rsidR="00D80CAB" w:rsidRPr="008961BB">
              <w:rPr>
                <w:lang w:val="lv-LV"/>
              </w:rPr>
              <w:t xml:space="preserve"> </w:t>
            </w:r>
            <w:r w:rsidR="0027153D" w:rsidRPr="008961BB">
              <w:rPr>
                <w:lang w:val="lv-LV"/>
              </w:rPr>
              <w:t>166.</w:t>
            </w:r>
            <w:r w:rsidR="0027153D" w:rsidRPr="008961BB">
              <w:rPr>
                <w:vertAlign w:val="superscript"/>
                <w:lang w:val="lv-LV"/>
              </w:rPr>
              <w:t>6</w:t>
            </w:r>
            <w:r w:rsidR="00513A3E" w:rsidRPr="008961BB">
              <w:rPr>
                <w:lang w:val="lv-LV"/>
              </w:rPr>
              <w:t xml:space="preserve"> pantā ir noteikts, ka </w:t>
            </w:r>
            <w:r w:rsidR="0027153D" w:rsidRPr="008961BB">
              <w:rPr>
                <w:lang w:val="lv-LV"/>
              </w:rPr>
              <w:t xml:space="preserve"> </w:t>
            </w:r>
            <w:r w:rsidR="00513A3E" w:rsidRPr="008961BB">
              <w:rPr>
                <w:lang w:val="lv-LV"/>
              </w:rPr>
              <w:t>p</w:t>
            </w:r>
            <w:r w:rsidR="0027153D" w:rsidRPr="008961BB">
              <w:rPr>
                <w:lang w:val="lv-LV"/>
              </w:rPr>
              <w:t xml:space="preserve">ar normatīvajos aktos noteikto grāmatvedības kārtošanas nosacījumu neievērošanu, gada pārskatu, </w:t>
            </w:r>
            <w:r w:rsidR="0027153D" w:rsidRPr="008961BB">
              <w:rPr>
                <w:i/>
                <w:lang w:val="lv-LV"/>
              </w:rPr>
              <w:t>statistikas pārskatu vai statistiskās informācijas</w:t>
            </w:r>
            <w:r w:rsidR="0027153D" w:rsidRPr="008961BB">
              <w:rPr>
                <w:lang w:val="lv-LV"/>
              </w:rPr>
              <w:t xml:space="preserve"> neiesniegšanu attiecīgajos normatīvajos aktos noteiktajos termiņos vai nepilnīgu iesniegšanu attiecīgajām valsts institūcijām —</w:t>
            </w:r>
            <w:r w:rsidR="00904543" w:rsidRPr="008961BB">
              <w:rPr>
                <w:lang w:val="lv-LV"/>
              </w:rPr>
              <w:t xml:space="preserve"> </w:t>
            </w:r>
            <w:r w:rsidR="0027153D" w:rsidRPr="008961BB">
              <w:rPr>
                <w:lang w:val="lv-LV"/>
              </w:rPr>
              <w:t>uzliek naudas sodu fiziskajām personām vai valdes loceklim no piecdesmit līdz trīssimt latiem, atņemot valdes loceklim tiesības ieņemt noteiktus amatus komercsabiedrībās vai bez tā.</w:t>
            </w:r>
          </w:p>
          <w:p w:rsidR="00D80CAB" w:rsidRPr="008961BB" w:rsidRDefault="00D80CAB" w:rsidP="00D80CAB">
            <w:pPr>
              <w:jc w:val="both"/>
              <w:rPr>
                <w:lang w:val="lv-LV"/>
              </w:rPr>
            </w:pPr>
          </w:p>
          <w:p w:rsidR="00D80CAB" w:rsidRPr="008961BB" w:rsidRDefault="00D80CAB" w:rsidP="00D80CAB">
            <w:pPr>
              <w:jc w:val="both"/>
              <w:rPr>
                <w:lang w:val="lv-LV"/>
              </w:rPr>
            </w:pPr>
            <w:r w:rsidRPr="008961BB">
              <w:rPr>
                <w:lang w:val="lv-LV"/>
              </w:rPr>
              <w:t>Pamatojoties uz LAPK 166.</w:t>
            </w:r>
            <w:r w:rsidRPr="008961BB">
              <w:rPr>
                <w:vertAlign w:val="superscript"/>
                <w:lang w:val="lv-LV"/>
              </w:rPr>
              <w:t>6</w:t>
            </w:r>
            <w:r w:rsidRPr="008961BB">
              <w:rPr>
                <w:lang w:val="lv-LV"/>
              </w:rPr>
              <w:t xml:space="preserve"> pantu Centrālā statistikas pārvalde (turpmāk –CSP) </w:t>
            </w:r>
            <w:r w:rsidR="003A505E" w:rsidRPr="008961BB">
              <w:rPr>
                <w:lang w:val="lv-LV"/>
              </w:rPr>
              <w:t>izskata administratīvo pārkāpumu lietas (izņemot lietas par pārkāpumiem tajos gadījumos, kad kontroli vai uzraudzību veikušas citas institūcijas amatpersonas) un piemēro</w:t>
            </w:r>
            <w:r w:rsidRPr="008961BB">
              <w:rPr>
                <w:lang w:val="lv-LV"/>
              </w:rPr>
              <w:t xml:space="preserve"> administratīvos sodus personām, kuras noteiktajā termiņā neiesniedz vai iesniedz nepilnīgi datus statistikas nodrošināšanai</w:t>
            </w:r>
            <w:r w:rsidR="003A505E" w:rsidRPr="008961BB">
              <w:rPr>
                <w:lang w:val="lv-LV"/>
              </w:rPr>
              <w:t>.</w:t>
            </w:r>
          </w:p>
          <w:p w:rsidR="00D80CAB" w:rsidRPr="008961BB" w:rsidRDefault="00D80CAB" w:rsidP="00D80CAB">
            <w:pPr>
              <w:jc w:val="both"/>
              <w:rPr>
                <w:lang w:val="lv-LV"/>
              </w:rPr>
            </w:pPr>
          </w:p>
          <w:p w:rsidR="00D80CAB" w:rsidRPr="008961BB" w:rsidRDefault="00D80CAB" w:rsidP="00D80CAB">
            <w:pPr>
              <w:jc w:val="both"/>
              <w:rPr>
                <w:lang w:val="lv-LV"/>
              </w:rPr>
            </w:pPr>
            <w:r w:rsidRPr="008961BB">
              <w:rPr>
                <w:lang w:val="lv-LV"/>
              </w:rPr>
              <w:t>LAPK 166.</w:t>
            </w:r>
            <w:r w:rsidRPr="008961BB">
              <w:rPr>
                <w:vertAlign w:val="superscript"/>
                <w:lang w:val="lv-LV"/>
              </w:rPr>
              <w:t>6</w:t>
            </w:r>
            <w:r w:rsidRPr="008961BB">
              <w:rPr>
                <w:lang w:val="lv-LV"/>
              </w:rPr>
              <w:t xml:space="preserve"> pantu personu saukšanai pie administratīvās atbildības izmanto arī Korupcijas novēršanas un apkarošanas birojs, Valsts i</w:t>
            </w:r>
            <w:r w:rsidR="00BD132F" w:rsidRPr="008961BB">
              <w:rPr>
                <w:lang w:val="lv-LV"/>
              </w:rPr>
              <w:t>eņēmumu dienests un Valsts kase. Tomēr iepriekšminētās institūcijas nepiemēro  LAPK 166.</w:t>
            </w:r>
            <w:r w:rsidR="00BD132F" w:rsidRPr="008961BB">
              <w:rPr>
                <w:vertAlign w:val="superscript"/>
                <w:lang w:val="lv-LV"/>
              </w:rPr>
              <w:t>6</w:t>
            </w:r>
            <w:r w:rsidR="00BD132F" w:rsidRPr="008961BB">
              <w:rPr>
                <w:lang w:val="lv-LV"/>
              </w:rPr>
              <w:t xml:space="preserve"> pantu par pārkāpumiem, kas saistīti ar </w:t>
            </w:r>
            <w:r w:rsidR="00BD132F" w:rsidRPr="008961BB">
              <w:rPr>
                <w:i/>
                <w:lang w:val="lv-LV"/>
              </w:rPr>
              <w:t>statistikas pārskatu vai statistiskās informācijas</w:t>
            </w:r>
            <w:r w:rsidR="00BD132F" w:rsidRPr="008961BB">
              <w:rPr>
                <w:lang w:val="lv-LV"/>
              </w:rPr>
              <w:t xml:space="preserve"> neiesniegšanu.</w:t>
            </w:r>
          </w:p>
          <w:p w:rsidR="00D80CAB" w:rsidRPr="008961BB" w:rsidRDefault="00D80CAB" w:rsidP="00D80CAB">
            <w:pPr>
              <w:jc w:val="both"/>
              <w:rPr>
                <w:lang w:val="lv-LV"/>
              </w:rPr>
            </w:pPr>
          </w:p>
          <w:p w:rsidR="00904543" w:rsidRPr="008961BB" w:rsidRDefault="00B82568" w:rsidP="006D628F">
            <w:pPr>
              <w:jc w:val="both"/>
              <w:rPr>
                <w:lang w:val="lv-LV"/>
              </w:rPr>
            </w:pPr>
            <w:r w:rsidRPr="008961BB">
              <w:rPr>
                <w:lang w:val="lv-LV"/>
              </w:rPr>
              <w:t>LAPK 166.</w:t>
            </w:r>
            <w:r w:rsidRPr="008961BB">
              <w:rPr>
                <w:vertAlign w:val="superscript"/>
                <w:lang w:val="lv-LV"/>
              </w:rPr>
              <w:t xml:space="preserve">6 </w:t>
            </w:r>
            <w:r w:rsidRPr="008961BB">
              <w:rPr>
                <w:lang w:val="lv-LV"/>
              </w:rPr>
              <w:t>pantā ietvertais regulējums aptver gan pārkāpumus komercdarb</w:t>
            </w:r>
            <w:r w:rsidR="006D628F" w:rsidRPr="008961BB">
              <w:rPr>
                <w:lang w:val="lv-LV"/>
              </w:rPr>
              <w:t>ības jomā, gan statistikas jomā, tomēr  LAPK 166.</w:t>
            </w:r>
            <w:r w:rsidR="006D628F" w:rsidRPr="008961BB">
              <w:rPr>
                <w:vertAlign w:val="superscript"/>
                <w:lang w:val="lv-LV"/>
              </w:rPr>
              <w:t xml:space="preserve">6 </w:t>
            </w:r>
            <w:r w:rsidR="006D628F" w:rsidRPr="008961BB">
              <w:rPr>
                <w:lang w:val="lv-LV"/>
              </w:rPr>
              <w:t xml:space="preserve">pants ir iekļauts LAPK divpadsmitajā "a" nodaļā „Administratīvie pārkāpumi komercdarbībā”.  Statistikas joma nepārklājas ar komercdarbības jomu, jo statistika tiek gatavota ne tikai par komercdarbības jomu. </w:t>
            </w:r>
            <w:r w:rsidR="00D80CAB" w:rsidRPr="008961BB">
              <w:rPr>
                <w:lang w:val="lv-LV"/>
              </w:rPr>
              <w:t>D</w:t>
            </w:r>
            <w:r w:rsidR="006D628F" w:rsidRPr="008961BB">
              <w:rPr>
                <w:lang w:val="lv-LV"/>
              </w:rPr>
              <w:t>ati statistikas</w:t>
            </w:r>
            <w:r w:rsidR="00C65D01" w:rsidRPr="008961BB">
              <w:rPr>
                <w:lang w:val="lv-LV"/>
              </w:rPr>
              <w:t xml:space="preserve"> nodrošināšanai tiek pieprasīti</w:t>
            </w:r>
            <w:r w:rsidR="006D628F" w:rsidRPr="008961BB">
              <w:rPr>
                <w:lang w:val="lv-LV"/>
              </w:rPr>
              <w:t xml:space="preserve"> </w:t>
            </w:r>
            <w:r w:rsidR="00D80CAB" w:rsidRPr="008961BB">
              <w:rPr>
                <w:lang w:val="lv-LV"/>
              </w:rPr>
              <w:t xml:space="preserve">arī </w:t>
            </w:r>
            <w:r w:rsidR="006D628F" w:rsidRPr="008961BB">
              <w:rPr>
                <w:lang w:val="lv-LV"/>
              </w:rPr>
              <w:t>no personām, kas nav saistītas ar komercdarbību.</w:t>
            </w:r>
            <w:r w:rsidR="00CB3959" w:rsidRPr="008961BB">
              <w:rPr>
                <w:lang w:val="lv-LV"/>
              </w:rPr>
              <w:t xml:space="preserve"> </w:t>
            </w:r>
            <w:r w:rsidR="00D80CAB" w:rsidRPr="008961BB">
              <w:rPr>
                <w:lang w:val="lv-LV"/>
              </w:rPr>
              <w:t>LAPK 166.</w:t>
            </w:r>
            <w:r w:rsidR="00D80CAB" w:rsidRPr="008961BB">
              <w:rPr>
                <w:vertAlign w:val="superscript"/>
                <w:lang w:val="lv-LV"/>
              </w:rPr>
              <w:t xml:space="preserve">6 </w:t>
            </w:r>
            <w:r w:rsidR="00D80CAB" w:rsidRPr="008961BB">
              <w:rPr>
                <w:lang w:val="lv-LV"/>
              </w:rPr>
              <w:t>pantā atrašanās iepriekšminētajā LAPK sadaļā rada pretrunas ar faktisko situāciju attiecībā pret kādām personām LAPK 166.</w:t>
            </w:r>
            <w:r w:rsidR="00D80CAB" w:rsidRPr="008961BB">
              <w:rPr>
                <w:vertAlign w:val="superscript"/>
                <w:lang w:val="lv-LV"/>
              </w:rPr>
              <w:t xml:space="preserve">6 </w:t>
            </w:r>
            <w:r w:rsidR="00C73573" w:rsidRPr="008961BB">
              <w:rPr>
                <w:lang w:val="lv-LV"/>
              </w:rPr>
              <w:t xml:space="preserve">pantā ietvertās sankcijas </w:t>
            </w:r>
            <w:r w:rsidR="00D80CAB" w:rsidRPr="008961BB">
              <w:rPr>
                <w:lang w:val="lv-LV"/>
              </w:rPr>
              <w:t>var piemērot.</w:t>
            </w:r>
          </w:p>
          <w:p w:rsidR="006A71DB" w:rsidRPr="008961BB" w:rsidRDefault="006A71DB" w:rsidP="006D628F">
            <w:pPr>
              <w:jc w:val="both"/>
              <w:rPr>
                <w:lang w:val="lv-LV"/>
              </w:rPr>
            </w:pPr>
          </w:p>
          <w:p w:rsidR="00FB4524" w:rsidRPr="008961BB" w:rsidRDefault="00FB4524" w:rsidP="00FB4524">
            <w:pPr>
              <w:jc w:val="both"/>
              <w:rPr>
                <w:lang w:val="lv-LV"/>
              </w:rPr>
            </w:pPr>
            <w:r w:rsidRPr="008961BB">
              <w:rPr>
                <w:lang w:val="lv-LV"/>
              </w:rPr>
              <w:t>Redakcijā, kas bija spēkā līdz</w:t>
            </w:r>
            <w:r w:rsidR="00322BFF" w:rsidRPr="008961BB">
              <w:rPr>
                <w:lang w:val="lv-LV"/>
              </w:rPr>
              <w:t xml:space="preserve"> 29.11.2012. likuma "Grozījumi Latvijas Administratīvo pārkāpumu kodeksā" spēkā stāšanās</w:t>
            </w:r>
            <w:r w:rsidR="0073665C" w:rsidRPr="008961BB">
              <w:rPr>
                <w:lang w:val="lv-LV"/>
              </w:rPr>
              <w:t xml:space="preserve"> brīdim</w:t>
            </w:r>
            <w:r w:rsidRPr="008961BB">
              <w:rPr>
                <w:lang w:val="lv-LV"/>
              </w:rPr>
              <w:t>, LAPK 166.</w:t>
            </w:r>
            <w:r w:rsidRPr="008961BB">
              <w:rPr>
                <w:vertAlign w:val="superscript"/>
                <w:lang w:val="lv-LV"/>
              </w:rPr>
              <w:t>6</w:t>
            </w:r>
            <w:r w:rsidRPr="008961BB">
              <w:rPr>
                <w:lang w:val="lv-LV"/>
              </w:rPr>
              <w:t xml:space="preserve"> pantā ietvertā sankcija paredzēja soda piemērošanu juridiskajām personām. Likumdevējs pēc CSP iniciatīvas LAPK 166.</w:t>
            </w:r>
            <w:r w:rsidRPr="008961BB">
              <w:rPr>
                <w:vertAlign w:val="superscript"/>
                <w:lang w:val="lv-LV"/>
              </w:rPr>
              <w:t>6</w:t>
            </w:r>
            <w:r w:rsidRPr="008961BB">
              <w:rPr>
                <w:lang w:val="lv-LV"/>
              </w:rPr>
              <w:t xml:space="preserve"> pantā administratīvo atbildību juridiskajām personām par </w:t>
            </w:r>
            <w:r w:rsidR="00C65D01" w:rsidRPr="008961BB">
              <w:rPr>
                <w:lang w:val="lv-LV"/>
              </w:rPr>
              <w:t xml:space="preserve">statistikas nodrošināšanai nepieciešamo datu iesniegšanas kārtības pārkāpumiem bija </w:t>
            </w:r>
            <w:r w:rsidRPr="008961BB">
              <w:rPr>
                <w:lang w:val="lv-LV"/>
              </w:rPr>
              <w:t>noteicis ar 17.05.2007. likumu "Grozījumi Latvijas Administratīvo pārkāpumu kodeksā".</w:t>
            </w:r>
          </w:p>
          <w:p w:rsidR="00C6127A" w:rsidRPr="008961BB" w:rsidRDefault="00C6127A" w:rsidP="00CB3959">
            <w:pPr>
              <w:jc w:val="both"/>
              <w:rPr>
                <w:lang w:val="lv-LV"/>
              </w:rPr>
            </w:pPr>
          </w:p>
          <w:p w:rsidR="00C73573" w:rsidRPr="008961BB" w:rsidRDefault="00FB4524" w:rsidP="00CB3959">
            <w:pPr>
              <w:jc w:val="both"/>
              <w:rPr>
                <w:lang w:val="lv-LV" w:eastAsia="lv-LV"/>
              </w:rPr>
            </w:pPr>
            <w:r w:rsidRPr="008961BB">
              <w:rPr>
                <w:lang w:val="lv-LV"/>
              </w:rPr>
              <w:t xml:space="preserve">29.11.2012. likums "Grozījumi Latvijas Administratīvo pārkāpumu </w:t>
            </w:r>
            <w:r w:rsidRPr="008961BB">
              <w:rPr>
                <w:lang w:val="lv-LV"/>
              </w:rPr>
              <w:lastRenderedPageBreak/>
              <w:t>kodeksā"</w:t>
            </w:r>
            <w:r w:rsidR="006D628F" w:rsidRPr="008961BB">
              <w:rPr>
                <w:lang w:val="lv-LV"/>
              </w:rPr>
              <w:t xml:space="preserve"> tika </w:t>
            </w:r>
            <w:r w:rsidR="0073665C" w:rsidRPr="008961BB">
              <w:rPr>
                <w:lang w:val="lv-LV"/>
              </w:rPr>
              <w:t>izstrādāts</w:t>
            </w:r>
            <w:r w:rsidR="00CB3959" w:rsidRPr="008961BB">
              <w:rPr>
                <w:lang w:val="lv-LV"/>
              </w:rPr>
              <w:t>,</w:t>
            </w:r>
            <w:r w:rsidR="006D628F" w:rsidRPr="008961BB">
              <w:rPr>
                <w:lang w:val="lv-LV"/>
              </w:rPr>
              <w:t xml:space="preserve"> </w:t>
            </w:r>
            <w:r w:rsidR="00CB3959" w:rsidRPr="008961BB">
              <w:rPr>
                <w:lang w:val="lv-LV"/>
              </w:rPr>
              <w:t xml:space="preserve">izpildot </w:t>
            </w:r>
            <w:r w:rsidR="006D628F" w:rsidRPr="008961BB">
              <w:rPr>
                <w:lang w:val="lv-LV" w:eastAsia="lv-LV"/>
              </w:rPr>
              <w:t xml:space="preserve">Ministru kabineta 2010.gada 30.marta sēdē </w:t>
            </w:r>
            <w:r w:rsidR="00CB3959" w:rsidRPr="008961BB">
              <w:rPr>
                <w:lang w:val="lv-LV" w:eastAsia="lv-LV"/>
              </w:rPr>
              <w:t>apstiprinātajam informatīvajam ziņojumam</w:t>
            </w:r>
            <w:r w:rsidR="006D628F" w:rsidRPr="008961BB">
              <w:rPr>
                <w:lang w:val="lv-LV" w:eastAsia="lv-LV"/>
              </w:rPr>
              <w:t xml:space="preserve"> „Par atbildības regulējumu un sodu politiku komerctiesībās” </w:t>
            </w:r>
            <w:r w:rsidR="00CB3959" w:rsidRPr="008961BB">
              <w:rPr>
                <w:lang w:val="lv-LV" w:eastAsia="lv-LV"/>
              </w:rPr>
              <w:t xml:space="preserve"> pievienoto</w:t>
            </w:r>
            <w:r w:rsidR="006D628F" w:rsidRPr="008961BB">
              <w:rPr>
                <w:lang w:val="lv-LV" w:eastAsia="lv-LV"/>
              </w:rPr>
              <w:t xml:space="preserve"> Minist</w:t>
            </w:r>
            <w:r w:rsidR="00CB3959" w:rsidRPr="008961BB">
              <w:rPr>
                <w:lang w:val="lv-LV" w:eastAsia="lv-LV"/>
              </w:rPr>
              <w:t xml:space="preserve">ru kabineta sēdes </w:t>
            </w:r>
            <w:proofErr w:type="spellStart"/>
            <w:r w:rsidR="00CB3959" w:rsidRPr="008961BB">
              <w:rPr>
                <w:lang w:val="lv-LV" w:eastAsia="lv-LV"/>
              </w:rPr>
              <w:t>protokollēmumu</w:t>
            </w:r>
            <w:proofErr w:type="spellEnd"/>
            <w:r w:rsidR="006D628F" w:rsidRPr="008961BB">
              <w:rPr>
                <w:lang w:val="lv-LV" w:eastAsia="lv-LV"/>
              </w:rPr>
              <w:t xml:space="preserve"> (</w:t>
            </w:r>
            <w:proofErr w:type="spellStart"/>
            <w:r w:rsidR="006D628F" w:rsidRPr="008961BB">
              <w:rPr>
                <w:lang w:val="lv-LV" w:eastAsia="lv-LV"/>
              </w:rPr>
              <w:t>sk</w:t>
            </w:r>
            <w:proofErr w:type="spellEnd"/>
            <w:r w:rsidR="006D628F" w:rsidRPr="008961BB">
              <w:rPr>
                <w:lang w:val="lv-LV" w:eastAsia="lv-LV"/>
              </w:rPr>
              <w:t xml:space="preserve">. Ministru kabineta 2010.gada 30.marta sēdes protokola </w:t>
            </w:r>
            <w:proofErr w:type="spellStart"/>
            <w:r w:rsidR="006D628F" w:rsidRPr="008961BB">
              <w:rPr>
                <w:lang w:val="lv-LV" w:eastAsia="lv-LV"/>
              </w:rPr>
              <w:t>Nr</w:t>
            </w:r>
            <w:proofErr w:type="spellEnd"/>
            <w:r w:rsidR="006D628F" w:rsidRPr="008961BB">
              <w:rPr>
                <w:lang w:val="lv-LV" w:eastAsia="lv-LV"/>
              </w:rPr>
              <w:t>. 16 47.§), kas paredz</w:t>
            </w:r>
            <w:r w:rsidR="00CB3959" w:rsidRPr="008961BB">
              <w:rPr>
                <w:lang w:val="lv-LV" w:eastAsia="lv-LV"/>
              </w:rPr>
              <w:t>ēja</w:t>
            </w:r>
            <w:r w:rsidR="006D628F" w:rsidRPr="008961BB">
              <w:rPr>
                <w:lang w:val="lv-LV" w:eastAsia="lv-LV"/>
              </w:rPr>
              <w:t xml:space="preserve"> risināt problēmas saistībā ar sodu politikas regulējumu komerctiesībās, paaugstināt trešo personu aizsardzību un komersantu atbildības pakāpi, kā arī piedāvā</w:t>
            </w:r>
            <w:r w:rsidR="00CB3959" w:rsidRPr="008961BB">
              <w:rPr>
                <w:lang w:val="lv-LV" w:eastAsia="lv-LV"/>
              </w:rPr>
              <w:t>ja</w:t>
            </w:r>
            <w:r w:rsidR="006D628F" w:rsidRPr="008961BB">
              <w:rPr>
                <w:lang w:val="lv-LV" w:eastAsia="lv-LV"/>
              </w:rPr>
              <w:t xml:space="preserve"> risinājumu neefektīvas sodu politikas komerctiesībās uzlabošanai.</w:t>
            </w:r>
            <w:r w:rsidR="00C73573" w:rsidRPr="008961BB">
              <w:rPr>
                <w:lang w:val="lv-LV" w:eastAsia="lv-LV"/>
              </w:rPr>
              <w:t xml:space="preserve"> </w:t>
            </w:r>
            <w:r w:rsidR="00C02762" w:rsidRPr="008961BB">
              <w:rPr>
                <w:lang w:val="lv-LV" w:eastAsia="lv-LV"/>
              </w:rPr>
              <w:t xml:space="preserve">Ministru kabineta 2010.gada 30.marta sēdes protokola Nr.16 47§ 9.punkts paredzēja iesniegt nepieciešamos grozījumus </w:t>
            </w:r>
            <w:r w:rsidR="00C65D01" w:rsidRPr="008961BB">
              <w:rPr>
                <w:lang w:val="lv-LV" w:eastAsia="lv-LV"/>
              </w:rPr>
              <w:t>LAPK</w:t>
            </w:r>
            <w:r w:rsidR="00C02762" w:rsidRPr="008961BB">
              <w:rPr>
                <w:lang w:val="lv-LV" w:eastAsia="lv-LV"/>
              </w:rPr>
              <w:t>, kas paredzētu paplašināt Valsts ieņēmumu dienesta kompetenci ar tiesībām piemērot personai sodu „tiesību atņemšana uz visu veidu komercdarbību” vai „tiesību atņemšana ieņemt noteiktus amatus”.</w:t>
            </w:r>
          </w:p>
          <w:p w:rsidR="00C73573" w:rsidRPr="008961BB" w:rsidRDefault="00C73573" w:rsidP="00CB3959">
            <w:pPr>
              <w:jc w:val="both"/>
              <w:rPr>
                <w:lang w:val="lv-LV" w:eastAsia="lv-LV"/>
              </w:rPr>
            </w:pPr>
          </w:p>
          <w:p w:rsidR="006D628F" w:rsidRPr="008961BB" w:rsidRDefault="0073665C" w:rsidP="006D628F">
            <w:pPr>
              <w:jc w:val="both"/>
              <w:rPr>
                <w:lang w:val="lv-LV"/>
              </w:rPr>
            </w:pPr>
            <w:r w:rsidRPr="008961BB">
              <w:rPr>
                <w:lang w:val="lv-LV"/>
              </w:rPr>
              <w:t xml:space="preserve">29.11.2012. likums "Grozījumi Latvijas Administratīvo pārkāpumu kodeksā" </w:t>
            </w:r>
            <w:r w:rsidR="0073630F" w:rsidRPr="008961BB">
              <w:rPr>
                <w:lang w:val="lv-LV"/>
              </w:rPr>
              <w:t xml:space="preserve">novērsa Valsts ieņēmuma dienesta darbībā identificētās </w:t>
            </w:r>
            <w:r w:rsidR="00CB3959" w:rsidRPr="008961BB">
              <w:rPr>
                <w:lang w:val="lv-LV"/>
              </w:rPr>
              <w:t xml:space="preserve">problēmas </w:t>
            </w:r>
            <w:r w:rsidR="00CB3959" w:rsidRPr="008961BB">
              <w:rPr>
                <w:lang w:val="lv-LV" w:eastAsia="lv-LV"/>
              </w:rPr>
              <w:t>neefektīvas sodu politikas komerctiesībās uzlabošanai,</w:t>
            </w:r>
            <w:r w:rsidR="0073630F" w:rsidRPr="008961BB">
              <w:rPr>
                <w:lang w:val="lv-LV" w:eastAsia="lv-LV"/>
              </w:rPr>
              <w:t xml:space="preserve"> </w:t>
            </w:r>
            <w:r w:rsidR="00CB3959" w:rsidRPr="008961BB">
              <w:rPr>
                <w:lang w:val="lv-LV" w:eastAsia="lv-LV"/>
              </w:rPr>
              <w:t xml:space="preserve">bet </w:t>
            </w:r>
            <w:r w:rsidR="0073630F" w:rsidRPr="008961BB">
              <w:rPr>
                <w:lang w:val="lv-LV" w:eastAsia="lv-LV"/>
              </w:rPr>
              <w:t>tajā pašā laikā radīja problēmas</w:t>
            </w:r>
            <w:r w:rsidR="00CB3959" w:rsidRPr="008961BB">
              <w:rPr>
                <w:lang w:val="lv-LV" w:eastAsia="lv-LV"/>
              </w:rPr>
              <w:t xml:space="preserve"> CSP </w:t>
            </w:r>
            <w:r w:rsidR="0073630F" w:rsidRPr="008961BB">
              <w:rPr>
                <w:lang w:val="lv-LV" w:eastAsia="lv-LV"/>
              </w:rPr>
              <w:t xml:space="preserve">spējā ietekmēt </w:t>
            </w:r>
            <w:r w:rsidR="00C73573" w:rsidRPr="008961BB">
              <w:rPr>
                <w:lang w:val="lv-LV" w:eastAsia="lv-LV"/>
              </w:rPr>
              <w:t xml:space="preserve">juridiskās </w:t>
            </w:r>
            <w:r w:rsidR="0073630F" w:rsidRPr="008961BB">
              <w:rPr>
                <w:lang w:val="lv-LV" w:eastAsia="lv-LV"/>
              </w:rPr>
              <w:t>personas sniegt datus statistikas nodrošināšanai</w:t>
            </w:r>
            <w:r w:rsidR="00C73573" w:rsidRPr="008961BB">
              <w:rPr>
                <w:lang w:val="lv-LV" w:eastAsia="lv-LV"/>
              </w:rPr>
              <w:t>, jo no</w:t>
            </w:r>
            <w:r w:rsidR="00C6127A" w:rsidRPr="008961BB">
              <w:rPr>
                <w:lang w:val="lv-LV" w:eastAsia="lv-LV"/>
              </w:rPr>
              <w:t xml:space="preserve"> </w:t>
            </w:r>
            <w:r w:rsidR="00C73573" w:rsidRPr="008961BB">
              <w:rPr>
                <w:lang w:val="lv-LV"/>
              </w:rPr>
              <w:t>LAPK 166.</w:t>
            </w:r>
            <w:r w:rsidR="00C73573" w:rsidRPr="008961BB">
              <w:rPr>
                <w:vertAlign w:val="superscript"/>
                <w:lang w:val="lv-LV"/>
              </w:rPr>
              <w:t>6</w:t>
            </w:r>
            <w:r w:rsidR="00C73573" w:rsidRPr="008961BB">
              <w:rPr>
                <w:lang w:val="lv-LV"/>
              </w:rPr>
              <w:t xml:space="preserve"> panta tika izslēgta juridiskajām personām atbildība par </w:t>
            </w:r>
            <w:r w:rsidR="00C65D01" w:rsidRPr="008961BB">
              <w:rPr>
                <w:lang w:val="lv-LV"/>
              </w:rPr>
              <w:t>statistikas nodrošināšanai nepieciešamo datu iesniegšanas kārtības pārkāpumiem</w:t>
            </w:r>
            <w:r w:rsidR="00C02762" w:rsidRPr="008961BB">
              <w:rPr>
                <w:lang w:val="lv-LV"/>
              </w:rPr>
              <w:t>.</w:t>
            </w:r>
          </w:p>
          <w:p w:rsidR="00542291" w:rsidRPr="008961BB" w:rsidRDefault="00542291" w:rsidP="006D628F">
            <w:pPr>
              <w:jc w:val="both"/>
              <w:rPr>
                <w:lang w:val="lv-LV"/>
              </w:rPr>
            </w:pPr>
          </w:p>
          <w:p w:rsidR="00542291" w:rsidRPr="008961BB" w:rsidRDefault="0073665C" w:rsidP="006D628F">
            <w:pPr>
              <w:jc w:val="both"/>
              <w:rPr>
                <w:lang w:val="lv-LV"/>
              </w:rPr>
            </w:pPr>
            <w:r w:rsidRPr="008961BB">
              <w:rPr>
                <w:lang w:val="lv-LV"/>
              </w:rPr>
              <w:t>Ar 29.11.2012. likumu "Grozījumi Latvijas Administratīvo pārkāpumu kodeksā" LAPK 166.</w:t>
            </w:r>
            <w:r w:rsidRPr="008961BB">
              <w:rPr>
                <w:vertAlign w:val="superscript"/>
                <w:lang w:val="lv-LV"/>
              </w:rPr>
              <w:t>6</w:t>
            </w:r>
            <w:r w:rsidRPr="008961BB">
              <w:rPr>
                <w:lang w:val="lv-LV"/>
              </w:rPr>
              <w:t xml:space="preserve"> pantā</w:t>
            </w:r>
            <w:r w:rsidR="00542291" w:rsidRPr="008961BB">
              <w:rPr>
                <w:lang w:val="lv-LV"/>
              </w:rPr>
              <w:t>, juridisko personu atbildības vietā</w:t>
            </w:r>
            <w:r w:rsidRPr="008961BB">
              <w:rPr>
                <w:lang w:val="lv-LV"/>
              </w:rPr>
              <w:t xml:space="preserve"> likumdevējs</w:t>
            </w:r>
            <w:r w:rsidR="00542291" w:rsidRPr="008961BB">
              <w:rPr>
                <w:lang w:val="lv-LV"/>
              </w:rPr>
              <w:t xml:space="preserve"> </w:t>
            </w:r>
            <w:r w:rsidR="00C02762" w:rsidRPr="008961BB">
              <w:rPr>
                <w:lang w:val="lv-LV"/>
              </w:rPr>
              <w:t xml:space="preserve">atbilstoši Valsts ieņēmuma dienesta nepieciešamībai </w:t>
            </w:r>
            <w:r w:rsidR="002806AA" w:rsidRPr="008961BB">
              <w:rPr>
                <w:lang w:val="lv-LV"/>
              </w:rPr>
              <w:t>noteica</w:t>
            </w:r>
            <w:r w:rsidR="00542291" w:rsidRPr="008961BB">
              <w:rPr>
                <w:lang w:val="lv-LV"/>
              </w:rPr>
              <w:t xml:space="preserve"> atbildību valdes loceklim</w:t>
            </w:r>
            <w:r w:rsidR="00D8547F" w:rsidRPr="008961BB">
              <w:rPr>
                <w:lang w:val="lv-LV"/>
              </w:rPr>
              <w:t xml:space="preserve">. </w:t>
            </w:r>
            <w:r w:rsidR="00C02762" w:rsidRPr="008961BB">
              <w:rPr>
                <w:lang w:val="lv-LV"/>
              </w:rPr>
              <w:t>V</w:t>
            </w:r>
            <w:r w:rsidR="00D8547F" w:rsidRPr="008961BB">
              <w:rPr>
                <w:lang w:val="lv-LV"/>
              </w:rPr>
              <w:t>aldes loceklim var piemērot naudas sodu, papildus</w:t>
            </w:r>
            <w:r w:rsidR="00542291" w:rsidRPr="008961BB">
              <w:rPr>
                <w:lang w:val="lv-LV"/>
              </w:rPr>
              <w:t xml:space="preserve"> atņemot tiesības ieņemt noteiktus amatus komercsabiedrībās vai bez tā.</w:t>
            </w:r>
          </w:p>
          <w:p w:rsidR="00542291" w:rsidRPr="008961BB" w:rsidRDefault="00542291" w:rsidP="006D628F">
            <w:pPr>
              <w:jc w:val="both"/>
              <w:rPr>
                <w:lang w:val="lv-LV"/>
              </w:rPr>
            </w:pPr>
          </w:p>
          <w:p w:rsidR="00CD509A" w:rsidRPr="008961BB" w:rsidRDefault="00542291" w:rsidP="00D80CAB">
            <w:pPr>
              <w:jc w:val="both"/>
              <w:rPr>
                <w:lang w:val="lv-LV"/>
              </w:rPr>
            </w:pPr>
            <w:r w:rsidRPr="008961BB">
              <w:rPr>
                <w:lang w:val="lv-LV"/>
              </w:rPr>
              <w:t>CSP ir svarīgi, ka pie administratīvās atbildības var saukt juridiskās personas, jo praksē ir pierādījies,</w:t>
            </w:r>
            <w:r w:rsidR="00D80CAB" w:rsidRPr="008961BB">
              <w:rPr>
                <w:lang w:val="lv-LV"/>
              </w:rPr>
              <w:t xml:space="preserve"> ka </w:t>
            </w:r>
            <w:r w:rsidRPr="008961BB">
              <w:rPr>
                <w:lang w:val="lv-LV"/>
              </w:rPr>
              <w:t xml:space="preserve">lēmumu pieņemšana pret valdes locekļiem </w:t>
            </w:r>
            <w:r w:rsidR="00D80CAB" w:rsidRPr="008961BB">
              <w:rPr>
                <w:lang w:val="lv-LV"/>
              </w:rPr>
              <w:t>ir ievērojami apgrūtināta vai pat neiespējama (piemēram, gadījumā, ja komercsabiedrības valdes locekļi ir perso</w:t>
            </w:r>
            <w:r w:rsidRPr="008961BB">
              <w:rPr>
                <w:lang w:val="lv-LV"/>
              </w:rPr>
              <w:t>nas bez noteiktas dzīvesvietas</w:t>
            </w:r>
            <w:r w:rsidR="0073665C" w:rsidRPr="008961BB">
              <w:rPr>
                <w:lang w:val="lv-LV"/>
              </w:rPr>
              <w:t xml:space="preserve"> vai dzīvesvieta ir ārvalstīs</w:t>
            </w:r>
            <w:r w:rsidRPr="008961BB">
              <w:rPr>
                <w:lang w:val="lv-LV"/>
              </w:rPr>
              <w:t>).</w:t>
            </w:r>
            <w:r w:rsidR="00CD509A" w:rsidRPr="008961BB">
              <w:rPr>
                <w:lang w:val="lv-LV"/>
              </w:rPr>
              <w:t xml:space="preserve"> Praksē ir pierādījies, ka statistikas nodrošināšanas jomā</w:t>
            </w:r>
            <w:r w:rsidR="00F27C7A" w:rsidRPr="008961BB">
              <w:rPr>
                <w:lang w:val="lv-LV"/>
              </w:rPr>
              <w:t>,</w:t>
            </w:r>
            <w:r w:rsidR="00CD509A" w:rsidRPr="008961BB">
              <w:rPr>
                <w:lang w:val="lv-LV"/>
              </w:rPr>
              <w:t xml:space="preserve"> visefektīvāk ir piemērot administratīvo atbildību par datu nesniegšanu tieši juridiskajām personām. </w:t>
            </w:r>
            <w:r w:rsidR="002806AA" w:rsidRPr="008961BB">
              <w:rPr>
                <w:lang w:val="lv-LV"/>
              </w:rPr>
              <w:t>Piemērot papildsodu, atņemt valdes loceklim tiesības ieņemt noteiktus amatus komercsabiedrībās, statistikas nodrošināšanas jomā CSP uzskata par nesamērīgu.</w:t>
            </w:r>
          </w:p>
          <w:p w:rsidR="006A71DB" w:rsidRPr="008961BB" w:rsidRDefault="006A71DB" w:rsidP="00D80CAB">
            <w:pPr>
              <w:jc w:val="both"/>
              <w:rPr>
                <w:lang w:val="lv-LV"/>
              </w:rPr>
            </w:pPr>
          </w:p>
          <w:p w:rsidR="00680924" w:rsidRPr="008961BB" w:rsidRDefault="007267C4" w:rsidP="00680924">
            <w:pPr>
              <w:jc w:val="both"/>
              <w:rPr>
                <w:lang w:val="lv-LV"/>
              </w:rPr>
            </w:pPr>
            <w:r w:rsidRPr="008961BB">
              <w:rPr>
                <w:lang w:val="lv-LV"/>
              </w:rPr>
              <w:t>Ir jānodrošina, ka</w:t>
            </w:r>
            <w:r w:rsidR="00680924" w:rsidRPr="008961BB">
              <w:rPr>
                <w:lang w:val="lv-LV"/>
              </w:rPr>
              <w:t xml:space="preserve"> sankcijas pret personām, kuras pārkāpj tiesisko regulējumu</w:t>
            </w:r>
            <w:r w:rsidR="00F32A0E">
              <w:rPr>
                <w:lang w:val="lv-LV"/>
              </w:rPr>
              <w:t xml:space="preserve"> </w:t>
            </w:r>
            <w:r w:rsidR="00680924" w:rsidRPr="008961BB">
              <w:rPr>
                <w:lang w:val="lv-LV"/>
              </w:rPr>
              <w:t xml:space="preserve"> statistikas jomā, var piemērot  atbilstoši praksē konstatētajai nepieciešamībai. Ņemot vērā statistikas jomas </w:t>
            </w:r>
            <w:proofErr w:type="spellStart"/>
            <w:r w:rsidR="00680924" w:rsidRPr="008961BB">
              <w:rPr>
                <w:lang w:val="lv-LV"/>
              </w:rPr>
              <w:t>visaptverību</w:t>
            </w:r>
            <w:proofErr w:type="spellEnd"/>
            <w:r w:rsidR="00680924" w:rsidRPr="008961BB">
              <w:rPr>
                <w:lang w:val="lv-LV"/>
              </w:rPr>
              <w:t>, ir svarīgi nodalīt pārkāpumus statistikas jomā, no pārkāpumiem citās jomās, lai mainot regulējumu citās jomās, netiktu skartas statistikas jomas intereses.</w:t>
            </w:r>
            <w:r w:rsidR="00D55431" w:rsidRPr="008961BB">
              <w:rPr>
                <w:lang w:val="lv-LV"/>
              </w:rPr>
              <w:t xml:space="preserve"> Līdz ar to no LAPK 166.</w:t>
            </w:r>
            <w:r w:rsidR="00D55431" w:rsidRPr="008961BB">
              <w:rPr>
                <w:vertAlign w:val="superscript"/>
                <w:lang w:val="lv-LV"/>
              </w:rPr>
              <w:t>6</w:t>
            </w:r>
            <w:r w:rsidR="00D55431" w:rsidRPr="008961BB">
              <w:rPr>
                <w:lang w:val="lv-LV"/>
              </w:rPr>
              <w:t xml:space="preserve"> panta paredzētā regulējuma ir jāizņem statistikas joma.</w:t>
            </w:r>
          </w:p>
          <w:p w:rsidR="00680924" w:rsidRPr="008961BB" w:rsidRDefault="00680924" w:rsidP="00D80CAB">
            <w:pPr>
              <w:jc w:val="both"/>
              <w:rPr>
                <w:lang w:val="lv-LV"/>
              </w:rPr>
            </w:pPr>
          </w:p>
          <w:p w:rsidR="006546A4" w:rsidRPr="008961BB" w:rsidRDefault="00422B8D" w:rsidP="00D82653">
            <w:pPr>
              <w:jc w:val="both"/>
              <w:rPr>
                <w:lang w:val="lv-LV"/>
              </w:rPr>
            </w:pPr>
            <w:r w:rsidRPr="008961BB">
              <w:rPr>
                <w:lang w:val="lv-LV"/>
              </w:rPr>
              <w:t xml:space="preserve">2. </w:t>
            </w:r>
            <w:r w:rsidR="006546A4" w:rsidRPr="008961BB">
              <w:rPr>
                <w:lang w:val="lv-LV"/>
              </w:rPr>
              <w:t>Valsts statistikas likuma</w:t>
            </w:r>
            <w:r w:rsidR="00CA0BD8" w:rsidRPr="008961BB">
              <w:rPr>
                <w:lang w:val="lv-LV"/>
              </w:rPr>
              <w:t xml:space="preserve"> (turpmāk –VSL) 18.pants nosaka:</w:t>
            </w:r>
          </w:p>
          <w:p w:rsidR="00CA0BD8" w:rsidRPr="008961BB" w:rsidRDefault="00CA0BD8" w:rsidP="00CA0BD8">
            <w:pPr>
              <w:pStyle w:val="naispant"/>
            </w:pPr>
            <w:bookmarkStart w:id="6" w:name="bkm12"/>
            <w:r w:rsidRPr="008961BB">
              <w:rPr>
                <w:b/>
                <w:bCs/>
              </w:rPr>
              <w:t>„18.pants. Valsts statistiskās informācijas izmantošana un statistiskā konfidencialitāte</w:t>
            </w:r>
          </w:p>
          <w:p w:rsidR="00CA0BD8" w:rsidRPr="008961BB" w:rsidRDefault="00CA0BD8" w:rsidP="00042789">
            <w:pPr>
              <w:pStyle w:val="naisf"/>
              <w:jc w:val="both"/>
            </w:pPr>
            <w:r w:rsidRPr="008961BB">
              <w:t>(1) Statistiskie dati uzskatāmi par konfidenciāliem, ja tie tieši vai netieši ļauj identificēt privātpersonas vai valsts institūcijas, par kurām sniegti individuālie statistiskie dati.</w:t>
            </w:r>
          </w:p>
          <w:p w:rsidR="00CA0BD8" w:rsidRPr="008961BB" w:rsidRDefault="00CA0BD8" w:rsidP="00042789">
            <w:pPr>
              <w:pStyle w:val="naisf"/>
              <w:jc w:val="both"/>
            </w:pPr>
            <w:r w:rsidRPr="008961BB">
              <w:t>(2) Konfidenciālos datus, kas vākti vienīgi statistiskiem nolūkiem, drīkst izmantot tikai kopsavilkumu izdarīšanai un datu grupēšanai, ekonomisko un sociālo parādību un procesu analīzei.</w:t>
            </w:r>
          </w:p>
          <w:p w:rsidR="00CA0BD8" w:rsidRPr="008961BB" w:rsidRDefault="00CA0BD8" w:rsidP="00042789">
            <w:pPr>
              <w:pStyle w:val="naisf"/>
              <w:jc w:val="both"/>
            </w:pPr>
            <w:r w:rsidRPr="008961BB">
              <w:t>(3) Centrālā statistikas pārvalde un citas valsts institūcijas, kas nodarbojas ar valsts statistiku, veic nepieciešamos administratīvos, tehniskos un organizatoriskos pasākumus individuālo statistisko datu konfidencialitātes nodrošināšanai, lai novērstu neatļautu piekļūšanu informācijai, tās sagrozīšanu vai izplatīšanu, nejaušu vai neatļautu iznīcināšanu.</w:t>
            </w:r>
          </w:p>
          <w:p w:rsidR="00CA0BD8" w:rsidRPr="008961BB" w:rsidRDefault="00CA0BD8" w:rsidP="00042789">
            <w:pPr>
              <w:pStyle w:val="naisf"/>
              <w:jc w:val="both"/>
            </w:pPr>
            <w:r w:rsidRPr="008961BB">
              <w:t>(4) Centrālās statistikas pārvaldes, kā arī citu valsts institūciju personām, kuras nodarbojas ar valsts statistiku, aizliegts izpaust par respondentiem jebkuru informāciju, kas kļuvusi tām zināma, pildot dienesta vai darba pienākumus. Šis noteikums attiecas arī uz personām, kuras uz laiku ir iesaistītas valsts statistiskās informācijas vākšanā un apkopošanā.”.</w:t>
            </w:r>
          </w:p>
          <w:p w:rsidR="00B72D24" w:rsidRPr="008961BB" w:rsidRDefault="00805E31" w:rsidP="00CA0BD8">
            <w:pPr>
              <w:jc w:val="both"/>
              <w:rPr>
                <w:lang w:val="lv-LV"/>
              </w:rPr>
            </w:pPr>
            <w:r w:rsidRPr="008961BB">
              <w:rPr>
                <w:lang w:val="lv-LV"/>
              </w:rPr>
              <w:t>Konfidenciālus statistiskos datus, kuri ir netieši identificējami, CSP nodod personām izmantošanai pētnieciskiem mērķiem.</w:t>
            </w:r>
            <w:r w:rsidR="00260307" w:rsidRPr="008961BB">
              <w:rPr>
                <w:lang w:val="lv-LV"/>
              </w:rPr>
              <w:t xml:space="preserve"> </w:t>
            </w:r>
          </w:p>
          <w:p w:rsidR="00ED4253" w:rsidRPr="008961BB" w:rsidRDefault="00ED4253" w:rsidP="00CA0BD8">
            <w:pPr>
              <w:jc w:val="both"/>
              <w:rPr>
                <w:lang w:val="lv-LV"/>
              </w:rPr>
            </w:pPr>
          </w:p>
          <w:bookmarkEnd w:id="6"/>
          <w:p w:rsidR="00260307" w:rsidRPr="008961BB" w:rsidRDefault="00CA0BD8" w:rsidP="00543790">
            <w:pPr>
              <w:jc w:val="both"/>
              <w:rPr>
                <w:lang w:val="lv-LV"/>
              </w:rPr>
            </w:pPr>
            <w:r w:rsidRPr="008961BB">
              <w:rPr>
                <w:lang w:val="lv-LV"/>
              </w:rPr>
              <w:t>Tā kā konfidenciālie</w:t>
            </w:r>
            <w:r w:rsidR="00805E31" w:rsidRPr="008961BB">
              <w:rPr>
                <w:lang w:val="lv-LV"/>
              </w:rPr>
              <w:t xml:space="preserve"> statistiskie</w:t>
            </w:r>
            <w:r w:rsidRPr="008961BB">
              <w:rPr>
                <w:lang w:val="lv-LV"/>
              </w:rPr>
              <w:t xml:space="preserve"> dati var vienlaicīgi būt arī fizisko personu dati, tad šajā aspektā atbildība</w:t>
            </w:r>
            <w:r w:rsidR="00805E31" w:rsidRPr="008961BB">
              <w:rPr>
                <w:lang w:val="lv-LV"/>
              </w:rPr>
              <w:t xml:space="preserve"> par to pretlikumīgu izpaušanu</w:t>
            </w:r>
            <w:r w:rsidRPr="008961BB">
              <w:rPr>
                <w:lang w:val="lv-LV"/>
              </w:rPr>
              <w:t xml:space="preserve"> pārklājas ar atbildību par fizisko personu datu nelikumīgu apstrādi. Taču </w:t>
            </w:r>
            <w:r w:rsidR="00805E31" w:rsidRPr="008961BB">
              <w:rPr>
                <w:lang w:val="lv-LV"/>
              </w:rPr>
              <w:t>konfidenciāli</w:t>
            </w:r>
            <w:r w:rsidRPr="008961BB">
              <w:rPr>
                <w:lang w:val="lv-LV"/>
              </w:rPr>
              <w:t xml:space="preserve"> statistiskie dati ir arī juridisko personu, valsts un pašvaldību iestāžu </w:t>
            </w:r>
            <w:proofErr w:type="spellStart"/>
            <w:r w:rsidRPr="008961BB">
              <w:rPr>
                <w:lang w:val="lv-LV"/>
              </w:rPr>
              <w:t>u.c</w:t>
            </w:r>
            <w:proofErr w:type="spellEnd"/>
            <w:r w:rsidRPr="008961BB">
              <w:rPr>
                <w:lang w:val="lv-LV"/>
              </w:rPr>
              <w:t>. respondentu individuālie dati, par kuru izpaušanu administratīvā atbildība nav paredzēta.</w:t>
            </w:r>
            <w:r w:rsidR="0097625B" w:rsidRPr="008961BB">
              <w:rPr>
                <w:lang w:val="lv-LV"/>
              </w:rPr>
              <w:t xml:space="preserve"> </w:t>
            </w:r>
            <w:r w:rsidR="00235438" w:rsidRPr="008961BB">
              <w:rPr>
                <w:lang w:val="lv-LV"/>
              </w:rPr>
              <w:t>Dubultās sodīšanas nepieļaujamības princips nosaka tiesības netikt atkārtoti tiesātam un sodītam par vienu un to pašu nodarījumu. Minētais princips aizliedz tiesāšanu un sodīšanu par otru nodarījumu, kas izceļas no tiem pašiem faktiem vai faktiem, kas pēc būtības ir tie paši. Tādējādi tiesību normu piemērotājam ir jāizvērtē, vai personas izdarītie nodarījumi izriet no vieniem un tiem pašiem faktiskajiem apstākļiem vai apstākļiem, kas pēc būtības ir vieni un tie paši. (</w:t>
            </w:r>
            <w:proofErr w:type="spellStart"/>
            <w:r w:rsidR="00235438" w:rsidRPr="008961BB">
              <w:rPr>
                <w:lang w:val="lv-LV"/>
              </w:rPr>
              <w:t>sk</w:t>
            </w:r>
            <w:proofErr w:type="spellEnd"/>
            <w:r w:rsidR="00235438" w:rsidRPr="008961BB">
              <w:rPr>
                <w:lang w:val="lv-LV"/>
              </w:rPr>
              <w:t xml:space="preserve">., piemēram, Augstākās tiesas Senāta Administratīvo lietu departamenta 2013. gada 11. janvāra spriedums lietā </w:t>
            </w:r>
            <w:proofErr w:type="spellStart"/>
            <w:r w:rsidR="00235438" w:rsidRPr="008961BB">
              <w:rPr>
                <w:lang w:val="lv-LV"/>
              </w:rPr>
              <w:t>Nr</w:t>
            </w:r>
            <w:proofErr w:type="spellEnd"/>
            <w:r w:rsidR="00235438" w:rsidRPr="008961BB">
              <w:rPr>
                <w:lang w:val="lv-LV"/>
              </w:rPr>
              <w:t>. A42539040</w:t>
            </w:r>
            <w:r w:rsidR="0087703E">
              <w:rPr>
                <w:lang w:val="lv-LV"/>
              </w:rPr>
              <w:t>7 SKA-15/2013 un 2010.gada 22.</w:t>
            </w:r>
            <w:r w:rsidR="00235438" w:rsidRPr="008961BB">
              <w:rPr>
                <w:lang w:val="lv-LV"/>
              </w:rPr>
              <w:t xml:space="preserve">novembra spriedums </w:t>
            </w:r>
            <w:r w:rsidR="00543790" w:rsidRPr="008961BB">
              <w:rPr>
                <w:lang w:val="lv-LV"/>
              </w:rPr>
              <w:t xml:space="preserve">lietā </w:t>
            </w:r>
            <w:proofErr w:type="spellStart"/>
            <w:r w:rsidR="00543790" w:rsidRPr="008961BB">
              <w:rPr>
                <w:lang w:val="lv-LV"/>
              </w:rPr>
              <w:t>Nr</w:t>
            </w:r>
            <w:proofErr w:type="spellEnd"/>
            <w:r w:rsidR="00543790" w:rsidRPr="008961BB">
              <w:rPr>
                <w:lang w:val="lv-LV"/>
              </w:rPr>
              <w:t>. SKA0428)</w:t>
            </w:r>
            <w:r w:rsidR="00235438" w:rsidRPr="008961BB">
              <w:rPr>
                <w:lang w:val="lv-LV"/>
              </w:rPr>
              <w:t>.</w:t>
            </w:r>
            <w:r w:rsidR="00543790" w:rsidRPr="008961BB">
              <w:rPr>
                <w:lang w:val="lv-LV"/>
              </w:rPr>
              <w:t xml:space="preserve"> Arī LAPK 24.panta otrajā daļā ir noteikts, ka par vienu administratīvo pārkāpumu var uzlikt pamatsodu vai arī pamatsodu un vienu vai vairākus papildsodus. </w:t>
            </w:r>
          </w:p>
          <w:p w:rsidR="00543790" w:rsidRPr="008961BB" w:rsidRDefault="00543790" w:rsidP="00543790">
            <w:pPr>
              <w:jc w:val="both"/>
              <w:rPr>
                <w:lang w:val="lv-LV"/>
              </w:rPr>
            </w:pPr>
            <w:r w:rsidRPr="008961BB">
              <w:rPr>
                <w:lang w:val="lv-LV"/>
              </w:rPr>
              <w:t>Līdz ar to iestādei, kura ir uzsākusi administratīvo lietvedību</w:t>
            </w:r>
            <w:r w:rsidR="0097625B" w:rsidRPr="008961BB">
              <w:rPr>
                <w:lang w:val="lv-LV"/>
              </w:rPr>
              <w:t>,</w:t>
            </w:r>
            <w:r w:rsidRPr="008961BB">
              <w:rPr>
                <w:lang w:val="lv-LV"/>
              </w:rPr>
              <w:t xml:space="preserve">   </w:t>
            </w:r>
            <w:r w:rsidR="0097625B" w:rsidRPr="008961BB">
              <w:rPr>
                <w:lang w:val="lv-LV"/>
              </w:rPr>
              <w:t>ir atb</w:t>
            </w:r>
            <w:r w:rsidRPr="008961BB">
              <w:rPr>
                <w:lang w:val="lv-LV"/>
              </w:rPr>
              <w:t>i</w:t>
            </w:r>
            <w:r w:rsidR="0097625B" w:rsidRPr="008961BB">
              <w:rPr>
                <w:lang w:val="lv-LV"/>
              </w:rPr>
              <w:t>l</w:t>
            </w:r>
            <w:r w:rsidRPr="008961BB">
              <w:rPr>
                <w:lang w:val="lv-LV"/>
              </w:rPr>
              <w:t xml:space="preserve">dīga par to, lai </w:t>
            </w:r>
            <w:r w:rsidR="0097625B" w:rsidRPr="008961BB">
              <w:rPr>
                <w:lang w:val="lv-LV"/>
              </w:rPr>
              <w:t>personas netiktu sodītas vairākas reizes par vienu un to pašu pārkāpumu.</w:t>
            </w:r>
          </w:p>
          <w:p w:rsidR="00543790" w:rsidRPr="008961BB" w:rsidRDefault="00543790" w:rsidP="00CA0BD8">
            <w:pPr>
              <w:jc w:val="both"/>
              <w:rPr>
                <w:lang w:val="lv-LV"/>
              </w:rPr>
            </w:pPr>
          </w:p>
          <w:p w:rsidR="00CA0BD8" w:rsidRPr="008961BB" w:rsidRDefault="00CA0BD8" w:rsidP="00CA0BD8">
            <w:pPr>
              <w:jc w:val="both"/>
              <w:rPr>
                <w:lang w:val="lv-LV"/>
              </w:rPr>
            </w:pPr>
            <w:r w:rsidRPr="008961BB">
              <w:rPr>
                <w:lang w:val="lv-LV"/>
              </w:rPr>
              <w:t>Ņemot vērā apstākli, ka konfidenciāli dati var saturēt arī komercnoslēpumu, to izpaušana, var nodarīt personai būtisku kaitējumu, sevišķi juridiskām personām, strādājot savstarpēji konkurējošos tirgus apstākļos.</w:t>
            </w:r>
          </w:p>
          <w:p w:rsidR="00CA0BD8" w:rsidRPr="008961BB" w:rsidRDefault="00CA0BD8" w:rsidP="00CA0BD8">
            <w:pPr>
              <w:jc w:val="both"/>
              <w:rPr>
                <w:lang w:val="lv-LV"/>
              </w:rPr>
            </w:pPr>
          </w:p>
          <w:p w:rsidR="00CA0BD8" w:rsidRPr="008961BB" w:rsidRDefault="00042789" w:rsidP="00CA0BD8">
            <w:pPr>
              <w:jc w:val="both"/>
              <w:rPr>
                <w:lang w:val="lv-LV"/>
              </w:rPr>
            </w:pPr>
            <w:r w:rsidRPr="008961BB">
              <w:rPr>
                <w:lang w:val="lv-LV"/>
              </w:rPr>
              <w:t xml:space="preserve">Eiropas Parlamenta un Padomes 2009. gada 11. marta Regulas (EK) </w:t>
            </w:r>
            <w:proofErr w:type="spellStart"/>
            <w:r w:rsidRPr="008961BB">
              <w:rPr>
                <w:lang w:val="lv-LV"/>
              </w:rPr>
              <w:t>Nr</w:t>
            </w:r>
            <w:proofErr w:type="spellEnd"/>
            <w:r w:rsidRPr="008961BB">
              <w:rPr>
                <w:lang w:val="lv-LV"/>
              </w:rPr>
              <w:t xml:space="preserve">. 223/2009 par Eiropas statistiku un ar ko atceļ Eiropas Parlamenta un Padomes Regulu (EK, </w:t>
            </w:r>
            <w:proofErr w:type="spellStart"/>
            <w:r w:rsidRPr="008961BB">
              <w:rPr>
                <w:lang w:val="lv-LV"/>
              </w:rPr>
              <w:t>Euratom</w:t>
            </w:r>
            <w:proofErr w:type="spellEnd"/>
            <w:r w:rsidRPr="008961BB">
              <w:rPr>
                <w:lang w:val="lv-LV"/>
              </w:rPr>
              <w:t xml:space="preserve">) </w:t>
            </w:r>
            <w:proofErr w:type="spellStart"/>
            <w:r w:rsidRPr="008961BB">
              <w:rPr>
                <w:lang w:val="lv-LV"/>
              </w:rPr>
              <w:t>Nr</w:t>
            </w:r>
            <w:proofErr w:type="spellEnd"/>
            <w:r w:rsidRPr="008961BB">
              <w:rPr>
                <w:lang w:val="lv-LV"/>
              </w:rPr>
              <w:t xml:space="preserve">. 1101/2008 par tādas statistikas informācijas nosūtīšanu Eiropas Kopienu Statistikas birojam, uz kuru attiecas konfidencialitāte, Padomes Regulu (EK) </w:t>
            </w:r>
            <w:proofErr w:type="spellStart"/>
            <w:r w:rsidRPr="008961BB">
              <w:rPr>
                <w:lang w:val="lv-LV"/>
              </w:rPr>
              <w:t>Nr</w:t>
            </w:r>
            <w:proofErr w:type="spellEnd"/>
            <w:r w:rsidRPr="008961BB">
              <w:rPr>
                <w:lang w:val="lv-LV"/>
              </w:rPr>
              <w:t xml:space="preserve">. 322/97 par Kopienas statistiku un Padomes Lēmumu 89/382/EEK, </w:t>
            </w:r>
            <w:proofErr w:type="spellStart"/>
            <w:r w:rsidRPr="008961BB">
              <w:rPr>
                <w:lang w:val="lv-LV"/>
              </w:rPr>
              <w:t>Euratom</w:t>
            </w:r>
            <w:proofErr w:type="spellEnd"/>
            <w:r w:rsidRPr="008961BB">
              <w:rPr>
                <w:lang w:val="lv-LV"/>
              </w:rPr>
              <w:t xml:space="preserve">, ar ko nodibina Eiropas Kopienu Statistikas programmu komiteju (turpmāk-Regula </w:t>
            </w:r>
            <w:proofErr w:type="spellStart"/>
            <w:r w:rsidRPr="008961BB">
              <w:rPr>
                <w:lang w:val="lv-LV"/>
              </w:rPr>
              <w:t>Nr</w:t>
            </w:r>
            <w:proofErr w:type="spellEnd"/>
            <w:r w:rsidRPr="008961BB">
              <w:rPr>
                <w:lang w:val="lv-LV"/>
              </w:rPr>
              <w:t xml:space="preserve">. 223/2009) </w:t>
            </w:r>
            <w:r w:rsidR="00CA0BD8" w:rsidRPr="008961BB">
              <w:rPr>
                <w:lang w:val="lv-LV"/>
              </w:rPr>
              <w:t>26.pantā ir noteikts, ka dalībvalstis un Komisija veic atbilstīgus pasākumus, lai novērstu statistikas konfidencialitātes pārkāpumus un sodītu par tiem.</w:t>
            </w:r>
          </w:p>
          <w:p w:rsidR="006546A4" w:rsidRPr="008961BB" w:rsidRDefault="006546A4" w:rsidP="00D82653">
            <w:pPr>
              <w:jc w:val="both"/>
              <w:rPr>
                <w:lang w:val="lv-LV"/>
              </w:rPr>
            </w:pPr>
          </w:p>
          <w:p w:rsidR="002A3C3F" w:rsidRPr="008961BB" w:rsidRDefault="0027465D" w:rsidP="00805E31">
            <w:pPr>
              <w:jc w:val="both"/>
              <w:rPr>
                <w:lang w:val="lv-LV"/>
              </w:rPr>
            </w:pPr>
            <w:r w:rsidRPr="008961BB">
              <w:rPr>
                <w:lang w:val="lv-LV"/>
              </w:rPr>
              <w:t>Līdz šim neviens likums visaptveroši neregulē fizisko un juridisko personu atbildību par statistiskās konfidencialitātes prasību neievērošanu</w:t>
            </w:r>
            <w:r w:rsidR="00805E31" w:rsidRPr="008961BB">
              <w:rPr>
                <w:lang w:val="lv-LV"/>
              </w:rPr>
              <w:t xml:space="preserve"> attiecībā uz pētniecībai saņemtajiem datiem</w:t>
            </w:r>
            <w:r w:rsidRPr="008961BB">
              <w:rPr>
                <w:lang w:val="lv-LV"/>
              </w:rPr>
              <w:t>. Līdz ar to, l</w:t>
            </w:r>
            <w:r w:rsidR="00CA0BD8" w:rsidRPr="008961BB">
              <w:rPr>
                <w:lang w:val="lv-LV"/>
              </w:rPr>
              <w:t xml:space="preserve">ai veicinātu personu atbildību par </w:t>
            </w:r>
            <w:r w:rsidRPr="008961BB">
              <w:rPr>
                <w:lang w:val="lv-LV"/>
              </w:rPr>
              <w:t>statistiskās konfidencialitātes prasību ievērošanu</w:t>
            </w:r>
            <w:r w:rsidR="00805E31" w:rsidRPr="008961BB">
              <w:rPr>
                <w:lang w:val="lv-LV"/>
              </w:rPr>
              <w:t xml:space="preserve"> attiecībā uz pētniecībai saņemtajiem datiem</w:t>
            </w:r>
            <w:r w:rsidRPr="008961BB">
              <w:rPr>
                <w:lang w:val="lv-LV"/>
              </w:rPr>
              <w:t>, LAPK ir jānosaka atbildība par tās pārkāpšanu.</w:t>
            </w:r>
          </w:p>
        </w:tc>
      </w:tr>
      <w:tr w:rsidR="0013525F" w:rsidRPr="008961BB" w:rsidTr="00B44887">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lastRenderedPageBreak/>
              <w:t> 3.</w:t>
            </w:r>
          </w:p>
        </w:tc>
        <w:tc>
          <w:tcPr>
            <w:tcW w:w="189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Saistītie politikas ietekmes novērtējumi un pētījumi</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Nav attiecināms.</w:t>
            </w:r>
          </w:p>
        </w:tc>
      </w:tr>
      <w:tr w:rsidR="0013525F" w:rsidRPr="008961BB" w:rsidTr="00B44887">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4.</w:t>
            </w:r>
          </w:p>
        </w:tc>
        <w:tc>
          <w:tcPr>
            <w:tcW w:w="189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Tiesiskā regulējuma mērķis un būtība</w:t>
            </w:r>
          </w:p>
        </w:tc>
        <w:tc>
          <w:tcPr>
            <w:tcW w:w="7229" w:type="dxa"/>
            <w:tcBorders>
              <w:top w:val="outset" w:sz="6" w:space="0" w:color="auto"/>
              <w:left w:val="outset" w:sz="6" w:space="0" w:color="auto"/>
              <w:bottom w:val="outset" w:sz="6" w:space="0" w:color="auto"/>
              <w:right w:val="outset" w:sz="6" w:space="0" w:color="auto"/>
            </w:tcBorders>
          </w:tcPr>
          <w:p w:rsidR="008961BB" w:rsidRPr="008961BB" w:rsidRDefault="008961BB" w:rsidP="008961BB">
            <w:pPr>
              <w:jc w:val="both"/>
              <w:rPr>
                <w:lang w:val="lv-LV"/>
              </w:rPr>
            </w:pPr>
            <w:r w:rsidRPr="008961BB">
              <w:rPr>
                <w:lang w:val="lv-LV"/>
              </w:rPr>
              <w:t xml:space="preserve">Lai veicinātu personu atbildību par statistikas nodrošināšanai nepieciešamo datu iesniegšanas kārtības pārkāpšanu, kā arī </w:t>
            </w:r>
            <w:r w:rsidR="00326A8B">
              <w:rPr>
                <w:lang w:val="lv-LV"/>
              </w:rPr>
              <w:t xml:space="preserve">par </w:t>
            </w:r>
            <w:r w:rsidRPr="008961BB">
              <w:rPr>
                <w:lang w:val="lv-LV"/>
              </w:rPr>
              <w:t xml:space="preserve">statistiskās konfidencialitātes prasību neievērošanu attiecībā uz pētniecībai saņemtajiem datiem, Likumprojekts paredz fiziskām  un juridiskām personām administratīvo atbildību par: </w:t>
            </w:r>
          </w:p>
          <w:p w:rsidR="008961BB" w:rsidRPr="008961BB" w:rsidRDefault="008961BB" w:rsidP="008961BB">
            <w:pPr>
              <w:jc w:val="both"/>
              <w:rPr>
                <w:lang w:val="lv-LV"/>
              </w:rPr>
            </w:pPr>
            <w:r w:rsidRPr="008961BB">
              <w:rPr>
                <w:lang w:val="lv-LV"/>
              </w:rPr>
              <w:t>1. statistikas nodrošināšanai nepieciešamo datu neiesniegšanu normatīvajos aktos noteiktajā termiņā vai kārtībā;</w:t>
            </w:r>
          </w:p>
          <w:p w:rsidR="008961BB" w:rsidRPr="008961BB" w:rsidRDefault="008961BB" w:rsidP="008961BB">
            <w:pPr>
              <w:jc w:val="both"/>
              <w:rPr>
                <w:lang w:val="lv-LV"/>
              </w:rPr>
            </w:pPr>
            <w:r w:rsidRPr="008961BB">
              <w:rPr>
                <w:lang w:val="lv-LV"/>
              </w:rPr>
              <w:t>2. normatīvajos aktos noteikto statistiskās konfidencialitātes prasību neievērošanu attiecībā uz pētniecībai saņemtajiem datiem. Šajā punktā noteiktajā gadījumā administratīvā atbildība netiek paredzēta CSP nodarbinātajiem, kuri datus izmanto tiešo darba/amata pienākumu veikšanai. Tiešo darba/amata pienākumu veikšana netiek uzskatīta par pētniecību, jo pētniecības projekta ietvaros dati tiek nodoti trešajām personām, kurām ir pienākums detalizēti aprakstīt pētniecības projektu, tā pētniecisko mērķi, nepieciešamos apsekojumu rādītājus un to atbilstību pētniecības mērķa sasniegšanai, kā arī datu aizsardzības pasākumus. Pētniecības gala rezultātam ir jābūt publiski pieejamam.</w:t>
            </w:r>
          </w:p>
          <w:p w:rsidR="003F5CAA" w:rsidRPr="008961BB" w:rsidRDefault="003F5CAA" w:rsidP="00854B20">
            <w:pPr>
              <w:jc w:val="both"/>
              <w:rPr>
                <w:lang w:val="lv-LV"/>
              </w:rPr>
            </w:pPr>
          </w:p>
          <w:p w:rsidR="00316965" w:rsidRPr="008961BB" w:rsidRDefault="003700A0" w:rsidP="00316965">
            <w:pPr>
              <w:jc w:val="both"/>
              <w:rPr>
                <w:lang w:val="lv-LV"/>
              </w:rPr>
            </w:pPr>
            <w:r w:rsidRPr="008961BB">
              <w:rPr>
                <w:lang w:val="lv-LV"/>
              </w:rPr>
              <w:t xml:space="preserve">Likumprojektā ir noteikts, ka </w:t>
            </w:r>
            <w:r w:rsidR="00316965" w:rsidRPr="008961BB">
              <w:rPr>
                <w:lang w:val="lv-LV"/>
              </w:rPr>
              <w:t>administratīvo pārkāpumu lietas</w:t>
            </w:r>
            <w:r w:rsidRPr="008961BB">
              <w:rPr>
                <w:lang w:val="lv-LV"/>
              </w:rPr>
              <w:t xml:space="preserve"> par  statistikas nodrošināšanai nepieciešamo datu neiesniegšanu normatīvajos aktos noteiktajā </w:t>
            </w:r>
            <w:r w:rsidR="004A7F84" w:rsidRPr="008961BB">
              <w:rPr>
                <w:lang w:val="lv-LV"/>
              </w:rPr>
              <w:t>kārtībā</w:t>
            </w:r>
            <w:r w:rsidRPr="008961BB">
              <w:rPr>
                <w:lang w:val="lv-LV"/>
              </w:rPr>
              <w:t>, vai normatīvajos aktos noteikto statistiskās konfidencialitātes prasību neievērošanu attiecībā uz pētniecībai saņemtajiem datiem</w:t>
            </w:r>
            <w:r w:rsidR="00B5687E" w:rsidRPr="008961BB">
              <w:rPr>
                <w:lang w:val="lv-LV"/>
              </w:rPr>
              <w:t>,</w:t>
            </w:r>
            <w:r w:rsidRPr="008961BB">
              <w:rPr>
                <w:lang w:val="lv-LV"/>
              </w:rPr>
              <w:t xml:space="preserve"> izskata un piemēro CSP.</w:t>
            </w:r>
            <w:r w:rsidR="00316965" w:rsidRPr="008961BB">
              <w:rPr>
                <w:lang w:val="lv-LV"/>
              </w:rPr>
              <w:t xml:space="preserve"> CSP neierosina un neizskata administratīvo pārkāpumu lietas šādos gadījumos:</w:t>
            </w:r>
          </w:p>
          <w:p w:rsidR="00316965" w:rsidRPr="008961BB" w:rsidRDefault="00316965" w:rsidP="00316965">
            <w:pPr>
              <w:jc w:val="both"/>
              <w:rPr>
                <w:lang w:val="lv-LV"/>
              </w:rPr>
            </w:pPr>
            <w:r w:rsidRPr="008961BB">
              <w:rPr>
                <w:lang w:val="lv-LV"/>
              </w:rPr>
              <w:t>1. kad statistikas nodrošināšanai nepieciešamos datus fiziskām un juridiskām personām ir jāsniedz citām iestādēm;</w:t>
            </w:r>
          </w:p>
          <w:p w:rsidR="00316965" w:rsidRPr="008961BB" w:rsidRDefault="00316965" w:rsidP="00316965">
            <w:pPr>
              <w:jc w:val="both"/>
              <w:rPr>
                <w:lang w:val="lv-LV"/>
              </w:rPr>
            </w:pPr>
            <w:r w:rsidRPr="008961BB">
              <w:rPr>
                <w:lang w:val="lv-LV"/>
              </w:rPr>
              <w:t>2.  kad fiziskām un juridiskām personām pētniecībai datus ir nodevusi cita iestāde.</w:t>
            </w:r>
          </w:p>
        </w:tc>
      </w:tr>
      <w:tr w:rsidR="0013525F" w:rsidRPr="008961BB" w:rsidTr="00B44887">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5.</w:t>
            </w:r>
          </w:p>
        </w:tc>
        <w:tc>
          <w:tcPr>
            <w:tcW w:w="189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Projekta izstrādē iesaistītās institūcijas</w:t>
            </w:r>
          </w:p>
        </w:tc>
        <w:tc>
          <w:tcPr>
            <w:tcW w:w="7229" w:type="dxa"/>
            <w:tcBorders>
              <w:top w:val="outset" w:sz="6" w:space="0" w:color="auto"/>
              <w:left w:val="outset" w:sz="6" w:space="0" w:color="auto"/>
              <w:bottom w:val="outset" w:sz="6" w:space="0" w:color="auto"/>
              <w:right w:val="outset" w:sz="6" w:space="0" w:color="auto"/>
            </w:tcBorders>
          </w:tcPr>
          <w:p w:rsidR="00DE10FC" w:rsidRPr="008961BB" w:rsidRDefault="00853A75" w:rsidP="00DE10FC">
            <w:pPr>
              <w:tabs>
                <w:tab w:val="left" w:pos="6990"/>
              </w:tabs>
              <w:jc w:val="both"/>
              <w:rPr>
                <w:lang w:val="lv-LV"/>
              </w:rPr>
            </w:pPr>
            <w:r w:rsidRPr="008961BB">
              <w:rPr>
                <w:lang w:val="lv-LV"/>
              </w:rPr>
              <w:t>Likumprojekt</w:t>
            </w:r>
            <w:r w:rsidR="00DE10FC" w:rsidRPr="008961BB">
              <w:rPr>
                <w:lang w:val="lv-LV"/>
              </w:rPr>
              <w:t>s tika izskatīts un atbalstīts ar veicamiem papildinājumiem</w:t>
            </w:r>
            <w:r w:rsidR="00D55431" w:rsidRPr="008961BB">
              <w:rPr>
                <w:lang w:val="lv-LV"/>
              </w:rPr>
              <w:t>, kuri iestrād</w:t>
            </w:r>
            <w:r w:rsidR="006A7F07" w:rsidRPr="008961BB">
              <w:rPr>
                <w:lang w:val="lv-LV"/>
              </w:rPr>
              <w:t>āti L</w:t>
            </w:r>
            <w:r w:rsidR="00D55431" w:rsidRPr="008961BB">
              <w:rPr>
                <w:lang w:val="lv-LV"/>
              </w:rPr>
              <w:t>ikumprojektā,</w:t>
            </w:r>
            <w:r w:rsidR="00DE10FC" w:rsidRPr="008961BB">
              <w:rPr>
                <w:lang w:val="lv-LV"/>
              </w:rPr>
              <w:t xml:space="preserve"> LAPK pastāvīgās </w:t>
            </w:r>
            <w:r w:rsidRPr="008961BB">
              <w:rPr>
                <w:lang w:val="lv-LV"/>
              </w:rPr>
              <w:t>darba grupas</w:t>
            </w:r>
            <w:r w:rsidR="00DE10FC" w:rsidRPr="008961BB">
              <w:rPr>
                <w:lang w:val="lv-LV"/>
              </w:rPr>
              <w:t xml:space="preserve"> 2013.gada 6.jūnija sēdē.</w:t>
            </w:r>
          </w:p>
          <w:p w:rsidR="009F39D8" w:rsidRPr="008961BB" w:rsidRDefault="009F39D8" w:rsidP="00DE10FC">
            <w:pPr>
              <w:tabs>
                <w:tab w:val="left" w:pos="6990"/>
              </w:tabs>
              <w:jc w:val="both"/>
              <w:rPr>
                <w:lang w:val="lv-LV"/>
              </w:rPr>
            </w:pPr>
          </w:p>
          <w:p w:rsidR="009F39D8" w:rsidRPr="008961BB" w:rsidRDefault="009F39D8" w:rsidP="009F39D8">
            <w:pPr>
              <w:tabs>
                <w:tab w:val="left" w:pos="6990"/>
              </w:tabs>
              <w:jc w:val="both"/>
              <w:rPr>
                <w:lang w:val="lv-LV"/>
              </w:rPr>
            </w:pPr>
            <w:r w:rsidRPr="008961BB">
              <w:rPr>
                <w:lang w:val="lv-LV"/>
              </w:rPr>
              <w:t xml:space="preserve">LAPK pastāvīgās darba grupas 2013.gada 6.jūnija sēdē tika mutiski iegūta informācija, ka Valsts ieņēmumu dienests neizskata LAPK paredzētās administratīvo pārkāpumu lietas par </w:t>
            </w:r>
            <w:r w:rsidRPr="008961BB">
              <w:rPr>
                <w:i/>
                <w:lang w:val="lv-LV"/>
              </w:rPr>
              <w:t>statistikas pārskatu vai statistiskās informācijas</w:t>
            </w:r>
            <w:r w:rsidRPr="008961BB">
              <w:rPr>
                <w:lang w:val="lv-LV"/>
              </w:rPr>
              <w:t xml:space="preserve"> nesniegšanu.</w:t>
            </w:r>
          </w:p>
          <w:p w:rsidR="00DE10FC" w:rsidRPr="008961BB" w:rsidRDefault="00DE10FC" w:rsidP="00DE10FC">
            <w:pPr>
              <w:tabs>
                <w:tab w:val="left" w:pos="6990"/>
              </w:tabs>
              <w:jc w:val="both"/>
              <w:rPr>
                <w:lang w:val="lv-LV"/>
              </w:rPr>
            </w:pPr>
          </w:p>
          <w:p w:rsidR="00853A75" w:rsidRPr="008961BB" w:rsidRDefault="00DE10FC" w:rsidP="00DE10FC">
            <w:pPr>
              <w:tabs>
                <w:tab w:val="left" w:pos="6990"/>
              </w:tabs>
              <w:jc w:val="both"/>
              <w:rPr>
                <w:lang w:val="lv-LV"/>
              </w:rPr>
            </w:pPr>
            <w:r w:rsidRPr="008961BB">
              <w:rPr>
                <w:lang w:val="lv-LV"/>
              </w:rPr>
              <w:t xml:space="preserve">Likumprojekta izstrādes laikā tika mutiski iegūta informācija no Korupcijas novēršanas un apkarošanas biroja un Valsts </w:t>
            </w:r>
            <w:r w:rsidR="009F39D8" w:rsidRPr="008961BB">
              <w:rPr>
                <w:lang w:val="lv-LV"/>
              </w:rPr>
              <w:t xml:space="preserve">kases, </w:t>
            </w:r>
            <w:r w:rsidRPr="008961BB">
              <w:rPr>
                <w:lang w:val="lv-LV"/>
              </w:rPr>
              <w:t xml:space="preserve">ka iepriekšminētās institūcijas neizskata LAPK paredzētās administratīvo pārkāpumu lietas par </w:t>
            </w:r>
            <w:r w:rsidRPr="008961BB">
              <w:rPr>
                <w:i/>
                <w:lang w:val="lv-LV"/>
              </w:rPr>
              <w:t>statistikas pārskatu vai statistiskās informācijas</w:t>
            </w:r>
            <w:r w:rsidRPr="008961BB">
              <w:rPr>
                <w:lang w:val="lv-LV"/>
              </w:rPr>
              <w:t xml:space="preserve"> nesniegšanu.</w:t>
            </w:r>
          </w:p>
        </w:tc>
      </w:tr>
      <w:tr w:rsidR="0013525F" w:rsidRPr="008961BB" w:rsidTr="00B44887">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6.</w:t>
            </w:r>
          </w:p>
        </w:tc>
        <w:tc>
          <w:tcPr>
            <w:tcW w:w="189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Iemesli, kādēļ netika nodrošināta sabiedrības līdzdalība</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883E5F" w:rsidP="00E03DCC">
            <w:pPr>
              <w:tabs>
                <w:tab w:val="left" w:pos="709"/>
              </w:tabs>
              <w:jc w:val="both"/>
              <w:rPr>
                <w:lang w:val="lv-LV"/>
              </w:rPr>
            </w:pPr>
            <w:r w:rsidRPr="008961BB">
              <w:rPr>
                <w:lang w:val="lv-LV"/>
              </w:rPr>
              <w:t xml:space="preserve">Sabiedrības </w:t>
            </w:r>
            <w:proofErr w:type="spellStart"/>
            <w:r w:rsidRPr="008961BB">
              <w:rPr>
                <w:lang w:val="lv-LV"/>
              </w:rPr>
              <w:t>mērķgrupa</w:t>
            </w:r>
            <w:proofErr w:type="spellEnd"/>
            <w:r w:rsidRPr="008961BB">
              <w:rPr>
                <w:lang w:val="lv-LV"/>
              </w:rPr>
              <w:t xml:space="preserve">, kuras ietekmēšanai tiek veikti LAPK grozījumi, ir administratīvo pārkāpumu izdarītāji. Līdz ar to sabiedrības līdzdalība tās parastajā izpratnē, piemēram, sadarbojoties ar attiecīgās nozares nevalstiskajām organizācijām, nebija iespējama. </w:t>
            </w:r>
          </w:p>
        </w:tc>
      </w:tr>
      <w:tr w:rsidR="0013525F" w:rsidRPr="008961BB" w:rsidTr="00B44887">
        <w:trPr>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7.</w:t>
            </w:r>
          </w:p>
        </w:tc>
        <w:tc>
          <w:tcPr>
            <w:tcW w:w="189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Cita informācija</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6F335C" w:rsidP="000B0AE9">
            <w:pPr>
              <w:pStyle w:val="naiskr"/>
              <w:jc w:val="both"/>
            </w:pPr>
            <w:r w:rsidRPr="008961BB">
              <w:t> </w:t>
            </w:r>
            <w:r w:rsidR="000B0AE9" w:rsidRPr="008961BB">
              <w:t>Nav</w:t>
            </w:r>
          </w:p>
        </w:tc>
      </w:tr>
    </w:tbl>
    <w:p w:rsidR="0013525F" w:rsidRPr="008961BB" w:rsidRDefault="0013525F" w:rsidP="0013525F">
      <w:pPr>
        <w:jc w:val="both"/>
        <w:rPr>
          <w:lang w:val="lv-LV"/>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1901"/>
        <w:gridCol w:w="7229"/>
      </w:tblGrid>
      <w:tr w:rsidR="0013525F" w:rsidRPr="008961BB" w:rsidTr="00B5687E">
        <w:trPr>
          <w:tblCellSpacing w:w="0" w:type="dxa"/>
        </w:trPr>
        <w:tc>
          <w:tcPr>
            <w:tcW w:w="9654" w:type="dxa"/>
            <w:gridSpan w:val="3"/>
            <w:tcBorders>
              <w:top w:val="outset" w:sz="6" w:space="0" w:color="auto"/>
              <w:left w:val="outset" w:sz="6" w:space="0" w:color="auto"/>
              <w:bottom w:val="outset" w:sz="6" w:space="0" w:color="auto"/>
              <w:right w:val="outset" w:sz="6" w:space="0" w:color="auto"/>
            </w:tcBorders>
            <w:vAlign w:val="center"/>
          </w:tcPr>
          <w:p w:rsidR="0013525F" w:rsidRPr="008961BB" w:rsidRDefault="0013525F" w:rsidP="00DF652E">
            <w:pPr>
              <w:pStyle w:val="naisnod"/>
              <w:jc w:val="center"/>
              <w:rPr>
                <w:b/>
                <w:bCs/>
              </w:rPr>
            </w:pPr>
            <w:r w:rsidRPr="008961BB">
              <w:rPr>
                <w:b/>
                <w:bCs/>
              </w:rPr>
              <w:t>II. Tiesību akta projekta ietekme uz sabiedrību</w:t>
            </w:r>
          </w:p>
        </w:tc>
      </w:tr>
      <w:tr w:rsidR="0013525F" w:rsidRPr="008961BB" w:rsidTr="00B5687E">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1.</w:t>
            </w:r>
          </w:p>
        </w:tc>
        <w:tc>
          <w:tcPr>
            <w:tcW w:w="1901"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xml:space="preserve"> Sabiedrības </w:t>
            </w:r>
            <w:proofErr w:type="spellStart"/>
            <w:r w:rsidRPr="008961BB">
              <w:t>mērķgrupa</w:t>
            </w:r>
            <w:proofErr w:type="spellEnd"/>
          </w:p>
        </w:tc>
        <w:tc>
          <w:tcPr>
            <w:tcW w:w="7229" w:type="dxa"/>
            <w:tcBorders>
              <w:top w:val="outset" w:sz="6" w:space="0" w:color="auto"/>
              <w:left w:val="outset" w:sz="6" w:space="0" w:color="auto"/>
              <w:bottom w:val="outset" w:sz="6" w:space="0" w:color="auto"/>
              <w:right w:val="outset" w:sz="6" w:space="0" w:color="auto"/>
            </w:tcBorders>
          </w:tcPr>
          <w:p w:rsidR="000B0AE9" w:rsidRPr="008961BB" w:rsidRDefault="00B11995" w:rsidP="000B0AE9">
            <w:pPr>
              <w:spacing w:before="100" w:beforeAutospacing="1" w:after="100" w:afterAutospacing="1"/>
              <w:jc w:val="both"/>
              <w:rPr>
                <w:color w:val="000000"/>
                <w:lang w:val="lv-LV" w:eastAsia="lv-LV"/>
              </w:rPr>
            </w:pPr>
            <w:r w:rsidRPr="008961BB">
              <w:rPr>
                <w:color w:val="000000"/>
                <w:lang w:val="lv-LV" w:eastAsia="lv-LV"/>
              </w:rPr>
              <w:t>Personas, kuras būs pārkāpušas LAPK.</w:t>
            </w:r>
          </w:p>
          <w:p w:rsidR="000B0AE9" w:rsidRPr="008961BB" w:rsidRDefault="000B0AE9" w:rsidP="009E11C1">
            <w:pPr>
              <w:spacing w:before="100" w:beforeAutospacing="1" w:after="100" w:afterAutospacing="1"/>
              <w:jc w:val="both"/>
              <w:rPr>
                <w:color w:val="000000"/>
                <w:lang w:val="lv-LV" w:eastAsia="lv-LV"/>
              </w:rPr>
            </w:pPr>
            <w:proofErr w:type="spellStart"/>
            <w:r w:rsidRPr="008961BB">
              <w:rPr>
                <w:color w:val="000000"/>
                <w:lang w:val="lv-LV" w:eastAsia="lv-LV"/>
              </w:rPr>
              <w:t>Mērķgrupas</w:t>
            </w:r>
            <w:proofErr w:type="spellEnd"/>
            <w:r w:rsidRPr="008961BB">
              <w:rPr>
                <w:color w:val="000000"/>
                <w:lang w:val="lv-LV" w:eastAsia="lv-LV"/>
              </w:rPr>
              <w:t xml:space="preserve"> aptuveno lielumu vai īpatsvaru nav iespējams noteikt, jo nevar paredzēt, cik personas neizpildīs </w:t>
            </w:r>
            <w:r w:rsidR="000D60A3" w:rsidRPr="008961BB">
              <w:rPr>
                <w:lang w:val="lv-LV"/>
              </w:rPr>
              <w:t>attiecīgajos normatīvajos aktos noteiktās</w:t>
            </w:r>
            <w:r w:rsidRPr="008961BB">
              <w:rPr>
                <w:color w:val="000000"/>
                <w:lang w:val="lv-LV" w:eastAsia="lv-LV"/>
              </w:rPr>
              <w:t xml:space="preserve"> prasības.</w:t>
            </w:r>
          </w:p>
        </w:tc>
      </w:tr>
      <w:tr w:rsidR="0013525F" w:rsidRPr="008961BB" w:rsidTr="00B5687E">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2.</w:t>
            </w:r>
          </w:p>
        </w:tc>
        <w:tc>
          <w:tcPr>
            <w:tcW w:w="1901"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xml:space="preserve"> Citas sabiedrības grupas (bez </w:t>
            </w:r>
            <w:proofErr w:type="spellStart"/>
            <w:r w:rsidRPr="008961BB">
              <w:t>mērķgrupas</w:t>
            </w:r>
            <w:proofErr w:type="spellEnd"/>
            <w:r w:rsidRPr="008961BB">
              <w:t>), kuras tiesiskais regulējums arī ietekmē vai varētu ietekmēt</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883E5F" w:rsidP="00DF652E">
            <w:pPr>
              <w:pStyle w:val="naiskr"/>
              <w:jc w:val="both"/>
            </w:pPr>
            <w:r w:rsidRPr="008961BB">
              <w:t xml:space="preserve">Paredzams, ka grozījumu izdarīšana radīs </w:t>
            </w:r>
            <w:r w:rsidR="00B11995" w:rsidRPr="008961BB">
              <w:t>CSP</w:t>
            </w:r>
            <w:r w:rsidRPr="008961BB">
              <w:t xml:space="preserve"> iespēju efektīvāk vērsties pret </w:t>
            </w:r>
            <w:r w:rsidR="00D046ED" w:rsidRPr="008961BB">
              <w:t xml:space="preserve">personām, </w:t>
            </w:r>
            <w:r w:rsidRPr="008961BB">
              <w:t xml:space="preserve">kas rupji pārkāpj </w:t>
            </w:r>
            <w:r w:rsidR="00B11995" w:rsidRPr="008961BB">
              <w:t>statistikas nodrošināšanai</w:t>
            </w:r>
            <w:r w:rsidR="00D046ED" w:rsidRPr="008961BB">
              <w:t xml:space="preserve"> </w:t>
            </w:r>
            <w:r w:rsidR="009E11C1" w:rsidRPr="008961BB">
              <w:t xml:space="preserve">nepieciešamo datu </w:t>
            </w:r>
            <w:r w:rsidR="00D046ED" w:rsidRPr="008961BB">
              <w:t xml:space="preserve">iesniegšanas kārtību </w:t>
            </w:r>
            <w:r w:rsidR="00B11995" w:rsidRPr="008961BB">
              <w:t>vai</w:t>
            </w:r>
            <w:r w:rsidR="00D046ED" w:rsidRPr="008961BB">
              <w:t xml:space="preserve"> statistiskās konfidencialitātes</w:t>
            </w:r>
            <w:r w:rsidRPr="008961BB">
              <w:t xml:space="preserve"> prasības</w:t>
            </w:r>
            <w:r w:rsidR="00DE10FC" w:rsidRPr="008961BB">
              <w:t xml:space="preserve"> attiecībā uz pētniecībai saņemtajiem datiem</w:t>
            </w:r>
            <w:r w:rsidRPr="008961BB">
              <w:t>.</w:t>
            </w:r>
          </w:p>
          <w:p w:rsidR="00883E5F" w:rsidRPr="008961BB" w:rsidRDefault="00883E5F" w:rsidP="00DF652E">
            <w:pPr>
              <w:pStyle w:val="naiskr"/>
              <w:jc w:val="both"/>
            </w:pPr>
          </w:p>
        </w:tc>
      </w:tr>
      <w:tr w:rsidR="0013525F" w:rsidRPr="008961BB" w:rsidTr="00B5687E">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3.</w:t>
            </w:r>
          </w:p>
        </w:tc>
        <w:tc>
          <w:tcPr>
            <w:tcW w:w="1901" w:type="dxa"/>
            <w:tcBorders>
              <w:top w:val="outset" w:sz="6" w:space="0" w:color="auto"/>
              <w:left w:val="outset" w:sz="6" w:space="0" w:color="auto"/>
              <w:bottom w:val="outset" w:sz="6" w:space="0" w:color="auto"/>
              <w:right w:val="outset" w:sz="6" w:space="0" w:color="auto"/>
            </w:tcBorders>
          </w:tcPr>
          <w:p w:rsidR="0013525F" w:rsidRPr="008961BB" w:rsidRDefault="0013525F" w:rsidP="000B0AE9">
            <w:pPr>
              <w:pStyle w:val="naiskr"/>
              <w:spacing w:before="0" w:beforeAutospacing="0" w:after="0" w:afterAutospacing="0"/>
              <w:jc w:val="both"/>
            </w:pPr>
            <w:r w:rsidRPr="008961BB">
              <w:t> Tiesiskā regulējuma</w:t>
            </w:r>
          </w:p>
          <w:p w:rsidR="0013525F" w:rsidRPr="008961BB" w:rsidRDefault="0013525F" w:rsidP="000B0AE9">
            <w:pPr>
              <w:pStyle w:val="naiskr"/>
              <w:spacing w:before="0" w:beforeAutospacing="0" w:after="0" w:afterAutospacing="0"/>
              <w:jc w:val="both"/>
            </w:pPr>
            <w:r w:rsidRPr="008961BB">
              <w:t>finansiālā ietekme</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B15DEF" w:rsidP="00B15DEF">
            <w:pPr>
              <w:jc w:val="both"/>
              <w:rPr>
                <w:lang w:val="lv-LV"/>
              </w:rPr>
            </w:pPr>
            <w:r w:rsidRPr="008961BB">
              <w:rPr>
                <w:lang w:val="lv-LV"/>
              </w:rPr>
              <w:t>Ņemot vērā, ka Likumprojektā paredzēts iekļaut sodu par jauniem administratīvajiem pārkāpumiem, uzliktie un iekasētie naudas sodi kopumā varētu palielināties.</w:t>
            </w:r>
          </w:p>
        </w:tc>
      </w:tr>
      <w:tr w:rsidR="0013525F" w:rsidRPr="008961BB" w:rsidTr="00B5687E">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4.</w:t>
            </w:r>
          </w:p>
        </w:tc>
        <w:tc>
          <w:tcPr>
            <w:tcW w:w="1901"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Tiesiskā regulējuma nefinansiālā ietekme</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13525F" w:rsidP="00B323DD">
            <w:pPr>
              <w:jc w:val="both"/>
              <w:rPr>
                <w:lang w:val="lv-LV"/>
              </w:rPr>
            </w:pPr>
            <w:r w:rsidRPr="008961BB">
              <w:rPr>
                <w:lang w:val="lv-LV"/>
              </w:rPr>
              <w:t> </w:t>
            </w:r>
            <w:r w:rsidR="00B323DD" w:rsidRPr="008961BB">
              <w:rPr>
                <w:lang w:val="lv-LV"/>
              </w:rPr>
              <w:t>Nav attiecināms.</w:t>
            </w:r>
          </w:p>
        </w:tc>
      </w:tr>
      <w:tr w:rsidR="0013525F" w:rsidRPr="008961BB" w:rsidTr="00B5687E">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5.</w:t>
            </w:r>
          </w:p>
        </w:tc>
        <w:tc>
          <w:tcPr>
            <w:tcW w:w="1901"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Administratīvās procedūras raksturojums</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0B0AE9" w:rsidP="004F752E">
            <w:pPr>
              <w:pStyle w:val="naiskr"/>
              <w:jc w:val="both"/>
            </w:pPr>
            <w:r w:rsidRPr="008961BB">
              <w:t xml:space="preserve">Administratīvo pārkāpumu lietas tiks izskatītas  </w:t>
            </w:r>
            <w:r w:rsidR="00B11995" w:rsidRPr="008961BB">
              <w:t>LAPK</w:t>
            </w:r>
            <w:r w:rsidRPr="008961BB">
              <w:t xml:space="preserve"> noteiktajā kārtībā.</w:t>
            </w:r>
          </w:p>
        </w:tc>
      </w:tr>
      <w:tr w:rsidR="0013525F" w:rsidRPr="008961BB" w:rsidTr="00B5687E">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6.</w:t>
            </w:r>
          </w:p>
        </w:tc>
        <w:tc>
          <w:tcPr>
            <w:tcW w:w="1901"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Administratīvo izmaksu monetārs novērtējums</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jc w:val="both"/>
            </w:pPr>
            <w:r w:rsidRPr="008961BB">
              <w:t> Nav attiecināms.</w:t>
            </w:r>
          </w:p>
        </w:tc>
      </w:tr>
      <w:tr w:rsidR="0013525F" w:rsidRPr="008961BB" w:rsidTr="00B5687E">
        <w:trPr>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7.</w:t>
            </w:r>
          </w:p>
        </w:tc>
        <w:tc>
          <w:tcPr>
            <w:tcW w:w="1901"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Cita informācija</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jc w:val="both"/>
            </w:pPr>
            <w:r w:rsidRPr="008961BB">
              <w:t> Nav.</w:t>
            </w:r>
          </w:p>
        </w:tc>
      </w:tr>
    </w:tbl>
    <w:p w:rsidR="005B7BA7" w:rsidRPr="008961BB" w:rsidRDefault="005B7BA7" w:rsidP="005B7BA7">
      <w:pPr>
        <w:rPr>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7BA7" w:rsidRPr="008961BB" w:rsidTr="00B5687E">
        <w:tc>
          <w:tcPr>
            <w:tcW w:w="9639" w:type="dxa"/>
          </w:tcPr>
          <w:p w:rsidR="005B7BA7" w:rsidRPr="008961BB" w:rsidRDefault="005B7BA7" w:rsidP="00F91CB2">
            <w:pPr>
              <w:jc w:val="center"/>
              <w:rPr>
                <w:b/>
                <w:lang w:val="lv-LV"/>
              </w:rPr>
            </w:pPr>
            <w:r w:rsidRPr="008961BB">
              <w:rPr>
                <w:b/>
                <w:lang w:val="lv-LV"/>
              </w:rPr>
              <w:t>III. Tiesību akta projekta ietekme uz valsts budžetu un pašvaldību budžetiem</w:t>
            </w:r>
          </w:p>
        </w:tc>
      </w:tr>
      <w:tr w:rsidR="005B7BA7" w:rsidRPr="008961BB" w:rsidTr="00B5687E">
        <w:trPr>
          <w:trHeight w:val="279"/>
        </w:trPr>
        <w:tc>
          <w:tcPr>
            <w:tcW w:w="9639" w:type="dxa"/>
            <w:vAlign w:val="center"/>
          </w:tcPr>
          <w:p w:rsidR="005B7BA7" w:rsidRPr="008961BB" w:rsidRDefault="000D60A3" w:rsidP="00F91CB2">
            <w:pPr>
              <w:jc w:val="center"/>
              <w:rPr>
                <w:lang w:val="lv-LV"/>
              </w:rPr>
            </w:pPr>
            <w:r w:rsidRPr="008961BB">
              <w:rPr>
                <w:lang w:val="lv-LV"/>
              </w:rPr>
              <w:t>Likumprojekts šo jomu neskar.</w:t>
            </w:r>
          </w:p>
        </w:tc>
      </w:tr>
    </w:tbl>
    <w:p w:rsidR="005B7BA7" w:rsidRPr="008961BB" w:rsidRDefault="005B7BA7" w:rsidP="0013525F">
      <w:pPr>
        <w:jc w:val="both"/>
        <w:rPr>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46ED" w:rsidRPr="008961BB" w:rsidTr="00B5687E">
        <w:tc>
          <w:tcPr>
            <w:tcW w:w="9639" w:type="dxa"/>
          </w:tcPr>
          <w:p w:rsidR="00D046ED" w:rsidRPr="008961BB" w:rsidRDefault="00D046ED" w:rsidP="00983711">
            <w:pPr>
              <w:jc w:val="center"/>
              <w:rPr>
                <w:b/>
                <w:lang w:val="lv-LV"/>
              </w:rPr>
            </w:pPr>
            <w:r w:rsidRPr="008961BB">
              <w:rPr>
                <w:b/>
                <w:lang w:val="lv-LV"/>
              </w:rPr>
              <w:t>IV. Tiesību akta projekta ietekme uz spēkā esošo tiesību normu sistēmu</w:t>
            </w:r>
          </w:p>
        </w:tc>
      </w:tr>
      <w:tr w:rsidR="00D046ED" w:rsidRPr="008961BB" w:rsidTr="00B5687E">
        <w:trPr>
          <w:trHeight w:val="279"/>
        </w:trPr>
        <w:tc>
          <w:tcPr>
            <w:tcW w:w="9639" w:type="dxa"/>
            <w:vAlign w:val="center"/>
          </w:tcPr>
          <w:p w:rsidR="00D046ED" w:rsidRPr="008961BB" w:rsidRDefault="000D60A3" w:rsidP="00983711">
            <w:pPr>
              <w:jc w:val="center"/>
              <w:rPr>
                <w:lang w:val="lv-LV"/>
              </w:rPr>
            </w:pPr>
            <w:r w:rsidRPr="008961BB">
              <w:rPr>
                <w:lang w:val="lv-LV"/>
              </w:rPr>
              <w:t>Likumprojekts šo jomu neskar.</w:t>
            </w:r>
          </w:p>
        </w:tc>
      </w:tr>
    </w:tbl>
    <w:p w:rsidR="00D046ED" w:rsidRPr="008961BB" w:rsidRDefault="00D046ED" w:rsidP="0013525F">
      <w:pPr>
        <w:jc w:val="both"/>
        <w:rPr>
          <w:lang w:val="lv-LV"/>
        </w:rPr>
      </w:pPr>
    </w:p>
    <w:p w:rsidR="00905017" w:rsidRPr="008961BB" w:rsidRDefault="00905017" w:rsidP="0013525F">
      <w:pPr>
        <w:jc w:val="both"/>
        <w:rPr>
          <w:lang w:val="lv-LV"/>
        </w:rPr>
      </w:pPr>
    </w:p>
    <w:tbl>
      <w:tblPr>
        <w:tblW w:w="9639"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3116"/>
        <w:gridCol w:w="6230"/>
      </w:tblGrid>
      <w:tr w:rsidR="004F752E" w:rsidRPr="008961BB" w:rsidTr="00B5687E">
        <w:tc>
          <w:tcPr>
            <w:tcW w:w="9639" w:type="dxa"/>
            <w:gridSpan w:val="3"/>
            <w:tcBorders>
              <w:top w:val="outset" w:sz="6" w:space="0" w:color="auto"/>
              <w:left w:val="outset" w:sz="6" w:space="0" w:color="auto"/>
              <w:bottom w:val="outset" w:sz="6" w:space="0" w:color="auto"/>
              <w:right w:val="outset" w:sz="6" w:space="0" w:color="auto"/>
            </w:tcBorders>
            <w:vAlign w:val="center"/>
          </w:tcPr>
          <w:p w:rsidR="004F752E" w:rsidRPr="008961BB" w:rsidRDefault="004F752E" w:rsidP="000F41C1">
            <w:pPr>
              <w:jc w:val="center"/>
              <w:rPr>
                <w:b/>
                <w:lang w:val="lv-LV"/>
              </w:rPr>
            </w:pPr>
            <w:r w:rsidRPr="008961BB">
              <w:rPr>
                <w:b/>
                <w:lang w:val="lv-LV"/>
              </w:rPr>
              <w:t>V. Tiesību akta projekta atbilstība Latvijas Republikas starptautiskajām saistībām</w:t>
            </w:r>
          </w:p>
        </w:tc>
      </w:tr>
      <w:tr w:rsidR="004F752E" w:rsidRPr="008961BB" w:rsidTr="00B5687E">
        <w:tc>
          <w:tcPr>
            <w:tcW w:w="293"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lang w:val="lv-LV"/>
              </w:rPr>
            </w:pPr>
            <w:r w:rsidRPr="008961BB">
              <w:rPr>
                <w:lang w:val="lv-LV"/>
              </w:rPr>
              <w:t>1.</w:t>
            </w:r>
          </w:p>
        </w:tc>
        <w:tc>
          <w:tcPr>
            <w:tcW w:w="3116"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lang w:val="lv-LV"/>
              </w:rPr>
            </w:pPr>
            <w:r w:rsidRPr="008961BB">
              <w:rPr>
                <w:lang w:val="lv-LV"/>
              </w:rPr>
              <w:t>Saistības pret Eiropas Savienību</w:t>
            </w:r>
          </w:p>
        </w:tc>
        <w:tc>
          <w:tcPr>
            <w:tcW w:w="6230" w:type="dxa"/>
            <w:tcBorders>
              <w:top w:val="outset" w:sz="6" w:space="0" w:color="auto"/>
              <w:left w:val="outset" w:sz="6" w:space="0" w:color="auto"/>
              <w:bottom w:val="outset" w:sz="6" w:space="0" w:color="auto"/>
              <w:right w:val="outset" w:sz="6" w:space="0" w:color="auto"/>
            </w:tcBorders>
          </w:tcPr>
          <w:p w:rsidR="004F752E" w:rsidRPr="008961BB" w:rsidRDefault="00316965" w:rsidP="000F41C1">
            <w:pPr>
              <w:ind w:left="57"/>
              <w:rPr>
                <w:lang w:val="lv-LV"/>
              </w:rPr>
            </w:pPr>
            <w:r w:rsidRPr="008961BB">
              <w:rPr>
                <w:lang w:val="lv-LV"/>
              </w:rPr>
              <w:t xml:space="preserve">Eiropas Parlamenta un Padomes 2009. gada 11. marta Regula (EK) </w:t>
            </w:r>
            <w:proofErr w:type="spellStart"/>
            <w:r w:rsidRPr="008961BB">
              <w:rPr>
                <w:lang w:val="lv-LV"/>
              </w:rPr>
              <w:t>Nr</w:t>
            </w:r>
            <w:proofErr w:type="spellEnd"/>
            <w:r w:rsidRPr="008961BB">
              <w:rPr>
                <w:lang w:val="lv-LV"/>
              </w:rPr>
              <w:t xml:space="preserve">. 223/2009 par Eiropas statistiku un ar ko atceļ Eiropas Parlamenta un Padomes Regulu (EK, </w:t>
            </w:r>
            <w:proofErr w:type="spellStart"/>
            <w:r w:rsidRPr="008961BB">
              <w:rPr>
                <w:lang w:val="lv-LV"/>
              </w:rPr>
              <w:t>Euratom</w:t>
            </w:r>
            <w:proofErr w:type="spellEnd"/>
            <w:r w:rsidRPr="008961BB">
              <w:rPr>
                <w:lang w:val="lv-LV"/>
              </w:rPr>
              <w:t xml:space="preserve">) </w:t>
            </w:r>
            <w:proofErr w:type="spellStart"/>
            <w:r w:rsidRPr="008961BB">
              <w:rPr>
                <w:lang w:val="lv-LV"/>
              </w:rPr>
              <w:t>Nr</w:t>
            </w:r>
            <w:proofErr w:type="spellEnd"/>
            <w:r w:rsidRPr="008961BB">
              <w:rPr>
                <w:lang w:val="lv-LV"/>
              </w:rPr>
              <w:t xml:space="preserve">. 1101/2008 par tādas statistikas informācijas nosūtīšanu Eiropas Kopienu Statistikas birojam, uz kuru attiecas konfidencialitāte, Padomes Regulu (EK) </w:t>
            </w:r>
            <w:proofErr w:type="spellStart"/>
            <w:r w:rsidRPr="008961BB">
              <w:rPr>
                <w:lang w:val="lv-LV"/>
              </w:rPr>
              <w:t>Nr</w:t>
            </w:r>
            <w:proofErr w:type="spellEnd"/>
            <w:r w:rsidRPr="008961BB">
              <w:rPr>
                <w:lang w:val="lv-LV"/>
              </w:rPr>
              <w:t xml:space="preserve">. 322/97 par Kopienas statistiku un Padomes Lēmumu 89/382/EEK, </w:t>
            </w:r>
            <w:proofErr w:type="spellStart"/>
            <w:r w:rsidRPr="008961BB">
              <w:rPr>
                <w:lang w:val="lv-LV"/>
              </w:rPr>
              <w:t>Euratom</w:t>
            </w:r>
            <w:proofErr w:type="spellEnd"/>
            <w:r w:rsidRPr="008961BB">
              <w:rPr>
                <w:lang w:val="lv-LV"/>
              </w:rPr>
              <w:t>, ar ko nodibina Eiropas Kopienu Statistikas programmu komiteju</w:t>
            </w:r>
          </w:p>
        </w:tc>
      </w:tr>
      <w:tr w:rsidR="004F752E" w:rsidRPr="008961BB" w:rsidTr="00B5687E">
        <w:tc>
          <w:tcPr>
            <w:tcW w:w="293"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lang w:val="lv-LV"/>
              </w:rPr>
            </w:pPr>
            <w:r w:rsidRPr="008961BB">
              <w:rPr>
                <w:lang w:val="lv-LV"/>
              </w:rPr>
              <w:t>2.</w:t>
            </w:r>
          </w:p>
        </w:tc>
        <w:tc>
          <w:tcPr>
            <w:tcW w:w="3116"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lang w:val="lv-LV"/>
              </w:rPr>
            </w:pPr>
            <w:r w:rsidRPr="008961BB">
              <w:rPr>
                <w:lang w:val="lv-LV"/>
              </w:rPr>
              <w:t>Citas starptautiskās saistības</w:t>
            </w:r>
          </w:p>
        </w:tc>
        <w:tc>
          <w:tcPr>
            <w:tcW w:w="6230" w:type="dxa"/>
            <w:tcBorders>
              <w:top w:val="outset" w:sz="6" w:space="0" w:color="auto"/>
              <w:left w:val="outset" w:sz="6" w:space="0" w:color="auto"/>
              <w:bottom w:val="outset" w:sz="6" w:space="0" w:color="auto"/>
              <w:right w:val="outset" w:sz="6" w:space="0" w:color="auto"/>
            </w:tcBorders>
          </w:tcPr>
          <w:p w:rsidR="004F752E" w:rsidRPr="008961BB" w:rsidRDefault="000D60A3" w:rsidP="000F41C1">
            <w:pPr>
              <w:ind w:left="57"/>
              <w:rPr>
                <w:lang w:val="lv-LV"/>
              </w:rPr>
            </w:pPr>
            <w:r w:rsidRPr="008961BB">
              <w:rPr>
                <w:lang w:val="lv-LV"/>
              </w:rPr>
              <w:t>Nav.</w:t>
            </w:r>
          </w:p>
        </w:tc>
      </w:tr>
      <w:tr w:rsidR="004F752E" w:rsidRPr="008961BB" w:rsidTr="00B5687E">
        <w:tc>
          <w:tcPr>
            <w:tcW w:w="293"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lang w:val="lv-LV"/>
              </w:rPr>
            </w:pPr>
            <w:r w:rsidRPr="008961BB">
              <w:rPr>
                <w:lang w:val="lv-LV"/>
              </w:rPr>
              <w:t>3.</w:t>
            </w:r>
          </w:p>
        </w:tc>
        <w:tc>
          <w:tcPr>
            <w:tcW w:w="3116"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lang w:val="lv-LV"/>
              </w:rPr>
            </w:pPr>
            <w:r w:rsidRPr="008961BB">
              <w:rPr>
                <w:lang w:val="lv-LV"/>
              </w:rPr>
              <w:t>Cita informācija</w:t>
            </w:r>
          </w:p>
        </w:tc>
        <w:tc>
          <w:tcPr>
            <w:tcW w:w="6230" w:type="dxa"/>
            <w:tcBorders>
              <w:top w:val="outset" w:sz="6" w:space="0" w:color="auto"/>
              <w:left w:val="outset" w:sz="6" w:space="0" w:color="auto"/>
              <w:bottom w:val="outset" w:sz="6" w:space="0" w:color="auto"/>
              <w:right w:val="outset" w:sz="6" w:space="0" w:color="auto"/>
            </w:tcBorders>
          </w:tcPr>
          <w:p w:rsidR="004F752E" w:rsidRPr="008961BB" w:rsidRDefault="000D60A3" w:rsidP="000F41C1">
            <w:pPr>
              <w:ind w:left="57"/>
              <w:rPr>
                <w:lang w:val="lv-LV"/>
              </w:rPr>
            </w:pPr>
            <w:r w:rsidRPr="008961BB">
              <w:rPr>
                <w:lang w:val="lv-LV"/>
              </w:rPr>
              <w:t>Nav.</w:t>
            </w:r>
          </w:p>
        </w:tc>
      </w:tr>
    </w:tbl>
    <w:p w:rsidR="004F752E" w:rsidRPr="008961BB" w:rsidRDefault="004F752E" w:rsidP="0013525F">
      <w:pPr>
        <w:jc w:val="both"/>
        <w:rPr>
          <w:lang w:val="lv-LV"/>
        </w:rPr>
      </w:pPr>
    </w:p>
    <w:tbl>
      <w:tblPr>
        <w:tblW w:w="9639"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824"/>
        <w:gridCol w:w="1852"/>
        <w:gridCol w:w="2719"/>
        <w:gridCol w:w="3244"/>
      </w:tblGrid>
      <w:tr w:rsidR="004F752E" w:rsidRPr="008961BB" w:rsidTr="00B5687E">
        <w:trPr>
          <w:cantSplit/>
          <w:trHeight w:val="523"/>
        </w:trPr>
        <w:tc>
          <w:tcPr>
            <w:tcW w:w="9639" w:type="dxa"/>
            <w:gridSpan w:val="4"/>
            <w:tcBorders>
              <w:top w:val="outset" w:sz="6" w:space="0" w:color="auto"/>
              <w:left w:val="outset" w:sz="6" w:space="0" w:color="auto"/>
              <w:bottom w:val="outset" w:sz="6" w:space="0" w:color="auto"/>
              <w:right w:val="outset" w:sz="6" w:space="0" w:color="auto"/>
            </w:tcBorders>
            <w:vAlign w:val="center"/>
          </w:tcPr>
          <w:p w:rsidR="004F752E" w:rsidRPr="008961BB" w:rsidRDefault="004F752E" w:rsidP="000F41C1">
            <w:pPr>
              <w:ind w:left="57"/>
              <w:jc w:val="center"/>
              <w:rPr>
                <w:b/>
                <w:lang w:val="lv-LV"/>
              </w:rPr>
            </w:pPr>
            <w:r w:rsidRPr="008961BB">
              <w:rPr>
                <w:b/>
                <w:lang w:val="lv-LV"/>
              </w:rPr>
              <w:t>1.tabula</w:t>
            </w:r>
          </w:p>
          <w:p w:rsidR="004F752E" w:rsidRPr="008961BB" w:rsidRDefault="004F752E" w:rsidP="000F41C1">
            <w:pPr>
              <w:ind w:left="57"/>
              <w:jc w:val="center"/>
              <w:rPr>
                <w:lang w:val="lv-LV"/>
              </w:rPr>
            </w:pPr>
            <w:r w:rsidRPr="008961BB">
              <w:rPr>
                <w:b/>
                <w:lang w:val="lv-LV"/>
              </w:rPr>
              <w:t>Tiesību akta projekta atbilstība ES tiesību aktiem</w:t>
            </w:r>
          </w:p>
        </w:tc>
      </w:tr>
      <w:tr w:rsidR="004F752E" w:rsidRPr="008961BB" w:rsidTr="00B5687E">
        <w:trPr>
          <w:cantSplit/>
        </w:trPr>
        <w:tc>
          <w:tcPr>
            <w:tcW w:w="1824" w:type="dxa"/>
            <w:tcBorders>
              <w:top w:val="outset" w:sz="6" w:space="0" w:color="auto"/>
              <w:left w:val="outset" w:sz="6" w:space="0" w:color="auto"/>
              <w:bottom w:val="outset" w:sz="6" w:space="0" w:color="auto"/>
              <w:right w:val="outset" w:sz="6" w:space="0" w:color="auto"/>
            </w:tcBorders>
            <w:vAlign w:val="center"/>
          </w:tcPr>
          <w:p w:rsidR="004F752E" w:rsidRPr="008961BB" w:rsidRDefault="004F752E" w:rsidP="000F41C1">
            <w:pPr>
              <w:ind w:left="57"/>
              <w:jc w:val="center"/>
              <w:rPr>
                <w:lang w:val="lv-LV"/>
              </w:rPr>
            </w:pPr>
            <w:r w:rsidRPr="008961BB">
              <w:rPr>
                <w:lang w:val="lv-LV"/>
              </w:rPr>
              <w:t>A</w:t>
            </w:r>
          </w:p>
        </w:tc>
        <w:tc>
          <w:tcPr>
            <w:tcW w:w="1852" w:type="dxa"/>
            <w:tcBorders>
              <w:top w:val="outset" w:sz="6" w:space="0" w:color="auto"/>
              <w:left w:val="outset" w:sz="6" w:space="0" w:color="auto"/>
              <w:bottom w:val="outset" w:sz="6" w:space="0" w:color="auto"/>
              <w:right w:val="outset" w:sz="6" w:space="0" w:color="auto"/>
            </w:tcBorders>
            <w:vAlign w:val="center"/>
          </w:tcPr>
          <w:p w:rsidR="004F752E" w:rsidRPr="008961BB" w:rsidRDefault="004F752E" w:rsidP="000F41C1">
            <w:pPr>
              <w:ind w:left="57"/>
              <w:jc w:val="center"/>
              <w:rPr>
                <w:lang w:val="lv-LV"/>
              </w:rPr>
            </w:pPr>
            <w:r w:rsidRPr="008961BB">
              <w:rPr>
                <w:lang w:val="lv-LV"/>
              </w:rPr>
              <w:t>B</w:t>
            </w:r>
          </w:p>
        </w:tc>
        <w:tc>
          <w:tcPr>
            <w:tcW w:w="2719" w:type="dxa"/>
            <w:tcBorders>
              <w:top w:val="outset" w:sz="6" w:space="0" w:color="auto"/>
              <w:left w:val="outset" w:sz="6" w:space="0" w:color="auto"/>
              <w:bottom w:val="outset" w:sz="6" w:space="0" w:color="auto"/>
              <w:right w:val="outset" w:sz="6" w:space="0" w:color="auto"/>
            </w:tcBorders>
            <w:vAlign w:val="center"/>
          </w:tcPr>
          <w:p w:rsidR="004F752E" w:rsidRPr="008961BB" w:rsidRDefault="004F752E" w:rsidP="000F41C1">
            <w:pPr>
              <w:ind w:left="57"/>
              <w:jc w:val="center"/>
              <w:rPr>
                <w:lang w:val="lv-LV"/>
              </w:rPr>
            </w:pPr>
            <w:r w:rsidRPr="008961BB">
              <w:rPr>
                <w:lang w:val="lv-LV"/>
              </w:rPr>
              <w:t>C</w:t>
            </w:r>
          </w:p>
        </w:tc>
        <w:tc>
          <w:tcPr>
            <w:tcW w:w="3244" w:type="dxa"/>
            <w:tcBorders>
              <w:top w:val="outset" w:sz="6" w:space="0" w:color="auto"/>
              <w:left w:val="outset" w:sz="6" w:space="0" w:color="auto"/>
              <w:bottom w:val="outset" w:sz="6" w:space="0" w:color="auto"/>
              <w:right w:val="outset" w:sz="6" w:space="0" w:color="auto"/>
            </w:tcBorders>
            <w:vAlign w:val="center"/>
          </w:tcPr>
          <w:p w:rsidR="004F752E" w:rsidRPr="008961BB" w:rsidRDefault="004F752E" w:rsidP="000F41C1">
            <w:pPr>
              <w:ind w:left="57"/>
              <w:jc w:val="center"/>
              <w:rPr>
                <w:lang w:val="lv-LV"/>
              </w:rPr>
            </w:pPr>
            <w:r w:rsidRPr="008961BB">
              <w:rPr>
                <w:lang w:val="lv-LV"/>
              </w:rPr>
              <w:t>D</w:t>
            </w:r>
          </w:p>
        </w:tc>
      </w:tr>
      <w:tr w:rsidR="004F752E" w:rsidRPr="008961BB" w:rsidTr="00B5687E">
        <w:trPr>
          <w:cantSplit/>
          <w:trHeight w:val="4708"/>
        </w:trPr>
        <w:tc>
          <w:tcPr>
            <w:tcW w:w="1824"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spacing w:after="120"/>
              <w:ind w:left="57"/>
              <w:rPr>
                <w:spacing w:val="-3"/>
                <w:lang w:val="lv-LV"/>
              </w:rPr>
            </w:pPr>
            <w:r w:rsidRPr="008961BB">
              <w:rPr>
                <w:spacing w:val="-3"/>
                <w:lang w:val="lv-LV"/>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spacing w:after="120"/>
              <w:ind w:left="57"/>
              <w:rPr>
                <w:spacing w:val="-3"/>
                <w:lang w:val="lv-LV"/>
              </w:rPr>
            </w:pPr>
            <w:r w:rsidRPr="008961BB">
              <w:rPr>
                <w:spacing w:val="-3"/>
                <w:lang w:val="lv-LV"/>
              </w:rPr>
              <w:t>Projekta vienība, kas pārņem vai ievieš katru šīs tabulas A ailē minēto ES tiesību akta vienību,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spacing w:after="120"/>
              <w:ind w:left="57"/>
              <w:rPr>
                <w:spacing w:val="-3"/>
                <w:lang w:val="lv-LV"/>
              </w:rPr>
            </w:pPr>
            <w:r w:rsidRPr="008961BB">
              <w:rPr>
                <w:spacing w:val="-3"/>
                <w:lang w:val="lv-LV"/>
              </w:rPr>
              <w:t>Informācija par to, vai šīs tabulas A ailē minētās ES tiesību akta vienības tiek pārņemtas vai ieviestas pilnībā vai daļēji.</w:t>
            </w:r>
          </w:p>
          <w:p w:rsidR="004F752E" w:rsidRPr="008961BB" w:rsidRDefault="004F752E" w:rsidP="000F41C1">
            <w:pPr>
              <w:spacing w:after="120"/>
              <w:ind w:left="57"/>
              <w:rPr>
                <w:spacing w:val="-3"/>
                <w:lang w:val="lv-LV"/>
              </w:rPr>
            </w:pPr>
            <w:r w:rsidRPr="008961BB">
              <w:rPr>
                <w:spacing w:val="-3"/>
                <w:lang w:val="lv-LV"/>
              </w:rPr>
              <w:t>Ja attiecīgā ES tiesību akta vienība tiek pārņemta vai ieviesta daļēji, sniedz attiecīgu skaidrojumu, kā arī precīzi norāda, kad un kādā veidā ES tiesību akta vienība tiks pārņemta vai ieviesta pilnībā.</w:t>
            </w:r>
          </w:p>
          <w:p w:rsidR="004F752E" w:rsidRPr="008961BB" w:rsidRDefault="004F752E" w:rsidP="000F41C1">
            <w:pPr>
              <w:spacing w:after="120"/>
              <w:ind w:left="57"/>
              <w:rPr>
                <w:spacing w:val="-3"/>
                <w:lang w:val="lv-LV"/>
              </w:rPr>
            </w:pPr>
            <w:r w:rsidRPr="008961BB">
              <w:rPr>
                <w:spacing w:val="-3"/>
                <w:lang w:val="lv-LV"/>
              </w:rPr>
              <w:t>Norāda institūciju, kas ir atbildīga par šo saistību izpildi pilnībā</w:t>
            </w:r>
          </w:p>
        </w:tc>
        <w:tc>
          <w:tcPr>
            <w:tcW w:w="3244"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spacing w:after="120"/>
              <w:ind w:left="57"/>
              <w:rPr>
                <w:lang w:val="lv-LV"/>
              </w:rPr>
            </w:pPr>
            <w:r w:rsidRPr="008961BB">
              <w:rPr>
                <w:spacing w:val="-3"/>
                <w:lang w:val="lv-LV"/>
              </w:rPr>
              <w:t xml:space="preserve">Informācija par to, vai šīs </w:t>
            </w:r>
            <w:r w:rsidRPr="008961BB">
              <w:rPr>
                <w:lang w:val="lv-LV"/>
              </w:rPr>
              <w:t>tabulas B ailē minētās projekta vienības paredz stingrākas prasības nekā šīs tabulas A ailē minētās ES tiesību akta vienības.</w:t>
            </w:r>
          </w:p>
          <w:p w:rsidR="004F752E" w:rsidRPr="008961BB" w:rsidRDefault="004F752E" w:rsidP="000F41C1">
            <w:pPr>
              <w:spacing w:after="120"/>
              <w:ind w:left="57"/>
              <w:rPr>
                <w:lang w:val="lv-LV"/>
              </w:rPr>
            </w:pPr>
            <w:r w:rsidRPr="008961BB">
              <w:rPr>
                <w:lang w:val="lv-LV"/>
              </w:rPr>
              <w:t>Ja projekts satur stingrākas prasības nekā attiecīgais ES tiesību akts, norāda pamatojumu un samērīgumu.</w:t>
            </w:r>
          </w:p>
          <w:p w:rsidR="004F752E" w:rsidRPr="008961BB" w:rsidRDefault="004F752E" w:rsidP="000F41C1">
            <w:pPr>
              <w:ind w:left="57"/>
              <w:rPr>
                <w:spacing w:val="-3"/>
                <w:lang w:val="lv-LV"/>
              </w:rPr>
            </w:pPr>
            <w:r w:rsidRPr="008961BB">
              <w:rPr>
                <w:lang w:val="lv-LV"/>
              </w:rPr>
              <w:t>Norāda iespējamās alternatīvas (</w:t>
            </w:r>
            <w:proofErr w:type="spellStart"/>
            <w:r w:rsidRPr="008961BB">
              <w:rPr>
                <w:lang w:val="lv-LV"/>
              </w:rPr>
              <w:t>t.sk</w:t>
            </w:r>
            <w:proofErr w:type="spellEnd"/>
            <w:r w:rsidRPr="008961BB">
              <w:rPr>
                <w:lang w:val="lv-LV"/>
              </w:rPr>
              <w:t>. alternatīvas, kas neparedz tiesiskā regulējuma izstrādi) – kādos gadījumos būtu iespējams izvairīties no stingrāku prasību</w:t>
            </w:r>
            <w:r w:rsidRPr="008961BB">
              <w:rPr>
                <w:spacing w:val="-3"/>
                <w:lang w:val="lv-LV"/>
              </w:rPr>
              <w:t xml:space="preserve"> noteikšanas, nekā paredzēts attiecīgajos ES tiesību aktos</w:t>
            </w:r>
          </w:p>
        </w:tc>
      </w:tr>
      <w:tr w:rsidR="004F752E" w:rsidRPr="008961BB" w:rsidTr="00B5687E">
        <w:trPr>
          <w:cantSplit/>
          <w:trHeight w:val="932"/>
        </w:trPr>
        <w:tc>
          <w:tcPr>
            <w:tcW w:w="1824"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spacing w:after="120"/>
              <w:ind w:left="57"/>
              <w:rPr>
                <w:spacing w:val="-2"/>
                <w:lang w:val="lv-LV"/>
              </w:rPr>
            </w:pPr>
            <w:r w:rsidRPr="008961BB">
              <w:rPr>
                <w:lang w:val="lv-LV"/>
              </w:rPr>
              <w:t xml:space="preserve">Regulas </w:t>
            </w:r>
            <w:proofErr w:type="spellStart"/>
            <w:r w:rsidRPr="008961BB">
              <w:rPr>
                <w:lang w:val="lv-LV"/>
              </w:rPr>
              <w:t>Nr</w:t>
            </w:r>
            <w:proofErr w:type="spellEnd"/>
            <w:r w:rsidRPr="008961BB">
              <w:rPr>
                <w:lang w:val="lv-LV"/>
              </w:rPr>
              <w:t>. 223/2009 26.pants</w:t>
            </w:r>
            <w:r w:rsidR="000D60A3" w:rsidRPr="008961BB">
              <w:rPr>
                <w:lang w:val="lv-LV"/>
              </w:rPr>
              <w:t>.</w:t>
            </w:r>
          </w:p>
        </w:tc>
        <w:tc>
          <w:tcPr>
            <w:tcW w:w="1852" w:type="dxa"/>
            <w:tcBorders>
              <w:top w:val="outset" w:sz="6" w:space="0" w:color="auto"/>
              <w:left w:val="outset" w:sz="6" w:space="0" w:color="auto"/>
              <w:bottom w:val="outset" w:sz="6" w:space="0" w:color="auto"/>
              <w:right w:val="outset" w:sz="6" w:space="0" w:color="auto"/>
            </w:tcBorders>
          </w:tcPr>
          <w:p w:rsidR="004F752E" w:rsidRPr="008961BB" w:rsidRDefault="00DE10FC" w:rsidP="000F41C1">
            <w:pPr>
              <w:spacing w:after="120"/>
              <w:ind w:left="57"/>
              <w:rPr>
                <w:spacing w:val="-2"/>
                <w:lang w:val="lv-LV"/>
              </w:rPr>
            </w:pPr>
            <w:r w:rsidRPr="008961BB">
              <w:rPr>
                <w:spacing w:val="-2"/>
                <w:lang w:val="lv-LV"/>
              </w:rPr>
              <w:t>Likumprojekta 3</w:t>
            </w:r>
            <w:r w:rsidR="00042789" w:rsidRPr="008961BB">
              <w:rPr>
                <w:spacing w:val="-2"/>
                <w:lang w:val="lv-LV"/>
              </w:rPr>
              <w:t>.pants</w:t>
            </w:r>
            <w:r w:rsidR="000D60A3" w:rsidRPr="008961BB">
              <w:rPr>
                <w:spacing w:val="-2"/>
                <w:lang w:val="lv-LV"/>
              </w:rPr>
              <w:t>.</w:t>
            </w:r>
          </w:p>
        </w:tc>
        <w:tc>
          <w:tcPr>
            <w:tcW w:w="2719"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spacing w:val="-2"/>
                <w:lang w:val="lv-LV"/>
              </w:rPr>
            </w:pPr>
            <w:r w:rsidRPr="008961BB">
              <w:rPr>
                <w:lang w:val="lv-LV"/>
              </w:rPr>
              <w:t xml:space="preserve">Nodrošina Regulas </w:t>
            </w:r>
            <w:proofErr w:type="spellStart"/>
            <w:r w:rsidRPr="008961BB">
              <w:rPr>
                <w:lang w:val="lv-LV"/>
              </w:rPr>
              <w:t>Nr</w:t>
            </w:r>
            <w:proofErr w:type="spellEnd"/>
            <w:r w:rsidRPr="008961BB">
              <w:rPr>
                <w:lang w:val="lv-LV"/>
              </w:rPr>
              <w:t>. 223/2009 26.panta prasību piemērošanu</w:t>
            </w:r>
            <w:r w:rsidR="000D60A3" w:rsidRPr="008961BB">
              <w:rPr>
                <w:lang w:val="lv-LV"/>
              </w:rPr>
              <w:t>.</w:t>
            </w:r>
          </w:p>
        </w:tc>
        <w:tc>
          <w:tcPr>
            <w:tcW w:w="3244" w:type="dxa"/>
            <w:tcBorders>
              <w:top w:val="outset" w:sz="6" w:space="0" w:color="auto"/>
              <w:left w:val="outset" w:sz="6" w:space="0" w:color="auto"/>
              <w:bottom w:val="outset" w:sz="6" w:space="0" w:color="auto"/>
              <w:right w:val="outset" w:sz="6" w:space="0" w:color="auto"/>
            </w:tcBorders>
          </w:tcPr>
          <w:p w:rsidR="004F752E" w:rsidRPr="008961BB" w:rsidRDefault="004F752E" w:rsidP="004F752E">
            <w:pPr>
              <w:ind w:left="57"/>
              <w:jc w:val="center"/>
              <w:rPr>
                <w:spacing w:val="-2"/>
                <w:lang w:val="lv-LV"/>
              </w:rPr>
            </w:pPr>
            <w:r w:rsidRPr="008961BB">
              <w:rPr>
                <w:spacing w:val="-2"/>
                <w:lang w:val="lv-LV"/>
              </w:rPr>
              <w:t>Nav</w:t>
            </w:r>
            <w:r w:rsidR="000D60A3" w:rsidRPr="008961BB">
              <w:rPr>
                <w:spacing w:val="-2"/>
                <w:lang w:val="lv-LV"/>
              </w:rPr>
              <w:t>.</w:t>
            </w:r>
          </w:p>
        </w:tc>
      </w:tr>
      <w:tr w:rsidR="004F752E" w:rsidRPr="008961BB" w:rsidTr="00B5687E">
        <w:trPr>
          <w:cantSplit/>
          <w:trHeight w:val="579"/>
        </w:trPr>
        <w:tc>
          <w:tcPr>
            <w:tcW w:w="1824" w:type="dxa"/>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lang w:val="lv-LV"/>
              </w:rPr>
            </w:pPr>
            <w:r w:rsidRPr="008961BB">
              <w:rPr>
                <w:lang w:val="lv-LV"/>
              </w:rPr>
              <w:t>Cita informācija</w:t>
            </w:r>
          </w:p>
        </w:tc>
        <w:tc>
          <w:tcPr>
            <w:tcW w:w="7815" w:type="dxa"/>
            <w:gridSpan w:val="3"/>
            <w:tcBorders>
              <w:top w:val="outset" w:sz="6" w:space="0" w:color="auto"/>
              <w:left w:val="outset" w:sz="6" w:space="0" w:color="auto"/>
              <w:bottom w:val="outset" w:sz="6" w:space="0" w:color="auto"/>
              <w:right w:val="outset" w:sz="6" w:space="0" w:color="auto"/>
            </w:tcBorders>
          </w:tcPr>
          <w:p w:rsidR="004F752E" w:rsidRPr="008961BB" w:rsidRDefault="004F752E" w:rsidP="000F41C1">
            <w:pPr>
              <w:ind w:left="57"/>
              <w:rPr>
                <w:lang w:val="lv-LV"/>
              </w:rPr>
            </w:pPr>
            <w:r w:rsidRPr="008961BB">
              <w:rPr>
                <w:lang w:val="lv-LV"/>
              </w:rPr>
              <w:t>Nav.</w:t>
            </w:r>
          </w:p>
        </w:tc>
      </w:tr>
    </w:tbl>
    <w:p w:rsidR="00B44887" w:rsidRPr="008961BB" w:rsidRDefault="00B44887" w:rsidP="0013525F">
      <w:pPr>
        <w:jc w:val="both"/>
        <w:rPr>
          <w:lang w:val="lv-LV"/>
        </w:rPr>
      </w:pPr>
    </w:p>
    <w:tbl>
      <w:tblPr>
        <w:tblW w:w="9639"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639"/>
      </w:tblGrid>
      <w:tr w:rsidR="004F752E" w:rsidRPr="008961BB" w:rsidTr="00B5687E">
        <w:trPr>
          <w:trHeight w:val="20"/>
        </w:trPr>
        <w:tc>
          <w:tcPr>
            <w:tcW w:w="9639" w:type="dxa"/>
            <w:tcBorders>
              <w:top w:val="outset" w:sz="6" w:space="0" w:color="auto"/>
              <w:left w:val="outset" w:sz="6" w:space="0" w:color="auto"/>
              <w:bottom w:val="outset" w:sz="6" w:space="0" w:color="auto"/>
              <w:right w:val="outset" w:sz="6" w:space="0" w:color="auto"/>
            </w:tcBorders>
            <w:vAlign w:val="center"/>
          </w:tcPr>
          <w:p w:rsidR="004F752E" w:rsidRPr="008961BB" w:rsidRDefault="004F752E" w:rsidP="000F41C1">
            <w:pPr>
              <w:ind w:left="57"/>
              <w:jc w:val="center"/>
              <w:rPr>
                <w:b/>
                <w:lang w:val="lv-LV"/>
              </w:rPr>
            </w:pPr>
            <w:r w:rsidRPr="008961BB">
              <w:rPr>
                <w:b/>
                <w:lang w:val="lv-LV"/>
              </w:rPr>
              <w:t>2.tabula</w:t>
            </w:r>
          </w:p>
          <w:p w:rsidR="004F752E" w:rsidRPr="008961BB" w:rsidRDefault="004F752E" w:rsidP="000F41C1">
            <w:pPr>
              <w:ind w:left="57"/>
              <w:jc w:val="center"/>
              <w:rPr>
                <w:b/>
                <w:lang w:val="lv-LV"/>
              </w:rPr>
            </w:pPr>
            <w:r w:rsidRPr="008961BB">
              <w:rPr>
                <w:b/>
                <w:lang w:val="lv-LV"/>
              </w:rPr>
              <w:t>Ar tiesību akta projektu izpildītās vai uzņemtās saistības, kas izriet no starptautiskajiem tiesību aktiem vai starptautiskas institūcijas vai organizācijas dokumentiem.</w:t>
            </w:r>
          </w:p>
          <w:p w:rsidR="004F752E" w:rsidRPr="008961BB" w:rsidRDefault="004F752E" w:rsidP="000F41C1">
            <w:pPr>
              <w:ind w:left="57"/>
              <w:jc w:val="center"/>
              <w:rPr>
                <w:b/>
                <w:lang w:val="lv-LV"/>
              </w:rPr>
            </w:pPr>
            <w:r w:rsidRPr="008961BB">
              <w:rPr>
                <w:b/>
                <w:lang w:val="lv-LV"/>
              </w:rPr>
              <w:t>Pasākumi šo saistību izpildei</w:t>
            </w:r>
          </w:p>
        </w:tc>
      </w:tr>
      <w:tr w:rsidR="004F752E" w:rsidRPr="008961BB" w:rsidTr="00B5687E">
        <w:trPr>
          <w:trHeight w:val="20"/>
        </w:trPr>
        <w:tc>
          <w:tcPr>
            <w:tcW w:w="9639" w:type="dxa"/>
            <w:tcBorders>
              <w:top w:val="outset" w:sz="6" w:space="0" w:color="auto"/>
              <w:left w:val="outset" w:sz="6" w:space="0" w:color="auto"/>
              <w:bottom w:val="outset" w:sz="6" w:space="0" w:color="auto"/>
              <w:right w:val="outset" w:sz="6" w:space="0" w:color="auto"/>
            </w:tcBorders>
            <w:vAlign w:val="center"/>
          </w:tcPr>
          <w:p w:rsidR="004F752E" w:rsidRPr="008961BB" w:rsidRDefault="006D0289" w:rsidP="000F41C1">
            <w:pPr>
              <w:ind w:left="57"/>
              <w:jc w:val="center"/>
              <w:rPr>
                <w:lang w:val="lv-LV"/>
              </w:rPr>
            </w:pPr>
            <w:proofErr w:type="spellStart"/>
            <w:r w:rsidRPr="008961BB">
              <w:t>Likumprojekts</w:t>
            </w:r>
            <w:proofErr w:type="spellEnd"/>
            <w:r w:rsidRPr="008961BB">
              <w:t xml:space="preserve"> </w:t>
            </w:r>
            <w:proofErr w:type="spellStart"/>
            <w:r w:rsidRPr="008961BB">
              <w:t>šo</w:t>
            </w:r>
            <w:proofErr w:type="spellEnd"/>
            <w:r w:rsidRPr="008961BB">
              <w:t xml:space="preserve"> </w:t>
            </w:r>
            <w:proofErr w:type="spellStart"/>
            <w:r w:rsidRPr="008961BB">
              <w:t>jomu</w:t>
            </w:r>
            <w:proofErr w:type="spellEnd"/>
            <w:r w:rsidRPr="008961BB">
              <w:t xml:space="preserve"> </w:t>
            </w:r>
            <w:proofErr w:type="spellStart"/>
            <w:r w:rsidRPr="008961BB">
              <w:t>neskar</w:t>
            </w:r>
            <w:proofErr w:type="spellEnd"/>
            <w:r w:rsidRPr="008961BB">
              <w:t>.</w:t>
            </w:r>
          </w:p>
        </w:tc>
      </w:tr>
    </w:tbl>
    <w:p w:rsidR="004F752E" w:rsidRPr="008961BB" w:rsidRDefault="004F752E" w:rsidP="0013525F">
      <w:pPr>
        <w:jc w:val="both"/>
        <w:rPr>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9"/>
      </w:tblGrid>
      <w:tr w:rsidR="005B7BA7" w:rsidRPr="008961BB" w:rsidTr="00B5687E">
        <w:tc>
          <w:tcPr>
            <w:tcW w:w="9639" w:type="dxa"/>
          </w:tcPr>
          <w:p w:rsidR="005B7BA7" w:rsidRPr="008961BB" w:rsidRDefault="005B7BA7" w:rsidP="00F13A4F">
            <w:pPr>
              <w:pStyle w:val="naisnod"/>
              <w:spacing w:before="0" w:after="0"/>
              <w:ind w:left="57" w:right="57"/>
              <w:jc w:val="center"/>
              <w:rPr>
                <w:b/>
              </w:rPr>
            </w:pPr>
            <w:r w:rsidRPr="008961BB">
              <w:rPr>
                <w:b/>
              </w:rPr>
              <w:t>VI. Sabiedrības līdzdalība un šīs līdzdalības rezultāti</w:t>
            </w:r>
          </w:p>
        </w:tc>
      </w:tr>
      <w:tr w:rsidR="005B7BA7" w:rsidRPr="008961BB" w:rsidTr="00B5687E">
        <w:tc>
          <w:tcPr>
            <w:tcW w:w="9639" w:type="dxa"/>
          </w:tcPr>
          <w:p w:rsidR="005B7BA7" w:rsidRPr="008961BB" w:rsidRDefault="005B7BA7" w:rsidP="000B0AE9">
            <w:pPr>
              <w:pStyle w:val="naisnod"/>
              <w:spacing w:before="0" w:after="0"/>
              <w:ind w:left="57" w:right="57"/>
              <w:jc w:val="center"/>
            </w:pPr>
            <w:r w:rsidRPr="008961BB">
              <w:t>Likumprojekts šo jomu neskar</w:t>
            </w:r>
            <w:r w:rsidR="000B0AE9" w:rsidRPr="008961BB">
              <w:t>.</w:t>
            </w:r>
          </w:p>
        </w:tc>
      </w:tr>
    </w:tbl>
    <w:p w:rsidR="005B7BA7" w:rsidRDefault="005B7BA7" w:rsidP="005B7BA7">
      <w:pPr>
        <w:rPr>
          <w:color w:val="000000"/>
          <w:lang w:val="lv-LV"/>
        </w:rPr>
      </w:pPr>
    </w:p>
    <w:p w:rsidR="00326A8B" w:rsidRPr="008961BB" w:rsidRDefault="00326A8B" w:rsidP="005B7BA7">
      <w:pPr>
        <w:rPr>
          <w:color w:val="000000"/>
          <w:lang w:val="lv-LV"/>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1917"/>
        <w:gridCol w:w="7229"/>
      </w:tblGrid>
      <w:tr w:rsidR="0013525F" w:rsidRPr="008961BB" w:rsidTr="00B5687E">
        <w:trPr>
          <w:tblCellSpacing w:w="0" w:type="dxa"/>
        </w:trPr>
        <w:tc>
          <w:tcPr>
            <w:tcW w:w="9654" w:type="dxa"/>
            <w:gridSpan w:val="3"/>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c"/>
              <w:jc w:val="center"/>
            </w:pPr>
            <w:r w:rsidRPr="008961BB">
              <w:rPr>
                <w:b/>
                <w:bCs/>
              </w:rPr>
              <w:t>VII. Tiesību akta projekta izpildes nodrošināšana un tās ietekme uz institūcijām</w:t>
            </w:r>
          </w:p>
        </w:tc>
      </w:tr>
      <w:tr w:rsidR="0013525F" w:rsidRPr="008961BB" w:rsidTr="00B5687E">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1.</w:t>
            </w:r>
          </w:p>
        </w:tc>
        <w:tc>
          <w:tcPr>
            <w:tcW w:w="191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Projekta izpildē iesaistītās institūcijas</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A41B8C" w:rsidP="00A41B8C">
            <w:pPr>
              <w:pStyle w:val="naiskr"/>
              <w:jc w:val="both"/>
            </w:pPr>
            <w:r w:rsidRPr="008961BB">
              <w:t>CSP</w:t>
            </w:r>
          </w:p>
        </w:tc>
      </w:tr>
      <w:tr w:rsidR="0013525F" w:rsidRPr="008961BB" w:rsidTr="00B5687E">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2.</w:t>
            </w:r>
          </w:p>
        </w:tc>
        <w:tc>
          <w:tcPr>
            <w:tcW w:w="191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Projekta izpildes ietekme uz pārvaldes funkcijām</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9C115A" w:rsidP="00A41B8C">
            <w:pPr>
              <w:pStyle w:val="naiskr"/>
              <w:jc w:val="both"/>
            </w:pPr>
            <w:r w:rsidRPr="008961BB">
              <w:t xml:space="preserve">Projektā paredzēto regulējumu nodrošinās </w:t>
            </w:r>
            <w:r w:rsidR="00A41B8C" w:rsidRPr="008961BB">
              <w:t>CSP</w:t>
            </w:r>
            <w:r w:rsidRPr="008961BB">
              <w:t xml:space="preserve"> savu funkciju ietvaros</w:t>
            </w:r>
            <w:r w:rsidR="000B0AE9" w:rsidRPr="008961BB">
              <w:t>.</w:t>
            </w:r>
          </w:p>
        </w:tc>
      </w:tr>
      <w:tr w:rsidR="0013525F" w:rsidRPr="008961BB" w:rsidTr="00B5687E">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3.</w:t>
            </w:r>
          </w:p>
        </w:tc>
        <w:tc>
          <w:tcPr>
            <w:tcW w:w="191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Projekta izpildes ietekme uz pārvaldes institucionālo struktūru.</w:t>
            </w:r>
          </w:p>
          <w:p w:rsidR="0013525F" w:rsidRPr="008961BB" w:rsidRDefault="0013525F" w:rsidP="00DF652E">
            <w:pPr>
              <w:pStyle w:val="naiskr"/>
            </w:pPr>
            <w:r w:rsidRPr="008961BB">
              <w:t>Jaunu institūciju izveide</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13525F" w:rsidP="002173FE">
            <w:pPr>
              <w:pStyle w:val="naiskr"/>
              <w:jc w:val="both"/>
            </w:pPr>
            <w:r w:rsidRPr="008961BB">
              <w:t xml:space="preserve">Jaunas valsts institūcijas netiek radītas. </w:t>
            </w:r>
            <w:r w:rsidR="002173FE" w:rsidRPr="008961BB">
              <w:t xml:space="preserve">Likumprojekta </w:t>
            </w:r>
            <w:r w:rsidRPr="008961BB">
              <w:t>izpilde notiks esošo valsts institūciju ietvaros.</w:t>
            </w:r>
          </w:p>
        </w:tc>
      </w:tr>
      <w:tr w:rsidR="0013525F" w:rsidRPr="008961BB" w:rsidTr="00B5687E">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4.</w:t>
            </w:r>
          </w:p>
        </w:tc>
        <w:tc>
          <w:tcPr>
            <w:tcW w:w="191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Projekta izpildes ietekme uz pārvaldes institucionālo struktūru.</w:t>
            </w:r>
          </w:p>
          <w:p w:rsidR="0013525F" w:rsidRPr="008961BB" w:rsidRDefault="0013525F" w:rsidP="00DF652E">
            <w:pPr>
              <w:pStyle w:val="naiskr"/>
            </w:pPr>
            <w:r w:rsidRPr="008961BB">
              <w:t>Esošu institūciju likvidācija</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13525F" w:rsidP="002173FE">
            <w:pPr>
              <w:pStyle w:val="naiskr"/>
              <w:jc w:val="both"/>
            </w:pPr>
            <w:r w:rsidRPr="008961BB">
              <w:t xml:space="preserve">Esošās institūcijas netiek likvidētas. </w:t>
            </w:r>
            <w:r w:rsidR="002173FE" w:rsidRPr="008961BB">
              <w:t>Likum</w:t>
            </w:r>
            <w:r w:rsidRPr="008961BB">
              <w:t>projekta izpilde notiks esošo valsts institūciju ietvaros.</w:t>
            </w:r>
          </w:p>
        </w:tc>
      </w:tr>
      <w:tr w:rsidR="0013525F" w:rsidRPr="008961BB" w:rsidTr="00B5687E">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5.</w:t>
            </w:r>
          </w:p>
        </w:tc>
        <w:tc>
          <w:tcPr>
            <w:tcW w:w="191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Projekta izpildes ietekme uz pārvaldes institucionālo struktūru.</w:t>
            </w:r>
          </w:p>
          <w:p w:rsidR="0013525F" w:rsidRPr="008961BB" w:rsidRDefault="0013525F" w:rsidP="00DF652E">
            <w:pPr>
              <w:pStyle w:val="naiskr"/>
            </w:pPr>
            <w:r w:rsidRPr="008961BB">
              <w:t>Esošu institūciju reorganizācija</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13525F" w:rsidP="009C115A">
            <w:pPr>
              <w:pStyle w:val="naiskr"/>
            </w:pPr>
            <w:r w:rsidRPr="008961BB">
              <w:t xml:space="preserve">Esošās institūcijas netiks reorganizētas vai arī apvienotas. </w:t>
            </w:r>
            <w:r w:rsidR="009C115A" w:rsidRPr="008961BB">
              <w:t>Likum</w:t>
            </w:r>
            <w:r w:rsidRPr="008961BB">
              <w:t>projekta izpilde notiks esošo valsts institūciju ietvaros.</w:t>
            </w:r>
          </w:p>
        </w:tc>
      </w:tr>
      <w:tr w:rsidR="0013525F" w:rsidRPr="008961BB" w:rsidTr="00B5687E">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6.</w:t>
            </w:r>
          </w:p>
        </w:tc>
        <w:tc>
          <w:tcPr>
            <w:tcW w:w="1917"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Cita informācija</w:t>
            </w:r>
          </w:p>
        </w:tc>
        <w:tc>
          <w:tcPr>
            <w:tcW w:w="7229" w:type="dxa"/>
            <w:tcBorders>
              <w:top w:val="outset" w:sz="6" w:space="0" w:color="auto"/>
              <w:left w:val="outset" w:sz="6" w:space="0" w:color="auto"/>
              <w:bottom w:val="outset" w:sz="6" w:space="0" w:color="auto"/>
              <w:right w:val="outset" w:sz="6" w:space="0" w:color="auto"/>
            </w:tcBorders>
          </w:tcPr>
          <w:p w:rsidR="0013525F" w:rsidRPr="008961BB" w:rsidRDefault="0013525F" w:rsidP="00DF652E">
            <w:pPr>
              <w:pStyle w:val="naiskr"/>
            </w:pPr>
            <w:r w:rsidRPr="008961BB">
              <w:t> Nav.</w:t>
            </w:r>
          </w:p>
        </w:tc>
      </w:tr>
    </w:tbl>
    <w:p w:rsidR="00D2595A" w:rsidRDefault="00D2595A" w:rsidP="00D2595A">
      <w:pPr>
        <w:jc w:val="both"/>
        <w:rPr>
          <w:sz w:val="28"/>
          <w:szCs w:val="28"/>
          <w:lang w:val="lv-LV"/>
        </w:rPr>
      </w:pPr>
    </w:p>
    <w:p w:rsidR="00D2595A" w:rsidRDefault="00D2595A" w:rsidP="00D2595A">
      <w:pPr>
        <w:jc w:val="both"/>
        <w:rPr>
          <w:sz w:val="28"/>
          <w:szCs w:val="28"/>
          <w:lang w:val="lv-LV"/>
        </w:rPr>
      </w:pPr>
    </w:p>
    <w:p w:rsidR="000B0AE9" w:rsidRPr="00326A8B" w:rsidRDefault="000B0AE9" w:rsidP="009D1242">
      <w:pPr>
        <w:ind w:firstLine="720"/>
        <w:jc w:val="both"/>
        <w:rPr>
          <w:lang w:val="lv-LV"/>
        </w:rPr>
      </w:pPr>
      <w:r w:rsidRPr="00326A8B">
        <w:rPr>
          <w:lang w:val="lv-LV"/>
        </w:rPr>
        <w:t>Iesniedzējs:</w:t>
      </w:r>
    </w:p>
    <w:p w:rsidR="000B0AE9" w:rsidRPr="00326A8B" w:rsidRDefault="000B0AE9" w:rsidP="009D1242">
      <w:pPr>
        <w:ind w:firstLine="720"/>
        <w:jc w:val="both"/>
        <w:rPr>
          <w:lang w:val="lv-LV"/>
        </w:rPr>
      </w:pPr>
      <w:r w:rsidRPr="00326A8B">
        <w:rPr>
          <w:lang w:val="lv-LV"/>
        </w:rPr>
        <w:t xml:space="preserve">Ekonomikas ministrs </w:t>
      </w:r>
      <w:r w:rsidRPr="00326A8B">
        <w:rPr>
          <w:lang w:val="lv-LV"/>
        </w:rPr>
        <w:tab/>
      </w:r>
      <w:r w:rsidR="00D2595A" w:rsidRPr="00326A8B">
        <w:rPr>
          <w:lang w:val="lv-LV"/>
        </w:rPr>
        <w:tab/>
      </w:r>
      <w:r w:rsidR="00D2595A" w:rsidRPr="00326A8B">
        <w:rPr>
          <w:lang w:val="lv-LV"/>
        </w:rPr>
        <w:tab/>
      </w:r>
      <w:r w:rsidR="00D2595A" w:rsidRPr="00326A8B">
        <w:rPr>
          <w:lang w:val="lv-LV"/>
        </w:rPr>
        <w:tab/>
      </w:r>
      <w:r w:rsidR="00326A8B">
        <w:rPr>
          <w:lang w:val="lv-LV"/>
        </w:rPr>
        <w:tab/>
      </w:r>
      <w:r w:rsidR="009D1242" w:rsidRPr="00326A8B">
        <w:rPr>
          <w:lang w:val="lv-LV"/>
        </w:rPr>
        <w:tab/>
      </w:r>
      <w:r w:rsidR="009D1242" w:rsidRPr="00326A8B">
        <w:rPr>
          <w:lang w:val="lv-LV"/>
        </w:rPr>
        <w:tab/>
      </w:r>
      <w:r w:rsidR="009D1242" w:rsidRPr="00326A8B">
        <w:rPr>
          <w:lang w:val="lv-LV"/>
        </w:rPr>
        <w:tab/>
      </w:r>
      <w:r w:rsidRPr="00326A8B">
        <w:rPr>
          <w:lang w:val="lv-LV"/>
        </w:rPr>
        <w:t>D</w:t>
      </w:r>
      <w:r w:rsidRPr="00326A8B">
        <w:rPr>
          <w:bCs/>
          <w:color w:val="000000"/>
          <w:lang w:val="lv-LV"/>
        </w:rPr>
        <w:t>.Pavļuts</w:t>
      </w:r>
    </w:p>
    <w:p w:rsidR="000B0AE9" w:rsidRPr="00326A8B" w:rsidRDefault="000B0AE9" w:rsidP="000B0AE9">
      <w:pPr>
        <w:rPr>
          <w:lang w:val="lv-LV"/>
        </w:rPr>
      </w:pPr>
    </w:p>
    <w:p w:rsidR="000B0AE9" w:rsidRPr="00326A8B" w:rsidRDefault="009D1242" w:rsidP="0063502B">
      <w:pPr>
        <w:tabs>
          <w:tab w:val="left" w:pos="720"/>
          <w:tab w:val="left" w:pos="1440"/>
          <w:tab w:val="center" w:pos="4535"/>
        </w:tabs>
        <w:jc w:val="both"/>
        <w:rPr>
          <w:lang w:val="lv-LV"/>
        </w:rPr>
      </w:pPr>
      <w:r w:rsidRPr="00326A8B">
        <w:rPr>
          <w:lang w:val="lv-LV"/>
        </w:rPr>
        <w:tab/>
      </w:r>
      <w:r w:rsidR="000B0AE9" w:rsidRPr="00326A8B">
        <w:rPr>
          <w:lang w:val="lv-LV"/>
        </w:rPr>
        <w:t>Vīza:</w:t>
      </w:r>
      <w:r w:rsidR="0063502B" w:rsidRPr="00326A8B">
        <w:rPr>
          <w:lang w:val="lv-LV"/>
        </w:rPr>
        <w:tab/>
      </w:r>
    </w:p>
    <w:p w:rsidR="000B0AE9" w:rsidRPr="00326A8B" w:rsidRDefault="000B0AE9" w:rsidP="009D1242">
      <w:pPr>
        <w:ind w:firstLine="720"/>
        <w:jc w:val="both"/>
        <w:rPr>
          <w:lang w:val="lv-LV"/>
        </w:rPr>
      </w:pPr>
      <w:r w:rsidRPr="00326A8B">
        <w:rPr>
          <w:lang w:val="lv-LV"/>
        </w:rPr>
        <w:t xml:space="preserve">Valsts sekretārs </w:t>
      </w:r>
      <w:r w:rsidRPr="00326A8B">
        <w:rPr>
          <w:lang w:val="lv-LV"/>
        </w:rPr>
        <w:tab/>
      </w:r>
      <w:r w:rsidRPr="00326A8B">
        <w:rPr>
          <w:lang w:val="lv-LV"/>
        </w:rPr>
        <w:tab/>
      </w:r>
      <w:r w:rsidRPr="00326A8B">
        <w:rPr>
          <w:lang w:val="lv-LV"/>
        </w:rPr>
        <w:tab/>
      </w:r>
      <w:bookmarkStart w:id="7" w:name="_GoBack"/>
      <w:bookmarkEnd w:id="7"/>
      <w:r w:rsidRPr="00326A8B">
        <w:rPr>
          <w:lang w:val="lv-LV"/>
        </w:rPr>
        <w:tab/>
      </w:r>
      <w:r w:rsidR="00D2595A" w:rsidRPr="00326A8B">
        <w:rPr>
          <w:lang w:val="lv-LV"/>
        </w:rPr>
        <w:tab/>
      </w:r>
      <w:r w:rsidR="00D2595A" w:rsidRPr="00326A8B">
        <w:rPr>
          <w:lang w:val="lv-LV"/>
        </w:rPr>
        <w:tab/>
      </w:r>
      <w:r w:rsidR="00D2595A" w:rsidRPr="00326A8B">
        <w:rPr>
          <w:lang w:val="lv-LV"/>
        </w:rPr>
        <w:tab/>
      </w:r>
      <w:r w:rsidRPr="00326A8B">
        <w:rPr>
          <w:lang w:val="lv-LV"/>
        </w:rPr>
        <w:tab/>
        <w:t>J.Pūce</w:t>
      </w:r>
    </w:p>
    <w:p w:rsidR="000B0AE9" w:rsidRPr="008961BB" w:rsidRDefault="000B0AE9" w:rsidP="000B0AE9">
      <w:pPr>
        <w:jc w:val="both"/>
        <w:rPr>
          <w:lang w:val="lv-LV"/>
        </w:rPr>
      </w:pPr>
    </w:p>
    <w:p w:rsidR="000B0AE9" w:rsidRPr="008961BB" w:rsidRDefault="000B0AE9" w:rsidP="000B0AE9">
      <w:pPr>
        <w:rPr>
          <w:i/>
          <w:lang w:val="lv-LV"/>
        </w:rPr>
      </w:pPr>
    </w:p>
    <w:p w:rsidR="000B0AE9" w:rsidRDefault="000B0AE9" w:rsidP="000B0AE9">
      <w:pPr>
        <w:rPr>
          <w:i/>
          <w:lang w:val="lv-LV"/>
        </w:rPr>
      </w:pPr>
    </w:p>
    <w:p w:rsidR="00D2595A" w:rsidRDefault="00D2595A" w:rsidP="000B0AE9">
      <w:pPr>
        <w:rPr>
          <w:i/>
          <w:lang w:val="lv-LV"/>
        </w:rPr>
      </w:pPr>
    </w:p>
    <w:p w:rsidR="009D1242" w:rsidRPr="008961BB" w:rsidRDefault="009D1242" w:rsidP="000B0AE9">
      <w:pPr>
        <w:rPr>
          <w:i/>
          <w:lang w:val="lv-LV"/>
        </w:rPr>
      </w:pPr>
    </w:p>
    <w:p w:rsidR="00C1585D" w:rsidRPr="00D2595A" w:rsidRDefault="00C1585D" w:rsidP="000B0AE9">
      <w:pPr>
        <w:rPr>
          <w:sz w:val="20"/>
          <w:szCs w:val="20"/>
          <w:lang w:val="lv-LV"/>
        </w:rPr>
      </w:pPr>
      <w:r w:rsidRPr="00D2595A">
        <w:rPr>
          <w:sz w:val="20"/>
          <w:szCs w:val="20"/>
          <w:lang w:val="lv-LV"/>
        </w:rPr>
        <w:fldChar w:fldCharType="begin"/>
      </w:r>
      <w:r w:rsidRPr="00D2595A">
        <w:rPr>
          <w:sz w:val="20"/>
          <w:szCs w:val="20"/>
          <w:lang w:val="lv-LV"/>
        </w:rPr>
        <w:instrText xml:space="preserve"> SAVEDATE  \@ "dd.MM.yyyy HH:mm"  \* MERGEFORMAT </w:instrText>
      </w:r>
      <w:r w:rsidRPr="00D2595A">
        <w:rPr>
          <w:sz w:val="20"/>
          <w:szCs w:val="20"/>
          <w:lang w:val="lv-LV"/>
        </w:rPr>
        <w:fldChar w:fldCharType="separate"/>
      </w:r>
      <w:r w:rsidR="00D2595A" w:rsidRPr="00D2595A">
        <w:rPr>
          <w:noProof/>
          <w:sz w:val="20"/>
          <w:szCs w:val="20"/>
          <w:lang w:val="lv-LV"/>
        </w:rPr>
        <w:t>07.08.2013 11:28</w:t>
      </w:r>
      <w:r w:rsidRPr="00D2595A">
        <w:rPr>
          <w:sz w:val="20"/>
          <w:szCs w:val="20"/>
          <w:lang w:val="lv-LV"/>
        </w:rPr>
        <w:fldChar w:fldCharType="end"/>
      </w:r>
    </w:p>
    <w:p w:rsidR="000B0AE9" w:rsidRPr="00D2595A" w:rsidRDefault="000B0AE9" w:rsidP="000B0AE9">
      <w:pPr>
        <w:rPr>
          <w:sz w:val="20"/>
          <w:szCs w:val="20"/>
          <w:lang w:val="lv-LV"/>
        </w:rPr>
      </w:pPr>
      <w:r w:rsidRPr="00D2595A">
        <w:rPr>
          <w:sz w:val="20"/>
          <w:szCs w:val="20"/>
          <w:lang w:val="lv-LV"/>
        </w:rPr>
        <w:fldChar w:fldCharType="begin"/>
      </w:r>
      <w:r w:rsidRPr="00D2595A">
        <w:rPr>
          <w:sz w:val="20"/>
          <w:szCs w:val="20"/>
          <w:lang w:val="lv-LV"/>
        </w:rPr>
        <w:instrText xml:space="preserve"> NUMWORDS  \* MERGEFORMAT </w:instrText>
      </w:r>
      <w:r w:rsidRPr="00D2595A">
        <w:rPr>
          <w:sz w:val="20"/>
          <w:szCs w:val="20"/>
          <w:lang w:val="lv-LV"/>
        </w:rPr>
        <w:fldChar w:fldCharType="separate"/>
      </w:r>
      <w:r w:rsidR="00E817CC">
        <w:rPr>
          <w:noProof/>
          <w:sz w:val="20"/>
          <w:szCs w:val="20"/>
          <w:lang w:val="lv-LV"/>
        </w:rPr>
        <w:t>2101</w:t>
      </w:r>
      <w:r w:rsidRPr="00D2595A">
        <w:rPr>
          <w:sz w:val="20"/>
          <w:szCs w:val="20"/>
          <w:lang w:val="lv-LV"/>
        </w:rPr>
        <w:fldChar w:fldCharType="end"/>
      </w:r>
    </w:p>
    <w:p w:rsidR="000B0AE9" w:rsidRPr="00D2595A" w:rsidRDefault="000B0AE9" w:rsidP="000B0AE9">
      <w:pPr>
        <w:rPr>
          <w:sz w:val="20"/>
          <w:szCs w:val="20"/>
          <w:lang w:val="lv-LV"/>
        </w:rPr>
      </w:pPr>
      <w:proofErr w:type="spellStart"/>
      <w:r w:rsidRPr="00D2595A">
        <w:rPr>
          <w:sz w:val="20"/>
          <w:szCs w:val="20"/>
          <w:lang w:val="lv-LV"/>
        </w:rPr>
        <w:t>Deaks</w:t>
      </w:r>
      <w:proofErr w:type="spellEnd"/>
      <w:r w:rsidRPr="00D2595A">
        <w:rPr>
          <w:sz w:val="20"/>
          <w:szCs w:val="20"/>
          <w:lang w:val="lv-LV"/>
        </w:rPr>
        <w:t xml:space="preserve"> </w:t>
      </w:r>
      <w:r w:rsidR="0053569E" w:rsidRPr="00D2595A">
        <w:rPr>
          <w:sz w:val="20"/>
          <w:szCs w:val="20"/>
          <w:lang w:val="lv-LV"/>
        </w:rPr>
        <w:t>6</w:t>
      </w:r>
      <w:r w:rsidRPr="00D2595A">
        <w:rPr>
          <w:sz w:val="20"/>
          <w:szCs w:val="20"/>
          <w:lang w:val="lv-LV"/>
        </w:rPr>
        <w:t>7366642</w:t>
      </w:r>
    </w:p>
    <w:p w:rsidR="000B0AE9" w:rsidRPr="00D2595A" w:rsidRDefault="006D454A" w:rsidP="000B0AE9">
      <w:pPr>
        <w:rPr>
          <w:sz w:val="20"/>
          <w:szCs w:val="20"/>
          <w:lang w:val="lv-LV"/>
        </w:rPr>
      </w:pPr>
      <w:hyperlink r:id="rId9" w:history="1">
        <w:r w:rsidR="006546A4" w:rsidRPr="00D2595A">
          <w:rPr>
            <w:rStyle w:val="Hyperlink"/>
            <w:sz w:val="20"/>
            <w:szCs w:val="20"/>
            <w:lang w:val="lv-LV"/>
          </w:rPr>
          <w:t>madars.deaks@csb.gov.lv</w:t>
        </w:r>
      </w:hyperlink>
    </w:p>
    <w:p w:rsidR="002173FE" w:rsidRPr="00D2595A" w:rsidRDefault="002173FE" w:rsidP="00B77035">
      <w:pPr>
        <w:ind w:firstLine="720"/>
        <w:rPr>
          <w:b/>
          <w:sz w:val="20"/>
          <w:szCs w:val="20"/>
          <w:lang w:val="lv-LV"/>
        </w:rPr>
      </w:pPr>
    </w:p>
    <w:sectPr w:rsidR="002173FE" w:rsidRPr="00D2595A" w:rsidSect="00B44887">
      <w:headerReference w:type="even" r:id="rId10"/>
      <w:headerReference w:type="default" r:id="rId11"/>
      <w:footerReference w:type="default" r:id="rId12"/>
      <w:footerReference w:type="first" r:id="rId13"/>
      <w:pgSz w:w="11906" w:h="16838" w:code="9"/>
      <w:pgMar w:top="1077" w:right="991" w:bottom="1134" w:left="1276"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4A" w:rsidRDefault="006D454A" w:rsidP="007C15F6">
      <w:r>
        <w:separator/>
      </w:r>
    </w:p>
  </w:endnote>
  <w:endnote w:type="continuationSeparator" w:id="0">
    <w:p w:rsidR="006D454A" w:rsidRDefault="006D454A" w:rsidP="007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027201" w:rsidRDefault="00C1585D" w:rsidP="00C41557">
    <w:pPr>
      <w:pStyle w:val="Footer"/>
      <w:jc w:val="both"/>
      <w:rPr>
        <w:sz w:val="20"/>
        <w:szCs w:val="20"/>
      </w:rP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Pr>
        <w:noProof/>
        <w:sz w:val="20"/>
        <w:szCs w:val="20"/>
        <w:lang w:val="lv-LV"/>
      </w:rPr>
      <w:t>EMAnot_070813_LAPK</w:t>
    </w:r>
    <w:r>
      <w:rPr>
        <w:sz w:val="20"/>
        <w:szCs w:val="20"/>
        <w:lang w:val="lv-LV"/>
      </w:rPr>
      <w:fldChar w:fldCharType="end"/>
    </w:r>
    <w:r w:rsidR="00F12A55" w:rsidRPr="00027201">
      <w:rPr>
        <w:sz w:val="20"/>
        <w:szCs w:val="20"/>
        <w:lang w:val="lv-LV"/>
      </w:rPr>
      <w:t xml:space="preserve">; Likumprojekta „Grozījumi </w:t>
    </w:r>
    <w:r w:rsidR="00201E77" w:rsidRPr="00027201">
      <w:rPr>
        <w:sz w:val="20"/>
        <w:szCs w:val="20"/>
        <w:lang w:val="lv-LV"/>
      </w:rPr>
      <w:t xml:space="preserve">Latvijas </w:t>
    </w:r>
    <w:r w:rsidR="00ED3B88" w:rsidRPr="00027201">
      <w:rPr>
        <w:sz w:val="20"/>
        <w:szCs w:val="20"/>
        <w:lang w:val="lv-LV"/>
      </w:rPr>
      <w:t>Administratīvo</w:t>
    </w:r>
    <w:r w:rsidR="00201E77" w:rsidRPr="00027201">
      <w:rPr>
        <w:sz w:val="20"/>
        <w:szCs w:val="20"/>
        <w:lang w:val="lv-LV"/>
      </w:rPr>
      <w:t xml:space="preserve"> pārkāpumu kodeksā</w:t>
    </w:r>
    <w:r w:rsidR="00F12A55" w:rsidRPr="00027201">
      <w:rPr>
        <w:sz w:val="20"/>
        <w:szCs w:val="20"/>
        <w:lang w:val="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C1585D" w:rsidRDefault="00C1585D" w:rsidP="00C41557">
    <w:pPr>
      <w:pStyle w:val="Footer"/>
      <w:jc w:val="both"/>
      <w:rPr>
        <w:sz w:val="20"/>
        <w:szCs w:val="20"/>
        <w:lang w:val="lv-LV"/>
      </w:rPr>
    </w:pPr>
    <w:r w:rsidRPr="00C1585D">
      <w:rPr>
        <w:sz w:val="20"/>
        <w:szCs w:val="20"/>
        <w:lang w:val="lv-LV"/>
      </w:rPr>
      <w:fldChar w:fldCharType="begin"/>
    </w:r>
    <w:r w:rsidRPr="00C1585D">
      <w:rPr>
        <w:sz w:val="20"/>
        <w:szCs w:val="20"/>
        <w:lang w:val="lv-LV"/>
      </w:rPr>
      <w:instrText xml:space="preserve"> FILENAME   \* MERGEFORMAT </w:instrText>
    </w:r>
    <w:r w:rsidRPr="00C1585D">
      <w:rPr>
        <w:sz w:val="20"/>
        <w:szCs w:val="20"/>
        <w:lang w:val="lv-LV"/>
      </w:rPr>
      <w:fldChar w:fldCharType="separate"/>
    </w:r>
    <w:r w:rsidRPr="00C1585D">
      <w:rPr>
        <w:noProof/>
        <w:sz w:val="20"/>
        <w:szCs w:val="20"/>
        <w:lang w:val="lv-LV"/>
      </w:rPr>
      <w:t>EMAnot_070813_LAPK</w:t>
    </w:r>
    <w:r w:rsidRPr="00C1585D">
      <w:rPr>
        <w:sz w:val="20"/>
        <w:szCs w:val="20"/>
        <w:lang w:val="lv-LV"/>
      </w:rPr>
      <w:fldChar w:fldCharType="end"/>
    </w:r>
    <w:r w:rsidR="00EE64F5" w:rsidRPr="00C1585D">
      <w:rPr>
        <w:sz w:val="20"/>
        <w:szCs w:val="20"/>
        <w:lang w:val="lv-LV"/>
      </w:rPr>
      <w:t>; Likumprojekta</w:t>
    </w:r>
    <w:r w:rsidR="000B322E" w:rsidRPr="00C1585D">
      <w:rPr>
        <w:sz w:val="20"/>
        <w:szCs w:val="20"/>
        <w:lang w:val="lv-LV"/>
      </w:rPr>
      <w:t xml:space="preserve"> „Grozījumi </w:t>
    </w:r>
    <w:r w:rsidR="00201E77" w:rsidRPr="00C1585D">
      <w:rPr>
        <w:sz w:val="20"/>
        <w:szCs w:val="20"/>
        <w:lang w:val="lv-LV"/>
      </w:rPr>
      <w:t>Latvijas Administratīvo pārkāpumu kodeksā</w:t>
    </w:r>
    <w:r w:rsidR="000B322E" w:rsidRPr="00C1585D">
      <w:rPr>
        <w:sz w:val="20"/>
        <w:szCs w:val="20"/>
        <w:lang w:val="lv-LV"/>
      </w:rPr>
      <w:t>”</w:t>
    </w:r>
    <w:r w:rsidR="00EE64F5" w:rsidRPr="00C1585D">
      <w:rPr>
        <w:sz w:val="20"/>
        <w:szCs w:val="20"/>
        <w:lang w:val="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4A" w:rsidRDefault="006D454A" w:rsidP="007C15F6">
      <w:r>
        <w:separator/>
      </w:r>
    </w:p>
  </w:footnote>
  <w:footnote w:type="continuationSeparator" w:id="0">
    <w:p w:rsidR="006D454A" w:rsidRDefault="006D454A" w:rsidP="007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Default="00E12658">
    <w:pPr>
      <w:pStyle w:val="Header"/>
      <w:framePr w:wrap="around" w:vAnchor="text" w:hAnchor="margin" w:xAlign="center" w:y="1"/>
      <w:rPr>
        <w:rStyle w:val="PageNumber"/>
      </w:rPr>
    </w:pPr>
    <w:r>
      <w:rPr>
        <w:rStyle w:val="PageNumber"/>
      </w:rPr>
      <w:fldChar w:fldCharType="begin"/>
    </w:r>
    <w:r w:rsidR="00EE64F5">
      <w:rPr>
        <w:rStyle w:val="PageNumber"/>
      </w:rPr>
      <w:instrText xml:space="preserve">PAGE  </w:instrText>
    </w:r>
    <w:r>
      <w:rPr>
        <w:rStyle w:val="PageNumber"/>
      </w:rPr>
      <w:fldChar w:fldCharType="end"/>
    </w:r>
  </w:p>
  <w:p w:rsidR="000A534F" w:rsidRDefault="006D4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D41C45" w:rsidRDefault="00E12658">
    <w:pPr>
      <w:pStyle w:val="Header"/>
      <w:framePr w:wrap="around" w:vAnchor="text" w:hAnchor="margin" w:xAlign="center" w:y="1"/>
      <w:rPr>
        <w:rStyle w:val="PageNumber"/>
        <w:sz w:val="22"/>
        <w:szCs w:val="22"/>
      </w:rPr>
    </w:pPr>
    <w:r w:rsidRPr="00D41C45">
      <w:rPr>
        <w:rStyle w:val="PageNumber"/>
        <w:sz w:val="22"/>
        <w:szCs w:val="22"/>
      </w:rPr>
      <w:fldChar w:fldCharType="begin"/>
    </w:r>
    <w:r w:rsidR="00EE64F5" w:rsidRPr="00D41C45">
      <w:rPr>
        <w:rStyle w:val="PageNumber"/>
        <w:sz w:val="22"/>
        <w:szCs w:val="22"/>
      </w:rPr>
      <w:instrText xml:space="preserve">PAGE  </w:instrText>
    </w:r>
    <w:r w:rsidRPr="00D41C45">
      <w:rPr>
        <w:rStyle w:val="PageNumber"/>
        <w:sz w:val="22"/>
        <w:szCs w:val="22"/>
      </w:rPr>
      <w:fldChar w:fldCharType="separate"/>
    </w:r>
    <w:r w:rsidR="00E817CC">
      <w:rPr>
        <w:rStyle w:val="PageNumber"/>
        <w:noProof/>
        <w:sz w:val="22"/>
        <w:szCs w:val="22"/>
      </w:rPr>
      <w:t>7</w:t>
    </w:r>
    <w:r w:rsidRPr="00D41C45">
      <w:rPr>
        <w:rStyle w:val="PageNumber"/>
        <w:sz w:val="22"/>
        <w:szCs w:val="22"/>
      </w:rPr>
      <w:fldChar w:fldCharType="end"/>
    </w:r>
  </w:p>
  <w:p w:rsidR="000A534F" w:rsidRDefault="006D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540"/>
    <w:multiLevelType w:val="hybridMultilevel"/>
    <w:tmpl w:val="EC80A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64695"/>
    <w:multiLevelType w:val="hybridMultilevel"/>
    <w:tmpl w:val="5950B1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2A682422"/>
    <w:multiLevelType w:val="hybridMultilevel"/>
    <w:tmpl w:val="9E9AF406"/>
    <w:lvl w:ilvl="0" w:tplc="75B06E4A">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E910F31"/>
    <w:multiLevelType w:val="hybridMultilevel"/>
    <w:tmpl w:val="FCEC77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55A26908"/>
    <w:multiLevelType w:val="hybridMultilevel"/>
    <w:tmpl w:val="B7248A5C"/>
    <w:lvl w:ilvl="0" w:tplc="4B348AC8">
      <w:start w:val="1"/>
      <w:numFmt w:val="decimal"/>
      <w:lvlText w:val="%1."/>
      <w:lvlJc w:val="left"/>
      <w:pPr>
        <w:tabs>
          <w:tab w:val="num" w:pos="781"/>
        </w:tabs>
        <w:ind w:left="781" w:hanging="360"/>
      </w:pPr>
      <w:rPr>
        <w:rFonts w:hint="default"/>
      </w:rPr>
    </w:lvl>
    <w:lvl w:ilvl="1" w:tplc="37E01EA0">
      <w:start w:val="1"/>
      <w:numFmt w:val="bullet"/>
      <w:lvlText w:val=""/>
      <w:lvlJc w:val="left"/>
      <w:pPr>
        <w:tabs>
          <w:tab w:val="num" w:pos="1501"/>
        </w:tabs>
        <w:ind w:left="1501" w:hanging="360"/>
      </w:pPr>
      <w:rPr>
        <w:rFonts w:ascii="Symbol" w:hAnsi="Symbol" w:hint="default"/>
        <w:sz w:val="16"/>
      </w:rPr>
    </w:lvl>
    <w:lvl w:ilvl="2" w:tplc="4F504594">
      <w:start w:val="1"/>
      <w:numFmt w:val="lowerLetter"/>
      <w:lvlText w:val="%3)"/>
      <w:lvlJc w:val="left"/>
      <w:pPr>
        <w:tabs>
          <w:tab w:val="num" w:pos="2401"/>
        </w:tabs>
        <w:ind w:left="2401" w:hanging="360"/>
      </w:pPr>
      <w:rPr>
        <w:rFonts w:hint="default"/>
      </w:rPr>
    </w:lvl>
    <w:lvl w:ilvl="3" w:tplc="0426000F" w:tentative="1">
      <w:start w:val="1"/>
      <w:numFmt w:val="decimal"/>
      <w:lvlText w:val="%4."/>
      <w:lvlJc w:val="left"/>
      <w:pPr>
        <w:tabs>
          <w:tab w:val="num" w:pos="2941"/>
        </w:tabs>
        <w:ind w:left="2941" w:hanging="360"/>
      </w:pPr>
    </w:lvl>
    <w:lvl w:ilvl="4" w:tplc="04260019" w:tentative="1">
      <w:start w:val="1"/>
      <w:numFmt w:val="lowerLetter"/>
      <w:lvlText w:val="%5."/>
      <w:lvlJc w:val="left"/>
      <w:pPr>
        <w:tabs>
          <w:tab w:val="num" w:pos="3661"/>
        </w:tabs>
        <w:ind w:left="3661" w:hanging="360"/>
      </w:pPr>
    </w:lvl>
    <w:lvl w:ilvl="5" w:tplc="0426001B" w:tentative="1">
      <w:start w:val="1"/>
      <w:numFmt w:val="lowerRoman"/>
      <w:lvlText w:val="%6."/>
      <w:lvlJc w:val="right"/>
      <w:pPr>
        <w:tabs>
          <w:tab w:val="num" w:pos="4381"/>
        </w:tabs>
        <w:ind w:left="4381" w:hanging="180"/>
      </w:pPr>
    </w:lvl>
    <w:lvl w:ilvl="6" w:tplc="0426000F" w:tentative="1">
      <w:start w:val="1"/>
      <w:numFmt w:val="decimal"/>
      <w:lvlText w:val="%7."/>
      <w:lvlJc w:val="left"/>
      <w:pPr>
        <w:tabs>
          <w:tab w:val="num" w:pos="5101"/>
        </w:tabs>
        <w:ind w:left="5101" w:hanging="360"/>
      </w:pPr>
    </w:lvl>
    <w:lvl w:ilvl="7" w:tplc="04260019" w:tentative="1">
      <w:start w:val="1"/>
      <w:numFmt w:val="lowerLetter"/>
      <w:lvlText w:val="%8."/>
      <w:lvlJc w:val="left"/>
      <w:pPr>
        <w:tabs>
          <w:tab w:val="num" w:pos="5821"/>
        </w:tabs>
        <w:ind w:left="5821" w:hanging="360"/>
      </w:pPr>
    </w:lvl>
    <w:lvl w:ilvl="8" w:tplc="0426001B" w:tentative="1">
      <w:start w:val="1"/>
      <w:numFmt w:val="lowerRoman"/>
      <w:lvlText w:val="%9."/>
      <w:lvlJc w:val="right"/>
      <w:pPr>
        <w:tabs>
          <w:tab w:val="num" w:pos="6541"/>
        </w:tabs>
        <w:ind w:left="6541" w:hanging="180"/>
      </w:pPr>
    </w:lvl>
  </w:abstractNum>
  <w:abstractNum w:abstractNumId="5">
    <w:nsid w:val="5EC33176"/>
    <w:multiLevelType w:val="hybridMultilevel"/>
    <w:tmpl w:val="596CF3B6"/>
    <w:lvl w:ilvl="0" w:tplc="04260011">
      <w:start w:val="1"/>
      <w:numFmt w:val="decimal"/>
      <w:lvlText w:val="%1)"/>
      <w:lvlJc w:val="left"/>
      <w:pPr>
        <w:ind w:left="1259" w:hanging="360"/>
      </w:p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6">
    <w:nsid w:val="73404098"/>
    <w:multiLevelType w:val="hybridMultilevel"/>
    <w:tmpl w:val="40ECEB78"/>
    <w:lvl w:ilvl="0" w:tplc="47E6950A">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7">
    <w:nsid w:val="77A13380"/>
    <w:multiLevelType w:val="hybridMultilevel"/>
    <w:tmpl w:val="261A05BA"/>
    <w:lvl w:ilvl="0" w:tplc="1B6A255A">
      <w:start w:val="2010"/>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5F"/>
    <w:rsid w:val="00013B32"/>
    <w:rsid w:val="0001418E"/>
    <w:rsid w:val="00027201"/>
    <w:rsid w:val="000324D0"/>
    <w:rsid w:val="00042789"/>
    <w:rsid w:val="000459D8"/>
    <w:rsid w:val="00054D87"/>
    <w:rsid w:val="00054EC4"/>
    <w:rsid w:val="00082DED"/>
    <w:rsid w:val="00094FF4"/>
    <w:rsid w:val="000B0AE9"/>
    <w:rsid w:val="000B322E"/>
    <w:rsid w:val="000C4D83"/>
    <w:rsid w:val="000C4DB7"/>
    <w:rsid w:val="000C6BE1"/>
    <w:rsid w:val="000C6FC4"/>
    <w:rsid w:val="000D60A3"/>
    <w:rsid w:val="000F7A5B"/>
    <w:rsid w:val="001163DC"/>
    <w:rsid w:val="00121B93"/>
    <w:rsid w:val="0013525F"/>
    <w:rsid w:val="00136775"/>
    <w:rsid w:val="00144A96"/>
    <w:rsid w:val="00146EFA"/>
    <w:rsid w:val="001637A7"/>
    <w:rsid w:val="001675DD"/>
    <w:rsid w:val="00186EEC"/>
    <w:rsid w:val="001A6CEB"/>
    <w:rsid w:val="001D18BE"/>
    <w:rsid w:val="001D3914"/>
    <w:rsid w:val="001F4792"/>
    <w:rsid w:val="00201E77"/>
    <w:rsid w:val="002173FE"/>
    <w:rsid w:val="002226B0"/>
    <w:rsid w:val="002231AB"/>
    <w:rsid w:val="002236D8"/>
    <w:rsid w:val="00235438"/>
    <w:rsid w:val="002375AD"/>
    <w:rsid w:val="002534FA"/>
    <w:rsid w:val="00260307"/>
    <w:rsid w:val="0027153D"/>
    <w:rsid w:val="00272A66"/>
    <w:rsid w:val="0027465D"/>
    <w:rsid w:val="002760F3"/>
    <w:rsid w:val="002764C7"/>
    <w:rsid w:val="002806AA"/>
    <w:rsid w:val="002847C1"/>
    <w:rsid w:val="002871D6"/>
    <w:rsid w:val="00290595"/>
    <w:rsid w:val="00293BB6"/>
    <w:rsid w:val="002A3C3F"/>
    <w:rsid w:val="002B39C5"/>
    <w:rsid w:val="002C2577"/>
    <w:rsid w:val="002C693F"/>
    <w:rsid w:val="002F2324"/>
    <w:rsid w:val="003051D2"/>
    <w:rsid w:val="0030706F"/>
    <w:rsid w:val="00316965"/>
    <w:rsid w:val="00322BFF"/>
    <w:rsid w:val="00326A8B"/>
    <w:rsid w:val="003505FA"/>
    <w:rsid w:val="003700A0"/>
    <w:rsid w:val="00372CDD"/>
    <w:rsid w:val="003772F3"/>
    <w:rsid w:val="00381CC2"/>
    <w:rsid w:val="00387A96"/>
    <w:rsid w:val="003A505E"/>
    <w:rsid w:val="003C3653"/>
    <w:rsid w:val="003F114C"/>
    <w:rsid w:val="003F5CAA"/>
    <w:rsid w:val="003F7A67"/>
    <w:rsid w:val="00410A98"/>
    <w:rsid w:val="00410B31"/>
    <w:rsid w:val="00422B8D"/>
    <w:rsid w:val="00430813"/>
    <w:rsid w:val="00446D11"/>
    <w:rsid w:val="004532C3"/>
    <w:rsid w:val="004540C1"/>
    <w:rsid w:val="00462776"/>
    <w:rsid w:val="00464414"/>
    <w:rsid w:val="004666BB"/>
    <w:rsid w:val="00471D44"/>
    <w:rsid w:val="00474212"/>
    <w:rsid w:val="00476B55"/>
    <w:rsid w:val="004805C8"/>
    <w:rsid w:val="00485EE5"/>
    <w:rsid w:val="004A7F84"/>
    <w:rsid w:val="004C25A8"/>
    <w:rsid w:val="004D75FF"/>
    <w:rsid w:val="004E1553"/>
    <w:rsid w:val="004F5AF8"/>
    <w:rsid w:val="004F752E"/>
    <w:rsid w:val="004F7574"/>
    <w:rsid w:val="00503AAB"/>
    <w:rsid w:val="0050429E"/>
    <w:rsid w:val="00513A3E"/>
    <w:rsid w:val="00522430"/>
    <w:rsid w:val="005227FD"/>
    <w:rsid w:val="005237F4"/>
    <w:rsid w:val="00527356"/>
    <w:rsid w:val="005275C4"/>
    <w:rsid w:val="00534456"/>
    <w:rsid w:val="00535497"/>
    <w:rsid w:val="0053569E"/>
    <w:rsid w:val="00536B3A"/>
    <w:rsid w:val="00542291"/>
    <w:rsid w:val="00543790"/>
    <w:rsid w:val="005511DD"/>
    <w:rsid w:val="00552421"/>
    <w:rsid w:val="00556B77"/>
    <w:rsid w:val="00564641"/>
    <w:rsid w:val="00570E7F"/>
    <w:rsid w:val="005862FB"/>
    <w:rsid w:val="005875F3"/>
    <w:rsid w:val="005922F5"/>
    <w:rsid w:val="0059527C"/>
    <w:rsid w:val="005B7BA7"/>
    <w:rsid w:val="005C4065"/>
    <w:rsid w:val="005C66E7"/>
    <w:rsid w:val="005D370C"/>
    <w:rsid w:val="005D4265"/>
    <w:rsid w:val="005D55A5"/>
    <w:rsid w:val="005D6518"/>
    <w:rsid w:val="005D7347"/>
    <w:rsid w:val="005E5C3E"/>
    <w:rsid w:val="005E7E36"/>
    <w:rsid w:val="005F1B78"/>
    <w:rsid w:val="00603CA3"/>
    <w:rsid w:val="00617C56"/>
    <w:rsid w:val="0062205F"/>
    <w:rsid w:val="0063502B"/>
    <w:rsid w:val="006413A5"/>
    <w:rsid w:val="006546A4"/>
    <w:rsid w:val="00680924"/>
    <w:rsid w:val="006844CC"/>
    <w:rsid w:val="00685675"/>
    <w:rsid w:val="00686890"/>
    <w:rsid w:val="0069001C"/>
    <w:rsid w:val="006957CC"/>
    <w:rsid w:val="006A1B95"/>
    <w:rsid w:val="006A71DB"/>
    <w:rsid w:val="006A768D"/>
    <w:rsid w:val="006A7F07"/>
    <w:rsid w:val="006B53F9"/>
    <w:rsid w:val="006D0289"/>
    <w:rsid w:val="006D454A"/>
    <w:rsid w:val="006D500A"/>
    <w:rsid w:val="006D628F"/>
    <w:rsid w:val="006D6AA1"/>
    <w:rsid w:val="006E451A"/>
    <w:rsid w:val="006F335C"/>
    <w:rsid w:val="006F6BB8"/>
    <w:rsid w:val="00712D85"/>
    <w:rsid w:val="0071434C"/>
    <w:rsid w:val="007267C4"/>
    <w:rsid w:val="00734296"/>
    <w:rsid w:val="0073630F"/>
    <w:rsid w:val="0073665C"/>
    <w:rsid w:val="00736EEA"/>
    <w:rsid w:val="00743C98"/>
    <w:rsid w:val="00763B0B"/>
    <w:rsid w:val="007958DD"/>
    <w:rsid w:val="007959B2"/>
    <w:rsid w:val="007A248B"/>
    <w:rsid w:val="007A793E"/>
    <w:rsid w:val="007A7A7C"/>
    <w:rsid w:val="007B0948"/>
    <w:rsid w:val="007B430E"/>
    <w:rsid w:val="007C15F6"/>
    <w:rsid w:val="007C7288"/>
    <w:rsid w:val="00805E31"/>
    <w:rsid w:val="00807BCE"/>
    <w:rsid w:val="00816444"/>
    <w:rsid w:val="00832A2E"/>
    <w:rsid w:val="00833D9B"/>
    <w:rsid w:val="008402A9"/>
    <w:rsid w:val="008426DD"/>
    <w:rsid w:val="00853A75"/>
    <w:rsid w:val="00854B20"/>
    <w:rsid w:val="00855D47"/>
    <w:rsid w:val="00855F48"/>
    <w:rsid w:val="00857D0E"/>
    <w:rsid w:val="00864312"/>
    <w:rsid w:val="00870439"/>
    <w:rsid w:val="0087703E"/>
    <w:rsid w:val="00883A89"/>
    <w:rsid w:val="00883E5F"/>
    <w:rsid w:val="008961BB"/>
    <w:rsid w:val="008B325A"/>
    <w:rsid w:val="008B4FEC"/>
    <w:rsid w:val="008C06FE"/>
    <w:rsid w:val="008C3B79"/>
    <w:rsid w:val="008D2315"/>
    <w:rsid w:val="008F2684"/>
    <w:rsid w:val="00904543"/>
    <w:rsid w:val="00905017"/>
    <w:rsid w:val="0090506A"/>
    <w:rsid w:val="00905102"/>
    <w:rsid w:val="0094379E"/>
    <w:rsid w:val="00960D4A"/>
    <w:rsid w:val="00965E0B"/>
    <w:rsid w:val="0097625B"/>
    <w:rsid w:val="0098191E"/>
    <w:rsid w:val="009A1885"/>
    <w:rsid w:val="009B5EB1"/>
    <w:rsid w:val="009C115A"/>
    <w:rsid w:val="009D1242"/>
    <w:rsid w:val="009D5813"/>
    <w:rsid w:val="009E0819"/>
    <w:rsid w:val="009E11C1"/>
    <w:rsid w:val="009F39D8"/>
    <w:rsid w:val="00A00556"/>
    <w:rsid w:val="00A038A7"/>
    <w:rsid w:val="00A2302B"/>
    <w:rsid w:val="00A23AA2"/>
    <w:rsid w:val="00A33F5E"/>
    <w:rsid w:val="00A34A79"/>
    <w:rsid w:val="00A41B8C"/>
    <w:rsid w:val="00A454EC"/>
    <w:rsid w:val="00A51AD1"/>
    <w:rsid w:val="00A5678E"/>
    <w:rsid w:val="00A66B18"/>
    <w:rsid w:val="00A67197"/>
    <w:rsid w:val="00A7221A"/>
    <w:rsid w:val="00A75437"/>
    <w:rsid w:val="00A75D98"/>
    <w:rsid w:val="00A80321"/>
    <w:rsid w:val="00A8377A"/>
    <w:rsid w:val="00A938BD"/>
    <w:rsid w:val="00A951DB"/>
    <w:rsid w:val="00A95A79"/>
    <w:rsid w:val="00A9717F"/>
    <w:rsid w:val="00AA6529"/>
    <w:rsid w:val="00AC1FC6"/>
    <w:rsid w:val="00AD2743"/>
    <w:rsid w:val="00AF14FA"/>
    <w:rsid w:val="00B02E09"/>
    <w:rsid w:val="00B11995"/>
    <w:rsid w:val="00B15DEF"/>
    <w:rsid w:val="00B1620C"/>
    <w:rsid w:val="00B17ACC"/>
    <w:rsid w:val="00B24945"/>
    <w:rsid w:val="00B31128"/>
    <w:rsid w:val="00B323DD"/>
    <w:rsid w:val="00B426DD"/>
    <w:rsid w:val="00B444EA"/>
    <w:rsid w:val="00B44887"/>
    <w:rsid w:val="00B46C4B"/>
    <w:rsid w:val="00B52864"/>
    <w:rsid w:val="00B5687E"/>
    <w:rsid w:val="00B63BE3"/>
    <w:rsid w:val="00B6645A"/>
    <w:rsid w:val="00B72D24"/>
    <w:rsid w:val="00B767B5"/>
    <w:rsid w:val="00B77035"/>
    <w:rsid w:val="00B82568"/>
    <w:rsid w:val="00B8655A"/>
    <w:rsid w:val="00BA30C6"/>
    <w:rsid w:val="00BA54DE"/>
    <w:rsid w:val="00BB10F1"/>
    <w:rsid w:val="00BB66A6"/>
    <w:rsid w:val="00BD132F"/>
    <w:rsid w:val="00BD288A"/>
    <w:rsid w:val="00BD3065"/>
    <w:rsid w:val="00BD3C3A"/>
    <w:rsid w:val="00BE6199"/>
    <w:rsid w:val="00C02762"/>
    <w:rsid w:val="00C12D28"/>
    <w:rsid w:val="00C1306C"/>
    <w:rsid w:val="00C1585D"/>
    <w:rsid w:val="00C16A78"/>
    <w:rsid w:val="00C217CE"/>
    <w:rsid w:val="00C22E5B"/>
    <w:rsid w:val="00C23BAE"/>
    <w:rsid w:val="00C24AAF"/>
    <w:rsid w:val="00C35094"/>
    <w:rsid w:val="00C41557"/>
    <w:rsid w:val="00C50810"/>
    <w:rsid w:val="00C5321A"/>
    <w:rsid w:val="00C57284"/>
    <w:rsid w:val="00C60460"/>
    <w:rsid w:val="00C60C6C"/>
    <w:rsid w:val="00C6127A"/>
    <w:rsid w:val="00C6597D"/>
    <w:rsid w:val="00C65D01"/>
    <w:rsid w:val="00C73573"/>
    <w:rsid w:val="00C944A5"/>
    <w:rsid w:val="00C95DF6"/>
    <w:rsid w:val="00C97755"/>
    <w:rsid w:val="00CA0BD8"/>
    <w:rsid w:val="00CA6648"/>
    <w:rsid w:val="00CA6B42"/>
    <w:rsid w:val="00CB1FE5"/>
    <w:rsid w:val="00CB3959"/>
    <w:rsid w:val="00CD2925"/>
    <w:rsid w:val="00CD509A"/>
    <w:rsid w:val="00CD7E60"/>
    <w:rsid w:val="00CE29D3"/>
    <w:rsid w:val="00CE79ED"/>
    <w:rsid w:val="00CF24A1"/>
    <w:rsid w:val="00CF42BE"/>
    <w:rsid w:val="00CF71EE"/>
    <w:rsid w:val="00D03749"/>
    <w:rsid w:val="00D046ED"/>
    <w:rsid w:val="00D05819"/>
    <w:rsid w:val="00D06524"/>
    <w:rsid w:val="00D21ED0"/>
    <w:rsid w:val="00D2595A"/>
    <w:rsid w:val="00D27E89"/>
    <w:rsid w:val="00D33B15"/>
    <w:rsid w:val="00D405B3"/>
    <w:rsid w:val="00D40B14"/>
    <w:rsid w:val="00D52B77"/>
    <w:rsid w:val="00D54D5B"/>
    <w:rsid w:val="00D55431"/>
    <w:rsid w:val="00D66137"/>
    <w:rsid w:val="00D671BE"/>
    <w:rsid w:val="00D6781D"/>
    <w:rsid w:val="00D73F38"/>
    <w:rsid w:val="00D763DE"/>
    <w:rsid w:val="00D80CAB"/>
    <w:rsid w:val="00D82653"/>
    <w:rsid w:val="00D8547F"/>
    <w:rsid w:val="00DB67EB"/>
    <w:rsid w:val="00DB6F8D"/>
    <w:rsid w:val="00DC16E3"/>
    <w:rsid w:val="00DD0319"/>
    <w:rsid w:val="00DD0C92"/>
    <w:rsid w:val="00DE10FC"/>
    <w:rsid w:val="00DE5BCB"/>
    <w:rsid w:val="00E03DCC"/>
    <w:rsid w:val="00E10206"/>
    <w:rsid w:val="00E12658"/>
    <w:rsid w:val="00E16C2A"/>
    <w:rsid w:val="00E22E37"/>
    <w:rsid w:val="00E318F1"/>
    <w:rsid w:val="00E366EB"/>
    <w:rsid w:val="00E379B0"/>
    <w:rsid w:val="00E5345F"/>
    <w:rsid w:val="00E72370"/>
    <w:rsid w:val="00E817CC"/>
    <w:rsid w:val="00E90AA8"/>
    <w:rsid w:val="00E92D9D"/>
    <w:rsid w:val="00E95EBB"/>
    <w:rsid w:val="00E97BFB"/>
    <w:rsid w:val="00EB3C2E"/>
    <w:rsid w:val="00EC15DD"/>
    <w:rsid w:val="00ED3B88"/>
    <w:rsid w:val="00ED3D78"/>
    <w:rsid w:val="00ED4253"/>
    <w:rsid w:val="00ED68EA"/>
    <w:rsid w:val="00EE0B26"/>
    <w:rsid w:val="00EE2361"/>
    <w:rsid w:val="00EE2E25"/>
    <w:rsid w:val="00EE5462"/>
    <w:rsid w:val="00EE64F5"/>
    <w:rsid w:val="00EE71B8"/>
    <w:rsid w:val="00EF24FF"/>
    <w:rsid w:val="00F022B3"/>
    <w:rsid w:val="00F041A9"/>
    <w:rsid w:val="00F12A55"/>
    <w:rsid w:val="00F13A4F"/>
    <w:rsid w:val="00F234D7"/>
    <w:rsid w:val="00F27C7A"/>
    <w:rsid w:val="00F32A0E"/>
    <w:rsid w:val="00F376D4"/>
    <w:rsid w:val="00F4045F"/>
    <w:rsid w:val="00F46211"/>
    <w:rsid w:val="00F70C23"/>
    <w:rsid w:val="00F8208C"/>
    <w:rsid w:val="00F90729"/>
    <w:rsid w:val="00F95C4D"/>
    <w:rsid w:val="00FB4524"/>
    <w:rsid w:val="00FB6DB0"/>
    <w:rsid w:val="00FC7E08"/>
    <w:rsid w:val="00FF463B"/>
    <w:rsid w:val="00FF6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4805C8"/>
    <w:rPr>
      <w:rFonts w:ascii="Tahoma" w:hAnsi="Tahoma" w:cs="Tahoma"/>
      <w:sz w:val="16"/>
      <w:szCs w:val="16"/>
    </w:rPr>
  </w:style>
  <w:style w:type="character" w:customStyle="1" w:styleId="BalloonTextChar">
    <w:name w:val="Balloon Text Char"/>
    <w:basedOn w:val="DefaultParagraphFont"/>
    <w:link w:val="BalloonText"/>
    <w:uiPriority w:val="99"/>
    <w:semiHidden/>
    <w:rsid w:val="004805C8"/>
    <w:rPr>
      <w:rFonts w:ascii="Tahoma" w:eastAsia="Times New Roman" w:hAnsi="Tahoma" w:cs="Tahoma"/>
      <w:sz w:val="16"/>
      <w:szCs w:val="16"/>
      <w:lang w:val="en-GB"/>
    </w:rPr>
  </w:style>
  <w:style w:type="paragraph" w:styleId="HTMLPreformatted">
    <w:name w:val="HTML Preformatted"/>
    <w:basedOn w:val="Normal"/>
    <w:link w:val="HTMLPreformattedChar"/>
    <w:rsid w:val="00B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B77035"/>
    <w:rPr>
      <w:rFonts w:ascii="Arial Unicode MS" w:eastAsia="Arial Unicode MS" w:hAnsi="Arial Unicode MS" w:cs="Arial Unicode MS"/>
      <w:sz w:val="20"/>
      <w:szCs w:val="20"/>
    </w:rPr>
  </w:style>
  <w:style w:type="paragraph" w:customStyle="1" w:styleId="naispant">
    <w:name w:val="naispant"/>
    <w:basedOn w:val="Normal"/>
    <w:rsid w:val="00CA0BD8"/>
    <w:pPr>
      <w:spacing w:before="100" w:beforeAutospacing="1" w:after="100" w:afterAutospacing="1"/>
    </w:pPr>
    <w:rPr>
      <w:lang w:val="lv-LV" w:eastAsia="lv-LV"/>
    </w:rPr>
  </w:style>
  <w:style w:type="paragraph" w:customStyle="1" w:styleId="naisf">
    <w:name w:val="naisf"/>
    <w:basedOn w:val="Normal"/>
    <w:rsid w:val="00CA0BD8"/>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9E11C1"/>
    <w:rPr>
      <w:sz w:val="16"/>
      <w:szCs w:val="16"/>
    </w:rPr>
  </w:style>
  <w:style w:type="paragraph" w:styleId="CommentText">
    <w:name w:val="annotation text"/>
    <w:basedOn w:val="Normal"/>
    <w:link w:val="CommentTextChar"/>
    <w:uiPriority w:val="99"/>
    <w:semiHidden/>
    <w:unhideWhenUsed/>
    <w:rsid w:val="009E11C1"/>
    <w:rPr>
      <w:sz w:val="20"/>
      <w:szCs w:val="20"/>
    </w:rPr>
  </w:style>
  <w:style w:type="character" w:customStyle="1" w:styleId="CommentTextChar">
    <w:name w:val="Comment Text Char"/>
    <w:basedOn w:val="DefaultParagraphFont"/>
    <w:link w:val="CommentText"/>
    <w:uiPriority w:val="99"/>
    <w:semiHidden/>
    <w:rsid w:val="009E11C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E11C1"/>
    <w:rPr>
      <w:b/>
      <w:bCs/>
    </w:rPr>
  </w:style>
  <w:style w:type="character" w:customStyle="1" w:styleId="CommentSubjectChar">
    <w:name w:val="Comment Subject Char"/>
    <w:basedOn w:val="CommentTextChar"/>
    <w:link w:val="CommentSubject"/>
    <w:uiPriority w:val="99"/>
    <w:semiHidden/>
    <w:rsid w:val="009E11C1"/>
    <w:rPr>
      <w:rFonts w:eastAsia="Times New Roman" w:cs="Times New Roman"/>
      <w:b/>
      <w:bCs/>
      <w:sz w:val="20"/>
      <w:szCs w:val="20"/>
      <w:lang w:val="en-GB"/>
    </w:rPr>
  </w:style>
  <w:style w:type="paragraph" w:styleId="BodyText2">
    <w:name w:val="Body Text 2"/>
    <w:basedOn w:val="Normal"/>
    <w:link w:val="BodyText2Char"/>
    <w:uiPriority w:val="99"/>
    <w:semiHidden/>
    <w:unhideWhenUsed/>
    <w:rsid w:val="00235438"/>
    <w:pPr>
      <w:spacing w:after="120" w:line="480" w:lineRule="auto"/>
    </w:pPr>
  </w:style>
  <w:style w:type="character" w:customStyle="1" w:styleId="BodyText2Char">
    <w:name w:val="Body Text 2 Char"/>
    <w:basedOn w:val="DefaultParagraphFont"/>
    <w:link w:val="BodyText2"/>
    <w:uiPriority w:val="99"/>
    <w:semiHidden/>
    <w:rsid w:val="00235438"/>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 w:type="paragraph" w:styleId="ListParagraph">
    <w:name w:val="List Paragraph"/>
    <w:basedOn w:val="Normal"/>
    <w:uiPriority w:val="34"/>
    <w:qFormat/>
    <w:rsid w:val="00EF24FF"/>
    <w:pPr>
      <w:ind w:left="720"/>
      <w:contextualSpacing/>
    </w:pPr>
  </w:style>
  <w:style w:type="paragraph" w:styleId="BalloonText">
    <w:name w:val="Balloon Text"/>
    <w:basedOn w:val="Normal"/>
    <w:link w:val="BalloonTextChar"/>
    <w:uiPriority w:val="99"/>
    <w:semiHidden/>
    <w:unhideWhenUsed/>
    <w:rsid w:val="004805C8"/>
    <w:rPr>
      <w:rFonts w:ascii="Tahoma" w:hAnsi="Tahoma" w:cs="Tahoma"/>
      <w:sz w:val="16"/>
      <w:szCs w:val="16"/>
    </w:rPr>
  </w:style>
  <w:style w:type="character" w:customStyle="1" w:styleId="BalloonTextChar">
    <w:name w:val="Balloon Text Char"/>
    <w:basedOn w:val="DefaultParagraphFont"/>
    <w:link w:val="BalloonText"/>
    <w:uiPriority w:val="99"/>
    <w:semiHidden/>
    <w:rsid w:val="004805C8"/>
    <w:rPr>
      <w:rFonts w:ascii="Tahoma" w:eastAsia="Times New Roman" w:hAnsi="Tahoma" w:cs="Tahoma"/>
      <w:sz w:val="16"/>
      <w:szCs w:val="16"/>
      <w:lang w:val="en-GB"/>
    </w:rPr>
  </w:style>
  <w:style w:type="paragraph" w:styleId="HTMLPreformatted">
    <w:name w:val="HTML Preformatted"/>
    <w:basedOn w:val="Normal"/>
    <w:link w:val="HTMLPreformattedChar"/>
    <w:rsid w:val="00B7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B77035"/>
    <w:rPr>
      <w:rFonts w:ascii="Arial Unicode MS" w:eastAsia="Arial Unicode MS" w:hAnsi="Arial Unicode MS" w:cs="Arial Unicode MS"/>
      <w:sz w:val="20"/>
      <w:szCs w:val="20"/>
    </w:rPr>
  </w:style>
  <w:style w:type="paragraph" w:customStyle="1" w:styleId="naispant">
    <w:name w:val="naispant"/>
    <w:basedOn w:val="Normal"/>
    <w:rsid w:val="00CA0BD8"/>
    <w:pPr>
      <w:spacing w:before="100" w:beforeAutospacing="1" w:after="100" w:afterAutospacing="1"/>
    </w:pPr>
    <w:rPr>
      <w:lang w:val="lv-LV" w:eastAsia="lv-LV"/>
    </w:rPr>
  </w:style>
  <w:style w:type="paragraph" w:customStyle="1" w:styleId="naisf">
    <w:name w:val="naisf"/>
    <w:basedOn w:val="Normal"/>
    <w:rsid w:val="00CA0BD8"/>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9E11C1"/>
    <w:rPr>
      <w:sz w:val="16"/>
      <w:szCs w:val="16"/>
    </w:rPr>
  </w:style>
  <w:style w:type="paragraph" w:styleId="CommentText">
    <w:name w:val="annotation text"/>
    <w:basedOn w:val="Normal"/>
    <w:link w:val="CommentTextChar"/>
    <w:uiPriority w:val="99"/>
    <w:semiHidden/>
    <w:unhideWhenUsed/>
    <w:rsid w:val="009E11C1"/>
    <w:rPr>
      <w:sz w:val="20"/>
      <w:szCs w:val="20"/>
    </w:rPr>
  </w:style>
  <w:style w:type="character" w:customStyle="1" w:styleId="CommentTextChar">
    <w:name w:val="Comment Text Char"/>
    <w:basedOn w:val="DefaultParagraphFont"/>
    <w:link w:val="CommentText"/>
    <w:uiPriority w:val="99"/>
    <w:semiHidden/>
    <w:rsid w:val="009E11C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E11C1"/>
    <w:rPr>
      <w:b/>
      <w:bCs/>
    </w:rPr>
  </w:style>
  <w:style w:type="character" w:customStyle="1" w:styleId="CommentSubjectChar">
    <w:name w:val="Comment Subject Char"/>
    <w:basedOn w:val="CommentTextChar"/>
    <w:link w:val="CommentSubject"/>
    <w:uiPriority w:val="99"/>
    <w:semiHidden/>
    <w:rsid w:val="009E11C1"/>
    <w:rPr>
      <w:rFonts w:eastAsia="Times New Roman" w:cs="Times New Roman"/>
      <w:b/>
      <w:bCs/>
      <w:sz w:val="20"/>
      <w:szCs w:val="20"/>
      <w:lang w:val="en-GB"/>
    </w:rPr>
  </w:style>
  <w:style w:type="paragraph" w:styleId="BodyText2">
    <w:name w:val="Body Text 2"/>
    <w:basedOn w:val="Normal"/>
    <w:link w:val="BodyText2Char"/>
    <w:uiPriority w:val="99"/>
    <w:semiHidden/>
    <w:unhideWhenUsed/>
    <w:rsid w:val="00235438"/>
    <w:pPr>
      <w:spacing w:after="120" w:line="480" w:lineRule="auto"/>
    </w:pPr>
  </w:style>
  <w:style w:type="character" w:customStyle="1" w:styleId="BodyText2Char">
    <w:name w:val="Body Text 2 Char"/>
    <w:basedOn w:val="DefaultParagraphFont"/>
    <w:link w:val="BodyText2"/>
    <w:uiPriority w:val="99"/>
    <w:semiHidden/>
    <w:rsid w:val="00235438"/>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1426">
      <w:bodyDiv w:val="1"/>
      <w:marLeft w:val="0"/>
      <w:marRight w:val="0"/>
      <w:marTop w:val="0"/>
      <w:marBottom w:val="0"/>
      <w:divBdr>
        <w:top w:val="none" w:sz="0" w:space="0" w:color="auto"/>
        <w:left w:val="none" w:sz="0" w:space="0" w:color="auto"/>
        <w:bottom w:val="none" w:sz="0" w:space="0" w:color="auto"/>
        <w:right w:val="none" w:sz="0" w:space="0" w:color="auto"/>
      </w:divBdr>
    </w:div>
    <w:div w:id="731539862">
      <w:bodyDiv w:val="1"/>
      <w:marLeft w:val="0"/>
      <w:marRight w:val="0"/>
      <w:marTop w:val="0"/>
      <w:marBottom w:val="0"/>
      <w:divBdr>
        <w:top w:val="none" w:sz="0" w:space="0" w:color="auto"/>
        <w:left w:val="none" w:sz="0" w:space="0" w:color="auto"/>
        <w:bottom w:val="none" w:sz="0" w:space="0" w:color="auto"/>
        <w:right w:val="none" w:sz="0" w:space="0" w:color="auto"/>
      </w:divBdr>
    </w:div>
    <w:div w:id="748423528">
      <w:bodyDiv w:val="1"/>
      <w:marLeft w:val="0"/>
      <w:marRight w:val="0"/>
      <w:marTop w:val="0"/>
      <w:marBottom w:val="0"/>
      <w:divBdr>
        <w:top w:val="none" w:sz="0" w:space="0" w:color="auto"/>
        <w:left w:val="none" w:sz="0" w:space="0" w:color="auto"/>
        <w:bottom w:val="none" w:sz="0" w:space="0" w:color="auto"/>
        <w:right w:val="none" w:sz="0" w:space="0" w:color="auto"/>
      </w:divBdr>
    </w:div>
    <w:div w:id="1241408058">
      <w:bodyDiv w:val="1"/>
      <w:marLeft w:val="0"/>
      <w:marRight w:val="0"/>
      <w:marTop w:val="0"/>
      <w:marBottom w:val="0"/>
      <w:divBdr>
        <w:top w:val="none" w:sz="0" w:space="0" w:color="auto"/>
        <w:left w:val="none" w:sz="0" w:space="0" w:color="auto"/>
        <w:bottom w:val="none" w:sz="0" w:space="0" w:color="auto"/>
        <w:right w:val="none" w:sz="0" w:space="0" w:color="auto"/>
      </w:divBdr>
    </w:div>
    <w:div w:id="1482037082">
      <w:bodyDiv w:val="1"/>
      <w:marLeft w:val="0"/>
      <w:marRight w:val="0"/>
      <w:marTop w:val="0"/>
      <w:marBottom w:val="0"/>
      <w:divBdr>
        <w:top w:val="none" w:sz="0" w:space="0" w:color="auto"/>
        <w:left w:val="none" w:sz="0" w:space="0" w:color="auto"/>
        <w:bottom w:val="none" w:sz="0" w:space="0" w:color="auto"/>
        <w:right w:val="none" w:sz="0" w:space="0" w:color="auto"/>
      </w:divBdr>
    </w:div>
    <w:div w:id="1573781806">
      <w:bodyDiv w:val="1"/>
      <w:marLeft w:val="0"/>
      <w:marRight w:val="0"/>
      <w:marTop w:val="0"/>
      <w:marBottom w:val="0"/>
      <w:divBdr>
        <w:top w:val="none" w:sz="0" w:space="0" w:color="auto"/>
        <w:left w:val="none" w:sz="0" w:space="0" w:color="auto"/>
        <w:bottom w:val="none" w:sz="0" w:space="0" w:color="auto"/>
        <w:right w:val="none" w:sz="0" w:space="0" w:color="auto"/>
      </w:divBdr>
    </w:div>
    <w:div w:id="1583677616">
      <w:bodyDiv w:val="1"/>
      <w:marLeft w:val="0"/>
      <w:marRight w:val="0"/>
      <w:marTop w:val="0"/>
      <w:marBottom w:val="0"/>
      <w:divBdr>
        <w:top w:val="none" w:sz="0" w:space="0" w:color="auto"/>
        <w:left w:val="none" w:sz="0" w:space="0" w:color="auto"/>
        <w:bottom w:val="none" w:sz="0" w:space="0" w:color="auto"/>
        <w:right w:val="none" w:sz="0" w:space="0" w:color="auto"/>
      </w:divBdr>
    </w:div>
    <w:div w:id="18816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dars.deaks@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1BDF-9755-408A-8EDF-396E8920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2136</Words>
  <Characters>15361</Characters>
  <Application>Microsoft Office Word</Application>
  <DocSecurity>0</DocSecurity>
  <Lines>465</Lines>
  <Paragraphs>168</Paragraphs>
  <ScaleCrop>false</ScaleCrop>
  <HeadingPairs>
    <vt:vector size="2" baseType="variant">
      <vt:variant>
        <vt:lpstr>Title</vt:lpstr>
      </vt:variant>
      <vt:variant>
        <vt:i4>1</vt:i4>
      </vt:variant>
    </vt:vector>
  </HeadingPairs>
  <TitlesOfParts>
    <vt:vector size="1" baseType="lpstr">
      <vt:lpstr>Grozījumi Latvijas Administratīvo pārkāpumu kodeksā</vt:lpstr>
    </vt:vector>
  </TitlesOfParts>
  <Company>Centrālā statistikas pārvalde</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anotācija</dc:subject>
  <dc:creator>Madars Deaks</dc:creator>
  <dc:description>madars.deaks@csb.gov.lv
Tālrunis 67366642</dc:description>
  <cp:lastModifiedBy>Agnese Rožkalne</cp:lastModifiedBy>
  <cp:revision>86</cp:revision>
  <cp:lastPrinted>2011-08-31T07:56:00Z</cp:lastPrinted>
  <dcterms:created xsi:type="dcterms:W3CDTF">2013-05-22T11:07:00Z</dcterms:created>
  <dcterms:modified xsi:type="dcterms:W3CDTF">2013-08-07T08:42:00Z</dcterms:modified>
</cp:coreProperties>
</file>