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25" w:rsidRPr="006B0CB8" w:rsidRDefault="00D72E25" w:rsidP="00224579">
      <w:pPr>
        <w:jc w:val="center"/>
        <w:rPr>
          <w:b/>
          <w:sz w:val="28"/>
          <w:szCs w:val="28"/>
        </w:rPr>
      </w:pPr>
      <w:bookmarkStart w:id="0" w:name="OLE_LINK1"/>
      <w:bookmarkStart w:id="1" w:name="OLE_LINK2"/>
      <w:bookmarkStart w:id="2" w:name="OLE_LINK7"/>
      <w:bookmarkStart w:id="3" w:name="OLE_LINK8"/>
      <w:bookmarkStart w:id="4" w:name="OLE_LINK9"/>
      <w:bookmarkStart w:id="5" w:name="OLE_LINK3"/>
      <w:bookmarkStart w:id="6" w:name="OLE_LINK4"/>
      <w:bookmarkStart w:id="7" w:name="OLE_LINK5"/>
      <w:r>
        <w:rPr>
          <w:b/>
          <w:sz w:val="28"/>
          <w:szCs w:val="28"/>
        </w:rPr>
        <w:t>Ministru kabineta noteikumu projekta „Grozījumi Ministru kabineta 2005.gada 30.augusta noteikumos Nr.664 „</w:t>
      </w:r>
      <w:bookmarkStart w:id="8" w:name="OLE_LINK10"/>
      <w:bookmarkStart w:id="9" w:name="OLE_LINK11"/>
      <w:r>
        <w:rPr>
          <w:b/>
          <w:sz w:val="28"/>
          <w:szCs w:val="28"/>
        </w:rPr>
        <w:t>Sabiedrisko pakalpojumu licencēšanas noteikumi</w:t>
      </w:r>
      <w:bookmarkEnd w:id="8"/>
      <w:bookmarkEnd w:id="9"/>
      <w:r>
        <w:rPr>
          <w:b/>
          <w:sz w:val="28"/>
          <w:szCs w:val="28"/>
        </w:rPr>
        <w:t>””</w:t>
      </w:r>
    </w:p>
    <w:bookmarkEnd w:id="0"/>
    <w:bookmarkEnd w:id="1"/>
    <w:bookmarkEnd w:id="2"/>
    <w:bookmarkEnd w:id="3"/>
    <w:bookmarkEnd w:id="4"/>
    <w:p w:rsidR="00D72E25" w:rsidRPr="00916830" w:rsidRDefault="00D72E25" w:rsidP="00916830">
      <w:pPr>
        <w:jc w:val="center"/>
        <w:rPr>
          <w:sz w:val="28"/>
          <w:szCs w:val="28"/>
        </w:rPr>
      </w:pPr>
      <w:r w:rsidRPr="00E40368">
        <w:rPr>
          <w:b/>
          <w:bCs/>
          <w:sz w:val="28"/>
          <w:szCs w:val="28"/>
        </w:rPr>
        <w:t xml:space="preserve">sākotnējās ietekmes novērtējuma </w:t>
      </w:r>
      <w:smartTag w:uri="schemas-tilde-lv/tildestengine" w:element="veidnes">
        <w:smartTagPr>
          <w:attr w:name="id" w:val="-1"/>
          <w:attr w:name="baseform" w:val="ziņojums"/>
          <w:attr w:name="text" w:val="ziņojums"/>
        </w:smartTagPr>
        <w:r w:rsidRPr="00E40368">
          <w:rPr>
            <w:b/>
            <w:bCs/>
            <w:sz w:val="28"/>
            <w:szCs w:val="28"/>
          </w:rPr>
          <w:t>ziņojums</w:t>
        </w:r>
      </w:smartTag>
      <w:r w:rsidRPr="00E40368">
        <w:rPr>
          <w:b/>
          <w:bCs/>
          <w:sz w:val="28"/>
          <w:szCs w:val="28"/>
        </w:rPr>
        <w:t xml:space="preserve"> (anotācija)</w:t>
      </w:r>
    </w:p>
    <w:bookmarkEnd w:id="5"/>
    <w:bookmarkEnd w:id="6"/>
    <w:bookmarkEnd w:id="7"/>
    <w:p w:rsidR="00D72E25" w:rsidRPr="00E40368" w:rsidRDefault="00D72E25" w:rsidP="00774214">
      <w:pPr>
        <w:pStyle w:val="naisnod"/>
        <w:spacing w:before="0" w:beforeAutospacing="0" w:after="0" w:afterAutospacing="0"/>
        <w:jc w:val="center"/>
        <w:rPr>
          <w:b/>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9"/>
        <w:gridCol w:w="3030"/>
        <w:gridCol w:w="5542"/>
      </w:tblGrid>
      <w:tr w:rsidR="00D72E25" w:rsidRPr="00E40368" w:rsidTr="00444F36">
        <w:trPr>
          <w:tblCellSpacing w:w="0" w:type="dxa"/>
        </w:trPr>
        <w:tc>
          <w:tcPr>
            <w:tcW w:w="9101" w:type="dxa"/>
            <w:gridSpan w:val="3"/>
            <w:tcBorders>
              <w:top w:val="outset" w:sz="6" w:space="0" w:color="auto"/>
              <w:bottom w:val="outset" w:sz="6" w:space="0" w:color="auto"/>
            </w:tcBorders>
            <w:vAlign w:val="center"/>
          </w:tcPr>
          <w:p w:rsidR="00D72E25" w:rsidRPr="00E40368" w:rsidRDefault="00D72E25">
            <w:pPr>
              <w:pStyle w:val="naisc"/>
              <w:rPr>
                <w:sz w:val="28"/>
                <w:szCs w:val="28"/>
              </w:rPr>
            </w:pPr>
            <w:r w:rsidRPr="00E40368">
              <w:rPr>
                <w:b/>
                <w:bCs/>
                <w:sz w:val="28"/>
                <w:szCs w:val="28"/>
              </w:rPr>
              <w:t> I. Tiesību akta projekta izstrādes nepieciešamība</w:t>
            </w:r>
          </w:p>
        </w:tc>
      </w:tr>
      <w:tr w:rsidR="00D72E25" w:rsidRPr="00E40368" w:rsidTr="000D7D82">
        <w:trPr>
          <w:trHeight w:val="630"/>
          <w:tblCellSpacing w:w="0" w:type="dxa"/>
        </w:trPr>
        <w:tc>
          <w:tcPr>
            <w:tcW w:w="529" w:type="dxa"/>
            <w:tcBorders>
              <w:top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1.</w:t>
            </w:r>
          </w:p>
        </w:tc>
        <w:tc>
          <w:tcPr>
            <w:tcW w:w="3030" w:type="dxa"/>
            <w:tcBorders>
              <w:top w:val="outset" w:sz="6" w:space="0" w:color="auto"/>
              <w:left w:val="outset" w:sz="6" w:space="0" w:color="auto"/>
              <w:bottom w:val="outset" w:sz="6" w:space="0" w:color="auto"/>
              <w:right w:val="outset" w:sz="6" w:space="0" w:color="auto"/>
            </w:tcBorders>
          </w:tcPr>
          <w:p w:rsidR="00D72E25" w:rsidRPr="00E40368" w:rsidRDefault="00D72E25" w:rsidP="008C222E">
            <w:pPr>
              <w:pStyle w:val="naislab"/>
              <w:jc w:val="both"/>
              <w:rPr>
                <w:sz w:val="28"/>
                <w:szCs w:val="28"/>
              </w:rPr>
            </w:pPr>
            <w:r w:rsidRPr="00E40368">
              <w:rPr>
                <w:sz w:val="28"/>
                <w:szCs w:val="28"/>
              </w:rPr>
              <w:t> Pamatojums</w:t>
            </w:r>
          </w:p>
        </w:tc>
        <w:tc>
          <w:tcPr>
            <w:tcW w:w="5542" w:type="dxa"/>
            <w:tcBorders>
              <w:top w:val="outset" w:sz="6" w:space="0" w:color="auto"/>
              <w:left w:val="outset" w:sz="6" w:space="0" w:color="auto"/>
              <w:bottom w:val="outset" w:sz="6" w:space="0" w:color="auto"/>
            </w:tcBorders>
          </w:tcPr>
          <w:p w:rsidR="00D72E25" w:rsidRPr="00E40368" w:rsidRDefault="00D72E25" w:rsidP="00224579">
            <w:pPr>
              <w:pStyle w:val="naislab"/>
              <w:spacing w:before="0" w:after="0"/>
              <w:jc w:val="both"/>
              <w:rPr>
                <w:sz w:val="28"/>
                <w:szCs w:val="28"/>
              </w:rPr>
            </w:pPr>
            <w:r>
              <w:rPr>
                <w:sz w:val="28"/>
                <w:szCs w:val="28"/>
              </w:rPr>
              <w:t>Likuma „Par sabiedrisko pakalpojumu regulatoriem”16.panta otrā daļa un 18.panta pirmā daļa, Elektroenerģijas tirgus likuma pārejas noteikumu 20.punkts un Enerģētikas likuma pārejas noteikumu 26.un 27.punkts.</w:t>
            </w:r>
          </w:p>
        </w:tc>
      </w:tr>
      <w:tr w:rsidR="00D72E25" w:rsidRPr="00E40368" w:rsidTr="00131719">
        <w:trPr>
          <w:trHeight w:val="472"/>
          <w:tblCellSpacing w:w="0" w:type="dxa"/>
        </w:trPr>
        <w:tc>
          <w:tcPr>
            <w:tcW w:w="529" w:type="dxa"/>
            <w:tcBorders>
              <w:top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2.</w:t>
            </w:r>
          </w:p>
        </w:tc>
        <w:tc>
          <w:tcPr>
            <w:tcW w:w="3030" w:type="dxa"/>
            <w:tcBorders>
              <w:top w:val="outset" w:sz="6" w:space="0" w:color="auto"/>
              <w:left w:val="outset" w:sz="6" w:space="0" w:color="auto"/>
              <w:bottom w:val="outset" w:sz="6" w:space="0" w:color="auto"/>
              <w:right w:val="outset" w:sz="6" w:space="0" w:color="auto"/>
            </w:tcBorders>
          </w:tcPr>
          <w:p w:rsidR="00D72E25" w:rsidRPr="00E40368" w:rsidRDefault="00D72E25" w:rsidP="008C222E">
            <w:pPr>
              <w:pStyle w:val="naiskr"/>
              <w:jc w:val="both"/>
              <w:rPr>
                <w:sz w:val="28"/>
                <w:szCs w:val="28"/>
              </w:rPr>
            </w:pPr>
            <w:r w:rsidRPr="00E40368">
              <w:rPr>
                <w:sz w:val="28"/>
                <w:szCs w:val="28"/>
              </w:rPr>
              <w:t> Pašreizējā situācija un problēmas</w:t>
            </w:r>
          </w:p>
        </w:tc>
        <w:tc>
          <w:tcPr>
            <w:tcW w:w="5542" w:type="dxa"/>
            <w:tcBorders>
              <w:top w:val="outset" w:sz="6" w:space="0" w:color="auto"/>
              <w:left w:val="outset" w:sz="6" w:space="0" w:color="auto"/>
              <w:bottom w:val="outset" w:sz="6" w:space="0" w:color="auto"/>
            </w:tcBorders>
          </w:tcPr>
          <w:p w:rsidR="00D72E25" w:rsidRDefault="00D72E25" w:rsidP="006A5E1A">
            <w:pPr>
              <w:pStyle w:val="naiskr"/>
              <w:jc w:val="both"/>
              <w:rPr>
                <w:sz w:val="28"/>
                <w:szCs w:val="28"/>
              </w:rPr>
            </w:pPr>
            <w:r w:rsidRPr="006A5E1A">
              <w:rPr>
                <w:sz w:val="28"/>
                <w:szCs w:val="28"/>
              </w:rPr>
              <w:t>Šobrīd spēkā ir Ministru kabineta 200</w:t>
            </w:r>
            <w:r>
              <w:rPr>
                <w:sz w:val="28"/>
                <w:szCs w:val="28"/>
              </w:rPr>
              <w:t>5</w:t>
            </w:r>
            <w:r w:rsidRPr="006A5E1A">
              <w:rPr>
                <w:sz w:val="28"/>
                <w:szCs w:val="28"/>
              </w:rPr>
              <w:t xml:space="preserve">.gada </w:t>
            </w:r>
            <w:r>
              <w:rPr>
                <w:sz w:val="28"/>
                <w:szCs w:val="28"/>
              </w:rPr>
              <w:t>30</w:t>
            </w:r>
            <w:r w:rsidRPr="006A5E1A">
              <w:rPr>
                <w:sz w:val="28"/>
                <w:szCs w:val="28"/>
              </w:rPr>
              <w:t>.</w:t>
            </w:r>
            <w:r>
              <w:rPr>
                <w:sz w:val="28"/>
                <w:szCs w:val="28"/>
              </w:rPr>
              <w:t>augusta</w:t>
            </w:r>
            <w:r w:rsidRPr="006A5E1A">
              <w:rPr>
                <w:sz w:val="28"/>
                <w:szCs w:val="28"/>
              </w:rPr>
              <w:t xml:space="preserve"> noteikumi Nr.</w:t>
            </w:r>
            <w:r>
              <w:rPr>
                <w:sz w:val="28"/>
                <w:szCs w:val="28"/>
              </w:rPr>
              <w:t>664</w:t>
            </w:r>
            <w:r w:rsidRPr="006A5E1A">
              <w:rPr>
                <w:sz w:val="28"/>
                <w:szCs w:val="28"/>
              </w:rPr>
              <w:t xml:space="preserve"> „</w:t>
            </w:r>
            <w:r>
              <w:rPr>
                <w:sz w:val="28"/>
                <w:szCs w:val="28"/>
              </w:rPr>
              <w:t xml:space="preserve">Sabiedrisko pakalpojumu regulēšanas noteikumi”, kas nosaka sabiedrisko pakalpojumu sniegšanas un regulējamo nozaru komersantu licencēšanas kārtību. </w:t>
            </w:r>
          </w:p>
          <w:p w:rsidR="00D72E25" w:rsidRPr="00224579" w:rsidRDefault="00D72E25" w:rsidP="006A5E1A">
            <w:pPr>
              <w:pStyle w:val="naiskr"/>
              <w:jc w:val="both"/>
              <w:rPr>
                <w:sz w:val="28"/>
                <w:szCs w:val="28"/>
              </w:rPr>
            </w:pPr>
            <w:r>
              <w:rPr>
                <w:sz w:val="28"/>
                <w:szCs w:val="28"/>
              </w:rPr>
              <w:t>Atbilstoši Elektroenerģijas tirgus likuma 26.</w:t>
            </w:r>
            <w:r>
              <w:rPr>
                <w:sz w:val="28"/>
                <w:szCs w:val="28"/>
                <w:vertAlign w:val="superscript"/>
              </w:rPr>
              <w:t>1</w:t>
            </w:r>
            <w:r>
              <w:rPr>
                <w:sz w:val="28"/>
                <w:szCs w:val="28"/>
              </w:rPr>
              <w:t xml:space="preserve"> un 32.</w:t>
            </w:r>
            <w:r>
              <w:rPr>
                <w:sz w:val="28"/>
                <w:szCs w:val="28"/>
                <w:vertAlign w:val="superscript"/>
              </w:rPr>
              <w:t>1</w:t>
            </w:r>
            <w:r>
              <w:rPr>
                <w:sz w:val="28"/>
                <w:szCs w:val="28"/>
              </w:rPr>
              <w:t>pantam un šā likuma pārejas noteikumu 20.punktam un no 2012.gada 1.janvāra elektroenerģijas ražotāji un tirgotāji vairs netiks licencēti, bet gan reģistrēti Sabiedrisko pakalpojumu regulēšanas komisijas veidotajos reģistros.</w:t>
            </w:r>
          </w:p>
          <w:p w:rsidR="00D72E25" w:rsidRDefault="00D72E25" w:rsidP="00CF69FA">
            <w:pPr>
              <w:pStyle w:val="naiskr"/>
              <w:jc w:val="both"/>
              <w:rPr>
                <w:sz w:val="28"/>
                <w:szCs w:val="28"/>
              </w:rPr>
            </w:pPr>
            <w:r>
              <w:rPr>
                <w:sz w:val="28"/>
                <w:szCs w:val="28"/>
              </w:rPr>
              <w:t>Elektroenerģijas ražotāju un tirgotāju, kā arī siltumenerģijas ražotāju un tirgotāju pāreja no licencēšanas uz reģistrāciju 2012.gada 1.janvārī ir paredzēta arī grozījumos Enerģētikas likumā, kas stājās spēkā 2011.gada 26.oktobrī.</w:t>
            </w:r>
          </w:p>
          <w:p w:rsidR="00D72E25" w:rsidRDefault="00D72E25" w:rsidP="00CF69FA">
            <w:pPr>
              <w:pStyle w:val="naiskr"/>
              <w:jc w:val="both"/>
              <w:rPr>
                <w:sz w:val="28"/>
                <w:szCs w:val="28"/>
              </w:rPr>
            </w:pPr>
            <w:r>
              <w:rPr>
                <w:sz w:val="28"/>
                <w:szCs w:val="28"/>
              </w:rPr>
              <w:t xml:space="preserve">Vienlaikus atbilstoši Enerģētikas likuma 7.panta otrajai daļai un Elektroenerģijas tirgus likuma 1.panta otrās daļas 16.punktam, 32.panta otrajai daļai un 33.pantam tiek saglabātas normas, kas nosaka, ka licenci elektroenerģijas tirdzniecībai izsniedz publiskajam tirgotājam, kurš pilda normatīvajos aktos noteiktus īpašus pienākumus un kura licencē ir iekļautas speciālas prasības publiskā tirgotāja pienākumu izpildes </w:t>
            </w:r>
            <w:r>
              <w:rPr>
                <w:sz w:val="28"/>
                <w:szCs w:val="28"/>
              </w:rPr>
              <w:lastRenderedPageBreak/>
              <w:t>nodrošināšanai.</w:t>
            </w:r>
          </w:p>
          <w:p w:rsidR="00D72E25" w:rsidRDefault="00D72E25" w:rsidP="00CF69FA">
            <w:pPr>
              <w:pStyle w:val="naiskr"/>
              <w:jc w:val="both"/>
              <w:rPr>
                <w:sz w:val="28"/>
                <w:szCs w:val="28"/>
              </w:rPr>
            </w:pPr>
            <w:r>
              <w:rPr>
                <w:sz w:val="28"/>
                <w:szCs w:val="28"/>
              </w:rPr>
              <w:t xml:space="preserve">Grozījumi Enerģētikas likuma 5.panta pirmajā daļā paredz noteikt, ka energoapgādes komersanti ir regulējamie komersanti, kuri nodrošina enerģijas lietotāju drošu, pastāvīgu un stabilu apgādi ar elektroenerģiju, siltumenerģiju un dabasgāzi ekonomiski pamatoti pieprasītajā daudzumā un kvalitātē. </w:t>
            </w:r>
          </w:p>
          <w:p w:rsidR="00D72E25" w:rsidRDefault="00D72E25" w:rsidP="00CF69FA">
            <w:pPr>
              <w:pStyle w:val="naiskr"/>
              <w:jc w:val="both"/>
              <w:rPr>
                <w:sz w:val="28"/>
                <w:szCs w:val="28"/>
              </w:rPr>
            </w:pPr>
            <w:r>
              <w:rPr>
                <w:sz w:val="28"/>
                <w:szCs w:val="28"/>
              </w:rPr>
              <w:t>Līdz ar to likumdevējs no energoapgādes komersanta definīcijas ir izslēdzis prasību energoapgādes komersantam nodrošināt lietotāju apgādi ar elektroenerģiju atbilstoši vides aizsardzības nosacījumiem. Turklāt šādu prasību neparedz arī Enerģētikas likuma 8.pants, kurā ir noteikta informācija, kas jānorāda energoapgādes komersantam izsniegtajā licencē.</w:t>
            </w:r>
          </w:p>
          <w:p w:rsidR="00D72E25" w:rsidRPr="006A5E1A" w:rsidRDefault="00D72E25" w:rsidP="00CF69FA">
            <w:pPr>
              <w:pStyle w:val="naiskr"/>
              <w:jc w:val="both"/>
              <w:rPr>
                <w:sz w:val="28"/>
                <w:szCs w:val="28"/>
              </w:rPr>
            </w:pPr>
            <w:r>
              <w:rPr>
                <w:sz w:val="28"/>
                <w:szCs w:val="28"/>
              </w:rPr>
              <w:t>Ņemot vērā minēto, ir nepieciešams veikt attiecīgus grozījumus Ministru kabineta 2005.gada 30.augusta noteikumos Nr.664 „Sabiedrisko pakalpojumu licencēšanas noteikumi”</w:t>
            </w:r>
          </w:p>
        </w:tc>
      </w:tr>
      <w:tr w:rsidR="00D72E25" w:rsidRPr="00E40368" w:rsidTr="006A5E1A">
        <w:trPr>
          <w:trHeight w:val="657"/>
          <w:tblCellSpacing w:w="0" w:type="dxa"/>
        </w:trPr>
        <w:tc>
          <w:tcPr>
            <w:tcW w:w="529" w:type="dxa"/>
            <w:tcBorders>
              <w:top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lastRenderedPageBreak/>
              <w:t> 3.</w:t>
            </w:r>
          </w:p>
        </w:tc>
        <w:tc>
          <w:tcPr>
            <w:tcW w:w="3030" w:type="dxa"/>
            <w:tcBorders>
              <w:top w:val="outset" w:sz="6" w:space="0" w:color="auto"/>
              <w:left w:val="outset" w:sz="6" w:space="0" w:color="auto"/>
              <w:bottom w:val="outset" w:sz="6" w:space="0" w:color="auto"/>
              <w:right w:val="outset" w:sz="6" w:space="0" w:color="auto"/>
            </w:tcBorders>
          </w:tcPr>
          <w:p w:rsidR="00D72E25" w:rsidRPr="00E40368" w:rsidRDefault="00D72E25" w:rsidP="008C222E">
            <w:pPr>
              <w:pStyle w:val="naiskr"/>
              <w:jc w:val="both"/>
              <w:rPr>
                <w:sz w:val="28"/>
                <w:szCs w:val="28"/>
              </w:rPr>
            </w:pPr>
            <w:r w:rsidRPr="00E40368">
              <w:rPr>
                <w:sz w:val="28"/>
                <w:szCs w:val="28"/>
              </w:rPr>
              <w:t> Saistītie politikas ietekmes novērtējumi un pētījumi</w:t>
            </w:r>
          </w:p>
        </w:tc>
        <w:tc>
          <w:tcPr>
            <w:tcW w:w="5542" w:type="dxa"/>
            <w:tcBorders>
              <w:top w:val="outset" w:sz="6" w:space="0" w:color="auto"/>
              <w:left w:val="outset" w:sz="6" w:space="0" w:color="auto"/>
              <w:bottom w:val="outset" w:sz="6" w:space="0" w:color="auto"/>
            </w:tcBorders>
          </w:tcPr>
          <w:p w:rsidR="00D72E25" w:rsidRPr="00E40368" w:rsidRDefault="00D72E25">
            <w:pPr>
              <w:pStyle w:val="naiskr"/>
              <w:rPr>
                <w:sz w:val="28"/>
                <w:szCs w:val="28"/>
              </w:rPr>
            </w:pPr>
            <w:r w:rsidRPr="00E40368">
              <w:rPr>
                <w:sz w:val="28"/>
                <w:szCs w:val="28"/>
              </w:rPr>
              <w:t> Nav attiecināms.</w:t>
            </w:r>
          </w:p>
        </w:tc>
      </w:tr>
      <w:tr w:rsidR="00D72E25" w:rsidRPr="00E40368" w:rsidTr="00CF69FA">
        <w:trPr>
          <w:trHeight w:val="384"/>
          <w:tblCellSpacing w:w="0" w:type="dxa"/>
        </w:trPr>
        <w:tc>
          <w:tcPr>
            <w:tcW w:w="529" w:type="dxa"/>
            <w:tcBorders>
              <w:top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4.</w:t>
            </w:r>
          </w:p>
        </w:tc>
        <w:tc>
          <w:tcPr>
            <w:tcW w:w="3030" w:type="dxa"/>
            <w:tcBorders>
              <w:top w:val="outset" w:sz="6" w:space="0" w:color="auto"/>
              <w:left w:val="outset" w:sz="6" w:space="0" w:color="auto"/>
              <w:bottom w:val="outset" w:sz="6" w:space="0" w:color="auto"/>
              <w:right w:val="outset" w:sz="6" w:space="0" w:color="auto"/>
            </w:tcBorders>
          </w:tcPr>
          <w:p w:rsidR="00D72E25" w:rsidRPr="00E40368" w:rsidRDefault="00D72E25" w:rsidP="008C222E">
            <w:pPr>
              <w:pStyle w:val="naiskr"/>
              <w:jc w:val="both"/>
              <w:rPr>
                <w:sz w:val="28"/>
                <w:szCs w:val="28"/>
              </w:rPr>
            </w:pPr>
            <w:r w:rsidRPr="00E40368">
              <w:rPr>
                <w:sz w:val="28"/>
                <w:szCs w:val="28"/>
              </w:rPr>
              <w:t> Tiesiskā regulējuma mērķis un būtība</w:t>
            </w:r>
          </w:p>
        </w:tc>
        <w:tc>
          <w:tcPr>
            <w:tcW w:w="5542" w:type="dxa"/>
            <w:tcBorders>
              <w:top w:val="outset" w:sz="6" w:space="0" w:color="auto"/>
              <w:left w:val="outset" w:sz="6" w:space="0" w:color="auto"/>
              <w:bottom w:val="outset" w:sz="6" w:space="0" w:color="auto"/>
            </w:tcBorders>
          </w:tcPr>
          <w:p w:rsidR="00D72E25" w:rsidRPr="00E40368" w:rsidRDefault="00D72E25" w:rsidP="00CA45A3">
            <w:pPr>
              <w:pStyle w:val="Header"/>
              <w:tabs>
                <w:tab w:val="left" w:pos="720"/>
              </w:tabs>
              <w:jc w:val="both"/>
              <w:rPr>
                <w:sz w:val="28"/>
                <w:szCs w:val="28"/>
              </w:rPr>
            </w:pPr>
            <w:r>
              <w:rPr>
                <w:sz w:val="28"/>
                <w:szCs w:val="28"/>
              </w:rPr>
              <w:t>Tiesību akta</w:t>
            </w:r>
            <w:r w:rsidRPr="00E40368">
              <w:rPr>
                <w:sz w:val="28"/>
                <w:szCs w:val="28"/>
              </w:rPr>
              <w:t xml:space="preserve"> projekt</w:t>
            </w:r>
            <w:r>
              <w:rPr>
                <w:sz w:val="28"/>
                <w:szCs w:val="28"/>
              </w:rPr>
              <w:t>s</w:t>
            </w:r>
            <w:r w:rsidRPr="00E40368">
              <w:rPr>
                <w:sz w:val="28"/>
                <w:szCs w:val="28"/>
              </w:rPr>
              <w:t xml:space="preserve"> </w:t>
            </w:r>
            <w:r>
              <w:rPr>
                <w:sz w:val="28"/>
                <w:szCs w:val="28"/>
              </w:rPr>
              <w:t>paredz veikt redakcionālus precizējumus, no sabiedrisko pakalpojumu sniegšanas un regulējamo nozaru komersantu licencēšanas kārtības svītrojot norādi uz siltumenerģijas tirdzniecību, kā arī no licencē nosakāmajiem īpašajiem nosacījumiem svītrojot atbilstību vides prasībām, lai nodrošinātu tiesiskā regulējuma atbilstību Enerģētikas likumā un Elektroenerģijas tirgus likumā noteiktajam.</w:t>
            </w:r>
          </w:p>
        </w:tc>
      </w:tr>
      <w:tr w:rsidR="00D72E25" w:rsidRPr="00E40368" w:rsidTr="00CF69FA">
        <w:trPr>
          <w:trHeight w:val="476"/>
          <w:tblCellSpacing w:w="0" w:type="dxa"/>
        </w:trPr>
        <w:tc>
          <w:tcPr>
            <w:tcW w:w="529" w:type="dxa"/>
            <w:tcBorders>
              <w:top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5.</w:t>
            </w:r>
          </w:p>
        </w:tc>
        <w:tc>
          <w:tcPr>
            <w:tcW w:w="3030" w:type="dxa"/>
            <w:tcBorders>
              <w:top w:val="outset" w:sz="6" w:space="0" w:color="auto"/>
              <w:left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Projekta izstrādē iesaistītās institūcijas</w:t>
            </w:r>
          </w:p>
        </w:tc>
        <w:tc>
          <w:tcPr>
            <w:tcW w:w="5542" w:type="dxa"/>
            <w:tcBorders>
              <w:top w:val="outset" w:sz="6" w:space="0" w:color="auto"/>
              <w:left w:val="outset" w:sz="6" w:space="0" w:color="auto"/>
              <w:bottom w:val="outset" w:sz="6" w:space="0" w:color="auto"/>
            </w:tcBorders>
          </w:tcPr>
          <w:p w:rsidR="00D72E25" w:rsidRPr="00E40368" w:rsidRDefault="00D72E25" w:rsidP="001F1A2E">
            <w:pPr>
              <w:pStyle w:val="naiskr"/>
              <w:jc w:val="both"/>
              <w:rPr>
                <w:sz w:val="28"/>
                <w:szCs w:val="28"/>
              </w:rPr>
            </w:pPr>
            <w:r>
              <w:rPr>
                <w:sz w:val="28"/>
                <w:szCs w:val="28"/>
              </w:rPr>
              <w:t>Sabiedrisko pakalpojumu regulēšanas komisija, Ekonomikas ministrija.</w:t>
            </w:r>
          </w:p>
        </w:tc>
      </w:tr>
      <w:tr w:rsidR="00D72E25" w:rsidRPr="00E40368" w:rsidTr="00CF69FA">
        <w:trPr>
          <w:trHeight w:val="652"/>
          <w:tblCellSpacing w:w="0" w:type="dxa"/>
        </w:trPr>
        <w:tc>
          <w:tcPr>
            <w:tcW w:w="529" w:type="dxa"/>
            <w:tcBorders>
              <w:top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6.</w:t>
            </w:r>
          </w:p>
        </w:tc>
        <w:tc>
          <w:tcPr>
            <w:tcW w:w="3030" w:type="dxa"/>
            <w:tcBorders>
              <w:top w:val="outset" w:sz="6" w:space="0" w:color="auto"/>
              <w:left w:val="outset" w:sz="6" w:space="0" w:color="auto"/>
              <w:bottom w:val="outset" w:sz="6" w:space="0" w:color="auto"/>
              <w:right w:val="outset" w:sz="6" w:space="0" w:color="auto"/>
            </w:tcBorders>
          </w:tcPr>
          <w:p w:rsidR="00D72E25" w:rsidRPr="00E40368" w:rsidRDefault="00D72E25" w:rsidP="008C222E">
            <w:pPr>
              <w:pStyle w:val="naiskr"/>
              <w:jc w:val="both"/>
              <w:rPr>
                <w:sz w:val="28"/>
                <w:szCs w:val="28"/>
              </w:rPr>
            </w:pPr>
            <w:r w:rsidRPr="00E40368">
              <w:rPr>
                <w:sz w:val="28"/>
                <w:szCs w:val="28"/>
              </w:rPr>
              <w:t> Iemesli, kādēļ netika nodrošināta sabiedrības līdzdalība</w:t>
            </w:r>
          </w:p>
        </w:tc>
        <w:tc>
          <w:tcPr>
            <w:tcW w:w="5542" w:type="dxa"/>
            <w:tcBorders>
              <w:top w:val="outset" w:sz="6" w:space="0" w:color="auto"/>
              <w:left w:val="outset" w:sz="6" w:space="0" w:color="auto"/>
              <w:bottom w:val="outset" w:sz="6" w:space="0" w:color="auto"/>
            </w:tcBorders>
          </w:tcPr>
          <w:p w:rsidR="00D72E25" w:rsidRPr="00E40368" w:rsidRDefault="00D72E25" w:rsidP="000B2F14">
            <w:pPr>
              <w:pStyle w:val="naiskr"/>
              <w:jc w:val="both"/>
              <w:rPr>
                <w:sz w:val="28"/>
                <w:szCs w:val="28"/>
              </w:rPr>
            </w:pPr>
            <w:r w:rsidRPr="00E40368">
              <w:rPr>
                <w:sz w:val="28"/>
                <w:szCs w:val="28"/>
              </w:rPr>
              <w:t>Nav attiecināms.</w:t>
            </w:r>
          </w:p>
        </w:tc>
      </w:tr>
      <w:tr w:rsidR="00D72E25" w:rsidRPr="00E40368" w:rsidTr="00CF69FA">
        <w:trPr>
          <w:tblCellSpacing w:w="0" w:type="dxa"/>
        </w:trPr>
        <w:tc>
          <w:tcPr>
            <w:tcW w:w="529" w:type="dxa"/>
            <w:tcBorders>
              <w:top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7.</w:t>
            </w:r>
          </w:p>
        </w:tc>
        <w:tc>
          <w:tcPr>
            <w:tcW w:w="3030" w:type="dxa"/>
            <w:tcBorders>
              <w:top w:val="outset" w:sz="6" w:space="0" w:color="auto"/>
              <w:left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Cita informācija</w:t>
            </w:r>
          </w:p>
        </w:tc>
        <w:tc>
          <w:tcPr>
            <w:tcW w:w="5542" w:type="dxa"/>
            <w:tcBorders>
              <w:top w:val="outset" w:sz="6" w:space="0" w:color="auto"/>
              <w:left w:val="outset" w:sz="6" w:space="0" w:color="auto"/>
              <w:bottom w:val="outset" w:sz="6" w:space="0" w:color="auto"/>
            </w:tcBorders>
          </w:tcPr>
          <w:p w:rsidR="00D72E25" w:rsidRPr="00E40368" w:rsidRDefault="00D72E25">
            <w:pPr>
              <w:pStyle w:val="naiskr"/>
              <w:rPr>
                <w:sz w:val="28"/>
                <w:szCs w:val="28"/>
              </w:rPr>
            </w:pPr>
            <w:r w:rsidRPr="00E40368">
              <w:rPr>
                <w:sz w:val="28"/>
                <w:szCs w:val="28"/>
              </w:rPr>
              <w:t> Nav.</w:t>
            </w:r>
          </w:p>
        </w:tc>
      </w:tr>
    </w:tbl>
    <w:p w:rsidR="00D72E25" w:rsidRPr="00E40368" w:rsidRDefault="00D72E25" w:rsidP="0089380C">
      <w:pPr>
        <w:pStyle w:val="naisf"/>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9"/>
        <w:gridCol w:w="4032"/>
        <w:gridCol w:w="4550"/>
      </w:tblGrid>
      <w:tr w:rsidR="00D72E25" w:rsidRPr="00E40368" w:rsidTr="00684126">
        <w:trPr>
          <w:tblCellSpacing w:w="0" w:type="dxa"/>
        </w:trPr>
        <w:tc>
          <w:tcPr>
            <w:tcW w:w="9101" w:type="dxa"/>
            <w:gridSpan w:val="3"/>
            <w:tcBorders>
              <w:top w:val="outset" w:sz="6" w:space="0" w:color="auto"/>
              <w:bottom w:val="outset" w:sz="6" w:space="0" w:color="auto"/>
            </w:tcBorders>
            <w:vAlign w:val="center"/>
          </w:tcPr>
          <w:p w:rsidR="00D72E25" w:rsidRPr="00E40368" w:rsidRDefault="00D72E25">
            <w:pPr>
              <w:pStyle w:val="naisnod"/>
              <w:rPr>
                <w:b/>
                <w:sz w:val="28"/>
                <w:szCs w:val="28"/>
              </w:rPr>
            </w:pPr>
            <w:r w:rsidRPr="00E40368">
              <w:rPr>
                <w:sz w:val="28"/>
                <w:szCs w:val="28"/>
              </w:rPr>
              <w:t> </w:t>
            </w:r>
            <w:r w:rsidRPr="00E40368">
              <w:rPr>
                <w:b/>
                <w:sz w:val="28"/>
                <w:szCs w:val="28"/>
              </w:rPr>
              <w:t>II. Tiesību akta projekta ietekme uz sabiedrību</w:t>
            </w:r>
          </w:p>
        </w:tc>
      </w:tr>
      <w:tr w:rsidR="00D72E25" w:rsidRPr="00E40368" w:rsidTr="00684126">
        <w:trPr>
          <w:trHeight w:val="467"/>
          <w:tblCellSpacing w:w="0" w:type="dxa"/>
        </w:trPr>
        <w:tc>
          <w:tcPr>
            <w:tcW w:w="519" w:type="dxa"/>
            <w:tcBorders>
              <w:top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1.</w:t>
            </w:r>
          </w:p>
        </w:tc>
        <w:tc>
          <w:tcPr>
            <w:tcW w:w="4032" w:type="dxa"/>
            <w:tcBorders>
              <w:top w:val="outset" w:sz="6" w:space="0" w:color="auto"/>
              <w:left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xml:space="preserve"> Sabiedrības </w:t>
            </w:r>
            <w:proofErr w:type="spellStart"/>
            <w:r w:rsidRPr="00E40368">
              <w:rPr>
                <w:sz w:val="28"/>
                <w:szCs w:val="28"/>
              </w:rPr>
              <w:t>mērķgrupa</w:t>
            </w:r>
            <w:proofErr w:type="spellEnd"/>
          </w:p>
        </w:tc>
        <w:tc>
          <w:tcPr>
            <w:tcW w:w="4550" w:type="dxa"/>
            <w:tcBorders>
              <w:top w:val="outset" w:sz="6" w:space="0" w:color="auto"/>
              <w:left w:val="outset" w:sz="6" w:space="0" w:color="auto"/>
              <w:bottom w:val="outset" w:sz="6" w:space="0" w:color="auto"/>
            </w:tcBorders>
          </w:tcPr>
          <w:p w:rsidR="00D72E25" w:rsidRPr="00E40368" w:rsidRDefault="00D72E25" w:rsidP="00CA45A3">
            <w:pPr>
              <w:pStyle w:val="naiskr"/>
              <w:spacing w:before="0" w:after="0"/>
              <w:ind w:hanging="57"/>
              <w:jc w:val="both"/>
              <w:rPr>
                <w:sz w:val="28"/>
                <w:szCs w:val="28"/>
              </w:rPr>
            </w:pPr>
            <w:r w:rsidRPr="00E40368">
              <w:rPr>
                <w:sz w:val="28"/>
                <w:szCs w:val="28"/>
              </w:rPr>
              <w:t> </w:t>
            </w:r>
            <w:r>
              <w:rPr>
                <w:sz w:val="28"/>
                <w:szCs w:val="28"/>
              </w:rPr>
              <w:t>Regulējamo sabiedrisko pakalpojumu sniedzēji.</w:t>
            </w:r>
          </w:p>
        </w:tc>
      </w:tr>
      <w:tr w:rsidR="00D72E25" w:rsidRPr="00E40368" w:rsidTr="00684126">
        <w:trPr>
          <w:trHeight w:val="523"/>
          <w:tblCellSpacing w:w="0" w:type="dxa"/>
        </w:trPr>
        <w:tc>
          <w:tcPr>
            <w:tcW w:w="519" w:type="dxa"/>
            <w:tcBorders>
              <w:top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2.</w:t>
            </w:r>
          </w:p>
        </w:tc>
        <w:tc>
          <w:tcPr>
            <w:tcW w:w="4032" w:type="dxa"/>
            <w:tcBorders>
              <w:top w:val="outset" w:sz="6" w:space="0" w:color="auto"/>
              <w:left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xml:space="preserve"> Citas sabiedrības grupas (bez </w:t>
            </w:r>
            <w:proofErr w:type="spellStart"/>
            <w:r w:rsidRPr="00E40368">
              <w:rPr>
                <w:sz w:val="28"/>
                <w:szCs w:val="28"/>
              </w:rPr>
              <w:t>mērķgrupas</w:t>
            </w:r>
            <w:proofErr w:type="spellEnd"/>
            <w:r w:rsidRPr="00E40368">
              <w:rPr>
                <w:sz w:val="28"/>
                <w:szCs w:val="28"/>
              </w:rPr>
              <w:t>), kuras tiesiskais regulējums arī ietekmē vai varētu ietekmēt</w:t>
            </w:r>
          </w:p>
        </w:tc>
        <w:tc>
          <w:tcPr>
            <w:tcW w:w="4550" w:type="dxa"/>
            <w:tcBorders>
              <w:top w:val="outset" w:sz="6" w:space="0" w:color="auto"/>
              <w:left w:val="outset" w:sz="6" w:space="0" w:color="auto"/>
              <w:bottom w:val="outset" w:sz="6" w:space="0" w:color="auto"/>
            </w:tcBorders>
          </w:tcPr>
          <w:p w:rsidR="00D72E25" w:rsidRPr="00E40368" w:rsidRDefault="00D72E25">
            <w:pPr>
              <w:pStyle w:val="naiskr"/>
              <w:rPr>
                <w:sz w:val="28"/>
                <w:szCs w:val="28"/>
              </w:rPr>
            </w:pPr>
            <w:r w:rsidRPr="00E40368">
              <w:rPr>
                <w:sz w:val="28"/>
                <w:szCs w:val="28"/>
              </w:rPr>
              <w:t> Nav attiecināms.</w:t>
            </w:r>
          </w:p>
        </w:tc>
      </w:tr>
      <w:tr w:rsidR="00D72E25" w:rsidRPr="00E40368" w:rsidTr="00684126">
        <w:trPr>
          <w:trHeight w:val="517"/>
          <w:tblCellSpacing w:w="0" w:type="dxa"/>
        </w:trPr>
        <w:tc>
          <w:tcPr>
            <w:tcW w:w="519" w:type="dxa"/>
            <w:tcBorders>
              <w:top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3.</w:t>
            </w:r>
          </w:p>
        </w:tc>
        <w:tc>
          <w:tcPr>
            <w:tcW w:w="4032" w:type="dxa"/>
            <w:tcBorders>
              <w:top w:val="outset" w:sz="6" w:space="0" w:color="auto"/>
              <w:left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Tiesiskā regulējuma finansiālā ietekme</w:t>
            </w:r>
          </w:p>
        </w:tc>
        <w:tc>
          <w:tcPr>
            <w:tcW w:w="4550" w:type="dxa"/>
            <w:tcBorders>
              <w:top w:val="outset" w:sz="6" w:space="0" w:color="auto"/>
              <w:left w:val="outset" w:sz="6" w:space="0" w:color="auto"/>
              <w:bottom w:val="outset" w:sz="6" w:space="0" w:color="auto"/>
            </w:tcBorders>
          </w:tcPr>
          <w:p w:rsidR="00D72E25" w:rsidRPr="00E40368" w:rsidRDefault="00D72E25" w:rsidP="00AD7DC7">
            <w:pPr>
              <w:pStyle w:val="naiskr"/>
              <w:jc w:val="both"/>
              <w:rPr>
                <w:sz w:val="28"/>
                <w:szCs w:val="28"/>
              </w:rPr>
            </w:pPr>
            <w:r w:rsidRPr="00E40368">
              <w:rPr>
                <w:sz w:val="28"/>
                <w:szCs w:val="28"/>
              </w:rPr>
              <w:t>Nav attiecināms.</w:t>
            </w:r>
          </w:p>
        </w:tc>
      </w:tr>
      <w:tr w:rsidR="00D72E25" w:rsidRPr="00E40368" w:rsidTr="00684126">
        <w:trPr>
          <w:trHeight w:val="517"/>
          <w:tblCellSpacing w:w="0" w:type="dxa"/>
        </w:trPr>
        <w:tc>
          <w:tcPr>
            <w:tcW w:w="519" w:type="dxa"/>
            <w:tcBorders>
              <w:top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4.</w:t>
            </w:r>
          </w:p>
        </w:tc>
        <w:tc>
          <w:tcPr>
            <w:tcW w:w="4032" w:type="dxa"/>
            <w:tcBorders>
              <w:top w:val="outset" w:sz="6" w:space="0" w:color="auto"/>
              <w:left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Tiesiskā regulējuma nefinansiālā ietekme</w:t>
            </w:r>
          </w:p>
        </w:tc>
        <w:tc>
          <w:tcPr>
            <w:tcW w:w="4550" w:type="dxa"/>
            <w:tcBorders>
              <w:top w:val="outset" w:sz="6" w:space="0" w:color="auto"/>
              <w:left w:val="outset" w:sz="6" w:space="0" w:color="auto"/>
              <w:bottom w:val="outset" w:sz="6" w:space="0" w:color="auto"/>
            </w:tcBorders>
          </w:tcPr>
          <w:p w:rsidR="00D72E25" w:rsidRPr="00E40368" w:rsidRDefault="00D72E25" w:rsidP="0012248A">
            <w:pPr>
              <w:pStyle w:val="naiskr"/>
              <w:jc w:val="both"/>
              <w:rPr>
                <w:sz w:val="28"/>
                <w:szCs w:val="28"/>
              </w:rPr>
            </w:pPr>
            <w:r w:rsidRPr="00E40368">
              <w:rPr>
                <w:sz w:val="28"/>
                <w:szCs w:val="28"/>
              </w:rPr>
              <w:t> Nav attiecināms.</w:t>
            </w:r>
          </w:p>
        </w:tc>
      </w:tr>
      <w:tr w:rsidR="00D72E25" w:rsidRPr="00E40368" w:rsidTr="00684126">
        <w:trPr>
          <w:trHeight w:val="531"/>
          <w:tblCellSpacing w:w="0" w:type="dxa"/>
        </w:trPr>
        <w:tc>
          <w:tcPr>
            <w:tcW w:w="519" w:type="dxa"/>
            <w:tcBorders>
              <w:top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5.</w:t>
            </w:r>
          </w:p>
        </w:tc>
        <w:tc>
          <w:tcPr>
            <w:tcW w:w="4032" w:type="dxa"/>
            <w:tcBorders>
              <w:top w:val="outset" w:sz="6" w:space="0" w:color="auto"/>
              <w:left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Administratīvās procedūras raksturojums</w:t>
            </w:r>
          </w:p>
        </w:tc>
        <w:tc>
          <w:tcPr>
            <w:tcW w:w="4550" w:type="dxa"/>
            <w:tcBorders>
              <w:top w:val="outset" w:sz="6" w:space="0" w:color="auto"/>
              <w:left w:val="outset" w:sz="6" w:space="0" w:color="auto"/>
              <w:bottom w:val="outset" w:sz="6" w:space="0" w:color="auto"/>
            </w:tcBorders>
          </w:tcPr>
          <w:p w:rsidR="00D72E25" w:rsidRPr="00E40368" w:rsidRDefault="00D72E25" w:rsidP="007A7613">
            <w:pPr>
              <w:pStyle w:val="naiskr"/>
              <w:jc w:val="both"/>
              <w:rPr>
                <w:sz w:val="28"/>
                <w:szCs w:val="28"/>
              </w:rPr>
            </w:pPr>
            <w:r w:rsidRPr="00E40368">
              <w:rPr>
                <w:sz w:val="28"/>
                <w:szCs w:val="28"/>
              </w:rPr>
              <w:t> Nav attiecināms.</w:t>
            </w:r>
          </w:p>
        </w:tc>
      </w:tr>
      <w:tr w:rsidR="00D72E25" w:rsidRPr="00E40368" w:rsidTr="00684126">
        <w:trPr>
          <w:trHeight w:val="357"/>
          <w:tblCellSpacing w:w="0" w:type="dxa"/>
        </w:trPr>
        <w:tc>
          <w:tcPr>
            <w:tcW w:w="519" w:type="dxa"/>
            <w:tcBorders>
              <w:top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6.</w:t>
            </w:r>
          </w:p>
        </w:tc>
        <w:tc>
          <w:tcPr>
            <w:tcW w:w="4032" w:type="dxa"/>
            <w:tcBorders>
              <w:top w:val="outset" w:sz="6" w:space="0" w:color="auto"/>
              <w:left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Administratīvo izmaksu monetārs novērtējums</w:t>
            </w:r>
          </w:p>
        </w:tc>
        <w:tc>
          <w:tcPr>
            <w:tcW w:w="4550" w:type="dxa"/>
            <w:tcBorders>
              <w:top w:val="outset" w:sz="6" w:space="0" w:color="auto"/>
              <w:left w:val="outset" w:sz="6" w:space="0" w:color="auto"/>
              <w:bottom w:val="outset" w:sz="6" w:space="0" w:color="auto"/>
            </w:tcBorders>
          </w:tcPr>
          <w:p w:rsidR="00D72E25" w:rsidRPr="00E40368" w:rsidRDefault="00D72E25" w:rsidP="00EE2530">
            <w:pPr>
              <w:pStyle w:val="naiskr"/>
              <w:jc w:val="both"/>
              <w:rPr>
                <w:sz w:val="28"/>
                <w:szCs w:val="28"/>
              </w:rPr>
            </w:pPr>
            <w:r w:rsidRPr="00E40368">
              <w:rPr>
                <w:sz w:val="28"/>
                <w:szCs w:val="28"/>
              </w:rPr>
              <w:t> Nav attiecināms.</w:t>
            </w:r>
          </w:p>
        </w:tc>
      </w:tr>
      <w:tr w:rsidR="00D72E25" w:rsidRPr="00E40368" w:rsidTr="00684126">
        <w:trPr>
          <w:tblCellSpacing w:w="0" w:type="dxa"/>
        </w:trPr>
        <w:tc>
          <w:tcPr>
            <w:tcW w:w="519" w:type="dxa"/>
            <w:tcBorders>
              <w:top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7.</w:t>
            </w:r>
          </w:p>
        </w:tc>
        <w:tc>
          <w:tcPr>
            <w:tcW w:w="4032" w:type="dxa"/>
            <w:tcBorders>
              <w:top w:val="outset" w:sz="6" w:space="0" w:color="auto"/>
              <w:left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Cita informācija</w:t>
            </w:r>
          </w:p>
        </w:tc>
        <w:tc>
          <w:tcPr>
            <w:tcW w:w="4550" w:type="dxa"/>
            <w:tcBorders>
              <w:top w:val="outset" w:sz="6" w:space="0" w:color="auto"/>
              <w:left w:val="outset" w:sz="6" w:space="0" w:color="auto"/>
              <w:bottom w:val="outset" w:sz="6" w:space="0" w:color="auto"/>
            </w:tcBorders>
          </w:tcPr>
          <w:p w:rsidR="00D72E25" w:rsidRPr="00E40368" w:rsidRDefault="00D72E25">
            <w:pPr>
              <w:pStyle w:val="naiskr"/>
              <w:rPr>
                <w:sz w:val="28"/>
                <w:szCs w:val="28"/>
              </w:rPr>
            </w:pPr>
            <w:r w:rsidRPr="00E40368">
              <w:rPr>
                <w:sz w:val="28"/>
                <w:szCs w:val="28"/>
              </w:rPr>
              <w:t> Nav.</w:t>
            </w:r>
          </w:p>
        </w:tc>
      </w:tr>
    </w:tbl>
    <w:p w:rsidR="00D72E25" w:rsidRPr="00E40368" w:rsidRDefault="00D72E25" w:rsidP="0089380C">
      <w:pPr>
        <w:pStyle w:val="naisf"/>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8"/>
        <w:gridCol w:w="3930"/>
        <w:gridCol w:w="4663"/>
      </w:tblGrid>
      <w:tr w:rsidR="00D72E25" w:rsidRPr="00E40368">
        <w:trPr>
          <w:tblCellSpacing w:w="0" w:type="dxa"/>
        </w:trPr>
        <w:tc>
          <w:tcPr>
            <w:tcW w:w="10440" w:type="dxa"/>
            <w:gridSpan w:val="3"/>
            <w:tcBorders>
              <w:top w:val="outset" w:sz="6" w:space="0" w:color="auto"/>
              <w:bottom w:val="outset" w:sz="6" w:space="0" w:color="auto"/>
            </w:tcBorders>
          </w:tcPr>
          <w:p w:rsidR="00D72E25" w:rsidRPr="00E40368" w:rsidRDefault="00D72E25">
            <w:pPr>
              <w:pStyle w:val="naisc"/>
              <w:rPr>
                <w:sz w:val="28"/>
                <w:szCs w:val="28"/>
              </w:rPr>
            </w:pPr>
            <w:r w:rsidRPr="00E40368">
              <w:rPr>
                <w:b/>
                <w:bCs/>
                <w:sz w:val="28"/>
                <w:szCs w:val="28"/>
              </w:rPr>
              <w:t> VII. Tiesību akta projekta izpildes nodrošināšana un tās ietekme uz institūcijām</w:t>
            </w:r>
          </w:p>
        </w:tc>
      </w:tr>
      <w:tr w:rsidR="00D72E25" w:rsidRPr="00E40368">
        <w:trPr>
          <w:trHeight w:val="427"/>
          <w:tblCellSpacing w:w="0" w:type="dxa"/>
        </w:trPr>
        <w:tc>
          <w:tcPr>
            <w:tcW w:w="555" w:type="dxa"/>
            <w:tcBorders>
              <w:top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1.</w:t>
            </w:r>
          </w:p>
        </w:tc>
        <w:tc>
          <w:tcPr>
            <w:tcW w:w="4485" w:type="dxa"/>
            <w:tcBorders>
              <w:top w:val="outset" w:sz="6" w:space="0" w:color="auto"/>
              <w:left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Projekta izpildē iesaistītās institūcijas</w:t>
            </w:r>
          </w:p>
        </w:tc>
        <w:tc>
          <w:tcPr>
            <w:tcW w:w="5400" w:type="dxa"/>
            <w:tcBorders>
              <w:top w:val="outset" w:sz="6" w:space="0" w:color="auto"/>
              <w:left w:val="outset" w:sz="6" w:space="0" w:color="auto"/>
              <w:bottom w:val="outset" w:sz="6" w:space="0" w:color="auto"/>
            </w:tcBorders>
          </w:tcPr>
          <w:p w:rsidR="00D72E25" w:rsidRPr="00E40368" w:rsidRDefault="00D72E25" w:rsidP="007423D7">
            <w:pPr>
              <w:pStyle w:val="naiskr"/>
              <w:jc w:val="both"/>
              <w:rPr>
                <w:sz w:val="28"/>
                <w:szCs w:val="28"/>
              </w:rPr>
            </w:pPr>
            <w:r>
              <w:rPr>
                <w:sz w:val="28"/>
                <w:szCs w:val="28"/>
              </w:rPr>
              <w:t>Sabiedrisko pakalpojumu regulēšanas komisija.</w:t>
            </w:r>
          </w:p>
        </w:tc>
      </w:tr>
      <w:tr w:rsidR="00D72E25" w:rsidRPr="00E40368">
        <w:trPr>
          <w:trHeight w:val="463"/>
          <w:tblCellSpacing w:w="0" w:type="dxa"/>
        </w:trPr>
        <w:tc>
          <w:tcPr>
            <w:tcW w:w="555" w:type="dxa"/>
            <w:tcBorders>
              <w:top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2.</w:t>
            </w:r>
          </w:p>
        </w:tc>
        <w:tc>
          <w:tcPr>
            <w:tcW w:w="4485" w:type="dxa"/>
            <w:tcBorders>
              <w:top w:val="outset" w:sz="6" w:space="0" w:color="auto"/>
              <w:left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Projekta izpildes ietekme uz pārvaldes funkcijām</w:t>
            </w:r>
          </w:p>
        </w:tc>
        <w:tc>
          <w:tcPr>
            <w:tcW w:w="5400" w:type="dxa"/>
            <w:tcBorders>
              <w:top w:val="outset" w:sz="6" w:space="0" w:color="auto"/>
              <w:left w:val="outset" w:sz="6" w:space="0" w:color="auto"/>
              <w:bottom w:val="outset" w:sz="6" w:space="0" w:color="auto"/>
            </w:tcBorders>
          </w:tcPr>
          <w:p w:rsidR="00D72E25" w:rsidRPr="00E40368" w:rsidRDefault="00D72E25" w:rsidP="00CF69FA">
            <w:pPr>
              <w:pStyle w:val="naiskr"/>
              <w:jc w:val="both"/>
              <w:rPr>
                <w:sz w:val="28"/>
                <w:szCs w:val="28"/>
              </w:rPr>
            </w:pPr>
            <w:r>
              <w:rPr>
                <w:sz w:val="28"/>
                <w:szCs w:val="28"/>
              </w:rPr>
              <w:t>Tiesību akta projekts nemainīs Sabiedrisko pakalpojumu regulēšanas komisijas funkcijas.</w:t>
            </w:r>
          </w:p>
        </w:tc>
      </w:tr>
      <w:tr w:rsidR="00D72E25" w:rsidRPr="00E40368">
        <w:trPr>
          <w:trHeight w:val="725"/>
          <w:tblCellSpacing w:w="0" w:type="dxa"/>
        </w:trPr>
        <w:tc>
          <w:tcPr>
            <w:tcW w:w="555" w:type="dxa"/>
            <w:tcBorders>
              <w:top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3.</w:t>
            </w:r>
          </w:p>
        </w:tc>
        <w:tc>
          <w:tcPr>
            <w:tcW w:w="4485" w:type="dxa"/>
            <w:tcBorders>
              <w:top w:val="outset" w:sz="6" w:space="0" w:color="auto"/>
              <w:left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Projekta izpildes ietekme uz pārvaldes institucionālo struktūru.</w:t>
            </w:r>
          </w:p>
          <w:p w:rsidR="00D72E25" w:rsidRPr="00E40368" w:rsidRDefault="00D72E25">
            <w:pPr>
              <w:pStyle w:val="naiskr"/>
              <w:rPr>
                <w:sz w:val="28"/>
                <w:szCs w:val="28"/>
              </w:rPr>
            </w:pPr>
            <w:r w:rsidRPr="00E40368">
              <w:rPr>
                <w:sz w:val="28"/>
                <w:szCs w:val="28"/>
              </w:rPr>
              <w:t>Jaunu institūciju izveide</w:t>
            </w:r>
          </w:p>
        </w:tc>
        <w:tc>
          <w:tcPr>
            <w:tcW w:w="5400" w:type="dxa"/>
            <w:tcBorders>
              <w:top w:val="outset" w:sz="6" w:space="0" w:color="auto"/>
              <w:left w:val="outset" w:sz="6" w:space="0" w:color="auto"/>
              <w:bottom w:val="outset" w:sz="6" w:space="0" w:color="auto"/>
            </w:tcBorders>
          </w:tcPr>
          <w:p w:rsidR="00D72E25" w:rsidRPr="00E40368" w:rsidRDefault="00D72E25">
            <w:pPr>
              <w:pStyle w:val="naiskr"/>
              <w:rPr>
                <w:sz w:val="28"/>
                <w:szCs w:val="28"/>
              </w:rPr>
            </w:pPr>
            <w:r w:rsidRPr="00E40368">
              <w:rPr>
                <w:sz w:val="28"/>
                <w:szCs w:val="28"/>
              </w:rPr>
              <w:t> </w:t>
            </w:r>
            <w:r w:rsidRPr="00E40368">
              <w:rPr>
                <w:iCs/>
                <w:sz w:val="28"/>
                <w:szCs w:val="28"/>
              </w:rPr>
              <w:t>Jaunas institūcijas netiks veidotas.</w:t>
            </w:r>
          </w:p>
        </w:tc>
      </w:tr>
      <w:tr w:rsidR="00D72E25" w:rsidRPr="00E40368">
        <w:trPr>
          <w:trHeight w:val="780"/>
          <w:tblCellSpacing w:w="0" w:type="dxa"/>
        </w:trPr>
        <w:tc>
          <w:tcPr>
            <w:tcW w:w="555" w:type="dxa"/>
            <w:tcBorders>
              <w:top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4.</w:t>
            </w:r>
          </w:p>
        </w:tc>
        <w:tc>
          <w:tcPr>
            <w:tcW w:w="4485" w:type="dxa"/>
            <w:tcBorders>
              <w:top w:val="outset" w:sz="6" w:space="0" w:color="auto"/>
              <w:left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Projekta izpildes ietekme uz pārvaldes institucionālo struktūru.</w:t>
            </w:r>
          </w:p>
          <w:p w:rsidR="00D72E25" w:rsidRPr="00E40368" w:rsidRDefault="00D72E25">
            <w:pPr>
              <w:pStyle w:val="naiskr"/>
              <w:rPr>
                <w:sz w:val="28"/>
                <w:szCs w:val="28"/>
              </w:rPr>
            </w:pPr>
            <w:r w:rsidRPr="00E40368">
              <w:rPr>
                <w:sz w:val="28"/>
                <w:szCs w:val="28"/>
              </w:rPr>
              <w:t>Esošu institūciju likvidācija</w:t>
            </w:r>
          </w:p>
        </w:tc>
        <w:tc>
          <w:tcPr>
            <w:tcW w:w="5400" w:type="dxa"/>
            <w:tcBorders>
              <w:top w:val="outset" w:sz="6" w:space="0" w:color="auto"/>
              <w:left w:val="outset" w:sz="6" w:space="0" w:color="auto"/>
              <w:bottom w:val="outset" w:sz="6" w:space="0" w:color="auto"/>
            </w:tcBorders>
          </w:tcPr>
          <w:p w:rsidR="00D72E25" w:rsidRPr="00E40368" w:rsidRDefault="00D72E25">
            <w:pPr>
              <w:pStyle w:val="naiskr"/>
              <w:rPr>
                <w:sz w:val="28"/>
                <w:szCs w:val="28"/>
              </w:rPr>
            </w:pPr>
            <w:r w:rsidRPr="00E40368">
              <w:rPr>
                <w:sz w:val="28"/>
                <w:szCs w:val="28"/>
              </w:rPr>
              <w:t> </w:t>
            </w:r>
            <w:r w:rsidRPr="00E40368">
              <w:rPr>
                <w:iCs/>
                <w:sz w:val="28"/>
                <w:szCs w:val="28"/>
              </w:rPr>
              <w:t>Esošās institūcijas netiks likvidētas.</w:t>
            </w:r>
          </w:p>
        </w:tc>
      </w:tr>
      <w:tr w:rsidR="00D72E25" w:rsidRPr="00E40368">
        <w:trPr>
          <w:trHeight w:val="703"/>
          <w:tblCellSpacing w:w="0" w:type="dxa"/>
        </w:trPr>
        <w:tc>
          <w:tcPr>
            <w:tcW w:w="555" w:type="dxa"/>
            <w:tcBorders>
              <w:top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5.</w:t>
            </w:r>
          </w:p>
        </w:tc>
        <w:tc>
          <w:tcPr>
            <w:tcW w:w="4485" w:type="dxa"/>
            <w:tcBorders>
              <w:top w:val="outset" w:sz="6" w:space="0" w:color="auto"/>
              <w:left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Projekta izpildes ietekme uz pārvaldes institucionālo struktūru.</w:t>
            </w:r>
          </w:p>
          <w:p w:rsidR="00D72E25" w:rsidRPr="00E40368" w:rsidRDefault="00D72E25">
            <w:pPr>
              <w:pStyle w:val="naiskr"/>
              <w:rPr>
                <w:sz w:val="28"/>
                <w:szCs w:val="28"/>
              </w:rPr>
            </w:pPr>
            <w:r w:rsidRPr="00E40368">
              <w:rPr>
                <w:sz w:val="28"/>
                <w:szCs w:val="28"/>
              </w:rPr>
              <w:t>Esošu institūciju reorganizācija</w:t>
            </w:r>
          </w:p>
        </w:tc>
        <w:tc>
          <w:tcPr>
            <w:tcW w:w="5400" w:type="dxa"/>
            <w:tcBorders>
              <w:top w:val="outset" w:sz="6" w:space="0" w:color="auto"/>
              <w:left w:val="outset" w:sz="6" w:space="0" w:color="auto"/>
              <w:bottom w:val="outset" w:sz="6" w:space="0" w:color="auto"/>
            </w:tcBorders>
          </w:tcPr>
          <w:p w:rsidR="00D72E25" w:rsidRPr="00E40368" w:rsidRDefault="00D72E25">
            <w:pPr>
              <w:pStyle w:val="naiskr"/>
              <w:rPr>
                <w:sz w:val="28"/>
                <w:szCs w:val="28"/>
              </w:rPr>
            </w:pPr>
            <w:r w:rsidRPr="00E40368">
              <w:rPr>
                <w:sz w:val="28"/>
                <w:szCs w:val="28"/>
              </w:rPr>
              <w:t> </w:t>
            </w:r>
            <w:r w:rsidRPr="00E40368">
              <w:rPr>
                <w:iCs/>
                <w:sz w:val="28"/>
                <w:szCs w:val="28"/>
              </w:rPr>
              <w:t>Esošās institūcijas netiks reorganizētas.</w:t>
            </w:r>
          </w:p>
        </w:tc>
      </w:tr>
      <w:tr w:rsidR="00D72E25" w:rsidRPr="00E40368">
        <w:trPr>
          <w:trHeight w:val="476"/>
          <w:tblCellSpacing w:w="0" w:type="dxa"/>
        </w:trPr>
        <w:tc>
          <w:tcPr>
            <w:tcW w:w="555" w:type="dxa"/>
            <w:tcBorders>
              <w:top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6.</w:t>
            </w:r>
          </w:p>
        </w:tc>
        <w:tc>
          <w:tcPr>
            <w:tcW w:w="4485" w:type="dxa"/>
            <w:tcBorders>
              <w:top w:val="outset" w:sz="6" w:space="0" w:color="auto"/>
              <w:left w:val="outset" w:sz="6" w:space="0" w:color="auto"/>
              <w:bottom w:val="outset" w:sz="6" w:space="0" w:color="auto"/>
              <w:right w:val="outset" w:sz="6" w:space="0" w:color="auto"/>
            </w:tcBorders>
          </w:tcPr>
          <w:p w:rsidR="00D72E25" w:rsidRPr="00E40368" w:rsidRDefault="00D72E25">
            <w:pPr>
              <w:pStyle w:val="naiskr"/>
              <w:rPr>
                <w:sz w:val="28"/>
                <w:szCs w:val="28"/>
              </w:rPr>
            </w:pPr>
            <w:r w:rsidRPr="00E40368">
              <w:rPr>
                <w:sz w:val="28"/>
                <w:szCs w:val="28"/>
              </w:rPr>
              <w:t> Cita informācija</w:t>
            </w:r>
          </w:p>
        </w:tc>
        <w:tc>
          <w:tcPr>
            <w:tcW w:w="5400" w:type="dxa"/>
            <w:tcBorders>
              <w:top w:val="outset" w:sz="6" w:space="0" w:color="auto"/>
              <w:left w:val="outset" w:sz="6" w:space="0" w:color="auto"/>
              <w:bottom w:val="outset" w:sz="6" w:space="0" w:color="auto"/>
            </w:tcBorders>
          </w:tcPr>
          <w:p w:rsidR="00D72E25" w:rsidRPr="00E40368" w:rsidRDefault="00D72E25">
            <w:pPr>
              <w:pStyle w:val="naiskr"/>
              <w:rPr>
                <w:sz w:val="28"/>
                <w:szCs w:val="28"/>
              </w:rPr>
            </w:pPr>
            <w:r w:rsidRPr="00E40368">
              <w:rPr>
                <w:sz w:val="28"/>
                <w:szCs w:val="28"/>
              </w:rPr>
              <w:t> Nav.</w:t>
            </w:r>
          </w:p>
        </w:tc>
      </w:tr>
    </w:tbl>
    <w:p w:rsidR="00D72E25" w:rsidRPr="00E40368" w:rsidRDefault="00D72E25" w:rsidP="00435C4E">
      <w:pPr>
        <w:pStyle w:val="naisf"/>
        <w:tabs>
          <w:tab w:val="left" w:pos="5760"/>
        </w:tabs>
        <w:spacing w:before="0" w:after="0"/>
        <w:ind w:firstLine="720"/>
        <w:rPr>
          <w:sz w:val="28"/>
          <w:szCs w:val="28"/>
        </w:rPr>
      </w:pPr>
      <w:r w:rsidRPr="00E40368">
        <w:rPr>
          <w:sz w:val="28"/>
          <w:szCs w:val="28"/>
        </w:rPr>
        <w:t>Anotācijas III, IV, V un VI sadaļa – nav attiecinām</w:t>
      </w:r>
      <w:r>
        <w:rPr>
          <w:sz w:val="28"/>
          <w:szCs w:val="28"/>
        </w:rPr>
        <w:t>a</w:t>
      </w:r>
      <w:r w:rsidRPr="00E40368">
        <w:rPr>
          <w:sz w:val="28"/>
          <w:szCs w:val="28"/>
        </w:rPr>
        <w:t>s.</w:t>
      </w:r>
    </w:p>
    <w:p w:rsidR="00D72E25" w:rsidRPr="00E40368" w:rsidRDefault="00D72E25" w:rsidP="001D1B66">
      <w:pPr>
        <w:rPr>
          <w:sz w:val="28"/>
          <w:szCs w:val="28"/>
        </w:rPr>
      </w:pPr>
      <w:r w:rsidRPr="00E40368">
        <w:rPr>
          <w:sz w:val="28"/>
          <w:szCs w:val="28"/>
        </w:rPr>
        <w:t xml:space="preserve">Ministru prezidents </w:t>
      </w:r>
      <w:r w:rsidRPr="00E40368">
        <w:rPr>
          <w:sz w:val="28"/>
          <w:szCs w:val="28"/>
        </w:rPr>
        <w:tab/>
      </w:r>
      <w:r w:rsidRPr="00E40368">
        <w:rPr>
          <w:sz w:val="28"/>
          <w:szCs w:val="28"/>
        </w:rPr>
        <w:tab/>
      </w:r>
      <w:r w:rsidRPr="00E40368">
        <w:rPr>
          <w:sz w:val="28"/>
          <w:szCs w:val="28"/>
        </w:rPr>
        <w:tab/>
      </w:r>
      <w:r w:rsidRPr="00E40368">
        <w:rPr>
          <w:sz w:val="28"/>
          <w:szCs w:val="28"/>
        </w:rPr>
        <w:tab/>
      </w:r>
      <w:r w:rsidRPr="00E40368">
        <w:rPr>
          <w:sz w:val="28"/>
          <w:szCs w:val="28"/>
        </w:rPr>
        <w:tab/>
      </w:r>
      <w:r w:rsidRPr="00E40368">
        <w:rPr>
          <w:sz w:val="28"/>
          <w:szCs w:val="28"/>
        </w:rPr>
        <w:tab/>
        <w:t xml:space="preserve">          V. </w:t>
      </w:r>
      <w:proofErr w:type="spellStart"/>
      <w:r w:rsidRPr="00E40368">
        <w:rPr>
          <w:sz w:val="28"/>
          <w:szCs w:val="28"/>
        </w:rPr>
        <w:t>Dombrovskis</w:t>
      </w:r>
      <w:proofErr w:type="spellEnd"/>
    </w:p>
    <w:p w:rsidR="00D72E25" w:rsidRPr="00E40368" w:rsidRDefault="00D72E25" w:rsidP="001D1B66">
      <w:pPr>
        <w:rPr>
          <w:sz w:val="28"/>
          <w:szCs w:val="28"/>
        </w:rPr>
      </w:pPr>
    </w:p>
    <w:p w:rsidR="00D72E25" w:rsidRPr="00E40368" w:rsidRDefault="00D72E25" w:rsidP="001D1B66">
      <w:pPr>
        <w:rPr>
          <w:sz w:val="28"/>
          <w:szCs w:val="28"/>
        </w:rPr>
      </w:pPr>
      <w:r w:rsidRPr="00E40368">
        <w:rPr>
          <w:sz w:val="28"/>
          <w:szCs w:val="28"/>
        </w:rPr>
        <w:t xml:space="preserve">Ekonomikas ministrs                                                                     </w:t>
      </w:r>
      <w:proofErr w:type="spellStart"/>
      <w:r>
        <w:rPr>
          <w:sz w:val="28"/>
          <w:szCs w:val="28"/>
        </w:rPr>
        <w:t>D.Pavļuts</w:t>
      </w:r>
      <w:proofErr w:type="spellEnd"/>
    </w:p>
    <w:p w:rsidR="00D72E25" w:rsidRPr="00E40368" w:rsidRDefault="00D72E25" w:rsidP="001D1B66">
      <w:pPr>
        <w:ind w:left="-284"/>
        <w:rPr>
          <w:sz w:val="28"/>
          <w:szCs w:val="28"/>
        </w:rPr>
      </w:pPr>
    </w:p>
    <w:p w:rsidR="00D72E25" w:rsidRPr="00E40368" w:rsidRDefault="00D72E25" w:rsidP="001D1B66">
      <w:pPr>
        <w:rPr>
          <w:sz w:val="28"/>
          <w:szCs w:val="28"/>
        </w:rPr>
      </w:pPr>
      <w:r w:rsidRPr="00E40368">
        <w:rPr>
          <w:sz w:val="28"/>
          <w:szCs w:val="28"/>
        </w:rPr>
        <w:t xml:space="preserve">Iesniedzējs: Ekonomikas ministrs                                                 </w:t>
      </w:r>
      <w:proofErr w:type="spellStart"/>
      <w:r>
        <w:rPr>
          <w:sz w:val="28"/>
          <w:szCs w:val="28"/>
        </w:rPr>
        <w:t>D.Pavļuts</w:t>
      </w:r>
      <w:proofErr w:type="spellEnd"/>
    </w:p>
    <w:p w:rsidR="00D72E25" w:rsidRPr="00E40368" w:rsidRDefault="00D72E25" w:rsidP="001D1B66">
      <w:pPr>
        <w:ind w:left="-284"/>
        <w:rPr>
          <w:sz w:val="28"/>
          <w:szCs w:val="28"/>
        </w:rPr>
      </w:pPr>
    </w:p>
    <w:p w:rsidR="00D72E25" w:rsidRPr="00E40368" w:rsidRDefault="00D72E25" w:rsidP="001D1B66">
      <w:pPr>
        <w:rPr>
          <w:sz w:val="28"/>
          <w:szCs w:val="28"/>
        </w:rPr>
      </w:pPr>
      <w:r w:rsidRPr="00E40368">
        <w:rPr>
          <w:sz w:val="28"/>
          <w:szCs w:val="28"/>
        </w:rPr>
        <w:t>Vīza: Valsts sekretārs                                                                     J.Pūce</w:t>
      </w:r>
    </w:p>
    <w:p w:rsidR="00D72E25" w:rsidRPr="00E40368" w:rsidRDefault="00D72E25" w:rsidP="001D1B66">
      <w:pPr>
        <w:rPr>
          <w:sz w:val="28"/>
          <w:szCs w:val="28"/>
        </w:rPr>
      </w:pPr>
    </w:p>
    <w:p w:rsidR="00D72E25" w:rsidRDefault="00B93DDD" w:rsidP="001D1B66">
      <w:pPr>
        <w:rPr>
          <w:sz w:val="20"/>
          <w:szCs w:val="20"/>
        </w:rPr>
      </w:pPr>
      <w:fldSimple w:instr=" SAVEDATE   \* MERGEFORMAT ">
        <w:r w:rsidR="0039581A" w:rsidRPr="0039581A">
          <w:rPr>
            <w:noProof/>
            <w:sz w:val="20"/>
            <w:szCs w:val="20"/>
          </w:rPr>
          <w:t>07.11.2011 16:52:00</w:t>
        </w:r>
      </w:fldSimple>
    </w:p>
    <w:p w:rsidR="00D72E25" w:rsidRPr="00E40368" w:rsidRDefault="00B93DDD" w:rsidP="001D1B66">
      <w:pPr>
        <w:rPr>
          <w:sz w:val="20"/>
          <w:szCs w:val="20"/>
        </w:rPr>
      </w:pPr>
      <w:fldSimple w:instr=" NUMWORDS   \* MERGEFORMAT ">
        <w:r w:rsidR="00D72E25">
          <w:rPr>
            <w:noProof/>
            <w:sz w:val="20"/>
            <w:szCs w:val="20"/>
          </w:rPr>
          <w:t>545</w:t>
        </w:r>
      </w:fldSimple>
    </w:p>
    <w:p w:rsidR="00D72E25" w:rsidRPr="00E40368" w:rsidRDefault="00D72E25" w:rsidP="001D1B66">
      <w:pPr>
        <w:rPr>
          <w:sz w:val="20"/>
          <w:szCs w:val="20"/>
        </w:rPr>
      </w:pPr>
      <w:r>
        <w:rPr>
          <w:sz w:val="20"/>
          <w:szCs w:val="20"/>
        </w:rPr>
        <w:t>G.Zadraks</w:t>
      </w:r>
    </w:p>
    <w:p w:rsidR="00D72E25" w:rsidRPr="00E40368" w:rsidRDefault="00D72E25" w:rsidP="001D1B66">
      <w:pPr>
        <w:rPr>
          <w:sz w:val="20"/>
          <w:szCs w:val="20"/>
        </w:rPr>
      </w:pPr>
      <w:r>
        <w:rPr>
          <w:sz w:val="20"/>
          <w:szCs w:val="20"/>
        </w:rPr>
        <w:t>67013244</w:t>
      </w:r>
      <w:r w:rsidRPr="00E40368">
        <w:rPr>
          <w:sz w:val="20"/>
          <w:szCs w:val="20"/>
        </w:rPr>
        <w:t xml:space="preserve">, </w:t>
      </w:r>
      <w:hyperlink r:id="rId6" w:history="1">
        <w:r w:rsidRPr="00B413C8">
          <w:rPr>
            <w:rStyle w:val="Hyperlink"/>
            <w:sz w:val="20"/>
            <w:szCs w:val="20"/>
          </w:rPr>
          <w:t>Gints.Zadraks@em.gov.lv</w:t>
        </w:r>
      </w:hyperlink>
    </w:p>
    <w:p w:rsidR="00D72E25" w:rsidRPr="00E40368" w:rsidRDefault="00D72E25" w:rsidP="00D751B0"/>
    <w:sectPr w:rsidR="00D72E25" w:rsidRPr="00E40368" w:rsidSect="00916830">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E25" w:rsidRDefault="00D72E25">
      <w:r>
        <w:separator/>
      </w:r>
    </w:p>
  </w:endnote>
  <w:endnote w:type="continuationSeparator" w:id="0">
    <w:p w:rsidR="00D72E25" w:rsidRDefault="00D72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25" w:rsidRPr="00CA45A3" w:rsidRDefault="00D72E25" w:rsidP="00CF69FA">
    <w:pPr>
      <w:pStyle w:val="Footer"/>
      <w:jc w:val="both"/>
      <w:rPr>
        <w:sz w:val="20"/>
        <w:szCs w:val="20"/>
      </w:rPr>
    </w:pPr>
    <w:r>
      <w:rPr>
        <w:sz w:val="20"/>
        <w:szCs w:val="20"/>
      </w:rPr>
      <w:t>EMAnot_0711</w:t>
    </w:r>
    <w:r w:rsidRPr="00CA45A3">
      <w:rPr>
        <w:sz w:val="20"/>
        <w:szCs w:val="20"/>
      </w:rPr>
      <w:t xml:space="preserve">11_licenc_not; Ministru kabineta noteikumu projekta </w:t>
    </w:r>
    <w:r w:rsidRPr="00CA45A3">
      <w:rPr>
        <w:bCs/>
        <w:sz w:val="20"/>
        <w:szCs w:val="20"/>
      </w:rPr>
      <w:t>„</w:t>
    </w:r>
    <w:r w:rsidRPr="00CA45A3">
      <w:rPr>
        <w:sz w:val="20"/>
        <w:szCs w:val="20"/>
      </w:rPr>
      <w:t xml:space="preserve">Grozījumi Ministru kabineta 2005.gada 30.augusta noteikumos Nr.664 „Sabiedrisko pakalpojumu licencēšanas noteikumi”” sākotnējās ietekmes novērtējuma </w:t>
    </w:r>
    <w:smartTag w:uri="schemas-tilde-lv/tildestengine" w:element="veidnes">
      <w:smartTagPr>
        <w:attr w:name="id" w:val="-1"/>
        <w:attr w:name="baseform" w:val="ziņojums"/>
        <w:attr w:name="text" w:val="ziņojums"/>
      </w:smartTagPr>
      <w:r w:rsidRPr="00CA45A3">
        <w:rPr>
          <w:sz w:val="20"/>
          <w:szCs w:val="20"/>
        </w:rPr>
        <w:t>ziņojums</w:t>
      </w:r>
    </w:smartTag>
    <w:r w:rsidRPr="00CA45A3">
      <w:rPr>
        <w:sz w:val="20"/>
        <w:szCs w:val="20"/>
      </w:rPr>
      <w:t xml:space="preserve"> (anotācija)</w:t>
    </w:r>
  </w:p>
  <w:p w:rsidR="00D72E25" w:rsidRPr="00607FC1" w:rsidRDefault="00D72E25">
    <w:pPr>
      <w:pStyle w:val="Foo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25" w:rsidRPr="00CA45A3" w:rsidRDefault="00D72E25" w:rsidP="00CA45A3">
    <w:pPr>
      <w:pStyle w:val="Footer"/>
      <w:jc w:val="both"/>
      <w:rPr>
        <w:sz w:val="20"/>
        <w:szCs w:val="20"/>
      </w:rPr>
    </w:pPr>
    <w:r>
      <w:rPr>
        <w:sz w:val="20"/>
        <w:szCs w:val="20"/>
      </w:rPr>
      <w:t>EMAnot_0711</w:t>
    </w:r>
    <w:r w:rsidRPr="00CA45A3">
      <w:rPr>
        <w:sz w:val="20"/>
        <w:szCs w:val="20"/>
      </w:rPr>
      <w:t xml:space="preserve">11_licenc_not; Ministru kabineta noteikumu projekta </w:t>
    </w:r>
    <w:r w:rsidRPr="00CA45A3">
      <w:rPr>
        <w:bCs/>
        <w:sz w:val="20"/>
        <w:szCs w:val="20"/>
      </w:rPr>
      <w:t>„</w:t>
    </w:r>
    <w:r w:rsidRPr="00CA45A3">
      <w:rPr>
        <w:sz w:val="20"/>
        <w:szCs w:val="20"/>
      </w:rPr>
      <w:t xml:space="preserve">Grozījumi Ministru kabineta 2005.gada 30.augusta noteikumos Nr.664 „Sabiedrisko pakalpojumu licencēšanas noteikumi”” sākotnējās ietekmes novērtējuma </w:t>
    </w:r>
    <w:smartTag w:uri="schemas-tilde-lv/tildestengine" w:element="veidnes">
      <w:smartTagPr>
        <w:attr w:name="id" w:val="-1"/>
        <w:attr w:name="baseform" w:val="ziņojums"/>
        <w:attr w:name="text" w:val="ziņojums"/>
      </w:smartTagPr>
      <w:r w:rsidRPr="00CA45A3">
        <w:rPr>
          <w:sz w:val="20"/>
          <w:szCs w:val="20"/>
        </w:rPr>
        <w:t>ziņojums</w:t>
      </w:r>
    </w:smartTag>
    <w:r w:rsidRPr="00CA45A3">
      <w:rPr>
        <w:sz w:val="20"/>
        <w:szCs w:val="20"/>
      </w:rPr>
      <w:t xml:space="preserve"> (anotācija)</w:t>
    </w:r>
  </w:p>
  <w:p w:rsidR="00D72E25" w:rsidRDefault="00D72E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E25" w:rsidRDefault="00D72E25">
      <w:r>
        <w:separator/>
      </w:r>
    </w:p>
  </w:footnote>
  <w:footnote w:type="continuationSeparator" w:id="0">
    <w:p w:rsidR="00D72E25" w:rsidRDefault="00D72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25" w:rsidRDefault="00B93DDD">
    <w:pPr>
      <w:pStyle w:val="Header"/>
      <w:jc w:val="center"/>
    </w:pPr>
    <w:fldSimple w:instr=" PAGE   \* MERGEFORMAT ">
      <w:r w:rsidR="004F70F6">
        <w:rPr>
          <w:noProof/>
        </w:rPr>
        <w:t>4</w:t>
      </w:r>
    </w:fldSimple>
  </w:p>
  <w:p w:rsidR="00D72E25" w:rsidRDefault="00D72E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stylePaneFormatFilter w:val="3F01"/>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89380C"/>
    <w:rsid w:val="00015274"/>
    <w:rsid w:val="00023BE0"/>
    <w:rsid w:val="0008083E"/>
    <w:rsid w:val="00083D0E"/>
    <w:rsid w:val="00085923"/>
    <w:rsid w:val="00092EC2"/>
    <w:rsid w:val="000B2F14"/>
    <w:rsid w:val="000C3A7F"/>
    <w:rsid w:val="000C5C51"/>
    <w:rsid w:val="000C624C"/>
    <w:rsid w:val="000D7D82"/>
    <w:rsid w:val="000F0035"/>
    <w:rsid w:val="0012248A"/>
    <w:rsid w:val="00131719"/>
    <w:rsid w:val="00144309"/>
    <w:rsid w:val="00146184"/>
    <w:rsid w:val="00147B5F"/>
    <w:rsid w:val="0015761D"/>
    <w:rsid w:val="00171B35"/>
    <w:rsid w:val="00183897"/>
    <w:rsid w:val="001A6C2B"/>
    <w:rsid w:val="001A72AA"/>
    <w:rsid w:val="001B4DC7"/>
    <w:rsid w:val="001D1B66"/>
    <w:rsid w:val="001F1A2E"/>
    <w:rsid w:val="001F440B"/>
    <w:rsid w:val="001F72E1"/>
    <w:rsid w:val="00205F55"/>
    <w:rsid w:val="00212C50"/>
    <w:rsid w:val="00213A4F"/>
    <w:rsid w:val="00224579"/>
    <w:rsid w:val="00230712"/>
    <w:rsid w:val="00262F9C"/>
    <w:rsid w:val="0028250F"/>
    <w:rsid w:val="002830FC"/>
    <w:rsid w:val="00292262"/>
    <w:rsid w:val="002B708A"/>
    <w:rsid w:val="002D7C67"/>
    <w:rsid w:val="002E584A"/>
    <w:rsid w:val="0030082A"/>
    <w:rsid w:val="0030164A"/>
    <w:rsid w:val="003052A3"/>
    <w:rsid w:val="00322ACC"/>
    <w:rsid w:val="00325030"/>
    <w:rsid w:val="003255EE"/>
    <w:rsid w:val="00355EED"/>
    <w:rsid w:val="00374BAD"/>
    <w:rsid w:val="00377D1F"/>
    <w:rsid w:val="003938D5"/>
    <w:rsid w:val="0039581A"/>
    <w:rsid w:val="003F7923"/>
    <w:rsid w:val="0043460D"/>
    <w:rsid w:val="00435C4E"/>
    <w:rsid w:val="00444F36"/>
    <w:rsid w:val="00470C42"/>
    <w:rsid w:val="004A7018"/>
    <w:rsid w:val="004A7C3C"/>
    <w:rsid w:val="004C27A3"/>
    <w:rsid w:val="004F70F6"/>
    <w:rsid w:val="00510E71"/>
    <w:rsid w:val="00515281"/>
    <w:rsid w:val="00516161"/>
    <w:rsid w:val="00525153"/>
    <w:rsid w:val="005502A9"/>
    <w:rsid w:val="005571EE"/>
    <w:rsid w:val="005674CF"/>
    <w:rsid w:val="00573333"/>
    <w:rsid w:val="005905EA"/>
    <w:rsid w:val="005D2283"/>
    <w:rsid w:val="005D52E5"/>
    <w:rsid w:val="005F499B"/>
    <w:rsid w:val="00606F0F"/>
    <w:rsid w:val="006070AD"/>
    <w:rsid w:val="00607FC1"/>
    <w:rsid w:val="0061285C"/>
    <w:rsid w:val="006153C6"/>
    <w:rsid w:val="0063700E"/>
    <w:rsid w:val="006419FD"/>
    <w:rsid w:val="00667AC4"/>
    <w:rsid w:val="00683362"/>
    <w:rsid w:val="00684126"/>
    <w:rsid w:val="0069091D"/>
    <w:rsid w:val="00693AC9"/>
    <w:rsid w:val="006A06DE"/>
    <w:rsid w:val="006A5E1A"/>
    <w:rsid w:val="006B0CB8"/>
    <w:rsid w:val="006B5BA5"/>
    <w:rsid w:val="006B6539"/>
    <w:rsid w:val="006B7369"/>
    <w:rsid w:val="006C6203"/>
    <w:rsid w:val="006D166A"/>
    <w:rsid w:val="006E4BB6"/>
    <w:rsid w:val="006E56FB"/>
    <w:rsid w:val="006F320B"/>
    <w:rsid w:val="007040BF"/>
    <w:rsid w:val="007135F5"/>
    <w:rsid w:val="007213EE"/>
    <w:rsid w:val="00726DBD"/>
    <w:rsid w:val="00731681"/>
    <w:rsid w:val="007423D7"/>
    <w:rsid w:val="00752EA8"/>
    <w:rsid w:val="00764D5D"/>
    <w:rsid w:val="00774214"/>
    <w:rsid w:val="007A2129"/>
    <w:rsid w:val="007A4CFE"/>
    <w:rsid w:val="007A72E5"/>
    <w:rsid w:val="007A7613"/>
    <w:rsid w:val="007F11D4"/>
    <w:rsid w:val="00814312"/>
    <w:rsid w:val="00820CCE"/>
    <w:rsid w:val="008323C5"/>
    <w:rsid w:val="00840817"/>
    <w:rsid w:val="008474BA"/>
    <w:rsid w:val="00871475"/>
    <w:rsid w:val="0089380C"/>
    <w:rsid w:val="008A2240"/>
    <w:rsid w:val="008A3446"/>
    <w:rsid w:val="008C222E"/>
    <w:rsid w:val="008D6852"/>
    <w:rsid w:val="008F7768"/>
    <w:rsid w:val="00911250"/>
    <w:rsid w:val="00916830"/>
    <w:rsid w:val="009352A5"/>
    <w:rsid w:val="00944E33"/>
    <w:rsid w:val="00946975"/>
    <w:rsid w:val="009515C4"/>
    <w:rsid w:val="0095727B"/>
    <w:rsid w:val="009622AF"/>
    <w:rsid w:val="0098178D"/>
    <w:rsid w:val="009A726F"/>
    <w:rsid w:val="009B0D25"/>
    <w:rsid w:val="00A45F8E"/>
    <w:rsid w:val="00A75B93"/>
    <w:rsid w:val="00AA2F10"/>
    <w:rsid w:val="00AC55C7"/>
    <w:rsid w:val="00AD12E3"/>
    <w:rsid w:val="00AD7DC7"/>
    <w:rsid w:val="00AE2232"/>
    <w:rsid w:val="00B21B97"/>
    <w:rsid w:val="00B27AAD"/>
    <w:rsid w:val="00B413C8"/>
    <w:rsid w:val="00B56B89"/>
    <w:rsid w:val="00B8600D"/>
    <w:rsid w:val="00B87641"/>
    <w:rsid w:val="00B91CA0"/>
    <w:rsid w:val="00B93DDD"/>
    <w:rsid w:val="00BD4304"/>
    <w:rsid w:val="00C24AC1"/>
    <w:rsid w:val="00C35E65"/>
    <w:rsid w:val="00C52054"/>
    <w:rsid w:val="00C63108"/>
    <w:rsid w:val="00C86FAF"/>
    <w:rsid w:val="00CA45A3"/>
    <w:rsid w:val="00CA4C33"/>
    <w:rsid w:val="00CA6B76"/>
    <w:rsid w:val="00CB4654"/>
    <w:rsid w:val="00CF69FA"/>
    <w:rsid w:val="00D04B59"/>
    <w:rsid w:val="00D13E97"/>
    <w:rsid w:val="00D34BD0"/>
    <w:rsid w:val="00D35394"/>
    <w:rsid w:val="00D72D4D"/>
    <w:rsid w:val="00D72E25"/>
    <w:rsid w:val="00D751B0"/>
    <w:rsid w:val="00D85761"/>
    <w:rsid w:val="00DA7022"/>
    <w:rsid w:val="00DB08E1"/>
    <w:rsid w:val="00DC7B61"/>
    <w:rsid w:val="00DD528A"/>
    <w:rsid w:val="00E40368"/>
    <w:rsid w:val="00E6657E"/>
    <w:rsid w:val="00EC4F25"/>
    <w:rsid w:val="00ED708F"/>
    <w:rsid w:val="00EE1FDB"/>
    <w:rsid w:val="00EE2530"/>
    <w:rsid w:val="00F17D87"/>
    <w:rsid w:val="00F20DA3"/>
    <w:rsid w:val="00F25D11"/>
    <w:rsid w:val="00F25D4D"/>
    <w:rsid w:val="00F3698F"/>
    <w:rsid w:val="00F40385"/>
    <w:rsid w:val="00F41EFF"/>
    <w:rsid w:val="00F421D7"/>
    <w:rsid w:val="00F54A75"/>
    <w:rsid w:val="00F813D1"/>
    <w:rsid w:val="00F87FA1"/>
    <w:rsid w:val="00FB4700"/>
    <w:rsid w:val="00FD02B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6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uiPriority w:val="99"/>
    <w:rsid w:val="0089380C"/>
    <w:pPr>
      <w:spacing w:before="100" w:beforeAutospacing="1" w:after="100" w:afterAutospacing="1"/>
    </w:pPr>
  </w:style>
  <w:style w:type="paragraph" w:customStyle="1" w:styleId="naisc">
    <w:name w:val="naisc"/>
    <w:basedOn w:val="Normal"/>
    <w:uiPriority w:val="99"/>
    <w:rsid w:val="0089380C"/>
    <w:pPr>
      <w:spacing w:before="100" w:beforeAutospacing="1" w:after="100" w:afterAutospacing="1"/>
    </w:pPr>
  </w:style>
  <w:style w:type="paragraph" w:customStyle="1" w:styleId="naiskr">
    <w:name w:val="naiskr"/>
    <w:basedOn w:val="Normal"/>
    <w:uiPriority w:val="99"/>
    <w:rsid w:val="0089380C"/>
    <w:pPr>
      <w:spacing w:before="100" w:beforeAutospacing="1" w:after="100" w:afterAutospacing="1"/>
    </w:pPr>
  </w:style>
  <w:style w:type="paragraph" w:customStyle="1" w:styleId="naislab">
    <w:name w:val="naislab"/>
    <w:basedOn w:val="Normal"/>
    <w:uiPriority w:val="99"/>
    <w:rsid w:val="0089380C"/>
    <w:pPr>
      <w:spacing w:before="100" w:beforeAutospacing="1" w:after="100" w:afterAutospacing="1"/>
    </w:pPr>
  </w:style>
  <w:style w:type="paragraph" w:customStyle="1" w:styleId="naisf">
    <w:name w:val="naisf"/>
    <w:basedOn w:val="Normal"/>
    <w:uiPriority w:val="99"/>
    <w:rsid w:val="0089380C"/>
    <w:pPr>
      <w:spacing w:before="100" w:beforeAutospacing="1" w:after="100" w:afterAutospacing="1"/>
    </w:pPr>
  </w:style>
  <w:style w:type="paragraph" w:styleId="BalloonText">
    <w:name w:val="Balloon Text"/>
    <w:basedOn w:val="Normal"/>
    <w:link w:val="BalloonTextChar"/>
    <w:uiPriority w:val="99"/>
    <w:semiHidden/>
    <w:rsid w:val="008408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3DDD"/>
    <w:rPr>
      <w:rFonts w:cs="Times New Roman"/>
      <w:sz w:val="2"/>
    </w:rPr>
  </w:style>
  <w:style w:type="paragraph" w:styleId="Header">
    <w:name w:val="header"/>
    <w:basedOn w:val="Normal"/>
    <w:link w:val="HeaderChar"/>
    <w:uiPriority w:val="99"/>
    <w:rsid w:val="00840817"/>
    <w:pPr>
      <w:tabs>
        <w:tab w:val="center" w:pos="4153"/>
        <w:tab w:val="right" w:pos="8306"/>
      </w:tabs>
    </w:pPr>
  </w:style>
  <w:style w:type="character" w:customStyle="1" w:styleId="HeaderChar">
    <w:name w:val="Header Char"/>
    <w:basedOn w:val="DefaultParagraphFont"/>
    <w:link w:val="Header"/>
    <w:uiPriority w:val="99"/>
    <w:locked/>
    <w:rsid w:val="002B708A"/>
    <w:rPr>
      <w:rFonts w:cs="Times New Roman"/>
      <w:sz w:val="24"/>
      <w:szCs w:val="24"/>
    </w:rPr>
  </w:style>
  <w:style w:type="paragraph" w:styleId="Footer">
    <w:name w:val="footer"/>
    <w:basedOn w:val="Normal"/>
    <w:link w:val="FooterChar"/>
    <w:uiPriority w:val="99"/>
    <w:rsid w:val="00840817"/>
    <w:pPr>
      <w:tabs>
        <w:tab w:val="center" w:pos="4153"/>
        <w:tab w:val="right" w:pos="8306"/>
      </w:tabs>
    </w:pPr>
  </w:style>
  <w:style w:type="character" w:customStyle="1" w:styleId="FooterChar">
    <w:name w:val="Footer Char"/>
    <w:basedOn w:val="DefaultParagraphFont"/>
    <w:link w:val="Footer"/>
    <w:uiPriority w:val="99"/>
    <w:locked/>
    <w:rsid w:val="00684126"/>
    <w:rPr>
      <w:rFonts w:cs="Times New Roman"/>
      <w:sz w:val="24"/>
      <w:szCs w:val="24"/>
    </w:rPr>
  </w:style>
  <w:style w:type="table" w:styleId="TableGrid">
    <w:name w:val="Table Grid"/>
    <w:basedOn w:val="TableNormal"/>
    <w:uiPriority w:val="99"/>
    <w:rsid w:val="00435C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Normal"/>
    <w:uiPriority w:val="99"/>
    <w:rsid w:val="00F20DA3"/>
    <w:pPr>
      <w:spacing w:after="160" w:line="240" w:lineRule="exact"/>
    </w:pPr>
    <w:rPr>
      <w:rFonts w:ascii="Tahoma" w:hAnsi="Tahoma"/>
      <w:sz w:val="20"/>
      <w:szCs w:val="20"/>
      <w:lang w:val="en-US" w:eastAsia="en-US"/>
    </w:rPr>
  </w:style>
  <w:style w:type="paragraph" w:customStyle="1" w:styleId="RakstzRakstz">
    <w:name w:val="Rakstz. Rakstz."/>
    <w:basedOn w:val="Normal"/>
    <w:uiPriority w:val="99"/>
    <w:rsid w:val="0012248A"/>
    <w:pPr>
      <w:spacing w:before="40"/>
    </w:pPr>
    <w:rPr>
      <w:lang w:val="pl-PL" w:eastAsia="pl-PL"/>
    </w:rPr>
  </w:style>
  <w:style w:type="character" w:styleId="CommentReference">
    <w:name w:val="annotation reference"/>
    <w:basedOn w:val="DefaultParagraphFont"/>
    <w:uiPriority w:val="99"/>
    <w:semiHidden/>
    <w:rsid w:val="006A06DE"/>
    <w:rPr>
      <w:rFonts w:cs="Times New Roman"/>
      <w:sz w:val="16"/>
      <w:szCs w:val="16"/>
    </w:rPr>
  </w:style>
  <w:style w:type="paragraph" w:styleId="CommentText">
    <w:name w:val="annotation text"/>
    <w:basedOn w:val="Normal"/>
    <w:link w:val="CommentTextChar"/>
    <w:uiPriority w:val="99"/>
    <w:semiHidden/>
    <w:rsid w:val="006A06DE"/>
    <w:rPr>
      <w:sz w:val="20"/>
      <w:szCs w:val="20"/>
    </w:rPr>
  </w:style>
  <w:style w:type="character" w:customStyle="1" w:styleId="CommentTextChar">
    <w:name w:val="Comment Text Char"/>
    <w:basedOn w:val="DefaultParagraphFont"/>
    <w:link w:val="CommentText"/>
    <w:uiPriority w:val="99"/>
    <w:semiHidden/>
    <w:locked/>
    <w:rsid w:val="00B93DDD"/>
    <w:rPr>
      <w:rFonts w:cs="Times New Roman"/>
      <w:sz w:val="20"/>
      <w:szCs w:val="20"/>
    </w:rPr>
  </w:style>
  <w:style w:type="paragraph" w:styleId="CommentSubject">
    <w:name w:val="annotation subject"/>
    <w:basedOn w:val="CommentText"/>
    <w:next w:val="CommentText"/>
    <w:link w:val="CommentSubjectChar"/>
    <w:uiPriority w:val="99"/>
    <w:semiHidden/>
    <w:rsid w:val="006A06DE"/>
    <w:rPr>
      <w:b/>
      <w:bCs/>
    </w:rPr>
  </w:style>
  <w:style w:type="character" w:customStyle="1" w:styleId="CommentSubjectChar">
    <w:name w:val="Comment Subject Char"/>
    <w:basedOn w:val="CommentTextChar"/>
    <w:link w:val="CommentSubject"/>
    <w:uiPriority w:val="99"/>
    <w:semiHidden/>
    <w:locked/>
    <w:rsid w:val="00B93DDD"/>
    <w:rPr>
      <w:b/>
      <w:bCs/>
    </w:rPr>
  </w:style>
  <w:style w:type="character" w:styleId="Hyperlink">
    <w:name w:val="Hyperlink"/>
    <w:basedOn w:val="DefaultParagraphFont"/>
    <w:uiPriority w:val="99"/>
    <w:semiHidden/>
    <w:rsid w:val="00D751B0"/>
    <w:rPr>
      <w:rFonts w:cs="Times New Roman"/>
      <w:color w:val="0000FF"/>
      <w:u w:val="single"/>
    </w:rPr>
  </w:style>
  <w:style w:type="paragraph" w:styleId="BodyText">
    <w:name w:val="Body Text"/>
    <w:basedOn w:val="Normal"/>
    <w:link w:val="BodyTextChar"/>
    <w:uiPriority w:val="99"/>
    <w:rsid w:val="00D751B0"/>
    <w:pPr>
      <w:spacing w:after="120"/>
    </w:pPr>
  </w:style>
  <w:style w:type="character" w:customStyle="1" w:styleId="BodyTextChar">
    <w:name w:val="Body Text Char"/>
    <w:basedOn w:val="DefaultParagraphFont"/>
    <w:link w:val="BodyText"/>
    <w:uiPriority w:val="99"/>
    <w:semiHidden/>
    <w:locked/>
    <w:rsid w:val="00B93DD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394090201">
      <w:marLeft w:val="0"/>
      <w:marRight w:val="0"/>
      <w:marTop w:val="0"/>
      <w:marBottom w:val="0"/>
      <w:divBdr>
        <w:top w:val="none" w:sz="0" w:space="0" w:color="auto"/>
        <w:left w:val="none" w:sz="0" w:space="0" w:color="auto"/>
        <w:bottom w:val="none" w:sz="0" w:space="0" w:color="auto"/>
        <w:right w:val="none" w:sz="0" w:space="0" w:color="auto"/>
      </w:divBdr>
    </w:div>
    <w:div w:id="394090202">
      <w:marLeft w:val="0"/>
      <w:marRight w:val="0"/>
      <w:marTop w:val="0"/>
      <w:marBottom w:val="0"/>
      <w:divBdr>
        <w:top w:val="none" w:sz="0" w:space="0" w:color="auto"/>
        <w:left w:val="none" w:sz="0" w:space="0" w:color="auto"/>
        <w:bottom w:val="none" w:sz="0" w:space="0" w:color="auto"/>
        <w:right w:val="none" w:sz="0" w:space="0" w:color="auto"/>
      </w:divBdr>
    </w:div>
    <w:div w:id="394090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nts.Zadraks@e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3282</Words>
  <Characters>1871</Characters>
  <Application>Microsoft Office Word</Application>
  <DocSecurity>0</DocSecurity>
  <Lines>15</Lines>
  <Paragraphs>10</Paragraphs>
  <ScaleCrop>false</ScaleCrop>
  <Company>Ekonomikas ministrija</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noteikumu projekta „Grozījumi Ministru kabineta 2005.gada 30.augusta noteikumos Nr.664 „Sabiedrisko pakalpojumu licencēšanas noteikumi””sākotnējās ietekmes novērtējuma ziņojums (anotācija)</dc:title>
  <dc:subject>Sākotnējās ietekmes novērtējuma ziņotājs (anotācija)</dc:subject>
  <dc:creator>Gints Zadraks</dc:creator>
  <cp:keywords/>
  <dc:description>gints.zadraks@em.gov.lv 67013244</dc:description>
  <cp:lastModifiedBy>Kristīne Krebe-Kļimoviča</cp:lastModifiedBy>
  <cp:revision>2</cp:revision>
  <cp:lastPrinted>2011-12-20T14:41:00Z</cp:lastPrinted>
  <dcterms:created xsi:type="dcterms:W3CDTF">2011-12-20T14:44:00Z</dcterms:created>
  <dcterms:modified xsi:type="dcterms:W3CDTF">2011-12-20T14:44:00Z</dcterms:modified>
</cp:coreProperties>
</file>