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BAA" w:rsidRPr="00655964" w:rsidRDefault="00D45BAA" w:rsidP="005F3A63">
      <w:pPr>
        <w:jc w:val="center"/>
        <w:outlineLvl w:val="0"/>
        <w:rPr>
          <w:b/>
          <w:sz w:val="26"/>
          <w:szCs w:val="26"/>
          <w:lang w:val="lv-LV" w:eastAsia="lv-LV"/>
        </w:rPr>
      </w:pPr>
      <w:bookmarkStart w:id="0" w:name="OLE_LINK6"/>
      <w:bookmarkStart w:id="1" w:name="OLE_LINK7"/>
      <w:bookmarkStart w:id="2" w:name="OLE_LINK11"/>
      <w:bookmarkStart w:id="3" w:name="OLE_LINK9"/>
      <w:bookmarkStart w:id="4" w:name="OLE_LINK10"/>
      <w:bookmarkStart w:id="5" w:name="OLE_LINK3"/>
      <w:bookmarkStart w:id="6" w:name="OLE_LINK1"/>
      <w:bookmarkStart w:id="7" w:name="OLE_LINK2"/>
      <w:r w:rsidRPr="00655964">
        <w:rPr>
          <w:b/>
          <w:sz w:val="26"/>
          <w:szCs w:val="26"/>
          <w:lang w:val="lv-LV" w:eastAsia="lv-LV"/>
        </w:rPr>
        <w:t>Ministru kabineta noteikumu projekta</w:t>
      </w:r>
      <w:r w:rsidR="00F7200E" w:rsidRPr="00655964">
        <w:rPr>
          <w:b/>
          <w:sz w:val="26"/>
          <w:szCs w:val="26"/>
          <w:lang w:val="lv-LV" w:eastAsia="lv-LV"/>
        </w:rPr>
        <w:t xml:space="preserve"> </w:t>
      </w:r>
      <w:r w:rsidRPr="00655964">
        <w:rPr>
          <w:b/>
          <w:sz w:val="26"/>
          <w:szCs w:val="26"/>
          <w:lang w:val="lv-LV" w:eastAsia="lv-LV"/>
        </w:rPr>
        <w:t>„</w:t>
      </w:r>
      <w:r w:rsidR="00053D87" w:rsidRPr="00655964">
        <w:rPr>
          <w:b/>
          <w:sz w:val="26"/>
          <w:szCs w:val="26"/>
          <w:lang w:val="lv-LV" w:eastAsia="lv-LV"/>
        </w:rPr>
        <w:t>Grozījumi Ministru kabineta 2011.gada 2.augusta noteikumos Nr.613 „</w:t>
      </w:r>
      <w:bookmarkStart w:id="8" w:name="OLE_LINK5"/>
      <w:r w:rsidR="00053D87" w:rsidRPr="00655964">
        <w:rPr>
          <w:b/>
          <w:sz w:val="26"/>
          <w:szCs w:val="26"/>
          <w:lang w:val="lv-LV" w:eastAsia="lv-LV"/>
        </w:rPr>
        <w:t>Noteikumi par mezanīna aizdevumiem saimnieciskās darbības veicēju konkurētspējas uzlabošanai</w:t>
      </w:r>
      <w:bookmarkEnd w:id="8"/>
      <w:r w:rsidR="00053D87" w:rsidRPr="00655964">
        <w:rPr>
          <w:b/>
          <w:sz w:val="26"/>
          <w:szCs w:val="26"/>
          <w:lang w:val="lv-LV" w:eastAsia="lv-LV"/>
        </w:rPr>
        <w:t>”</w:t>
      </w:r>
      <w:r w:rsidRPr="00655964">
        <w:rPr>
          <w:b/>
          <w:sz w:val="26"/>
          <w:szCs w:val="26"/>
          <w:lang w:val="lv-LV" w:eastAsia="lv-LV"/>
        </w:rPr>
        <w:t>”</w:t>
      </w:r>
      <w:bookmarkStart w:id="9" w:name="OLE_LINK4"/>
      <w:r w:rsidR="00F7200E" w:rsidRPr="00655964">
        <w:rPr>
          <w:b/>
          <w:sz w:val="26"/>
          <w:szCs w:val="26"/>
          <w:lang w:val="lv-LV" w:eastAsia="lv-LV"/>
        </w:rPr>
        <w:t xml:space="preserve"> </w:t>
      </w:r>
      <w:r w:rsidRPr="00655964">
        <w:rPr>
          <w:b/>
          <w:sz w:val="26"/>
          <w:szCs w:val="26"/>
          <w:lang w:val="lv-LV" w:eastAsia="lv-LV"/>
        </w:rPr>
        <w:t>sākotnējās ietekmes novērtējuma ziņojums (anotācija)</w:t>
      </w:r>
      <w:bookmarkEnd w:id="0"/>
      <w:bookmarkEnd w:id="1"/>
      <w:bookmarkEnd w:id="2"/>
      <w:bookmarkEnd w:id="9"/>
    </w:p>
    <w:bookmarkEnd w:id="3"/>
    <w:bookmarkEnd w:id="4"/>
    <w:p w:rsidR="00D45BAA" w:rsidRPr="00655964" w:rsidRDefault="00D45BAA" w:rsidP="005F3A63">
      <w:pPr>
        <w:jc w:val="center"/>
        <w:rPr>
          <w:b/>
          <w:sz w:val="26"/>
          <w:szCs w:val="26"/>
          <w:lang w:val="lv-LV" w:eastAsia="lv-LV"/>
        </w:rPr>
      </w:pPr>
    </w:p>
    <w:tbl>
      <w:tblPr>
        <w:tblW w:w="9356" w:type="dxa"/>
        <w:tblInd w:w="-112"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0A0" w:firstRow="1" w:lastRow="0" w:firstColumn="1" w:lastColumn="0" w:noHBand="0" w:noVBand="0"/>
      </w:tblPr>
      <w:tblGrid>
        <w:gridCol w:w="3261"/>
        <w:gridCol w:w="6095"/>
      </w:tblGrid>
      <w:tr w:rsidR="00D45BAA" w:rsidRPr="00655964" w:rsidTr="00214BE6">
        <w:tc>
          <w:tcPr>
            <w:tcW w:w="9356" w:type="dxa"/>
            <w:gridSpan w:val="2"/>
            <w:tcBorders>
              <w:top w:val="thickThinLargeGap" w:sz="6" w:space="0" w:color="C0C0C0"/>
              <w:bottom w:val="thickThinLargeGap" w:sz="6" w:space="0" w:color="C0C0C0"/>
            </w:tcBorders>
            <w:vAlign w:val="center"/>
          </w:tcPr>
          <w:bookmarkEnd w:id="5"/>
          <w:bookmarkEnd w:id="6"/>
          <w:bookmarkEnd w:id="7"/>
          <w:p w:rsidR="00D45BAA" w:rsidRPr="00655964" w:rsidRDefault="00D45BAA" w:rsidP="009779DD">
            <w:pPr>
              <w:jc w:val="center"/>
              <w:rPr>
                <w:b/>
                <w:sz w:val="26"/>
                <w:szCs w:val="26"/>
                <w:lang w:val="lv-LV" w:eastAsia="lv-LV"/>
              </w:rPr>
            </w:pPr>
            <w:r w:rsidRPr="00655964">
              <w:rPr>
                <w:b/>
                <w:sz w:val="26"/>
                <w:szCs w:val="26"/>
                <w:lang w:val="lv-LV" w:eastAsia="lv-LV"/>
              </w:rPr>
              <w:t>I.Tiesību akta projekta izstrādes nepieciešamība</w:t>
            </w:r>
          </w:p>
        </w:tc>
      </w:tr>
      <w:tr w:rsidR="00D45BAA" w:rsidRPr="00655964" w:rsidTr="00230B0F">
        <w:tc>
          <w:tcPr>
            <w:tcW w:w="3261" w:type="dxa"/>
            <w:tcBorders>
              <w:top w:val="thickThinLargeGap" w:sz="6" w:space="0" w:color="C0C0C0"/>
              <w:bottom w:val="thickThinLargeGap" w:sz="6" w:space="0" w:color="C0C0C0"/>
              <w:right w:val="thickThinLargeGap" w:sz="6" w:space="0" w:color="C0C0C0"/>
            </w:tcBorders>
          </w:tcPr>
          <w:p w:rsidR="00D45BAA" w:rsidRPr="00655964" w:rsidRDefault="00D45BAA" w:rsidP="009779DD">
            <w:pPr>
              <w:rPr>
                <w:sz w:val="26"/>
                <w:szCs w:val="26"/>
                <w:lang w:val="lv-LV" w:eastAsia="lv-LV"/>
              </w:rPr>
            </w:pPr>
            <w:r w:rsidRPr="00655964">
              <w:rPr>
                <w:sz w:val="26"/>
                <w:szCs w:val="26"/>
                <w:lang w:val="lv-LV" w:eastAsia="lv-LV"/>
              </w:rPr>
              <w:t>1. Pamatojums</w:t>
            </w:r>
          </w:p>
        </w:tc>
        <w:tc>
          <w:tcPr>
            <w:tcW w:w="6095" w:type="dxa"/>
            <w:tcBorders>
              <w:top w:val="thickThinLargeGap" w:sz="6" w:space="0" w:color="C0C0C0"/>
              <w:left w:val="thickThinLargeGap" w:sz="6" w:space="0" w:color="C0C0C0"/>
              <w:bottom w:val="thickThinLargeGap" w:sz="6" w:space="0" w:color="C0C0C0"/>
            </w:tcBorders>
          </w:tcPr>
          <w:p w:rsidR="007C1E82" w:rsidRPr="00655964" w:rsidRDefault="000554FF" w:rsidP="009779DD">
            <w:pPr>
              <w:ind w:left="142" w:right="142" w:firstLine="567"/>
              <w:jc w:val="both"/>
              <w:rPr>
                <w:sz w:val="26"/>
                <w:szCs w:val="26"/>
                <w:lang w:val="lv-LV"/>
              </w:rPr>
            </w:pPr>
            <w:r w:rsidRPr="003C0C7B">
              <w:rPr>
                <w:sz w:val="26"/>
                <w:szCs w:val="26"/>
                <w:lang w:val="lv-LV"/>
              </w:rPr>
              <w:t xml:space="preserve">Noteikumu projekts sagatavots, pamatojoties uz </w:t>
            </w:r>
            <w:r w:rsidRPr="003C0C7B">
              <w:rPr>
                <w:rStyle w:val="apple-style-span"/>
                <w:iCs/>
                <w:color w:val="000000"/>
                <w:sz w:val="26"/>
                <w:szCs w:val="26"/>
                <w:shd w:val="clear" w:color="auto" w:fill="FFFFFF"/>
                <w:lang w:val="lv-LV"/>
              </w:rPr>
              <w:t>Ministru kabineta iekārtas likuma 31.panta pirmās daļas 3.punktu.</w:t>
            </w:r>
          </w:p>
        </w:tc>
      </w:tr>
      <w:tr w:rsidR="00D45BAA" w:rsidRPr="00655964" w:rsidTr="00230B0F">
        <w:trPr>
          <w:trHeight w:val="360"/>
        </w:trPr>
        <w:tc>
          <w:tcPr>
            <w:tcW w:w="3261" w:type="dxa"/>
            <w:tcBorders>
              <w:top w:val="thickThinLargeGap" w:sz="6" w:space="0" w:color="C0C0C0"/>
              <w:bottom w:val="thickThinLargeGap" w:sz="6" w:space="0" w:color="C0C0C0"/>
              <w:right w:val="thickThinLargeGap" w:sz="6" w:space="0" w:color="C0C0C0"/>
            </w:tcBorders>
          </w:tcPr>
          <w:p w:rsidR="00D45BAA" w:rsidRPr="003C0C7B" w:rsidRDefault="00D45BAA" w:rsidP="009779DD">
            <w:pPr>
              <w:rPr>
                <w:sz w:val="26"/>
                <w:szCs w:val="26"/>
                <w:lang w:val="lv-LV" w:eastAsia="lv-LV"/>
              </w:rPr>
            </w:pPr>
            <w:r w:rsidRPr="00655964">
              <w:rPr>
                <w:sz w:val="26"/>
                <w:szCs w:val="26"/>
                <w:lang w:val="lv-LV" w:eastAsia="lv-LV"/>
              </w:rPr>
              <w:t>2. Pašreizējā situācija un problēmas</w:t>
            </w:r>
          </w:p>
        </w:tc>
        <w:tc>
          <w:tcPr>
            <w:tcW w:w="6095" w:type="dxa"/>
            <w:tcBorders>
              <w:top w:val="thickThinLargeGap" w:sz="6" w:space="0" w:color="C0C0C0"/>
              <w:left w:val="thickThinLargeGap" w:sz="6" w:space="0" w:color="C0C0C0"/>
              <w:bottom w:val="thickThinLargeGap" w:sz="6" w:space="0" w:color="C0C0C0"/>
            </w:tcBorders>
          </w:tcPr>
          <w:p w:rsidR="00434B8C" w:rsidRPr="00655964" w:rsidRDefault="003B2F8C" w:rsidP="009779DD">
            <w:pPr>
              <w:ind w:left="142" w:right="142" w:firstLine="567"/>
              <w:jc w:val="both"/>
              <w:rPr>
                <w:sz w:val="26"/>
                <w:szCs w:val="26"/>
                <w:lang w:val="lv-LV"/>
              </w:rPr>
            </w:pPr>
            <w:r w:rsidRPr="003C0C7B">
              <w:rPr>
                <w:sz w:val="26"/>
                <w:szCs w:val="26"/>
                <w:lang w:val="lv-LV"/>
              </w:rPr>
              <w:t>2011.gada 2.augustā</w:t>
            </w:r>
            <w:r w:rsidR="007B223B" w:rsidRPr="00DE306B">
              <w:rPr>
                <w:sz w:val="26"/>
                <w:szCs w:val="26"/>
                <w:lang w:val="lv-LV"/>
              </w:rPr>
              <w:t xml:space="preserve"> Ministru kabinets apstiprināja Mi</w:t>
            </w:r>
            <w:r w:rsidRPr="00655964">
              <w:rPr>
                <w:sz w:val="26"/>
                <w:szCs w:val="26"/>
                <w:lang w:val="lv-LV"/>
              </w:rPr>
              <w:t>nistru kabineta noteikumus Nr.61</w:t>
            </w:r>
            <w:r w:rsidR="007B223B" w:rsidRPr="00655964">
              <w:rPr>
                <w:sz w:val="26"/>
                <w:szCs w:val="26"/>
                <w:lang w:val="lv-LV"/>
              </w:rPr>
              <w:t>3 „</w:t>
            </w:r>
            <w:r w:rsidRPr="00655964">
              <w:rPr>
                <w:sz w:val="26"/>
                <w:szCs w:val="26"/>
                <w:lang w:val="lv-LV"/>
              </w:rPr>
              <w:t>Noteikumi par mezanīna aizdevumiem saimnieciskās darbības veicēju konkurētspējas uzlabošanai</w:t>
            </w:r>
            <w:r w:rsidR="007B223B" w:rsidRPr="00655964">
              <w:rPr>
                <w:sz w:val="26"/>
                <w:szCs w:val="26"/>
                <w:lang w:val="lv-LV"/>
              </w:rPr>
              <w:t>” (turpmāk - MK noteikumi Nr.</w:t>
            </w:r>
            <w:r w:rsidRPr="00655964">
              <w:rPr>
                <w:sz w:val="26"/>
                <w:szCs w:val="26"/>
                <w:lang w:val="lv-LV"/>
              </w:rPr>
              <w:t>613</w:t>
            </w:r>
            <w:r w:rsidR="007B223B" w:rsidRPr="00655964">
              <w:rPr>
                <w:sz w:val="26"/>
                <w:szCs w:val="26"/>
                <w:lang w:val="lv-LV"/>
              </w:rPr>
              <w:t xml:space="preserve">), kuri nosaka </w:t>
            </w:r>
            <w:r w:rsidRPr="00655964">
              <w:rPr>
                <w:sz w:val="26"/>
                <w:szCs w:val="26"/>
                <w:lang w:val="lv-LV"/>
              </w:rPr>
              <w:t>atbalsta piešķiršanas nosacījumus mezanīna aizdevuma veidā saimnieciskās darbības veicēju konkurētspējas uzlabošanai</w:t>
            </w:r>
            <w:r w:rsidR="007B223B" w:rsidRPr="00655964">
              <w:rPr>
                <w:sz w:val="26"/>
                <w:szCs w:val="26"/>
                <w:lang w:val="lv-LV"/>
              </w:rPr>
              <w:t xml:space="preserve">. </w:t>
            </w:r>
          </w:p>
          <w:p w:rsidR="007B223B" w:rsidRPr="00655964" w:rsidRDefault="001E6F96" w:rsidP="009779DD">
            <w:pPr>
              <w:ind w:left="142" w:right="142" w:firstLine="567"/>
              <w:jc w:val="both"/>
              <w:rPr>
                <w:sz w:val="26"/>
                <w:szCs w:val="26"/>
                <w:lang w:val="lv-LV"/>
              </w:rPr>
            </w:pPr>
            <w:r w:rsidRPr="00655964">
              <w:rPr>
                <w:sz w:val="26"/>
                <w:szCs w:val="26"/>
                <w:lang w:val="lv-LV"/>
              </w:rPr>
              <w:t>Līdz 2012.gada 30.aprīlim</w:t>
            </w:r>
            <w:r w:rsidR="007B223B" w:rsidRPr="00655964">
              <w:rPr>
                <w:sz w:val="26"/>
                <w:szCs w:val="26"/>
                <w:lang w:val="lv-LV"/>
              </w:rPr>
              <w:t xml:space="preserve"> </w:t>
            </w:r>
            <w:r w:rsidR="003B2F8C" w:rsidRPr="00655964">
              <w:rPr>
                <w:sz w:val="26"/>
                <w:szCs w:val="26"/>
                <w:lang w:val="lv-LV"/>
              </w:rPr>
              <w:t xml:space="preserve">MK noteikumu ietvaros </w:t>
            </w:r>
            <w:r w:rsidR="002E093C" w:rsidRPr="00655964">
              <w:rPr>
                <w:sz w:val="26"/>
                <w:szCs w:val="26"/>
                <w:lang w:val="lv-LV"/>
              </w:rPr>
              <w:t xml:space="preserve">Nr.613 </w:t>
            </w:r>
            <w:r w:rsidR="003B2F8C" w:rsidRPr="00655964">
              <w:rPr>
                <w:sz w:val="26"/>
                <w:szCs w:val="26"/>
                <w:lang w:val="lv-LV"/>
              </w:rPr>
              <w:t xml:space="preserve">ir iesniegti un apstiprināti </w:t>
            </w:r>
            <w:r w:rsidR="006073B1" w:rsidRPr="00655964">
              <w:rPr>
                <w:sz w:val="26"/>
                <w:szCs w:val="26"/>
                <w:lang w:val="lv-LV"/>
              </w:rPr>
              <w:t>2</w:t>
            </w:r>
            <w:r w:rsidR="003B2F8C" w:rsidRPr="00655964">
              <w:rPr>
                <w:sz w:val="26"/>
                <w:szCs w:val="26"/>
                <w:lang w:val="lv-LV"/>
              </w:rPr>
              <w:t xml:space="preserve"> </w:t>
            </w:r>
            <w:proofErr w:type="spellStart"/>
            <w:r w:rsidR="003B2F8C" w:rsidRPr="00655964">
              <w:rPr>
                <w:sz w:val="26"/>
                <w:szCs w:val="26"/>
                <w:lang w:val="lv-LV"/>
              </w:rPr>
              <w:t>mezanīna</w:t>
            </w:r>
            <w:proofErr w:type="spellEnd"/>
            <w:r w:rsidR="003B2F8C" w:rsidRPr="00655964">
              <w:rPr>
                <w:sz w:val="26"/>
                <w:szCs w:val="26"/>
                <w:lang w:val="lv-LV"/>
              </w:rPr>
              <w:t xml:space="preserve"> aizdevuma pieteikumi 1,</w:t>
            </w:r>
            <w:r w:rsidR="006073B1" w:rsidRPr="00655964">
              <w:rPr>
                <w:sz w:val="26"/>
                <w:szCs w:val="26"/>
                <w:lang w:val="lv-LV"/>
              </w:rPr>
              <w:t>12</w:t>
            </w:r>
            <w:r w:rsidR="003B2F8C" w:rsidRPr="00655964">
              <w:rPr>
                <w:sz w:val="26"/>
                <w:szCs w:val="26"/>
                <w:lang w:val="lv-LV"/>
              </w:rPr>
              <w:t xml:space="preserve"> </w:t>
            </w:r>
            <w:proofErr w:type="spellStart"/>
            <w:r w:rsidR="003B2F8C" w:rsidRPr="00655964">
              <w:rPr>
                <w:sz w:val="26"/>
                <w:szCs w:val="26"/>
                <w:lang w:val="lv-LV"/>
              </w:rPr>
              <w:t>milj</w:t>
            </w:r>
            <w:proofErr w:type="spellEnd"/>
            <w:r w:rsidR="003B2F8C" w:rsidRPr="00655964">
              <w:rPr>
                <w:sz w:val="26"/>
                <w:szCs w:val="26"/>
                <w:lang w:val="lv-LV"/>
              </w:rPr>
              <w:t>. LVL apmērā, taču nav noslēgts vēl neviens līgums.</w:t>
            </w:r>
          </w:p>
          <w:p w:rsidR="003B2F8C" w:rsidRPr="00655964" w:rsidRDefault="003B2F8C" w:rsidP="009779DD">
            <w:pPr>
              <w:ind w:left="142" w:right="142" w:firstLine="567"/>
              <w:jc w:val="both"/>
              <w:rPr>
                <w:sz w:val="26"/>
                <w:szCs w:val="26"/>
                <w:lang w:val="lv-LV"/>
              </w:rPr>
            </w:pPr>
            <w:r w:rsidRPr="00655964">
              <w:rPr>
                <w:sz w:val="26"/>
                <w:szCs w:val="26"/>
                <w:lang w:val="lv-LV"/>
              </w:rPr>
              <w:t>Pašlaik MK noteikumu Nr.613 ietvaros ir noteikts, ka mezanīna aizdevumu piešķir ar nosacījumu, ka ieguldījumu projekta izmaksas tiek finansētas ar kredītiestādes izsniegtu ilgtermiņa aizdevumu, kura summa pārsniedz aizdevuma apmēru un kura pamatsummas atmaksas atliktais termiņš nepārsniedz divus gadus.</w:t>
            </w:r>
          </w:p>
          <w:p w:rsidR="00B11963" w:rsidRPr="00655964" w:rsidRDefault="003B2F8C" w:rsidP="009779DD">
            <w:pPr>
              <w:ind w:left="142" w:right="142" w:firstLine="567"/>
              <w:jc w:val="both"/>
              <w:rPr>
                <w:sz w:val="26"/>
                <w:szCs w:val="26"/>
                <w:lang w:val="lv-LV"/>
              </w:rPr>
            </w:pPr>
            <w:r w:rsidRPr="00655964">
              <w:rPr>
                <w:sz w:val="26"/>
                <w:szCs w:val="26"/>
                <w:lang w:val="lv-LV"/>
              </w:rPr>
              <w:t>Lai veicinātu ko</w:t>
            </w:r>
            <w:r w:rsidR="00704CDB" w:rsidRPr="00655964">
              <w:rPr>
                <w:sz w:val="26"/>
                <w:szCs w:val="26"/>
                <w:lang w:val="lv-LV"/>
              </w:rPr>
              <w:t xml:space="preserve">mersantu pieeju finansējumam nepieciešams noteikt, ka </w:t>
            </w:r>
            <w:proofErr w:type="spellStart"/>
            <w:r w:rsidR="00704CDB" w:rsidRPr="00655964">
              <w:rPr>
                <w:sz w:val="26"/>
                <w:szCs w:val="26"/>
                <w:lang w:val="lv-LV"/>
              </w:rPr>
              <w:t>mezanīna</w:t>
            </w:r>
            <w:proofErr w:type="spellEnd"/>
            <w:r w:rsidR="00704CDB" w:rsidRPr="00655964">
              <w:rPr>
                <w:sz w:val="26"/>
                <w:szCs w:val="26"/>
                <w:lang w:val="lv-LV"/>
              </w:rPr>
              <w:t xml:space="preserve"> aizdevums var tikt izsniegts arī ar nosacījumu, ka ieguldījumu projekta izmaksas tiek finansētas ar </w:t>
            </w:r>
            <w:proofErr w:type="spellStart"/>
            <w:r w:rsidR="00A017C6" w:rsidRPr="00655964">
              <w:rPr>
                <w:rFonts w:eastAsia="Times New Roman"/>
                <w:sz w:val="26"/>
                <w:szCs w:val="26"/>
                <w:lang w:eastAsia="lv-LV"/>
              </w:rPr>
              <w:t>kredītiestādes</w:t>
            </w:r>
            <w:proofErr w:type="spellEnd"/>
            <w:r w:rsidR="00A017C6" w:rsidRPr="00655964">
              <w:rPr>
                <w:rFonts w:eastAsia="Times New Roman"/>
                <w:sz w:val="26"/>
                <w:szCs w:val="26"/>
                <w:lang w:eastAsia="lv-LV"/>
              </w:rPr>
              <w:t xml:space="preserve"> </w:t>
            </w:r>
            <w:proofErr w:type="spellStart"/>
            <w:r w:rsidR="00A017C6" w:rsidRPr="00655964">
              <w:rPr>
                <w:sz w:val="26"/>
                <w:szCs w:val="26"/>
              </w:rPr>
              <w:t>vai</w:t>
            </w:r>
            <w:proofErr w:type="spellEnd"/>
            <w:r w:rsidR="00A017C6" w:rsidRPr="00655964">
              <w:rPr>
                <w:sz w:val="26"/>
                <w:szCs w:val="26"/>
              </w:rPr>
              <w:t xml:space="preserve"> </w:t>
            </w:r>
            <w:proofErr w:type="spellStart"/>
            <w:r w:rsidR="00A017C6" w:rsidRPr="00655964">
              <w:rPr>
                <w:sz w:val="26"/>
                <w:szCs w:val="26"/>
              </w:rPr>
              <w:t>tās</w:t>
            </w:r>
            <w:proofErr w:type="spellEnd"/>
            <w:r w:rsidR="00A017C6" w:rsidRPr="00655964">
              <w:rPr>
                <w:sz w:val="26"/>
                <w:szCs w:val="26"/>
              </w:rPr>
              <w:t xml:space="preserve"> </w:t>
            </w:r>
            <w:proofErr w:type="spellStart"/>
            <w:r w:rsidR="00A017C6" w:rsidRPr="00655964">
              <w:rPr>
                <w:sz w:val="26"/>
                <w:szCs w:val="26"/>
              </w:rPr>
              <w:t>meitas</w:t>
            </w:r>
            <w:proofErr w:type="spellEnd"/>
            <w:r w:rsidR="00A017C6" w:rsidRPr="00655964">
              <w:rPr>
                <w:sz w:val="26"/>
                <w:szCs w:val="26"/>
              </w:rPr>
              <w:t xml:space="preserve"> </w:t>
            </w:r>
            <w:proofErr w:type="spellStart"/>
            <w:r w:rsidR="00A017C6" w:rsidRPr="00655964">
              <w:rPr>
                <w:sz w:val="26"/>
                <w:szCs w:val="26"/>
              </w:rPr>
              <w:t>sabiedrības</w:t>
            </w:r>
            <w:proofErr w:type="spellEnd"/>
            <w:r w:rsidR="00A017C6" w:rsidRPr="00655964">
              <w:rPr>
                <w:rFonts w:eastAsia="Times New Roman"/>
                <w:sz w:val="26"/>
                <w:szCs w:val="26"/>
                <w:lang w:eastAsia="lv-LV"/>
              </w:rPr>
              <w:t xml:space="preserve"> </w:t>
            </w:r>
            <w:proofErr w:type="spellStart"/>
            <w:r w:rsidR="00A017C6" w:rsidRPr="00655964">
              <w:rPr>
                <w:rFonts w:eastAsia="Times New Roman"/>
                <w:sz w:val="26"/>
                <w:szCs w:val="26"/>
                <w:lang w:eastAsia="lv-LV"/>
              </w:rPr>
              <w:t>sniegto</w:t>
            </w:r>
            <w:proofErr w:type="spellEnd"/>
            <w:r w:rsidR="00A017C6" w:rsidRPr="00655964">
              <w:rPr>
                <w:rFonts w:eastAsia="Times New Roman"/>
                <w:sz w:val="26"/>
                <w:szCs w:val="26"/>
                <w:lang w:eastAsia="lv-LV"/>
              </w:rPr>
              <w:t xml:space="preserve"> </w:t>
            </w:r>
            <w:proofErr w:type="spellStart"/>
            <w:r w:rsidR="00A017C6" w:rsidRPr="00655964">
              <w:rPr>
                <w:rFonts w:eastAsia="Times New Roman"/>
                <w:sz w:val="26"/>
                <w:szCs w:val="26"/>
                <w:lang w:eastAsia="lv-LV"/>
              </w:rPr>
              <w:t>ilgtermiņa</w:t>
            </w:r>
            <w:proofErr w:type="spellEnd"/>
            <w:r w:rsidR="00A017C6" w:rsidRPr="00655964">
              <w:rPr>
                <w:rFonts w:eastAsia="Times New Roman"/>
                <w:sz w:val="26"/>
                <w:szCs w:val="26"/>
                <w:lang w:eastAsia="lv-LV"/>
              </w:rPr>
              <w:t xml:space="preserve"> </w:t>
            </w:r>
            <w:proofErr w:type="spellStart"/>
            <w:r w:rsidR="00A017C6" w:rsidRPr="00655964">
              <w:rPr>
                <w:rFonts w:eastAsia="Times New Roman"/>
                <w:sz w:val="26"/>
                <w:szCs w:val="26"/>
                <w:lang w:eastAsia="lv-LV"/>
              </w:rPr>
              <w:t>aizdevumu</w:t>
            </w:r>
            <w:proofErr w:type="spellEnd"/>
            <w:r w:rsidR="00A017C6" w:rsidRPr="00655964">
              <w:rPr>
                <w:rFonts w:eastAsia="Times New Roman"/>
                <w:sz w:val="26"/>
                <w:szCs w:val="26"/>
                <w:lang w:eastAsia="lv-LV"/>
              </w:rPr>
              <w:t xml:space="preserve"> </w:t>
            </w:r>
            <w:proofErr w:type="spellStart"/>
            <w:r w:rsidR="00A017C6" w:rsidRPr="00655964">
              <w:rPr>
                <w:sz w:val="26"/>
                <w:szCs w:val="26"/>
              </w:rPr>
              <w:t>vai</w:t>
            </w:r>
            <w:proofErr w:type="spellEnd"/>
            <w:r w:rsidR="00A017C6" w:rsidRPr="00655964">
              <w:rPr>
                <w:sz w:val="26"/>
                <w:szCs w:val="26"/>
              </w:rPr>
              <w:t xml:space="preserve"> </w:t>
            </w:r>
            <w:proofErr w:type="spellStart"/>
            <w:r w:rsidR="00A017C6" w:rsidRPr="00655964">
              <w:rPr>
                <w:sz w:val="26"/>
                <w:szCs w:val="26"/>
              </w:rPr>
              <w:t>finanšu</w:t>
            </w:r>
            <w:proofErr w:type="spellEnd"/>
            <w:r w:rsidR="00A017C6" w:rsidRPr="00655964">
              <w:rPr>
                <w:sz w:val="26"/>
                <w:szCs w:val="26"/>
              </w:rPr>
              <w:t xml:space="preserve"> </w:t>
            </w:r>
            <w:proofErr w:type="spellStart"/>
            <w:r w:rsidR="00A017C6" w:rsidRPr="00655964">
              <w:rPr>
                <w:sz w:val="26"/>
                <w:szCs w:val="26"/>
              </w:rPr>
              <w:t>līzingu</w:t>
            </w:r>
            <w:proofErr w:type="spellEnd"/>
            <w:r w:rsidR="00704CDB" w:rsidRPr="00655964">
              <w:rPr>
                <w:sz w:val="26"/>
                <w:szCs w:val="26"/>
                <w:lang w:val="lv-LV"/>
              </w:rPr>
              <w:t xml:space="preserve">. </w:t>
            </w:r>
          </w:p>
          <w:p w:rsidR="00704CDB" w:rsidRPr="00655964" w:rsidRDefault="00B11963" w:rsidP="009779DD">
            <w:pPr>
              <w:ind w:left="142" w:right="142" w:firstLine="567"/>
              <w:jc w:val="both"/>
              <w:rPr>
                <w:sz w:val="26"/>
                <w:szCs w:val="26"/>
                <w:lang w:val="lv-LV"/>
              </w:rPr>
            </w:pPr>
            <w:r w:rsidRPr="00655964">
              <w:rPr>
                <w:sz w:val="26"/>
                <w:szCs w:val="26"/>
                <w:lang w:val="lv-LV"/>
              </w:rPr>
              <w:t>Papildus</w:t>
            </w:r>
            <w:r w:rsidR="008D599A" w:rsidRPr="00655964">
              <w:rPr>
                <w:sz w:val="26"/>
                <w:szCs w:val="26"/>
                <w:lang w:val="lv-LV"/>
              </w:rPr>
              <w:t>,</w:t>
            </w:r>
            <w:r w:rsidRPr="00655964">
              <w:rPr>
                <w:sz w:val="26"/>
                <w:szCs w:val="26"/>
                <w:lang w:val="lv-LV"/>
              </w:rPr>
              <w:t xml:space="preserve"> </w:t>
            </w:r>
            <w:r w:rsidR="008D599A" w:rsidRPr="00655964">
              <w:rPr>
                <w:sz w:val="26"/>
                <w:szCs w:val="26"/>
                <w:lang w:val="lv-LV"/>
              </w:rPr>
              <w:t xml:space="preserve">ņemot vērā komersantu izrādīto pieprasījumu, </w:t>
            </w:r>
            <w:r w:rsidRPr="00655964">
              <w:rPr>
                <w:sz w:val="26"/>
                <w:szCs w:val="26"/>
                <w:lang w:val="lv-LV"/>
              </w:rPr>
              <w:t xml:space="preserve">ir </w:t>
            </w:r>
            <w:r w:rsidR="00704CDB" w:rsidRPr="00655964">
              <w:rPr>
                <w:sz w:val="26"/>
                <w:szCs w:val="26"/>
                <w:lang w:val="lv-LV"/>
              </w:rPr>
              <w:t xml:space="preserve">nepieciešams </w:t>
            </w:r>
            <w:r w:rsidR="000330DD" w:rsidRPr="00655964">
              <w:rPr>
                <w:sz w:val="26"/>
                <w:szCs w:val="26"/>
                <w:lang w:val="lv-LV"/>
              </w:rPr>
              <w:t>atcelt</w:t>
            </w:r>
            <w:r w:rsidR="004257CC" w:rsidRPr="00655964">
              <w:rPr>
                <w:sz w:val="26"/>
                <w:szCs w:val="26"/>
                <w:lang w:val="lv-LV"/>
              </w:rPr>
              <w:t xml:space="preserve"> </w:t>
            </w:r>
            <w:r w:rsidR="00704CDB" w:rsidRPr="00655964">
              <w:rPr>
                <w:sz w:val="26"/>
                <w:szCs w:val="26"/>
                <w:lang w:val="lv-LV"/>
              </w:rPr>
              <w:t xml:space="preserve">minimālo </w:t>
            </w:r>
            <w:proofErr w:type="spellStart"/>
            <w:r w:rsidR="00704CDB" w:rsidRPr="00655964">
              <w:rPr>
                <w:sz w:val="26"/>
                <w:szCs w:val="26"/>
                <w:lang w:val="lv-LV"/>
              </w:rPr>
              <w:t>mezanīna</w:t>
            </w:r>
            <w:proofErr w:type="spellEnd"/>
            <w:r w:rsidR="00704CDB" w:rsidRPr="00655964">
              <w:rPr>
                <w:sz w:val="26"/>
                <w:szCs w:val="26"/>
                <w:lang w:val="lv-LV"/>
              </w:rPr>
              <w:t xml:space="preserve"> aizdevuma summu, lai</w:t>
            </w:r>
            <w:r w:rsidR="004257CC" w:rsidRPr="00655964">
              <w:rPr>
                <w:sz w:val="26"/>
                <w:szCs w:val="26"/>
                <w:lang w:val="lv-LV"/>
              </w:rPr>
              <w:t xml:space="preserve"> atbalstītu</w:t>
            </w:r>
            <w:r w:rsidR="00BA0A3A" w:rsidRPr="00655964">
              <w:rPr>
                <w:sz w:val="26"/>
                <w:szCs w:val="26"/>
                <w:lang w:val="lv-LV"/>
              </w:rPr>
              <w:t xml:space="preserve"> </w:t>
            </w:r>
            <w:r w:rsidRPr="00655964">
              <w:rPr>
                <w:sz w:val="26"/>
                <w:szCs w:val="26"/>
                <w:lang w:val="lv-LV"/>
              </w:rPr>
              <w:t xml:space="preserve">ieguldījumu projektu finansēšanu, kuru apjomi ir mazāki par 100 000 </w:t>
            </w:r>
            <w:r w:rsidR="006A2C2B" w:rsidRPr="00655964">
              <w:rPr>
                <w:sz w:val="26"/>
                <w:szCs w:val="26"/>
                <w:lang w:val="lv-LV"/>
              </w:rPr>
              <w:t>LVL</w:t>
            </w:r>
            <w:r w:rsidR="008D599A" w:rsidRPr="00655964">
              <w:rPr>
                <w:sz w:val="26"/>
                <w:szCs w:val="26"/>
                <w:lang w:val="lv-LV"/>
              </w:rPr>
              <w:t>.</w:t>
            </w:r>
          </w:p>
          <w:p w:rsidR="001658AC" w:rsidRPr="00655964" w:rsidRDefault="001658AC" w:rsidP="0084359B">
            <w:pPr>
              <w:ind w:left="142" w:right="142" w:firstLine="567"/>
              <w:jc w:val="both"/>
              <w:rPr>
                <w:sz w:val="26"/>
                <w:szCs w:val="26"/>
                <w:lang w:val="lv-LV"/>
              </w:rPr>
            </w:pPr>
            <w:r w:rsidRPr="00655964">
              <w:rPr>
                <w:sz w:val="26"/>
                <w:szCs w:val="26"/>
                <w:lang w:val="lv-LV"/>
              </w:rPr>
              <w:t>Papildus, lai veicinātu programmas apguvi un lielāku finansējuma pieejamību komersantiem, nepieciešams</w:t>
            </w:r>
            <w:r w:rsidR="001346DE" w:rsidRPr="00655964">
              <w:rPr>
                <w:sz w:val="26"/>
                <w:szCs w:val="26"/>
                <w:lang w:val="lv-LV"/>
              </w:rPr>
              <w:t xml:space="preserve"> atvieglot nozaru ierobežojumus, tai skaitā, ļaujot finansēt ieguldījumus ēku energoefektivitātes veicināšanā</w:t>
            </w:r>
            <w:r w:rsidR="0084359B" w:rsidRPr="00655964">
              <w:rPr>
                <w:sz w:val="26"/>
                <w:szCs w:val="26"/>
                <w:lang w:val="lv-LV"/>
              </w:rPr>
              <w:t xml:space="preserve">, tā nodrošinot ēku </w:t>
            </w:r>
            <w:r w:rsidR="0084359B" w:rsidRPr="00655964">
              <w:rPr>
                <w:sz w:val="26"/>
                <w:szCs w:val="26"/>
                <w:lang w:val="lv-LV"/>
              </w:rPr>
              <w:lastRenderedPageBreak/>
              <w:t xml:space="preserve">energoefektivitātes uzlabošanos, kā arī veicinot privātā sektora pieeju nepieciešamajam finansējumam, lai attīstītu </w:t>
            </w:r>
            <w:proofErr w:type="spellStart"/>
            <w:r w:rsidR="0084359B" w:rsidRPr="00655964">
              <w:rPr>
                <w:sz w:val="26"/>
                <w:szCs w:val="26"/>
                <w:lang w:val="lv-LV"/>
              </w:rPr>
              <w:t>energo</w:t>
            </w:r>
            <w:r w:rsidR="008C2298" w:rsidRPr="00655964">
              <w:rPr>
                <w:sz w:val="26"/>
                <w:szCs w:val="26"/>
                <w:lang w:val="lv-LV"/>
              </w:rPr>
              <w:t>servisa</w:t>
            </w:r>
            <w:proofErr w:type="spellEnd"/>
            <w:r w:rsidR="0084359B" w:rsidRPr="00655964">
              <w:rPr>
                <w:sz w:val="26"/>
                <w:szCs w:val="26"/>
                <w:lang w:val="lv-LV"/>
              </w:rPr>
              <w:t xml:space="preserve"> pakalpojumu sniegšanu Latvijā.</w:t>
            </w:r>
          </w:p>
          <w:p w:rsidR="003E589B" w:rsidRPr="00655964" w:rsidRDefault="003E589B" w:rsidP="00324271">
            <w:pPr>
              <w:ind w:left="142" w:right="142"/>
              <w:jc w:val="both"/>
              <w:rPr>
                <w:sz w:val="26"/>
                <w:szCs w:val="26"/>
                <w:lang w:val="lv-LV"/>
              </w:rPr>
            </w:pPr>
            <w:r w:rsidRPr="00655964">
              <w:rPr>
                <w:sz w:val="26"/>
                <w:szCs w:val="26"/>
                <w:lang w:val="lv-LV"/>
              </w:rPr>
              <w:tab/>
              <w:t xml:space="preserve">Komisijas Regulas (EK) Nr.1828/2006 kas paredz noteikumus par to, kā īstenot Padomes Regulu (EK) Nr. 1083/2006, ar ko paredz vispārīgus noteikumus par Eiropas Reģionālās attīstības fondu, Eiropas Sociālo fondu un Kohēzijas fondu, un Eiropas Parlamenta un Padomes Regulu (EK) </w:t>
            </w:r>
            <w:proofErr w:type="spellStart"/>
            <w:r w:rsidRPr="00655964">
              <w:rPr>
                <w:sz w:val="26"/>
                <w:szCs w:val="26"/>
                <w:lang w:val="lv-LV"/>
              </w:rPr>
              <w:t>Nr</w:t>
            </w:r>
            <w:proofErr w:type="spellEnd"/>
            <w:r w:rsidRPr="00655964">
              <w:rPr>
                <w:sz w:val="26"/>
                <w:szCs w:val="26"/>
                <w:lang w:val="lv-LV"/>
              </w:rPr>
              <w:t>. 1080/2006 par Eiropas Reģionālās attīstības fondu 45.pants, nosaka, ka ES fondu līdzfinansēti finanšu instrumenti nedrīkst veikt ieguldījumus grūtībās nonākušos uzņēmumos Kopienas 2004. gada 10. oktobra Pamatnostādnes par valsts atbalstu grūtībās nonākušu uzņēmumu glābšanai un pārstrukturēšanai nozīmē. Norādām, ka ir izstrādāta Finanšu ministrijas metodika grūtībās nonākušu komersantu vērtēšanai pēc kuras vadīties nosakot vai komersants ir grūtībās nonācis. Tiek veikti precizējoši grozījumi, lai MK noteikumos Nr.613 noteiktā grūtībās nonākušu komersantu izvērtējums tiktu veikts atbilstoši šai metodikai.</w:t>
            </w:r>
          </w:p>
        </w:tc>
      </w:tr>
      <w:tr w:rsidR="00D45BAA" w:rsidRPr="00655964" w:rsidTr="00230B0F">
        <w:trPr>
          <w:trHeight w:val="360"/>
        </w:trPr>
        <w:tc>
          <w:tcPr>
            <w:tcW w:w="3261" w:type="dxa"/>
            <w:tcBorders>
              <w:top w:val="thickThinLargeGap" w:sz="6" w:space="0" w:color="C0C0C0"/>
              <w:bottom w:val="thickThinLargeGap" w:sz="6" w:space="0" w:color="C0C0C0"/>
              <w:right w:val="thickThinLargeGap" w:sz="6" w:space="0" w:color="C0C0C0"/>
            </w:tcBorders>
          </w:tcPr>
          <w:p w:rsidR="00D45BAA" w:rsidRPr="003C0C7B" w:rsidRDefault="00D45BAA" w:rsidP="009779DD">
            <w:pPr>
              <w:rPr>
                <w:sz w:val="26"/>
                <w:szCs w:val="26"/>
                <w:lang w:val="lv-LV" w:eastAsia="lv-LV"/>
              </w:rPr>
            </w:pPr>
            <w:r w:rsidRPr="00655964">
              <w:rPr>
                <w:sz w:val="26"/>
                <w:szCs w:val="26"/>
                <w:lang w:val="lv-LV" w:eastAsia="lv-LV"/>
              </w:rPr>
              <w:lastRenderedPageBreak/>
              <w:t>3. Saistītie politikas ietekmes novērtējumi un pētījumi</w:t>
            </w:r>
          </w:p>
        </w:tc>
        <w:tc>
          <w:tcPr>
            <w:tcW w:w="6095" w:type="dxa"/>
            <w:tcBorders>
              <w:top w:val="thickThinLargeGap" w:sz="6" w:space="0" w:color="C0C0C0"/>
              <w:left w:val="thickThinLargeGap" w:sz="6" w:space="0" w:color="C0C0C0"/>
              <w:bottom w:val="thickThinLargeGap" w:sz="6" w:space="0" w:color="C0C0C0"/>
            </w:tcBorders>
          </w:tcPr>
          <w:p w:rsidR="007C1E82" w:rsidRPr="00DE306B" w:rsidRDefault="00D45BAA" w:rsidP="009779DD">
            <w:pPr>
              <w:ind w:left="142"/>
              <w:jc w:val="both"/>
              <w:rPr>
                <w:color w:val="000000"/>
                <w:sz w:val="26"/>
                <w:szCs w:val="26"/>
                <w:lang w:val="lv-LV"/>
              </w:rPr>
            </w:pPr>
            <w:r w:rsidRPr="003C0C7B">
              <w:rPr>
                <w:color w:val="000000"/>
                <w:sz w:val="26"/>
                <w:szCs w:val="26"/>
                <w:lang w:val="lv-LV"/>
              </w:rPr>
              <w:t>Nav.</w:t>
            </w:r>
          </w:p>
        </w:tc>
      </w:tr>
      <w:tr w:rsidR="00D45BAA" w:rsidRPr="00655964" w:rsidTr="00230B0F">
        <w:trPr>
          <w:trHeight w:val="1068"/>
        </w:trPr>
        <w:tc>
          <w:tcPr>
            <w:tcW w:w="3261" w:type="dxa"/>
            <w:tcBorders>
              <w:top w:val="thickThinLargeGap" w:sz="6" w:space="0" w:color="C0C0C0"/>
              <w:bottom w:val="thickThinLargeGap" w:sz="6" w:space="0" w:color="C0C0C0"/>
              <w:right w:val="thickThinLargeGap" w:sz="6" w:space="0" w:color="C0C0C0"/>
            </w:tcBorders>
          </w:tcPr>
          <w:p w:rsidR="00D45BAA" w:rsidRPr="003C0C7B" w:rsidRDefault="00D45BAA" w:rsidP="009779DD">
            <w:pPr>
              <w:rPr>
                <w:sz w:val="26"/>
                <w:szCs w:val="26"/>
                <w:lang w:val="lv-LV" w:eastAsia="lv-LV"/>
              </w:rPr>
            </w:pPr>
            <w:r w:rsidRPr="00655964">
              <w:rPr>
                <w:sz w:val="26"/>
                <w:szCs w:val="26"/>
                <w:lang w:val="lv-LV" w:eastAsia="lv-LV"/>
              </w:rPr>
              <w:t>4. Tiesiskā regulējuma mērķis un būtība</w:t>
            </w:r>
          </w:p>
        </w:tc>
        <w:tc>
          <w:tcPr>
            <w:tcW w:w="6095" w:type="dxa"/>
            <w:tcBorders>
              <w:top w:val="thickThinLargeGap" w:sz="6" w:space="0" w:color="C0C0C0"/>
              <w:left w:val="thickThinLargeGap" w:sz="6" w:space="0" w:color="C0C0C0"/>
              <w:bottom w:val="thickThinLargeGap" w:sz="6" w:space="0" w:color="C0C0C0"/>
            </w:tcBorders>
          </w:tcPr>
          <w:p w:rsidR="001C3AE7" w:rsidRPr="00655964" w:rsidRDefault="001C3AE7" w:rsidP="009779DD">
            <w:pPr>
              <w:ind w:left="142" w:right="142" w:firstLine="567"/>
              <w:jc w:val="both"/>
              <w:rPr>
                <w:color w:val="000000"/>
                <w:sz w:val="26"/>
                <w:szCs w:val="26"/>
                <w:lang w:val="lv-LV"/>
              </w:rPr>
            </w:pPr>
            <w:r w:rsidRPr="003C0C7B">
              <w:rPr>
                <w:color w:val="000000"/>
                <w:sz w:val="26"/>
                <w:szCs w:val="26"/>
                <w:lang w:val="lv-LV"/>
              </w:rPr>
              <w:t>Noteikumu projekts paredz veikt</w:t>
            </w:r>
            <w:r w:rsidR="001658AC" w:rsidRPr="00DE306B">
              <w:rPr>
                <w:color w:val="000000"/>
                <w:sz w:val="26"/>
                <w:szCs w:val="26"/>
                <w:lang w:val="lv-LV"/>
              </w:rPr>
              <w:t xml:space="preserve"> grozījumus MK noteikumos Nr.613</w:t>
            </w:r>
            <w:r w:rsidRPr="00655964">
              <w:rPr>
                <w:color w:val="000000"/>
                <w:sz w:val="26"/>
                <w:szCs w:val="26"/>
                <w:lang w:val="lv-LV"/>
              </w:rPr>
              <w:t xml:space="preserve"> un noteikt:</w:t>
            </w:r>
          </w:p>
          <w:p w:rsidR="001C3AE7" w:rsidRPr="00655964" w:rsidRDefault="001658AC" w:rsidP="009779DD">
            <w:pPr>
              <w:numPr>
                <w:ilvl w:val="0"/>
                <w:numId w:val="10"/>
              </w:numPr>
              <w:ind w:left="425" w:right="142" w:firstLine="0"/>
              <w:jc w:val="both"/>
              <w:rPr>
                <w:sz w:val="26"/>
                <w:szCs w:val="26"/>
                <w:lang w:val="lv-LV"/>
              </w:rPr>
            </w:pPr>
            <w:r w:rsidRPr="00655964">
              <w:rPr>
                <w:sz w:val="26"/>
                <w:szCs w:val="26"/>
                <w:lang w:val="lv-LV"/>
              </w:rPr>
              <w:t xml:space="preserve">ka </w:t>
            </w:r>
            <w:proofErr w:type="spellStart"/>
            <w:r w:rsidRPr="00655964">
              <w:rPr>
                <w:sz w:val="26"/>
                <w:szCs w:val="26"/>
                <w:lang w:val="lv-LV"/>
              </w:rPr>
              <w:t>mezanīna</w:t>
            </w:r>
            <w:proofErr w:type="spellEnd"/>
            <w:r w:rsidRPr="00655964">
              <w:rPr>
                <w:sz w:val="26"/>
                <w:szCs w:val="26"/>
                <w:lang w:val="lv-LV"/>
              </w:rPr>
              <w:t xml:space="preserve"> aizdevumu var izsniegt kopā ar </w:t>
            </w:r>
            <w:proofErr w:type="spellStart"/>
            <w:r w:rsidR="006F6BF6" w:rsidRPr="00655964">
              <w:rPr>
                <w:rFonts w:eastAsia="Times New Roman"/>
                <w:sz w:val="26"/>
                <w:szCs w:val="26"/>
                <w:lang w:eastAsia="lv-LV"/>
              </w:rPr>
              <w:t>kredītiestādes</w:t>
            </w:r>
            <w:proofErr w:type="spellEnd"/>
            <w:r w:rsidR="006F6BF6" w:rsidRPr="00655964">
              <w:rPr>
                <w:rFonts w:eastAsia="Times New Roman"/>
                <w:sz w:val="26"/>
                <w:szCs w:val="26"/>
                <w:lang w:eastAsia="lv-LV"/>
              </w:rPr>
              <w:t xml:space="preserve"> </w:t>
            </w:r>
            <w:proofErr w:type="spellStart"/>
            <w:r w:rsidR="006F6BF6" w:rsidRPr="00655964">
              <w:rPr>
                <w:sz w:val="26"/>
                <w:szCs w:val="26"/>
              </w:rPr>
              <w:t>vai</w:t>
            </w:r>
            <w:proofErr w:type="spellEnd"/>
            <w:r w:rsidR="006F6BF6" w:rsidRPr="00655964">
              <w:rPr>
                <w:sz w:val="26"/>
                <w:szCs w:val="26"/>
              </w:rPr>
              <w:t xml:space="preserve"> </w:t>
            </w:r>
            <w:proofErr w:type="spellStart"/>
            <w:r w:rsidR="006F6BF6" w:rsidRPr="00655964">
              <w:rPr>
                <w:sz w:val="26"/>
                <w:szCs w:val="26"/>
              </w:rPr>
              <w:t>tās</w:t>
            </w:r>
            <w:proofErr w:type="spellEnd"/>
            <w:r w:rsidR="006F6BF6" w:rsidRPr="00655964">
              <w:rPr>
                <w:sz w:val="26"/>
                <w:szCs w:val="26"/>
              </w:rPr>
              <w:t xml:space="preserve"> </w:t>
            </w:r>
            <w:proofErr w:type="spellStart"/>
            <w:r w:rsidR="006F6BF6" w:rsidRPr="00655964">
              <w:rPr>
                <w:sz w:val="26"/>
                <w:szCs w:val="26"/>
              </w:rPr>
              <w:t>meitas</w:t>
            </w:r>
            <w:proofErr w:type="spellEnd"/>
            <w:r w:rsidR="006F6BF6" w:rsidRPr="00655964">
              <w:rPr>
                <w:sz w:val="26"/>
                <w:szCs w:val="26"/>
              </w:rPr>
              <w:t xml:space="preserve"> </w:t>
            </w:r>
            <w:proofErr w:type="spellStart"/>
            <w:r w:rsidR="006F6BF6" w:rsidRPr="00655964">
              <w:rPr>
                <w:sz w:val="26"/>
                <w:szCs w:val="26"/>
              </w:rPr>
              <w:t>sabiedrības</w:t>
            </w:r>
            <w:proofErr w:type="spellEnd"/>
            <w:r w:rsidR="006F6BF6" w:rsidRPr="00655964">
              <w:rPr>
                <w:rFonts w:eastAsia="Times New Roman"/>
                <w:sz w:val="26"/>
                <w:szCs w:val="26"/>
                <w:lang w:eastAsia="lv-LV"/>
              </w:rPr>
              <w:t xml:space="preserve"> </w:t>
            </w:r>
            <w:proofErr w:type="spellStart"/>
            <w:r w:rsidR="006F6BF6" w:rsidRPr="00655964">
              <w:rPr>
                <w:rFonts w:eastAsia="Times New Roman"/>
                <w:sz w:val="26"/>
                <w:szCs w:val="26"/>
                <w:lang w:eastAsia="lv-LV"/>
              </w:rPr>
              <w:t>sniegto</w:t>
            </w:r>
            <w:proofErr w:type="spellEnd"/>
            <w:r w:rsidR="006F6BF6" w:rsidRPr="00655964">
              <w:rPr>
                <w:rFonts w:eastAsia="Times New Roman"/>
                <w:sz w:val="26"/>
                <w:szCs w:val="26"/>
                <w:lang w:eastAsia="lv-LV"/>
              </w:rPr>
              <w:t xml:space="preserve"> </w:t>
            </w:r>
            <w:proofErr w:type="spellStart"/>
            <w:r w:rsidR="006F6BF6" w:rsidRPr="00655964">
              <w:rPr>
                <w:rFonts w:eastAsia="Times New Roman"/>
                <w:sz w:val="26"/>
                <w:szCs w:val="26"/>
                <w:lang w:eastAsia="lv-LV"/>
              </w:rPr>
              <w:t>ilgtermiņa</w:t>
            </w:r>
            <w:proofErr w:type="spellEnd"/>
            <w:r w:rsidR="006F6BF6" w:rsidRPr="00655964">
              <w:rPr>
                <w:rFonts w:eastAsia="Times New Roman"/>
                <w:sz w:val="26"/>
                <w:szCs w:val="26"/>
                <w:lang w:eastAsia="lv-LV"/>
              </w:rPr>
              <w:t xml:space="preserve"> </w:t>
            </w:r>
            <w:proofErr w:type="spellStart"/>
            <w:r w:rsidR="006F6BF6" w:rsidRPr="00655964">
              <w:rPr>
                <w:rFonts w:eastAsia="Times New Roman"/>
                <w:sz w:val="26"/>
                <w:szCs w:val="26"/>
                <w:lang w:eastAsia="lv-LV"/>
              </w:rPr>
              <w:t>aizdevumu</w:t>
            </w:r>
            <w:proofErr w:type="spellEnd"/>
            <w:r w:rsidR="006F6BF6" w:rsidRPr="00655964">
              <w:rPr>
                <w:rFonts w:eastAsia="Times New Roman"/>
                <w:sz w:val="26"/>
                <w:szCs w:val="26"/>
                <w:lang w:eastAsia="lv-LV"/>
              </w:rPr>
              <w:t xml:space="preserve"> </w:t>
            </w:r>
            <w:proofErr w:type="spellStart"/>
            <w:r w:rsidR="006F6BF6" w:rsidRPr="00655964">
              <w:rPr>
                <w:sz w:val="26"/>
                <w:szCs w:val="26"/>
              </w:rPr>
              <w:t>vai</w:t>
            </w:r>
            <w:proofErr w:type="spellEnd"/>
            <w:r w:rsidR="006F6BF6" w:rsidRPr="00655964">
              <w:rPr>
                <w:sz w:val="26"/>
                <w:szCs w:val="26"/>
              </w:rPr>
              <w:t xml:space="preserve"> </w:t>
            </w:r>
            <w:proofErr w:type="spellStart"/>
            <w:r w:rsidR="006F6BF6" w:rsidRPr="00655964">
              <w:rPr>
                <w:sz w:val="26"/>
                <w:szCs w:val="26"/>
              </w:rPr>
              <w:t>finanšu</w:t>
            </w:r>
            <w:proofErr w:type="spellEnd"/>
            <w:r w:rsidR="006F6BF6" w:rsidRPr="00655964">
              <w:rPr>
                <w:sz w:val="26"/>
                <w:szCs w:val="26"/>
              </w:rPr>
              <w:t xml:space="preserve"> </w:t>
            </w:r>
            <w:proofErr w:type="spellStart"/>
            <w:r w:rsidR="006F6BF6" w:rsidRPr="00655964">
              <w:rPr>
                <w:sz w:val="26"/>
                <w:szCs w:val="26"/>
              </w:rPr>
              <w:t>līzingu</w:t>
            </w:r>
            <w:proofErr w:type="spellEnd"/>
            <w:r w:rsidR="001C3AE7" w:rsidRPr="00655964">
              <w:rPr>
                <w:sz w:val="26"/>
                <w:szCs w:val="26"/>
                <w:lang w:val="lv-LV"/>
              </w:rPr>
              <w:t>;</w:t>
            </w:r>
          </w:p>
          <w:p w:rsidR="001658AC" w:rsidRPr="00655964" w:rsidRDefault="000330DD" w:rsidP="009779DD">
            <w:pPr>
              <w:numPr>
                <w:ilvl w:val="0"/>
                <w:numId w:val="10"/>
              </w:numPr>
              <w:ind w:left="425" w:right="142" w:firstLine="0"/>
              <w:jc w:val="both"/>
              <w:rPr>
                <w:sz w:val="26"/>
                <w:szCs w:val="26"/>
                <w:lang w:val="lv-LV"/>
              </w:rPr>
            </w:pPr>
            <w:r w:rsidRPr="00655964">
              <w:rPr>
                <w:sz w:val="26"/>
                <w:szCs w:val="26"/>
                <w:lang w:val="lv-LV"/>
              </w:rPr>
              <w:t>atcelt</w:t>
            </w:r>
            <w:r w:rsidR="00422E08" w:rsidRPr="00655964">
              <w:rPr>
                <w:sz w:val="26"/>
                <w:szCs w:val="26"/>
                <w:lang w:val="lv-LV"/>
              </w:rPr>
              <w:t xml:space="preserve"> </w:t>
            </w:r>
            <w:r w:rsidR="001658AC" w:rsidRPr="00655964">
              <w:rPr>
                <w:sz w:val="26"/>
                <w:szCs w:val="26"/>
                <w:lang w:val="lv-LV"/>
              </w:rPr>
              <w:t xml:space="preserve">minimālā </w:t>
            </w:r>
            <w:proofErr w:type="spellStart"/>
            <w:r w:rsidR="001658AC" w:rsidRPr="00655964">
              <w:rPr>
                <w:sz w:val="26"/>
                <w:szCs w:val="26"/>
                <w:lang w:val="lv-LV"/>
              </w:rPr>
              <w:t>mezanīna</w:t>
            </w:r>
            <w:proofErr w:type="spellEnd"/>
            <w:r w:rsidR="001658AC" w:rsidRPr="00655964">
              <w:rPr>
                <w:sz w:val="26"/>
                <w:szCs w:val="26"/>
                <w:lang w:val="lv-LV"/>
              </w:rPr>
              <w:t xml:space="preserve"> aizdevuma apjomu;</w:t>
            </w:r>
          </w:p>
          <w:p w:rsidR="001658AC" w:rsidRPr="00655964" w:rsidRDefault="001658AC" w:rsidP="009779DD">
            <w:pPr>
              <w:numPr>
                <w:ilvl w:val="0"/>
                <w:numId w:val="10"/>
              </w:numPr>
              <w:ind w:left="425" w:right="142" w:firstLine="0"/>
              <w:jc w:val="both"/>
              <w:rPr>
                <w:sz w:val="26"/>
                <w:szCs w:val="26"/>
                <w:lang w:val="lv-LV"/>
              </w:rPr>
            </w:pPr>
            <w:r w:rsidRPr="00655964">
              <w:rPr>
                <w:sz w:val="26"/>
                <w:szCs w:val="26"/>
                <w:lang w:val="lv-LV"/>
              </w:rPr>
              <w:t>atvieglot nozaru ierobežojumus.</w:t>
            </w:r>
          </w:p>
          <w:p w:rsidR="006D7CF7" w:rsidRPr="00655964" w:rsidRDefault="006D7CF7" w:rsidP="009779DD">
            <w:pPr>
              <w:jc w:val="both"/>
              <w:rPr>
                <w:sz w:val="26"/>
                <w:szCs w:val="26"/>
                <w:lang w:val="lv-LV"/>
              </w:rPr>
            </w:pPr>
          </w:p>
        </w:tc>
      </w:tr>
      <w:tr w:rsidR="00D45BAA" w:rsidRPr="00655964" w:rsidTr="00230B0F">
        <w:tc>
          <w:tcPr>
            <w:tcW w:w="3261" w:type="dxa"/>
            <w:tcBorders>
              <w:top w:val="thickThinLargeGap" w:sz="6" w:space="0" w:color="C0C0C0"/>
              <w:bottom w:val="thickThinLargeGap" w:sz="6" w:space="0" w:color="C0C0C0"/>
              <w:right w:val="thickThinLargeGap" w:sz="6" w:space="0" w:color="C0C0C0"/>
            </w:tcBorders>
          </w:tcPr>
          <w:p w:rsidR="00D45BAA" w:rsidRPr="003C0C7B" w:rsidRDefault="00D45BAA" w:rsidP="009779DD">
            <w:pPr>
              <w:rPr>
                <w:sz w:val="26"/>
                <w:szCs w:val="26"/>
                <w:lang w:val="lv-LV" w:eastAsia="lv-LV"/>
              </w:rPr>
            </w:pPr>
            <w:r w:rsidRPr="00655964">
              <w:rPr>
                <w:sz w:val="26"/>
                <w:szCs w:val="26"/>
                <w:lang w:val="lv-LV" w:eastAsia="lv-LV"/>
              </w:rPr>
              <w:t>5. Projekta izstrādē iesaistītās institūcijas</w:t>
            </w:r>
          </w:p>
        </w:tc>
        <w:tc>
          <w:tcPr>
            <w:tcW w:w="6095" w:type="dxa"/>
            <w:tcBorders>
              <w:top w:val="thickThinLargeGap" w:sz="6" w:space="0" w:color="C0C0C0"/>
              <w:left w:val="thickThinLargeGap" w:sz="6" w:space="0" w:color="C0C0C0"/>
              <w:bottom w:val="thickThinLargeGap" w:sz="6" w:space="0" w:color="C0C0C0"/>
            </w:tcBorders>
          </w:tcPr>
          <w:p w:rsidR="007C1E82" w:rsidRPr="00DE306B" w:rsidRDefault="0010012A" w:rsidP="009779DD">
            <w:pPr>
              <w:pStyle w:val="BodyText"/>
              <w:ind w:left="142"/>
              <w:rPr>
                <w:sz w:val="26"/>
                <w:szCs w:val="26"/>
              </w:rPr>
            </w:pPr>
            <w:r w:rsidRPr="003C0C7B">
              <w:rPr>
                <w:sz w:val="26"/>
                <w:szCs w:val="26"/>
              </w:rPr>
              <w:t>Latvijas Garantiju aģentūra.</w:t>
            </w:r>
          </w:p>
        </w:tc>
      </w:tr>
      <w:tr w:rsidR="00D45BAA" w:rsidRPr="00655964" w:rsidTr="00230B0F">
        <w:tc>
          <w:tcPr>
            <w:tcW w:w="3261" w:type="dxa"/>
            <w:tcBorders>
              <w:top w:val="thickThinLargeGap" w:sz="6" w:space="0" w:color="C0C0C0"/>
              <w:bottom w:val="thickThinLargeGap" w:sz="6" w:space="0" w:color="C0C0C0"/>
              <w:right w:val="thickThinLargeGap" w:sz="6" w:space="0" w:color="C0C0C0"/>
            </w:tcBorders>
          </w:tcPr>
          <w:p w:rsidR="00D45BAA" w:rsidRPr="003C0C7B" w:rsidRDefault="00D45BAA" w:rsidP="009779DD">
            <w:pPr>
              <w:rPr>
                <w:sz w:val="26"/>
                <w:szCs w:val="26"/>
                <w:lang w:val="lv-LV" w:eastAsia="lv-LV"/>
              </w:rPr>
            </w:pPr>
            <w:r w:rsidRPr="00655964">
              <w:rPr>
                <w:sz w:val="26"/>
                <w:szCs w:val="26"/>
                <w:lang w:val="lv-LV" w:eastAsia="lv-LV"/>
              </w:rPr>
              <w:t>6. Iemesli, kādēļ netika nodrošināta sabiedrības līdzdalība</w:t>
            </w:r>
          </w:p>
        </w:tc>
        <w:tc>
          <w:tcPr>
            <w:tcW w:w="6095" w:type="dxa"/>
            <w:tcBorders>
              <w:top w:val="thickThinLargeGap" w:sz="6" w:space="0" w:color="C0C0C0"/>
              <w:left w:val="thickThinLargeGap" w:sz="6" w:space="0" w:color="C0C0C0"/>
              <w:bottom w:val="thickThinLargeGap" w:sz="6" w:space="0" w:color="C0C0C0"/>
            </w:tcBorders>
          </w:tcPr>
          <w:p w:rsidR="007C1E82" w:rsidRPr="00DE306B" w:rsidRDefault="00D45BAA" w:rsidP="009779DD">
            <w:pPr>
              <w:pStyle w:val="BodyText"/>
              <w:ind w:left="142"/>
              <w:rPr>
                <w:sz w:val="26"/>
                <w:szCs w:val="26"/>
              </w:rPr>
            </w:pPr>
            <w:r w:rsidRPr="003C0C7B">
              <w:rPr>
                <w:sz w:val="26"/>
                <w:szCs w:val="26"/>
              </w:rPr>
              <w:t>Nav.</w:t>
            </w:r>
          </w:p>
        </w:tc>
      </w:tr>
      <w:tr w:rsidR="00D45BAA" w:rsidRPr="00655964" w:rsidTr="00230B0F">
        <w:tc>
          <w:tcPr>
            <w:tcW w:w="3261" w:type="dxa"/>
            <w:tcBorders>
              <w:top w:val="thickThinLargeGap" w:sz="6" w:space="0" w:color="C0C0C0"/>
              <w:bottom w:val="thickThinLargeGap" w:sz="6" w:space="0" w:color="C0C0C0"/>
              <w:right w:val="thickThinLargeGap" w:sz="6" w:space="0" w:color="C0C0C0"/>
            </w:tcBorders>
          </w:tcPr>
          <w:p w:rsidR="00D45BAA" w:rsidRPr="00655964" w:rsidRDefault="00D45BAA" w:rsidP="009779DD">
            <w:pPr>
              <w:rPr>
                <w:sz w:val="26"/>
                <w:szCs w:val="26"/>
                <w:lang w:val="lv-LV" w:eastAsia="lv-LV"/>
              </w:rPr>
            </w:pPr>
            <w:r w:rsidRPr="00655964">
              <w:rPr>
                <w:sz w:val="26"/>
                <w:szCs w:val="26"/>
                <w:lang w:val="lv-LV" w:eastAsia="lv-LV"/>
              </w:rPr>
              <w:t> 7. Cita informācija</w:t>
            </w:r>
          </w:p>
        </w:tc>
        <w:tc>
          <w:tcPr>
            <w:tcW w:w="6095" w:type="dxa"/>
            <w:tcBorders>
              <w:top w:val="thickThinLargeGap" w:sz="6" w:space="0" w:color="C0C0C0"/>
              <w:left w:val="thickThinLargeGap" w:sz="6" w:space="0" w:color="C0C0C0"/>
              <w:bottom w:val="thickThinLargeGap" w:sz="6" w:space="0" w:color="C0C0C0"/>
            </w:tcBorders>
          </w:tcPr>
          <w:p w:rsidR="007C1E82" w:rsidRPr="003C0C7B" w:rsidRDefault="00D45BAA" w:rsidP="009779DD">
            <w:pPr>
              <w:ind w:left="142"/>
              <w:jc w:val="both"/>
              <w:rPr>
                <w:sz w:val="26"/>
                <w:szCs w:val="26"/>
                <w:lang w:val="lv-LV"/>
              </w:rPr>
            </w:pPr>
            <w:r w:rsidRPr="003C0C7B">
              <w:rPr>
                <w:sz w:val="26"/>
                <w:szCs w:val="26"/>
                <w:lang w:val="lv-LV"/>
              </w:rPr>
              <w:t>Nav.</w:t>
            </w:r>
          </w:p>
        </w:tc>
      </w:tr>
    </w:tbl>
    <w:p w:rsidR="00D45BAA" w:rsidRPr="00655964" w:rsidRDefault="00D45BAA" w:rsidP="005F3A63">
      <w:pPr>
        <w:pStyle w:val="NormalWeb"/>
        <w:spacing w:before="0" w:beforeAutospacing="0" w:after="0" w:afterAutospacing="0"/>
        <w:jc w:val="center"/>
        <w:rPr>
          <w:b/>
          <w:sz w:val="26"/>
          <w:szCs w:val="26"/>
          <w:lang w:val="lv-LV"/>
        </w:rPr>
      </w:pPr>
    </w:p>
    <w:tbl>
      <w:tblPr>
        <w:tblpPr w:leftFromText="180" w:rightFromText="180" w:vertAnchor="text" w:horzAnchor="margin" w:tblpXSpec="center" w:tblpY="149"/>
        <w:tblW w:w="9356" w:type="dxa"/>
        <w:tblBorders>
          <w:top w:val="thickThinLargeGap" w:sz="6" w:space="0" w:color="BFBFBF"/>
          <w:left w:val="thickThinLargeGap" w:sz="6" w:space="0" w:color="BFBFBF"/>
          <w:bottom w:val="thickThinLargeGap" w:sz="6" w:space="0" w:color="BFBFBF"/>
          <w:right w:val="thickThinLargeGap" w:sz="6" w:space="0" w:color="BFBFBF"/>
          <w:insideH w:val="thickThinLargeGap" w:sz="6" w:space="0" w:color="BFBFBF"/>
          <w:insideV w:val="thickThinLargeGap" w:sz="6" w:space="0" w:color="BFBFBF"/>
        </w:tblBorders>
        <w:tblCellMar>
          <w:left w:w="0" w:type="dxa"/>
          <w:right w:w="0" w:type="dxa"/>
        </w:tblCellMar>
        <w:tblLook w:val="0000" w:firstRow="0" w:lastRow="0" w:firstColumn="0" w:lastColumn="0" w:noHBand="0" w:noVBand="0"/>
      </w:tblPr>
      <w:tblGrid>
        <w:gridCol w:w="456"/>
        <w:gridCol w:w="2835"/>
        <w:gridCol w:w="6065"/>
      </w:tblGrid>
      <w:tr w:rsidR="00D45BAA" w:rsidRPr="00655964" w:rsidTr="00EA1779">
        <w:tc>
          <w:tcPr>
            <w:tcW w:w="9356" w:type="dxa"/>
            <w:gridSpan w:val="3"/>
            <w:vAlign w:val="center"/>
          </w:tcPr>
          <w:p w:rsidR="00D45BAA" w:rsidRPr="003C0C7B" w:rsidRDefault="00D45BAA" w:rsidP="005F3A63">
            <w:pPr>
              <w:pStyle w:val="naisnod"/>
              <w:spacing w:before="0" w:after="0"/>
              <w:rPr>
                <w:sz w:val="26"/>
                <w:szCs w:val="26"/>
              </w:rPr>
            </w:pPr>
            <w:r w:rsidRPr="003C0C7B">
              <w:rPr>
                <w:sz w:val="26"/>
                <w:szCs w:val="26"/>
              </w:rPr>
              <w:t>II. Tiesību akta projekta ietekme uz sabiedrību</w:t>
            </w:r>
          </w:p>
        </w:tc>
      </w:tr>
      <w:tr w:rsidR="00D45BAA" w:rsidRPr="00655964" w:rsidTr="00230B0F">
        <w:trPr>
          <w:trHeight w:val="467"/>
        </w:trPr>
        <w:tc>
          <w:tcPr>
            <w:tcW w:w="456" w:type="dxa"/>
          </w:tcPr>
          <w:p w:rsidR="00D45BAA" w:rsidRPr="00655964" w:rsidRDefault="00D45BAA" w:rsidP="005F3A63">
            <w:pPr>
              <w:pStyle w:val="naiskr"/>
              <w:spacing w:before="0" w:after="0"/>
              <w:rPr>
                <w:sz w:val="26"/>
                <w:szCs w:val="26"/>
              </w:rPr>
            </w:pPr>
            <w:r w:rsidRPr="00655964">
              <w:rPr>
                <w:sz w:val="26"/>
                <w:szCs w:val="26"/>
              </w:rPr>
              <w:t>1.</w:t>
            </w:r>
          </w:p>
        </w:tc>
        <w:tc>
          <w:tcPr>
            <w:tcW w:w="2835" w:type="dxa"/>
          </w:tcPr>
          <w:p w:rsidR="00D45BAA" w:rsidRPr="003C0C7B" w:rsidRDefault="00D45BAA" w:rsidP="005F3A63">
            <w:pPr>
              <w:pStyle w:val="naiskr"/>
              <w:spacing w:before="0" w:after="0"/>
              <w:rPr>
                <w:sz w:val="26"/>
                <w:szCs w:val="26"/>
              </w:rPr>
            </w:pPr>
            <w:r w:rsidRPr="003C0C7B">
              <w:rPr>
                <w:sz w:val="26"/>
                <w:szCs w:val="26"/>
              </w:rPr>
              <w:t>Sabiedrības mērķgrupa</w:t>
            </w:r>
          </w:p>
        </w:tc>
        <w:tc>
          <w:tcPr>
            <w:tcW w:w="6065" w:type="dxa"/>
          </w:tcPr>
          <w:p w:rsidR="007C1E82" w:rsidRPr="00655964" w:rsidRDefault="00B76F7D" w:rsidP="0027297C">
            <w:pPr>
              <w:pStyle w:val="naiskr"/>
              <w:spacing w:before="0" w:after="0"/>
              <w:ind w:left="142" w:right="112"/>
              <w:jc w:val="both"/>
              <w:rPr>
                <w:iCs/>
                <w:sz w:val="26"/>
                <w:szCs w:val="26"/>
              </w:rPr>
            </w:pPr>
            <w:r w:rsidRPr="00655964">
              <w:rPr>
                <w:iCs/>
                <w:sz w:val="26"/>
                <w:szCs w:val="26"/>
              </w:rPr>
              <w:t>Mik</w:t>
            </w:r>
            <w:r w:rsidR="00914999" w:rsidRPr="00655964">
              <w:rPr>
                <w:iCs/>
                <w:sz w:val="26"/>
                <w:szCs w:val="26"/>
              </w:rPr>
              <w:t xml:space="preserve">ro, mazie un vidējie </w:t>
            </w:r>
            <w:r w:rsidR="00914999" w:rsidRPr="00655964">
              <w:rPr>
                <w:sz w:val="26"/>
                <w:szCs w:val="26"/>
              </w:rPr>
              <w:t>komersanti, un lauksaimniecības pakalpojumu kooperatīvās sabiedrības.</w:t>
            </w:r>
          </w:p>
        </w:tc>
      </w:tr>
      <w:tr w:rsidR="00D45BAA" w:rsidRPr="00655964" w:rsidTr="00230B0F">
        <w:trPr>
          <w:trHeight w:val="523"/>
        </w:trPr>
        <w:tc>
          <w:tcPr>
            <w:tcW w:w="456" w:type="dxa"/>
          </w:tcPr>
          <w:p w:rsidR="00D45BAA" w:rsidRPr="00655964" w:rsidRDefault="00D45BAA" w:rsidP="005F3A63">
            <w:pPr>
              <w:pStyle w:val="naiskr"/>
              <w:spacing w:before="0" w:after="0"/>
              <w:rPr>
                <w:sz w:val="26"/>
                <w:szCs w:val="26"/>
              </w:rPr>
            </w:pPr>
            <w:r w:rsidRPr="00655964">
              <w:rPr>
                <w:sz w:val="26"/>
                <w:szCs w:val="26"/>
              </w:rPr>
              <w:lastRenderedPageBreak/>
              <w:t>2.</w:t>
            </w:r>
          </w:p>
        </w:tc>
        <w:tc>
          <w:tcPr>
            <w:tcW w:w="2835" w:type="dxa"/>
          </w:tcPr>
          <w:p w:rsidR="00D45BAA" w:rsidRPr="00655964" w:rsidRDefault="00D45BAA" w:rsidP="005F3A63">
            <w:pPr>
              <w:pStyle w:val="naiskr"/>
              <w:spacing w:before="0" w:after="0"/>
              <w:rPr>
                <w:sz w:val="26"/>
                <w:szCs w:val="26"/>
              </w:rPr>
            </w:pPr>
            <w:r w:rsidRPr="003C0C7B">
              <w:rPr>
                <w:sz w:val="26"/>
                <w:szCs w:val="26"/>
              </w:rPr>
              <w:t>Citas sabiedrības grupas (bez mērķgrupas), kuras tiesiskais regulējums arī ietekmē vai varētu ietekmēt</w:t>
            </w:r>
          </w:p>
        </w:tc>
        <w:tc>
          <w:tcPr>
            <w:tcW w:w="6065" w:type="dxa"/>
          </w:tcPr>
          <w:p w:rsidR="007C1E82" w:rsidRPr="00655964" w:rsidRDefault="00914999" w:rsidP="005F3A63">
            <w:pPr>
              <w:pStyle w:val="naiskr"/>
              <w:spacing w:before="0" w:after="0"/>
              <w:ind w:left="142"/>
              <w:jc w:val="both"/>
              <w:rPr>
                <w:sz w:val="26"/>
                <w:szCs w:val="26"/>
              </w:rPr>
            </w:pPr>
            <w:r w:rsidRPr="00655964">
              <w:rPr>
                <w:sz w:val="26"/>
                <w:szCs w:val="26"/>
              </w:rPr>
              <w:t>Kredītiestāžu meitas sabiedrības</w:t>
            </w:r>
          </w:p>
        </w:tc>
      </w:tr>
      <w:tr w:rsidR="00D45BAA" w:rsidRPr="00655964" w:rsidTr="00230B0F">
        <w:trPr>
          <w:trHeight w:val="517"/>
        </w:trPr>
        <w:tc>
          <w:tcPr>
            <w:tcW w:w="456" w:type="dxa"/>
          </w:tcPr>
          <w:p w:rsidR="00D45BAA" w:rsidRPr="00655964" w:rsidRDefault="00D45BAA" w:rsidP="005F3A63">
            <w:pPr>
              <w:pStyle w:val="naiskr"/>
              <w:spacing w:before="0" w:after="0"/>
              <w:rPr>
                <w:sz w:val="26"/>
                <w:szCs w:val="26"/>
              </w:rPr>
            </w:pPr>
            <w:r w:rsidRPr="00655964">
              <w:rPr>
                <w:sz w:val="26"/>
                <w:szCs w:val="26"/>
              </w:rPr>
              <w:t>3.</w:t>
            </w:r>
          </w:p>
        </w:tc>
        <w:tc>
          <w:tcPr>
            <w:tcW w:w="2835" w:type="dxa"/>
          </w:tcPr>
          <w:p w:rsidR="00D45BAA" w:rsidRPr="003C0C7B" w:rsidRDefault="00D45BAA" w:rsidP="005F3A63">
            <w:pPr>
              <w:pStyle w:val="naiskr"/>
              <w:spacing w:before="0" w:after="0"/>
              <w:rPr>
                <w:sz w:val="26"/>
                <w:szCs w:val="26"/>
              </w:rPr>
            </w:pPr>
            <w:r w:rsidRPr="003C0C7B">
              <w:rPr>
                <w:sz w:val="26"/>
                <w:szCs w:val="26"/>
              </w:rPr>
              <w:t>Tiesiskā regulējuma finansiālā ietekme</w:t>
            </w:r>
          </w:p>
        </w:tc>
        <w:tc>
          <w:tcPr>
            <w:tcW w:w="6065" w:type="dxa"/>
          </w:tcPr>
          <w:p w:rsidR="007C1E82" w:rsidRPr="00655964" w:rsidRDefault="00B76F7D" w:rsidP="0027297C">
            <w:pPr>
              <w:pStyle w:val="naiskr"/>
              <w:spacing w:before="0" w:after="0"/>
              <w:ind w:left="142" w:right="112"/>
              <w:jc w:val="both"/>
              <w:rPr>
                <w:sz w:val="26"/>
                <w:szCs w:val="26"/>
              </w:rPr>
            </w:pPr>
            <w:r w:rsidRPr="00655964">
              <w:rPr>
                <w:sz w:val="26"/>
                <w:szCs w:val="26"/>
              </w:rPr>
              <w:t>Noteikumu projekts neparedz izmaiņas kopējā komersantiem pieejamā Eiropas Savienības fondu finansējuma apjomā.</w:t>
            </w:r>
          </w:p>
        </w:tc>
      </w:tr>
      <w:tr w:rsidR="00D45BAA" w:rsidRPr="00655964" w:rsidTr="00230B0F">
        <w:trPr>
          <w:trHeight w:val="517"/>
        </w:trPr>
        <w:tc>
          <w:tcPr>
            <w:tcW w:w="456" w:type="dxa"/>
          </w:tcPr>
          <w:p w:rsidR="00D45BAA" w:rsidRPr="00655964" w:rsidRDefault="00D45BAA" w:rsidP="005F3A63">
            <w:pPr>
              <w:pStyle w:val="naiskr"/>
              <w:spacing w:before="0" w:after="0"/>
              <w:rPr>
                <w:sz w:val="26"/>
                <w:szCs w:val="26"/>
              </w:rPr>
            </w:pPr>
            <w:r w:rsidRPr="00655964">
              <w:rPr>
                <w:sz w:val="26"/>
                <w:szCs w:val="26"/>
              </w:rPr>
              <w:t>4.</w:t>
            </w:r>
          </w:p>
        </w:tc>
        <w:tc>
          <w:tcPr>
            <w:tcW w:w="2835" w:type="dxa"/>
          </w:tcPr>
          <w:p w:rsidR="00D45BAA" w:rsidRPr="00DE306B" w:rsidRDefault="00D45BAA" w:rsidP="005F3A63">
            <w:pPr>
              <w:pStyle w:val="naiskr"/>
              <w:spacing w:before="0" w:after="0"/>
              <w:rPr>
                <w:sz w:val="26"/>
                <w:szCs w:val="26"/>
              </w:rPr>
            </w:pPr>
            <w:r w:rsidRPr="003C0C7B">
              <w:rPr>
                <w:sz w:val="26"/>
                <w:szCs w:val="26"/>
              </w:rPr>
              <w:t>Tiesiskā regulējuma nefinansiālā ietekme</w:t>
            </w:r>
          </w:p>
        </w:tc>
        <w:tc>
          <w:tcPr>
            <w:tcW w:w="6065" w:type="dxa"/>
          </w:tcPr>
          <w:p w:rsidR="007C1E82" w:rsidRPr="00655964" w:rsidRDefault="00B76F7D" w:rsidP="0027297C">
            <w:pPr>
              <w:pStyle w:val="naiskr"/>
              <w:spacing w:before="0" w:after="0"/>
              <w:ind w:left="142" w:right="112"/>
              <w:jc w:val="both"/>
              <w:rPr>
                <w:sz w:val="26"/>
                <w:szCs w:val="26"/>
              </w:rPr>
            </w:pPr>
            <w:r w:rsidRPr="00655964">
              <w:rPr>
                <w:iCs/>
                <w:sz w:val="26"/>
                <w:szCs w:val="26"/>
              </w:rPr>
              <w:t>Noteikumu projekts uzlabo uzņēmējdarbības apstākļus mikro, maziem un vidējiem komersantiem, nodrošinot</w:t>
            </w:r>
            <w:r w:rsidR="00914999" w:rsidRPr="00655964">
              <w:rPr>
                <w:iCs/>
                <w:sz w:val="26"/>
                <w:szCs w:val="26"/>
              </w:rPr>
              <w:t xml:space="preserve"> plašāku</w:t>
            </w:r>
            <w:r w:rsidRPr="00655964">
              <w:rPr>
                <w:iCs/>
                <w:sz w:val="26"/>
                <w:szCs w:val="26"/>
              </w:rPr>
              <w:t xml:space="preserve"> pieejamību finanšu resursiem </w:t>
            </w:r>
            <w:r w:rsidRPr="00655964">
              <w:rPr>
                <w:sz w:val="26"/>
                <w:szCs w:val="26"/>
              </w:rPr>
              <w:t xml:space="preserve"> komercdarbības uzsākšanai un attīstībai</w:t>
            </w:r>
            <w:r w:rsidR="00914999" w:rsidRPr="00655964">
              <w:rPr>
                <w:iCs/>
                <w:sz w:val="26"/>
                <w:szCs w:val="26"/>
              </w:rPr>
              <w:t>, nodrošinot ka mezanīna aizdevumu var izsniegt ne tikai kopā ar ilgtermiņa aizdevumu, bet arī finanšu līzingu.</w:t>
            </w:r>
          </w:p>
        </w:tc>
      </w:tr>
      <w:tr w:rsidR="00D45BAA" w:rsidRPr="00655964" w:rsidTr="00230B0F">
        <w:trPr>
          <w:trHeight w:val="531"/>
        </w:trPr>
        <w:tc>
          <w:tcPr>
            <w:tcW w:w="456" w:type="dxa"/>
          </w:tcPr>
          <w:p w:rsidR="00D45BAA" w:rsidRPr="00655964" w:rsidRDefault="00D45BAA" w:rsidP="005F3A63">
            <w:pPr>
              <w:pStyle w:val="naiskr"/>
              <w:spacing w:before="0" w:after="0"/>
              <w:rPr>
                <w:sz w:val="26"/>
                <w:szCs w:val="26"/>
              </w:rPr>
            </w:pPr>
            <w:r w:rsidRPr="00655964">
              <w:rPr>
                <w:sz w:val="26"/>
                <w:szCs w:val="26"/>
              </w:rPr>
              <w:t>5.</w:t>
            </w:r>
          </w:p>
        </w:tc>
        <w:tc>
          <w:tcPr>
            <w:tcW w:w="2835" w:type="dxa"/>
          </w:tcPr>
          <w:p w:rsidR="00D45BAA" w:rsidRPr="003C0C7B" w:rsidRDefault="00D45BAA" w:rsidP="005F3A63">
            <w:pPr>
              <w:pStyle w:val="naiskr"/>
              <w:spacing w:before="0" w:after="0"/>
              <w:rPr>
                <w:sz w:val="26"/>
                <w:szCs w:val="26"/>
              </w:rPr>
            </w:pPr>
            <w:r w:rsidRPr="003C0C7B">
              <w:rPr>
                <w:sz w:val="26"/>
                <w:szCs w:val="26"/>
              </w:rPr>
              <w:t>Administratīvās procedūras raksturojums</w:t>
            </w:r>
          </w:p>
        </w:tc>
        <w:tc>
          <w:tcPr>
            <w:tcW w:w="6065" w:type="dxa"/>
          </w:tcPr>
          <w:p w:rsidR="007C1E82" w:rsidRPr="00655964" w:rsidRDefault="00D45BAA" w:rsidP="005F3A63">
            <w:pPr>
              <w:pStyle w:val="naiskr"/>
              <w:spacing w:before="0" w:after="0"/>
              <w:ind w:left="142"/>
              <w:rPr>
                <w:sz w:val="26"/>
                <w:szCs w:val="26"/>
              </w:rPr>
            </w:pPr>
            <w:r w:rsidRPr="00655964">
              <w:rPr>
                <w:iCs/>
                <w:sz w:val="26"/>
                <w:szCs w:val="26"/>
              </w:rPr>
              <w:t>Nav attiecināms.</w:t>
            </w:r>
          </w:p>
        </w:tc>
      </w:tr>
      <w:tr w:rsidR="00D45BAA" w:rsidRPr="00655964" w:rsidTr="00230B0F">
        <w:trPr>
          <w:trHeight w:val="357"/>
        </w:trPr>
        <w:tc>
          <w:tcPr>
            <w:tcW w:w="456" w:type="dxa"/>
          </w:tcPr>
          <w:p w:rsidR="00D45BAA" w:rsidRPr="00655964" w:rsidRDefault="00D45BAA" w:rsidP="005F3A63">
            <w:pPr>
              <w:pStyle w:val="naiskr"/>
              <w:spacing w:before="0" w:after="0"/>
              <w:rPr>
                <w:sz w:val="26"/>
                <w:szCs w:val="26"/>
              </w:rPr>
            </w:pPr>
            <w:r w:rsidRPr="00655964">
              <w:rPr>
                <w:sz w:val="26"/>
                <w:szCs w:val="26"/>
              </w:rPr>
              <w:t>6.</w:t>
            </w:r>
          </w:p>
        </w:tc>
        <w:tc>
          <w:tcPr>
            <w:tcW w:w="2835" w:type="dxa"/>
          </w:tcPr>
          <w:p w:rsidR="00D45BAA" w:rsidRPr="003C0C7B" w:rsidRDefault="00D45BAA" w:rsidP="005F3A63">
            <w:pPr>
              <w:pStyle w:val="naiskr"/>
              <w:spacing w:before="0" w:after="0"/>
              <w:rPr>
                <w:sz w:val="26"/>
                <w:szCs w:val="26"/>
              </w:rPr>
            </w:pPr>
            <w:r w:rsidRPr="003C0C7B">
              <w:rPr>
                <w:sz w:val="26"/>
                <w:szCs w:val="26"/>
              </w:rPr>
              <w:t>Administratīvo izmaksu monetārs novērtējums</w:t>
            </w:r>
          </w:p>
        </w:tc>
        <w:tc>
          <w:tcPr>
            <w:tcW w:w="6065" w:type="dxa"/>
          </w:tcPr>
          <w:p w:rsidR="007C1E82" w:rsidRPr="00655964" w:rsidRDefault="00D45BAA" w:rsidP="005F3A63">
            <w:pPr>
              <w:pStyle w:val="naiskr"/>
              <w:spacing w:before="0" w:after="0"/>
              <w:ind w:left="142"/>
              <w:rPr>
                <w:sz w:val="26"/>
                <w:szCs w:val="26"/>
              </w:rPr>
            </w:pPr>
            <w:r w:rsidRPr="00655964">
              <w:rPr>
                <w:iCs/>
                <w:sz w:val="26"/>
                <w:szCs w:val="26"/>
              </w:rPr>
              <w:t>Nav attiecināms.</w:t>
            </w:r>
          </w:p>
        </w:tc>
      </w:tr>
      <w:tr w:rsidR="00D45BAA" w:rsidRPr="00655964" w:rsidTr="00230B0F">
        <w:trPr>
          <w:trHeight w:val="489"/>
        </w:trPr>
        <w:tc>
          <w:tcPr>
            <w:tcW w:w="456" w:type="dxa"/>
          </w:tcPr>
          <w:p w:rsidR="00D45BAA" w:rsidRPr="00655964" w:rsidRDefault="00D45BAA" w:rsidP="005F3A63">
            <w:pPr>
              <w:pStyle w:val="naiskr"/>
              <w:spacing w:before="0" w:after="0"/>
              <w:rPr>
                <w:sz w:val="26"/>
                <w:szCs w:val="26"/>
              </w:rPr>
            </w:pPr>
            <w:r w:rsidRPr="00655964">
              <w:rPr>
                <w:sz w:val="26"/>
                <w:szCs w:val="26"/>
              </w:rPr>
              <w:t>7.</w:t>
            </w:r>
          </w:p>
        </w:tc>
        <w:tc>
          <w:tcPr>
            <w:tcW w:w="2835" w:type="dxa"/>
          </w:tcPr>
          <w:p w:rsidR="00D45BAA" w:rsidRPr="003C0C7B" w:rsidRDefault="00D45BAA" w:rsidP="005F3A63">
            <w:pPr>
              <w:pStyle w:val="naiskr"/>
              <w:spacing w:before="0" w:after="0"/>
              <w:rPr>
                <w:sz w:val="26"/>
                <w:szCs w:val="26"/>
              </w:rPr>
            </w:pPr>
            <w:r w:rsidRPr="003C0C7B">
              <w:rPr>
                <w:sz w:val="26"/>
                <w:szCs w:val="26"/>
              </w:rPr>
              <w:t>Cita informācija</w:t>
            </w:r>
          </w:p>
        </w:tc>
        <w:tc>
          <w:tcPr>
            <w:tcW w:w="6065" w:type="dxa"/>
          </w:tcPr>
          <w:p w:rsidR="007C1E82" w:rsidRPr="00655964" w:rsidRDefault="00D45BAA" w:rsidP="005F3A63">
            <w:pPr>
              <w:pStyle w:val="naiskr"/>
              <w:spacing w:before="0" w:after="0"/>
              <w:ind w:left="142"/>
              <w:rPr>
                <w:sz w:val="26"/>
                <w:szCs w:val="26"/>
              </w:rPr>
            </w:pPr>
            <w:r w:rsidRPr="00655964">
              <w:rPr>
                <w:sz w:val="26"/>
                <w:szCs w:val="26"/>
              </w:rPr>
              <w:t>Nav.</w:t>
            </w:r>
          </w:p>
        </w:tc>
      </w:tr>
    </w:tbl>
    <w:p w:rsidR="00D45BAA" w:rsidRPr="00655964" w:rsidRDefault="00D45BAA" w:rsidP="005F3A63">
      <w:pPr>
        <w:pStyle w:val="NormalWeb"/>
        <w:spacing w:before="0" w:beforeAutospacing="0" w:after="0" w:afterAutospacing="0"/>
        <w:jc w:val="center"/>
        <w:rPr>
          <w:b/>
          <w:sz w:val="26"/>
          <w:szCs w:val="26"/>
          <w:lang w:val="lv-LV"/>
        </w:rPr>
      </w:pPr>
    </w:p>
    <w:p w:rsidR="00B255C1" w:rsidRPr="00655964" w:rsidRDefault="00230B0F" w:rsidP="005F3A63">
      <w:pPr>
        <w:pStyle w:val="NormalWeb"/>
        <w:spacing w:before="0" w:beforeAutospacing="0" w:after="0" w:afterAutospacing="0"/>
        <w:jc w:val="center"/>
        <w:rPr>
          <w:b/>
          <w:sz w:val="26"/>
          <w:szCs w:val="26"/>
          <w:lang w:val="lv-LV"/>
        </w:rPr>
      </w:pPr>
      <w:r w:rsidRPr="00655964">
        <w:rPr>
          <w:b/>
          <w:sz w:val="26"/>
          <w:szCs w:val="26"/>
          <w:lang w:val="lv-LV"/>
        </w:rPr>
        <w:t>Anotācijas III</w:t>
      </w:r>
      <w:r w:rsidR="00704307" w:rsidRPr="00655964">
        <w:rPr>
          <w:b/>
          <w:sz w:val="26"/>
          <w:szCs w:val="26"/>
          <w:lang w:val="lv-LV"/>
        </w:rPr>
        <w:t xml:space="preserve"> </w:t>
      </w:r>
      <w:r w:rsidRPr="003C0C7B">
        <w:rPr>
          <w:b/>
          <w:sz w:val="26"/>
          <w:szCs w:val="26"/>
          <w:lang w:val="lv-LV"/>
        </w:rPr>
        <w:t xml:space="preserve">un </w:t>
      </w:r>
      <w:r w:rsidR="00704307" w:rsidRPr="003C0C7B">
        <w:rPr>
          <w:b/>
          <w:sz w:val="26"/>
          <w:szCs w:val="26"/>
          <w:lang w:val="lv-LV"/>
        </w:rPr>
        <w:t>I</w:t>
      </w:r>
      <w:r w:rsidRPr="003C0C7B">
        <w:rPr>
          <w:b/>
          <w:sz w:val="26"/>
          <w:szCs w:val="26"/>
          <w:lang w:val="lv-LV"/>
        </w:rPr>
        <w:t>V</w:t>
      </w:r>
      <w:r w:rsidRPr="00DE306B">
        <w:rPr>
          <w:b/>
          <w:sz w:val="26"/>
          <w:szCs w:val="26"/>
          <w:lang w:val="lv-LV"/>
        </w:rPr>
        <w:t xml:space="preserve"> </w:t>
      </w:r>
      <w:r w:rsidR="00D45BAA" w:rsidRPr="00655964">
        <w:rPr>
          <w:b/>
          <w:sz w:val="26"/>
          <w:szCs w:val="26"/>
          <w:lang w:val="lv-LV"/>
        </w:rPr>
        <w:t>sadaļa - nav attiecināms.</w:t>
      </w:r>
    </w:p>
    <w:p w:rsidR="00704307" w:rsidRPr="00655964" w:rsidRDefault="00704307" w:rsidP="005F3A63">
      <w:pPr>
        <w:pStyle w:val="NormalWeb"/>
        <w:spacing w:before="0" w:beforeAutospacing="0" w:after="0" w:afterAutospacing="0"/>
        <w:jc w:val="center"/>
        <w:rPr>
          <w:b/>
          <w:sz w:val="26"/>
          <w:szCs w:val="26"/>
          <w:lang w:val="lv-LV"/>
        </w:rPr>
      </w:pPr>
    </w:p>
    <w:tbl>
      <w:tblPr>
        <w:tblW w:w="5000" w:type="pct"/>
        <w:jc w:val="center"/>
        <w:tblBorders>
          <w:top w:val="thickThinLargeGap" w:sz="6" w:space="0" w:color="BFBFBF"/>
          <w:left w:val="thickThinLargeGap" w:sz="6" w:space="0" w:color="BFBFBF"/>
          <w:bottom w:val="thickThinLargeGap" w:sz="6" w:space="0" w:color="BFBFBF"/>
          <w:right w:val="thickThinLargeGap" w:sz="6" w:space="0" w:color="BFBFBF"/>
          <w:insideH w:val="thickThinLargeGap" w:sz="6" w:space="0" w:color="BFBFBF"/>
          <w:insideV w:val="thickThinLargeGap" w:sz="6" w:space="0" w:color="BFBFBF"/>
        </w:tblBorders>
        <w:tblLook w:val="01E0" w:firstRow="1" w:lastRow="1" w:firstColumn="1" w:lastColumn="1" w:noHBand="0" w:noVBand="0"/>
      </w:tblPr>
      <w:tblGrid>
        <w:gridCol w:w="817"/>
        <w:gridCol w:w="2693"/>
        <w:gridCol w:w="5777"/>
      </w:tblGrid>
      <w:tr w:rsidR="00704307" w:rsidRPr="00655964" w:rsidTr="00704307">
        <w:trPr>
          <w:jc w:val="center"/>
        </w:trPr>
        <w:tc>
          <w:tcPr>
            <w:tcW w:w="5000" w:type="pct"/>
            <w:gridSpan w:val="3"/>
            <w:tcBorders>
              <w:top w:val="thickThinLargeGap" w:sz="6" w:space="0" w:color="BFBFBF"/>
              <w:left w:val="thickThinLargeGap" w:sz="6" w:space="0" w:color="BFBFBF"/>
              <w:bottom w:val="thickThinLargeGap" w:sz="6" w:space="0" w:color="BFBFBF"/>
              <w:right w:val="thickThinLargeGap" w:sz="6" w:space="0" w:color="BFBFBF"/>
            </w:tcBorders>
            <w:hideMark/>
          </w:tcPr>
          <w:p w:rsidR="00704307" w:rsidRPr="00655964" w:rsidRDefault="00704307">
            <w:pPr>
              <w:pStyle w:val="naisnod"/>
              <w:spacing w:before="0" w:after="0"/>
              <w:rPr>
                <w:sz w:val="26"/>
                <w:szCs w:val="26"/>
              </w:rPr>
            </w:pPr>
            <w:r w:rsidRPr="00655964">
              <w:rPr>
                <w:sz w:val="26"/>
                <w:szCs w:val="26"/>
              </w:rPr>
              <w:t>V. Tiesību akta projekta atbilstība Latvijas Republikas starptautiskajām saistībām</w:t>
            </w:r>
          </w:p>
        </w:tc>
      </w:tr>
      <w:tr w:rsidR="00704307" w:rsidRPr="00655964" w:rsidTr="00704307">
        <w:trPr>
          <w:jc w:val="center"/>
        </w:trPr>
        <w:tc>
          <w:tcPr>
            <w:tcW w:w="440" w:type="pct"/>
            <w:tcBorders>
              <w:top w:val="thickThinLargeGap" w:sz="6" w:space="0" w:color="BFBFBF"/>
              <w:left w:val="thickThinLargeGap" w:sz="6" w:space="0" w:color="BFBFBF"/>
              <w:bottom w:val="thickThinLargeGap" w:sz="6" w:space="0" w:color="BFBFBF"/>
              <w:right w:val="thickThinLargeGap" w:sz="6" w:space="0" w:color="BFBFBF"/>
            </w:tcBorders>
            <w:hideMark/>
          </w:tcPr>
          <w:p w:rsidR="00704307" w:rsidRPr="00655964" w:rsidRDefault="00704307">
            <w:pPr>
              <w:pStyle w:val="naiskr"/>
              <w:tabs>
                <w:tab w:val="left" w:pos="2628"/>
              </w:tabs>
              <w:spacing w:before="0" w:after="0"/>
              <w:jc w:val="both"/>
              <w:rPr>
                <w:iCs/>
                <w:sz w:val="26"/>
                <w:szCs w:val="26"/>
              </w:rPr>
            </w:pPr>
            <w:r w:rsidRPr="00655964">
              <w:rPr>
                <w:iCs/>
                <w:sz w:val="26"/>
                <w:szCs w:val="26"/>
              </w:rPr>
              <w:t>1.</w:t>
            </w:r>
          </w:p>
        </w:tc>
        <w:tc>
          <w:tcPr>
            <w:tcW w:w="1450" w:type="pct"/>
            <w:tcBorders>
              <w:top w:val="thickThinLargeGap" w:sz="6" w:space="0" w:color="BFBFBF"/>
              <w:left w:val="thickThinLargeGap" w:sz="6" w:space="0" w:color="BFBFBF"/>
              <w:bottom w:val="thickThinLargeGap" w:sz="6" w:space="0" w:color="BFBFBF"/>
              <w:right w:val="thickThinLargeGap" w:sz="6" w:space="0" w:color="BFBFBF"/>
            </w:tcBorders>
            <w:hideMark/>
          </w:tcPr>
          <w:p w:rsidR="00704307" w:rsidRPr="00655964" w:rsidRDefault="00704307">
            <w:pPr>
              <w:pStyle w:val="naiskr"/>
              <w:tabs>
                <w:tab w:val="left" w:pos="2628"/>
              </w:tabs>
              <w:spacing w:before="0" w:after="0"/>
              <w:jc w:val="both"/>
              <w:rPr>
                <w:iCs/>
                <w:sz w:val="26"/>
                <w:szCs w:val="26"/>
              </w:rPr>
            </w:pPr>
            <w:r w:rsidRPr="00655964">
              <w:rPr>
                <w:sz w:val="26"/>
                <w:szCs w:val="26"/>
              </w:rPr>
              <w:t>Saistības pret Eiropas Savienību</w:t>
            </w:r>
          </w:p>
        </w:tc>
        <w:tc>
          <w:tcPr>
            <w:tcW w:w="3110" w:type="pct"/>
            <w:tcBorders>
              <w:top w:val="thickThinLargeGap" w:sz="6" w:space="0" w:color="BFBFBF"/>
              <w:left w:val="thickThinLargeGap" w:sz="6" w:space="0" w:color="BFBFBF"/>
              <w:bottom w:val="thickThinLargeGap" w:sz="6" w:space="0" w:color="BFBFBF"/>
              <w:right w:val="thickThinLargeGap" w:sz="6" w:space="0" w:color="BFBFBF"/>
            </w:tcBorders>
          </w:tcPr>
          <w:p w:rsidR="00704307" w:rsidRPr="00655964" w:rsidRDefault="00704307">
            <w:pPr>
              <w:jc w:val="both"/>
              <w:rPr>
                <w:sz w:val="26"/>
                <w:szCs w:val="26"/>
                <w:lang w:val="lv-LV"/>
              </w:rPr>
            </w:pPr>
            <w:r w:rsidRPr="00655964">
              <w:rPr>
                <w:sz w:val="26"/>
                <w:szCs w:val="26"/>
                <w:lang w:val="lv-LV"/>
              </w:rPr>
              <w:t>Ar normatīvo aktu tiek ieviestas šāda Eiropas Savienības tiesību aktu prasības:</w:t>
            </w:r>
          </w:p>
          <w:p w:rsidR="00704307" w:rsidRPr="00655964" w:rsidRDefault="00704307">
            <w:pPr>
              <w:jc w:val="both"/>
              <w:rPr>
                <w:sz w:val="26"/>
                <w:szCs w:val="26"/>
                <w:lang w:val="lv-LV"/>
              </w:rPr>
            </w:pPr>
          </w:p>
          <w:p w:rsidR="00704307" w:rsidRPr="00655964" w:rsidRDefault="00704307">
            <w:pPr>
              <w:jc w:val="both"/>
              <w:rPr>
                <w:sz w:val="26"/>
                <w:szCs w:val="26"/>
                <w:lang w:val="lv-LV"/>
              </w:rPr>
            </w:pPr>
            <w:r w:rsidRPr="00655964">
              <w:rPr>
                <w:sz w:val="26"/>
                <w:szCs w:val="26"/>
                <w:lang w:val="lv-LV"/>
              </w:rPr>
              <w:t xml:space="preserve">Komisijas Regula (EK) Nr.1828/2006 kas paredz noteikumus par to, kā īstenot Padomes Regulu (EK) </w:t>
            </w:r>
            <w:proofErr w:type="spellStart"/>
            <w:r w:rsidRPr="00655964">
              <w:rPr>
                <w:sz w:val="26"/>
                <w:szCs w:val="26"/>
                <w:lang w:val="lv-LV"/>
              </w:rPr>
              <w:t>Nr</w:t>
            </w:r>
            <w:proofErr w:type="spellEnd"/>
            <w:r w:rsidRPr="00655964">
              <w:rPr>
                <w:sz w:val="26"/>
                <w:szCs w:val="26"/>
                <w:lang w:val="lv-LV"/>
              </w:rPr>
              <w:t xml:space="preserve">. 1083/2006, ar ko paredz vispārīgus noteikumus par Eiropas Reģionālās attīstības fondu, Eiropas Sociālo fondu un Kohēzijas fondu, un Eiropas Parlamenta un Padomes Regulu (EK) </w:t>
            </w:r>
            <w:proofErr w:type="spellStart"/>
            <w:r w:rsidRPr="00655964">
              <w:rPr>
                <w:sz w:val="26"/>
                <w:szCs w:val="26"/>
                <w:lang w:val="lv-LV"/>
              </w:rPr>
              <w:t>Nr</w:t>
            </w:r>
            <w:proofErr w:type="spellEnd"/>
            <w:r w:rsidRPr="00655964">
              <w:rPr>
                <w:sz w:val="26"/>
                <w:szCs w:val="26"/>
                <w:lang w:val="lv-LV"/>
              </w:rPr>
              <w:t>. 1080/2006 par Eiropas Reģionālās attīstības fondu.</w:t>
            </w:r>
          </w:p>
          <w:p w:rsidR="00704307" w:rsidRPr="00655964" w:rsidRDefault="00704307">
            <w:pPr>
              <w:jc w:val="both"/>
              <w:rPr>
                <w:sz w:val="26"/>
                <w:szCs w:val="26"/>
                <w:lang w:val="lv-LV"/>
              </w:rPr>
            </w:pPr>
          </w:p>
        </w:tc>
      </w:tr>
      <w:tr w:rsidR="00704307" w:rsidRPr="00655964" w:rsidTr="00704307">
        <w:trPr>
          <w:jc w:val="center"/>
        </w:trPr>
        <w:tc>
          <w:tcPr>
            <w:tcW w:w="440" w:type="pct"/>
            <w:tcBorders>
              <w:top w:val="thickThinLargeGap" w:sz="6" w:space="0" w:color="BFBFBF"/>
              <w:left w:val="thickThinLargeGap" w:sz="6" w:space="0" w:color="BFBFBF"/>
              <w:bottom w:val="thickThinLargeGap" w:sz="6" w:space="0" w:color="BFBFBF"/>
              <w:right w:val="thickThinLargeGap" w:sz="6" w:space="0" w:color="BFBFBF"/>
            </w:tcBorders>
            <w:hideMark/>
          </w:tcPr>
          <w:p w:rsidR="00704307" w:rsidRPr="00655964" w:rsidRDefault="00704307">
            <w:pPr>
              <w:pStyle w:val="naiskr"/>
              <w:tabs>
                <w:tab w:val="left" w:pos="2628"/>
              </w:tabs>
              <w:spacing w:before="0" w:after="0"/>
              <w:jc w:val="both"/>
              <w:rPr>
                <w:iCs/>
                <w:sz w:val="26"/>
                <w:szCs w:val="26"/>
              </w:rPr>
            </w:pPr>
            <w:r w:rsidRPr="00655964">
              <w:rPr>
                <w:iCs/>
                <w:sz w:val="26"/>
                <w:szCs w:val="26"/>
              </w:rPr>
              <w:t>2.</w:t>
            </w:r>
          </w:p>
        </w:tc>
        <w:tc>
          <w:tcPr>
            <w:tcW w:w="1450" w:type="pct"/>
            <w:tcBorders>
              <w:top w:val="thickThinLargeGap" w:sz="6" w:space="0" w:color="BFBFBF"/>
              <w:left w:val="thickThinLargeGap" w:sz="6" w:space="0" w:color="BFBFBF"/>
              <w:bottom w:val="thickThinLargeGap" w:sz="6" w:space="0" w:color="BFBFBF"/>
              <w:right w:val="thickThinLargeGap" w:sz="6" w:space="0" w:color="BFBFBF"/>
            </w:tcBorders>
            <w:hideMark/>
          </w:tcPr>
          <w:p w:rsidR="00704307" w:rsidRPr="00655964" w:rsidRDefault="00704307">
            <w:pPr>
              <w:pStyle w:val="naiskr"/>
              <w:tabs>
                <w:tab w:val="left" w:pos="2628"/>
              </w:tabs>
              <w:spacing w:before="0" w:after="0"/>
              <w:jc w:val="both"/>
              <w:rPr>
                <w:iCs/>
                <w:sz w:val="26"/>
                <w:szCs w:val="26"/>
              </w:rPr>
            </w:pPr>
            <w:r w:rsidRPr="00655964">
              <w:rPr>
                <w:sz w:val="26"/>
                <w:szCs w:val="26"/>
              </w:rPr>
              <w:t>Citas starptautiskās saistības</w:t>
            </w:r>
          </w:p>
        </w:tc>
        <w:tc>
          <w:tcPr>
            <w:tcW w:w="3110" w:type="pct"/>
            <w:tcBorders>
              <w:top w:val="thickThinLargeGap" w:sz="6" w:space="0" w:color="BFBFBF"/>
              <w:left w:val="thickThinLargeGap" w:sz="6" w:space="0" w:color="BFBFBF"/>
              <w:bottom w:val="thickThinLargeGap" w:sz="6" w:space="0" w:color="BFBFBF"/>
              <w:right w:val="thickThinLargeGap" w:sz="6" w:space="0" w:color="BFBFBF"/>
            </w:tcBorders>
            <w:hideMark/>
          </w:tcPr>
          <w:p w:rsidR="00704307" w:rsidRPr="00655964" w:rsidRDefault="00704307">
            <w:pPr>
              <w:pStyle w:val="naiskr"/>
              <w:tabs>
                <w:tab w:val="left" w:pos="2628"/>
              </w:tabs>
              <w:spacing w:before="0" w:after="0"/>
              <w:jc w:val="both"/>
              <w:rPr>
                <w:iCs/>
                <w:sz w:val="26"/>
                <w:szCs w:val="26"/>
              </w:rPr>
            </w:pPr>
            <w:r w:rsidRPr="00655964">
              <w:rPr>
                <w:iCs/>
                <w:sz w:val="26"/>
                <w:szCs w:val="26"/>
              </w:rPr>
              <w:t>Nav.</w:t>
            </w:r>
          </w:p>
        </w:tc>
      </w:tr>
      <w:tr w:rsidR="00704307" w:rsidRPr="00655964" w:rsidTr="00704307">
        <w:trPr>
          <w:trHeight w:val="389"/>
          <w:jc w:val="center"/>
        </w:trPr>
        <w:tc>
          <w:tcPr>
            <w:tcW w:w="440" w:type="pct"/>
            <w:tcBorders>
              <w:top w:val="thickThinLargeGap" w:sz="6" w:space="0" w:color="BFBFBF"/>
              <w:left w:val="thickThinLargeGap" w:sz="6" w:space="0" w:color="BFBFBF"/>
              <w:bottom w:val="thickThinLargeGap" w:sz="6" w:space="0" w:color="BFBFBF"/>
              <w:right w:val="thickThinLargeGap" w:sz="6" w:space="0" w:color="BFBFBF"/>
            </w:tcBorders>
            <w:hideMark/>
          </w:tcPr>
          <w:p w:rsidR="00704307" w:rsidRPr="00655964" w:rsidRDefault="00704307">
            <w:pPr>
              <w:pStyle w:val="naiskr"/>
              <w:tabs>
                <w:tab w:val="left" w:pos="2628"/>
              </w:tabs>
              <w:spacing w:before="0" w:after="0"/>
              <w:jc w:val="both"/>
              <w:rPr>
                <w:iCs/>
                <w:sz w:val="26"/>
                <w:szCs w:val="26"/>
              </w:rPr>
            </w:pPr>
            <w:r w:rsidRPr="00655964">
              <w:rPr>
                <w:iCs/>
                <w:sz w:val="26"/>
                <w:szCs w:val="26"/>
              </w:rPr>
              <w:t>3.</w:t>
            </w:r>
          </w:p>
        </w:tc>
        <w:tc>
          <w:tcPr>
            <w:tcW w:w="1450" w:type="pct"/>
            <w:tcBorders>
              <w:top w:val="thickThinLargeGap" w:sz="6" w:space="0" w:color="BFBFBF"/>
              <w:left w:val="thickThinLargeGap" w:sz="6" w:space="0" w:color="BFBFBF"/>
              <w:bottom w:val="thickThinLargeGap" w:sz="6" w:space="0" w:color="BFBFBF"/>
              <w:right w:val="thickThinLargeGap" w:sz="6" w:space="0" w:color="BFBFBF"/>
            </w:tcBorders>
            <w:hideMark/>
          </w:tcPr>
          <w:p w:rsidR="00704307" w:rsidRPr="00655964" w:rsidRDefault="00704307">
            <w:pPr>
              <w:pStyle w:val="naiskr"/>
              <w:tabs>
                <w:tab w:val="left" w:pos="2628"/>
              </w:tabs>
              <w:spacing w:before="0" w:after="0"/>
              <w:jc w:val="both"/>
              <w:rPr>
                <w:sz w:val="26"/>
                <w:szCs w:val="26"/>
              </w:rPr>
            </w:pPr>
            <w:r w:rsidRPr="00655964">
              <w:rPr>
                <w:sz w:val="26"/>
                <w:szCs w:val="26"/>
              </w:rPr>
              <w:t>Cita informācija</w:t>
            </w:r>
          </w:p>
        </w:tc>
        <w:tc>
          <w:tcPr>
            <w:tcW w:w="3110" w:type="pct"/>
            <w:tcBorders>
              <w:top w:val="thickThinLargeGap" w:sz="6" w:space="0" w:color="BFBFBF"/>
              <w:left w:val="thickThinLargeGap" w:sz="6" w:space="0" w:color="BFBFBF"/>
              <w:bottom w:val="thickThinLargeGap" w:sz="6" w:space="0" w:color="BFBFBF"/>
              <w:right w:val="thickThinLargeGap" w:sz="6" w:space="0" w:color="BFBFBF"/>
            </w:tcBorders>
            <w:hideMark/>
          </w:tcPr>
          <w:p w:rsidR="00704307" w:rsidRPr="00655964" w:rsidRDefault="00704307">
            <w:pPr>
              <w:pStyle w:val="naiskr"/>
              <w:tabs>
                <w:tab w:val="left" w:pos="2628"/>
              </w:tabs>
              <w:spacing w:before="0" w:after="0"/>
              <w:jc w:val="both"/>
              <w:rPr>
                <w:iCs/>
                <w:sz w:val="26"/>
                <w:szCs w:val="26"/>
              </w:rPr>
            </w:pPr>
            <w:r w:rsidRPr="00655964">
              <w:rPr>
                <w:sz w:val="26"/>
                <w:szCs w:val="26"/>
              </w:rPr>
              <w:t>Nav.</w:t>
            </w:r>
          </w:p>
        </w:tc>
      </w:tr>
    </w:tbl>
    <w:p w:rsidR="00704307" w:rsidRPr="00655964" w:rsidRDefault="00704307" w:rsidP="00704307">
      <w:pPr>
        <w:pStyle w:val="NormalWeb"/>
        <w:spacing w:before="0" w:beforeAutospacing="0" w:after="0" w:afterAutospacing="0"/>
        <w:jc w:val="center"/>
        <w:rPr>
          <w:b/>
          <w:sz w:val="26"/>
          <w:szCs w:val="26"/>
          <w:lang w:val="lv-LV"/>
        </w:rPr>
      </w:pPr>
    </w:p>
    <w:tbl>
      <w:tblPr>
        <w:tblW w:w="5124" w:type="pct"/>
        <w:tblInd w:w="-114" w:type="dxa"/>
        <w:tblBorders>
          <w:top w:val="thickThinLargeGap" w:sz="6" w:space="0" w:color="BFBFBF"/>
          <w:left w:val="thickThinLargeGap" w:sz="6" w:space="0" w:color="BFBFBF"/>
          <w:bottom w:val="thickThinLargeGap" w:sz="6" w:space="0" w:color="BFBFBF"/>
          <w:right w:val="thickThinLargeGap" w:sz="6" w:space="0" w:color="BFBFBF"/>
          <w:insideH w:val="thickThinLargeGap" w:sz="6" w:space="0" w:color="BFBFBF"/>
          <w:insideV w:val="thickThinLargeGap" w:sz="6" w:space="0" w:color="BFBFBF"/>
        </w:tblBorders>
        <w:tblCellMar>
          <w:top w:w="28" w:type="dxa"/>
          <w:left w:w="28" w:type="dxa"/>
          <w:bottom w:w="28" w:type="dxa"/>
          <w:right w:w="28" w:type="dxa"/>
        </w:tblCellMar>
        <w:tblLook w:val="04A0" w:firstRow="1" w:lastRow="0" w:firstColumn="1" w:lastColumn="0" w:noHBand="0" w:noVBand="1"/>
      </w:tblPr>
      <w:tblGrid>
        <w:gridCol w:w="1800"/>
        <w:gridCol w:w="743"/>
        <w:gridCol w:w="1748"/>
        <w:gridCol w:w="2014"/>
        <w:gridCol w:w="3052"/>
      </w:tblGrid>
      <w:tr w:rsidR="00704307" w:rsidRPr="00655964" w:rsidTr="00655964">
        <w:trPr>
          <w:trHeight w:val="523"/>
        </w:trPr>
        <w:tc>
          <w:tcPr>
            <w:tcW w:w="5000" w:type="pct"/>
            <w:gridSpan w:val="5"/>
            <w:tcBorders>
              <w:top w:val="thickThinLargeGap" w:sz="6" w:space="0" w:color="BFBFBF"/>
              <w:left w:val="thickThinLargeGap" w:sz="6" w:space="0" w:color="BFBFBF"/>
              <w:bottom w:val="thickThinLargeGap" w:sz="6" w:space="0" w:color="BFBFBF"/>
              <w:right w:val="thickThinLargeGap" w:sz="6" w:space="0" w:color="BFBFBF"/>
            </w:tcBorders>
            <w:vAlign w:val="center"/>
            <w:hideMark/>
          </w:tcPr>
          <w:p w:rsidR="00704307" w:rsidRPr="00655964" w:rsidRDefault="00704307">
            <w:pPr>
              <w:pStyle w:val="naisnod"/>
              <w:spacing w:before="0" w:after="0"/>
              <w:rPr>
                <w:b w:val="0"/>
                <w:sz w:val="26"/>
                <w:szCs w:val="26"/>
              </w:rPr>
            </w:pPr>
            <w:r w:rsidRPr="00655964">
              <w:rPr>
                <w:b w:val="0"/>
                <w:sz w:val="26"/>
                <w:szCs w:val="26"/>
              </w:rPr>
              <w:t xml:space="preserve">1.tabula </w:t>
            </w:r>
          </w:p>
          <w:p w:rsidR="00704307" w:rsidRPr="00655964" w:rsidRDefault="00704307">
            <w:pPr>
              <w:pStyle w:val="naisnod"/>
              <w:spacing w:before="0" w:after="0"/>
              <w:rPr>
                <w:b w:val="0"/>
                <w:i/>
                <w:sz w:val="26"/>
                <w:szCs w:val="26"/>
              </w:rPr>
            </w:pPr>
            <w:r w:rsidRPr="00655964">
              <w:rPr>
                <w:b w:val="0"/>
                <w:sz w:val="26"/>
                <w:szCs w:val="26"/>
              </w:rPr>
              <w:t>Tiesību akta projekta atbilstība ES tiesību aktiem</w:t>
            </w:r>
          </w:p>
        </w:tc>
      </w:tr>
      <w:tr w:rsidR="00704307" w:rsidRPr="00655964" w:rsidTr="00655964">
        <w:trPr>
          <w:trHeight w:val="1252"/>
        </w:trPr>
        <w:tc>
          <w:tcPr>
            <w:tcW w:w="962" w:type="pct"/>
            <w:tcBorders>
              <w:top w:val="thickThinLargeGap" w:sz="6" w:space="0" w:color="BFBFBF"/>
              <w:left w:val="thickThinLargeGap" w:sz="6" w:space="0" w:color="BFBFBF"/>
              <w:bottom w:val="thickThinLargeGap" w:sz="6" w:space="0" w:color="BFBFBF"/>
              <w:right w:val="thickThinLargeGap" w:sz="6" w:space="0" w:color="BFBFBF"/>
            </w:tcBorders>
            <w:vAlign w:val="center"/>
            <w:hideMark/>
          </w:tcPr>
          <w:p w:rsidR="00704307" w:rsidRPr="00655964" w:rsidRDefault="00704307">
            <w:pPr>
              <w:pStyle w:val="naiskr"/>
              <w:spacing w:before="0" w:after="0"/>
              <w:ind w:hanging="10"/>
              <w:jc w:val="center"/>
              <w:rPr>
                <w:sz w:val="26"/>
                <w:szCs w:val="26"/>
              </w:rPr>
            </w:pPr>
            <w:r w:rsidRPr="00655964">
              <w:rPr>
                <w:sz w:val="26"/>
                <w:szCs w:val="26"/>
              </w:rPr>
              <w:lastRenderedPageBreak/>
              <w:t>Attiecīgā ES tiesību akta datums, numurs un nosaukums</w:t>
            </w:r>
          </w:p>
        </w:tc>
        <w:tc>
          <w:tcPr>
            <w:tcW w:w="4038" w:type="pct"/>
            <w:gridSpan w:val="4"/>
            <w:tcBorders>
              <w:top w:val="thickThinLargeGap" w:sz="6" w:space="0" w:color="BFBFBF"/>
              <w:left w:val="thickThinLargeGap" w:sz="6" w:space="0" w:color="BFBFBF"/>
              <w:bottom w:val="thickThinLargeGap" w:sz="6" w:space="0" w:color="BFBFBF"/>
              <w:right w:val="thickThinLargeGap" w:sz="6" w:space="0" w:color="BFBFBF"/>
            </w:tcBorders>
          </w:tcPr>
          <w:p w:rsidR="00704307" w:rsidRPr="00655964" w:rsidRDefault="00704307">
            <w:pPr>
              <w:pStyle w:val="naiskr"/>
              <w:spacing w:before="0" w:after="0"/>
              <w:jc w:val="both"/>
              <w:rPr>
                <w:sz w:val="26"/>
                <w:szCs w:val="26"/>
              </w:rPr>
            </w:pPr>
            <w:r w:rsidRPr="00655964">
              <w:rPr>
                <w:sz w:val="26"/>
                <w:szCs w:val="26"/>
              </w:rPr>
              <w:t xml:space="preserve">Ar normatīvo aktu tiek ieviestas šāda Eiropas Savienības tiesību aktu prasības: </w:t>
            </w:r>
          </w:p>
          <w:p w:rsidR="00704307" w:rsidRPr="00655964" w:rsidRDefault="00704307">
            <w:pPr>
              <w:jc w:val="both"/>
              <w:rPr>
                <w:sz w:val="26"/>
                <w:szCs w:val="26"/>
                <w:lang w:val="lv-LV"/>
              </w:rPr>
            </w:pPr>
          </w:p>
          <w:p w:rsidR="00914FE0" w:rsidRPr="00655964" w:rsidRDefault="00914FE0" w:rsidP="00914FE0">
            <w:pPr>
              <w:jc w:val="both"/>
              <w:rPr>
                <w:sz w:val="26"/>
                <w:szCs w:val="26"/>
                <w:lang w:val="lv-LV"/>
              </w:rPr>
            </w:pPr>
            <w:r w:rsidRPr="00655964">
              <w:rPr>
                <w:sz w:val="26"/>
                <w:szCs w:val="26"/>
                <w:lang w:val="lv-LV"/>
              </w:rPr>
              <w:t xml:space="preserve">Komisijas Regula (EK) Nr.1828/2006 kas paredz noteikumus par to, kā īstenot Padomes Regulu (EK) </w:t>
            </w:r>
            <w:proofErr w:type="spellStart"/>
            <w:r w:rsidRPr="00655964">
              <w:rPr>
                <w:sz w:val="26"/>
                <w:szCs w:val="26"/>
                <w:lang w:val="lv-LV"/>
              </w:rPr>
              <w:t>Nr</w:t>
            </w:r>
            <w:proofErr w:type="spellEnd"/>
            <w:r w:rsidRPr="00655964">
              <w:rPr>
                <w:sz w:val="26"/>
                <w:szCs w:val="26"/>
                <w:lang w:val="lv-LV"/>
              </w:rPr>
              <w:t xml:space="preserve">. 1083/2006, ar ko paredz vispārīgus noteikumus par Eiropas Reģionālās attīstības fondu, Eiropas Sociālo fondu un Kohēzijas fondu, un Eiropas Parlamenta un Padomes Regulu (EK) </w:t>
            </w:r>
            <w:proofErr w:type="spellStart"/>
            <w:r w:rsidRPr="00655964">
              <w:rPr>
                <w:sz w:val="26"/>
                <w:szCs w:val="26"/>
                <w:lang w:val="lv-LV"/>
              </w:rPr>
              <w:t>Nr</w:t>
            </w:r>
            <w:proofErr w:type="spellEnd"/>
            <w:r w:rsidRPr="00655964">
              <w:rPr>
                <w:sz w:val="26"/>
                <w:szCs w:val="26"/>
                <w:lang w:val="lv-LV"/>
              </w:rPr>
              <w:t>. 1080/2006 par Eiropas Reģionālās attīstības fondu (turpmāk – Regula Nr.1828/2006).</w:t>
            </w:r>
          </w:p>
          <w:p w:rsidR="00914FE0" w:rsidRPr="00655964" w:rsidRDefault="00914FE0">
            <w:pPr>
              <w:jc w:val="both"/>
              <w:rPr>
                <w:bCs/>
                <w:sz w:val="26"/>
                <w:szCs w:val="26"/>
                <w:lang w:val="lv-LV" w:eastAsia="lv-LV"/>
              </w:rPr>
            </w:pPr>
          </w:p>
          <w:p w:rsidR="00704307" w:rsidRPr="00655964" w:rsidRDefault="00704307">
            <w:pPr>
              <w:jc w:val="both"/>
              <w:rPr>
                <w:sz w:val="26"/>
                <w:szCs w:val="26"/>
                <w:lang w:val="lv-LV" w:eastAsia="lv-LV"/>
              </w:rPr>
            </w:pPr>
            <w:r w:rsidRPr="00655964">
              <w:rPr>
                <w:bCs/>
                <w:sz w:val="26"/>
                <w:szCs w:val="26"/>
                <w:lang w:val="lv-LV" w:eastAsia="lv-LV"/>
              </w:rPr>
              <w:t xml:space="preserve">Komisijas paziņojums Kopienas pamatnostādnes par valsts atbalstu grūtībās nonākušu uzņēmumu glābšanai un pārstrukturēšanai </w:t>
            </w:r>
            <w:r w:rsidRPr="00655964">
              <w:rPr>
                <w:sz w:val="26"/>
                <w:szCs w:val="26"/>
                <w:lang w:val="lv-LV" w:eastAsia="lv-LV"/>
              </w:rPr>
              <w:t>(2004/C 244/02) (turpmāk – Kopienas pamatnostādnes);</w:t>
            </w:r>
          </w:p>
          <w:p w:rsidR="00704307" w:rsidRPr="00655964" w:rsidRDefault="00704307">
            <w:pPr>
              <w:jc w:val="both"/>
              <w:rPr>
                <w:sz w:val="26"/>
                <w:szCs w:val="26"/>
                <w:lang w:val="lv-LV" w:eastAsia="lv-LV"/>
              </w:rPr>
            </w:pPr>
          </w:p>
          <w:p w:rsidR="00704307" w:rsidRPr="00655964" w:rsidRDefault="00704307" w:rsidP="00914FE0">
            <w:pPr>
              <w:jc w:val="both"/>
              <w:rPr>
                <w:sz w:val="26"/>
                <w:szCs w:val="26"/>
                <w:lang w:val="lv-LV"/>
              </w:rPr>
            </w:pPr>
          </w:p>
        </w:tc>
      </w:tr>
      <w:tr w:rsidR="00704307" w:rsidRPr="00655964" w:rsidTr="00655964">
        <w:trPr>
          <w:trHeight w:val="163"/>
        </w:trPr>
        <w:tc>
          <w:tcPr>
            <w:tcW w:w="5000" w:type="pct"/>
            <w:gridSpan w:val="5"/>
            <w:tcBorders>
              <w:top w:val="thickThinLargeGap" w:sz="6" w:space="0" w:color="BFBFBF"/>
              <w:left w:val="thickThinLargeGap" w:sz="6" w:space="0" w:color="BFBFBF"/>
              <w:bottom w:val="thickThinLargeGap" w:sz="6" w:space="0" w:color="BFBFBF"/>
              <w:right w:val="thickThinLargeGap" w:sz="6" w:space="0" w:color="BFBFBF"/>
            </w:tcBorders>
            <w:vAlign w:val="center"/>
          </w:tcPr>
          <w:p w:rsidR="00704307" w:rsidRPr="00655964" w:rsidRDefault="00704307">
            <w:pPr>
              <w:pStyle w:val="naiskr"/>
              <w:spacing w:before="0" w:after="0"/>
              <w:rPr>
                <w:i/>
                <w:sz w:val="26"/>
                <w:szCs w:val="26"/>
              </w:rPr>
            </w:pPr>
          </w:p>
        </w:tc>
      </w:tr>
      <w:tr w:rsidR="00704307" w:rsidRPr="00655964" w:rsidTr="00655964">
        <w:trPr>
          <w:trHeight w:val="165"/>
        </w:trPr>
        <w:tc>
          <w:tcPr>
            <w:tcW w:w="1359" w:type="pct"/>
            <w:gridSpan w:val="2"/>
            <w:tcBorders>
              <w:top w:val="thickThinLargeGap" w:sz="6" w:space="0" w:color="BFBFBF"/>
              <w:left w:val="thickThinLargeGap" w:sz="6" w:space="0" w:color="BFBFBF"/>
              <w:bottom w:val="thickThinLargeGap" w:sz="6" w:space="0" w:color="BFBFBF"/>
              <w:right w:val="thickThinLargeGap" w:sz="6" w:space="0" w:color="BFBFBF"/>
            </w:tcBorders>
            <w:vAlign w:val="center"/>
            <w:hideMark/>
          </w:tcPr>
          <w:p w:rsidR="00704307" w:rsidRPr="00655964" w:rsidRDefault="00704307">
            <w:pPr>
              <w:pStyle w:val="naiskr"/>
              <w:spacing w:before="0" w:after="0"/>
              <w:jc w:val="center"/>
              <w:rPr>
                <w:sz w:val="26"/>
                <w:szCs w:val="26"/>
              </w:rPr>
            </w:pPr>
            <w:r w:rsidRPr="00655964">
              <w:rPr>
                <w:sz w:val="26"/>
                <w:szCs w:val="26"/>
              </w:rPr>
              <w:t>A</w:t>
            </w:r>
          </w:p>
        </w:tc>
        <w:tc>
          <w:tcPr>
            <w:tcW w:w="934" w:type="pct"/>
            <w:tcBorders>
              <w:top w:val="thickThinLargeGap" w:sz="6" w:space="0" w:color="BFBFBF"/>
              <w:left w:val="thickThinLargeGap" w:sz="6" w:space="0" w:color="BFBFBF"/>
              <w:bottom w:val="thickThinLargeGap" w:sz="6" w:space="0" w:color="BFBFBF"/>
              <w:right w:val="thickThinLargeGap" w:sz="6" w:space="0" w:color="BFBFBF"/>
            </w:tcBorders>
            <w:vAlign w:val="center"/>
            <w:hideMark/>
          </w:tcPr>
          <w:p w:rsidR="00704307" w:rsidRPr="00655964" w:rsidRDefault="00704307">
            <w:pPr>
              <w:pStyle w:val="naiskr"/>
              <w:spacing w:before="0" w:after="0"/>
              <w:jc w:val="center"/>
              <w:rPr>
                <w:sz w:val="26"/>
                <w:szCs w:val="26"/>
              </w:rPr>
            </w:pPr>
            <w:r w:rsidRPr="00655964">
              <w:rPr>
                <w:sz w:val="26"/>
                <w:szCs w:val="26"/>
              </w:rPr>
              <w:t>B</w:t>
            </w:r>
          </w:p>
        </w:tc>
        <w:tc>
          <w:tcPr>
            <w:tcW w:w="1076" w:type="pct"/>
            <w:tcBorders>
              <w:top w:val="thickThinLargeGap" w:sz="6" w:space="0" w:color="BFBFBF"/>
              <w:left w:val="thickThinLargeGap" w:sz="6" w:space="0" w:color="BFBFBF"/>
              <w:bottom w:val="thickThinLargeGap" w:sz="6" w:space="0" w:color="BFBFBF"/>
              <w:right w:val="thickThinLargeGap" w:sz="6" w:space="0" w:color="BFBFBF"/>
            </w:tcBorders>
            <w:vAlign w:val="center"/>
            <w:hideMark/>
          </w:tcPr>
          <w:p w:rsidR="00704307" w:rsidRPr="00655964" w:rsidRDefault="00704307">
            <w:pPr>
              <w:pStyle w:val="naiskr"/>
              <w:spacing w:before="0" w:after="0"/>
              <w:jc w:val="center"/>
              <w:rPr>
                <w:sz w:val="26"/>
                <w:szCs w:val="26"/>
              </w:rPr>
            </w:pPr>
            <w:r w:rsidRPr="00655964">
              <w:rPr>
                <w:sz w:val="26"/>
                <w:szCs w:val="26"/>
              </w:rPr>
              <w:t>C</w:t>
            </w:r>
          </w:p>
        </w:tc>
        <w:tc>
          <w:tcPr>
            <w:tcW w:w="1631" w:type="pct"/>
            <w:tcBorders>
              <w:top w:val="thickThinLargeGap" w:sz="6" w:space="0" w:color="BFBFBF"/>
              <w:left w:val="thickThinLargeGap" w:sz="6" w:space="0" w:color="BFBFBF"/>
              <w:bottom w:val="thickThinLargeGap" w:sz="6" w:space="0" w:color="BFBFBF"/>
              <w:right w:val="thickThinLargeGap" w:sz="6" w:space="0" w:color="BFBFBF"/>
            </w:tcBorders>
            <w:vAlign w:val="center"/>
            <w:hideMark/>
          </w:tcPr>
          <w:p w:rsidR="00704307" w:rsidRPr="00655964" w:rsidRDefault="00704307">
            <w:pPr>
              <w:pStyle w:val="naiskr"/>
              <w:spacing w:before="0" w:after="0"/>
              <w:jc w:val="center"/>
              <w:rPr>
                <w:sz w:val="26"/>
                <w:szCs w:val="26"/>
              </w:rPr>
            </w:pPr>
            <w:r w:rsidRPr="00655964">
              <w:rPr>
                <w:sz w:val="26"/>
                <w:szCs w:val="26"/>
              </w:rPr>
              <w:t>D</w:t>
            </w:r>
          </w:p>
        </w:tc>
      </w:tr>
      <w:tr w:rsidR="00704307" w:rsidRPr="00655964" w:rsidTr="00655964">
        <w:trPr>
          <w:trHeight w:val="165"/>
        </w:trPr>
        <w:tc>
          <w:tcPr>
            <w:tcW w:w="1359" w:type="pct"/>
            <w:gridSpan w:val="2"/>
            <w:tcBorders>
              <w:top w:val="thickThinLargeGap" w:sz="6" w:space="0" w:color="BFBFBF"/>
              <w:left w:val="thickThinLargeGap" w:sz="6" w:space="0" w:color="BFBFBF"/>
              <w:bottom w:val="thickThinLargeGap" w:sz="6" w:space="0" w:color="BFBFBF"/>
              <w:right w:val="thickThinLargeGap" w:sz="6" w:space="0" w:color="BFBFBF"/>
            </w:tcBorders>
            <w:hideMark/>
          </w:tcPr>
          <w:p w:rsidR="00704307" w:rsidRPr="00655964" w:rsidRDefault="00704307">
            <w:pPr>
              <w:pStyle w:val="naiskr"/>
              <w:spacing w:before="0" w:after="0"/>
              <w:rPr>
                <w:sz w:val="26"/>
                <w:szCs w:val="26"/>
              </w:rPr>
            </w:pPr>
            <w:r w:rsidRPr="00655964">
              <w:rPr>
                <w:sz w:val="26"/>
                <w:szCs w:val="26"/>
              </w:rPr>
              <w:t xml:space="preserve">Attiecīgā ES tiesību akta panta numurs (uzskaitot katru tiesību akta </w:t>
            </w:r>
            <w:r w:rsidRPr="00655964">
              <w:rPr>
                <w:sz w:val="26"/>
                <w:szCs w:val="26"/>
              </w:rPr>
              <w:br/>
              <w:t>vienību – pantu, daļu, punktu, apakšpunktu)</w:t>
            </w:r>
          </w:p>
        </w:tc>
        <w:tc>
          <w:tcPr>
            <w:tcW w:w="934" w:type="pct"/>
            <w:tcBorders>
              <w:top w:val="thickThinLargeGap" w:sz="6" w:space="0" w:color="BFBFBF"/>
              <w:left w:val="thickThinLargeGap" w:sz="6" w:space="0" w:color="BFBFBF"/>
              <w:bottom w:val="thickThinLargeGap" w:sz="6" w:space="0" w:color="BFBFBF"/>
              <w:right w:val="thickThinLargeGap" w:sz="6" w:space="0" w:color="BFBFBF"/>
            </w:tcBorders>
            <w:hideMark/>
          </w:tcPr>
          <w:p w:rsidR="00704307" w:rsidRPr="00655964" w:rsidRDefault="00704307">
            <w:pPr>
              <w:pStyle w:val="naiskr"/>
              <w:spacing w:before="0" w:after="0"/>
              <w:rPr>
                <w:sz w:val="26"/>
                <w:szCs w:val="26"/>
              </w:rPr>
            </w:pPr>
            <w:r w:rsidRPr="00655964">
              <w:rPr>
                <w:sz w:val="26"/>
                <w:szCs w:val="26"/>
              </w:rPr>
              <w:t>Projekta vienība, kas pārņem vai ievieš katru šīs tabulas A ailē minēto ES tiesību akta vienību</w:t>
            </w:r>
          </w:p>
        </w:tc>
        <w:tc>
          <w:tcPr>
            <w:tcW w:w="1076" w:type="pct"/>
            <w:tcBorders>
              <w:top w:val="thickThinLargeGap" w:sz="6" w:space="0" w:color="BFBFBF"/>
              <w:left w:val="thickThinLargeGap" w:sz="6" w:space="0" w:color="BFBFBF"/>
              <w:bottom w:val="thickThinLargeGap" w:sz="6" w:space="0" w:color="BFBFBF"/>
              <w:right w:val="thickThinLargeGap" w:sz="6" w:space="0" w:color="BFBFBF"/>
            </w:tcBorders>
          </w:tcPr>
          <w:p w:rsidR="00704307" w:rsidRPr="00655964" w:rsidRDefault="00704307">
            <w:pPr>
              <w:pStyle w:val="naiskr"/>
              <w:spacing w:before="0" w:after="0"/>
              <w:rPr>
                <w:sz w:val="26"/>
                <w:szCs w:val="26"/>
              </w:rPr>
            </w:pPr>
            <w:r w:rsidRPr="00655964">
              <w:rPr>
                <w:sz w:val="26"/>
                <w:szCs w:val="26"/>
              </w:rPr>
              <w:t>Informācija par to, vai šīs tabulas A ailē minētās ES tiesību akta vienības tiek pārņemtas vai ieviestas pilnībā vai daļēji.</w:t>
            </w:r>
          </w:p>
          <w:p w:rsidR="00704307" w:rsidRPr="00655964" w:rsidRDefault="00704307">
            <w:pPr>
              <w:pStyle w:val="naiskr"/>
              <w:spacing w:before="0" w:after="0"/>
              <w:rPr>
                <w:sz w:val="26"/>
                <w:szCs w:val="26"/>
              </w:rPr>
            </w:pPr>
          </w:p>
          <w:p w:rsidR="00704307" w:rsidRPr="00655964" w:rsidRDefault="00704307">
            <w:pPr>
              <w:pStyle w:val="naiskr"/>
              <w:spacing w:before="0" w:after="0"/>
              <w:rPr>
                <w:sz w:val="26"/>
                <w:szCs w:val="26"/>
              </w:rPr>
            </w:pPr>
            <w:r w:rsidRPr="00655964">
              <w:rPr>
                <w:sz w:val="26"/>
                <w:szCs w:val="26"/>
              </w:rPr>
              <w:t>Ja attiecīgā ES tiesību akta vienība tiek pārņemta vai ieviesta daļēji, – sniedz attiecīgu skaidrojumu, kā arī precīzi norāda, kad un kādā veidā ES tiesību akta vienība tiks pārņemta vai ieviesta pilnībā.</w:t>
            </w:r>
          </w:p>
          <w:p w:rsidR="00704307" w:rsidRPr="00655964" w:rsidRDefault="00704307">
            <w:pPr>
              <w:pStyle w:val="naiskr"/>
              <w:spacing w:before="0" w:after="0"/>
              <w:rPr>
                <w:sz w:val="26"/>
                <w:szCs w:val="26"/>
              </w:rPr>
            </w:pPr>
          </w:p>
          <w:p w:rsidR="00704307" w:rsidRPr="00655964" w:rsidRDefault="00704307">
            <w:pPr>
              <w:pStyle w:val="naiskr"/>
              <w:spacing w:before="0" w:after="0"/>
              <w:rPr>
                <w:sz w:val="26"/>
                <w:szCs w:val="26"/>
              </w:rPr>
            </w:pPr>
            <w:r w:rsidRPr="00655964">
              <w:rPr>
                <w:sz w:val="26"/>
                <w:szCs w:val="26"/>
              </w:rPr>
              <w:t xml:space="preserve">Norāda institūciju, kas ir atbildīga par šo saistību izpildi </w:t>
            </w:r>
            <w:r w:rsidRPr="00655964">
              <w:rPr>
                <w:sz w:val="26"/>
                <w:szCs w:val="26"/>
              </w:rPr>
              <w:lastRenderedPageBreak/>
              <w:t>pilnībā</w:t>
            </w:r>
          </w:p>
        </w:tc>
        <w:tc>
          <w:tcPr>
            <w:tcW w:w="1631" w:type="pct"/>
            <w:tcBorders>
              <w:top w:val="thickThinLargeGap" w:sz="6" w:space="0" w:color="BFBFBF"/>
              <w:left w:val="thickThinLargeGap" w:sz="6" w:space="0" w:color="BFBFBF"/>
              <w:bottom w:val="thickThinLargeGap" w:sz="6" w:space="0" w:color="BFBFBF"/>
              <w:right w:val="thickThinLargeGap" w:sz="6" w:space="0" w:color="BFBFBF"/>
            </w:tcBorders>
          </w:tcPr>
          <w:p w:rsidR="00704307" w:rsidRPr="00655964" w:rsidRDefault="00704307">
            <w:pPr>
              <w:pStyle w:val="naiskr"/>
              <w:spacing w:before="0" w:after="0"/>
              <w:rPr>
                <w:sz w:val="26"/>
                <w:szCs w:val="26"/>
              </w:rPr>
            </w:pPr>
            <w:r w:rsidRPr="00655964">
              <w:rPr>
                <w:sz w:val="26"/>
                <w:szCs w:val="26"/>
              </w:rPr>
              <w:lastRenderedPageBreak/>
              <w:t>Informācija par to, vai šīs tabulas B ailē minētās projekta vienības paredz stingrākas prasības nekā šīs tabulas A ailē minētās ES tiesību akta vienības.</w:t>
            </w:r>
          </w:p>
          <w:p w:rsidR="00704307" w:rsidRPr="00655964" w:rsidRDefault="00704307">
            <w:pPr>
              <w:pStyle w:val="naiskr"/>
              <w:spacing w:before="0" w:after="0"/>
              <w:jc w:val="both"/>
              <w:rPr>
                <w:sz w:val="26"/>
                <w:szCs w:val="26"/>
              </w:rPr>
            </w:pPr>
          </w:p>
          <w:p w:rsidR="00704307" w:rsidRPr="00655964" w:rsidRDefault="00704307">
            <w:pPr>
              <w:pStyle w:val="naiskr"/>
              <w:spacing w:before="0" w:after="0"/>
              <w:rPr>
                <w:sz w:val="26"/>
                <w:szCs w:val="26"/>
              </w:rPr>
            </w:pPr>
            <w:r w:rsidRPr="00655964">
              <w:rPr>
                <w:sz w:val="26"/>
                <w:szCs w:val="26"/>
              </w:rPr>
              <w:t>Ja projekts satur stingrākas prasības nekā attiecīgais ES tiesību akts, – norāda pamatojumu un samērīgumu.</w:t>
            </w:r>
          </w:p>
          <w:p w:rsidR="00704307" w:rsidRPr="00655964" w:rsidRDefault="00704307">
            <w:pPr>
              <w:pStyle w:val="naiskr"/>
              <w:spacing w:before="0" w:after="0"/>
              <w:jc w:val="both"/>
              <w:rPr>
                <w:sz w:val="26"/>
                <w:szCs w:val="26"/>
              </w:rPr>
            </w:pPr>
          </w:p>
          <w:p w:rsidR="00704307" w:rsidRPr="00655964" w:rsidRDefault="00704307">
            <w:pPr>
              <w:pStyle w:val="naiskr"/>
              <w:spacing w:before="0" w:after="0"/>
              <w:rPr>
                <w:sz w:val="26"/>
                <w:szCs w:val="26"/>
              </w:rPr>
            </w:pPr>
            <w:r w:rsidRPr="00655964">
              <w:rPr>
                <w:sz w:val="26"/>
                <w:szCs w:val="26"/>
              </w:rPr>
              <w:t>Norāda iespējamās alternatīvas (</w:t>
            </w:r>
            <w:proofErr w:type="spellStart"/>
            <w:r w:rsidRPr="00655964">
              <w:rPr>
                <w:sz w:val="26"/>
                <w:szCs w:val="26"/>
              </w:rPr>
              <w:t>t.sk</w:t>
            </w:r>
            <w:proofErr w:type="spellEnd"/>
            <w:r w:rsidRPr="00655964">
              <w:rPr>
                <w:sz w:val="26"/>
                <w:szCs w:val="26"/>
              </w:rPr>
              <w:t>. alternatīvas, kas neparedz tiesiskā regulējuma izstrādi) – kādos gadījumos būtu iespējams izvairīties no stingrāku prasību noteikšanas, nekā paredzēts attiecīgajos ES tiesību aktos</w:t>
            </w:r>
          </w:p>
        </w:tc>
      </w:tr>
      <w:tr w:rsidR="00704307" w:rsidRPr="00655964" w:rsidTr="00655964">
        <w:trPr>
          <w:trHeight w:val="24"/>
        </w:trPr>
        <w:tc>
          <w:tcPr>
            <w:tcW w:w="1359" w:type="pct"/>
            <w:gridSpan w:val="2"/>
            <w:tcBorders>
              <w:top w:val="thickThinLargeGap" w:sz="6" w:space="0" w:color="BFBFBF"/>
              <w:left w:val="thickThinLargeGap" w:sz="6" w:space="0" w:color="BFBFBF"/>
              <w:bottom w:val="thickThinLargeGap" w:sz="6" w:space="0" w:color="BFBFBF"/>
              <w:right w:val="thickThinLargeGap" w:sz="6" w:space="0" w:color="BFBFBF"/>
            </w:tcBorders>
            <w:hideMark/>
          </w:tcPr>
          <w:p w:rsidR="00704307" w:rsidRPr="00655964" w:rsidRDefault="00704307" w:rsidP="00BD267E">
            <w:pPr>
              <w:rPr>
                <w:i/>
                <w:sz w:val="26"/>
                <w:szCs w:val="26"/>
                <w:lang w:val="lv-LV" w:eastAsia="en-GB"/>
              </w:rPr>
            </w:pPr>
            <w:r w:rsidRPr="00655964">
              <w:rPr>
                <w:i/>
                <w:sz w:val="26"/>
                <w:szCs w:val="26"/>
                <w:lang w:val="lv-LV"/>
              </w:rPr>
              <w:lastRenderedPageBreak/>
              <w:t xml:space="preserve">Regulas </w:t>
            </w:r>
            <w:proofErr w:type="spellStart"/>
            <w:r w:rsidRPr="00655964">
              <w:rPr>
                <w:i/>
                <w:sz w:val="26"/>
                <w:szCs w:val="26"/>
                <w:lang w:val="lv-LV"/>
              </w:rPr>
              <w:t>Nr</w:t>
            </w:r>
            <w:proofErr w:type="spellEnd"/>
            <w:r w:rsidRPr="00655964">
              <w:rPr>
                <w:i/>
                <w:sz w:val="26"/>
                <w:szCs w:val="26"/>
                <w:lang w:val="lv-LV"/>
              </w:rPr>
              <w:t xml:space="preserve">. </w:t>
            </w:r>
            <w:r w:rsidR="00BD267E" w:rsidRPr="00655964">
              <w:rPr>
                <w:sz w:val="26"/>
                <w:szCs w:val="26"/>
                <w:lang w:val="lv-LV"/>
              </w:rPr>
              <w:t>1828/2006 45</w:t>
            </w:r>
            <w:r w:rsidRPr="00655964">
              <w:rPr>
                <w:i/>
                <w:sz w:val="26"/>
                <w:szCs w:val="26"/>
                <w:lang w:val="lv-LV"/>
              </w:rPr>
              <w:t>.pant</w:t>
            </w:r>
            <w:r w:rsidR="00BD267E" w:rsidRPr="00655964">
              <w:rPr>
                <w:i/>
                <w:sz w:val="26"/>
                <w:szCs w:val="26"/>
                <w:lang w:val="lv-LV"/>
              </w:rPr>
              <w:t>s</w:t>
            </w:r>
          </w:p>
        </w:tc>
        <w:tc>
          <w:tcPr>
            <w:tcW w:w="934" w:type="pct"/>
            <w:tcBorders>
              <w:top w:val="thickThinLargeGap" w:sz="6" w:space="0" w:color="BFBFBF"/>
              <w:left w:val="thickThinLargeGap" w:sz="6" w:space="0" w:color="BFBFBF"/>
              <w:bottom w:val="thickThinLargeGap" w:sz="6" w:space="0" w:color="BFBFBF"/>
              <w:right w:val="thickThinLargeGap" w:sz="6" w:space="0" w:color="BFBFBF"/>
            </w:tcBorders>
            <w:hideMark/>
          </w:tcPr>
          <w:p w:rsidR="00704307" w:rsidRPr="00655964" w:rsidRDefault="00704307" w:rsidP="00BD267E">
            <w:pPr>
              <w:pStyle w:val="naiskr"/>
              <w:spacing w:before="0" w:after="0"/>
              <w:rPr>
                <w:i/>
                <w:sz w:val="26"/>
                <w:szCs w:val="26"/>
              </w:rPr>
            </w:pPr>
            <w:r w:rsidRPr="00655964">
              <w:rPr>
                <w:i/>
                <w:sz w:val="26"/>
                <w:szCs w:val="26"/>
              </w:rPr>
              <w:t xml:space="preserve">Noteikumu projekta </w:t>
            </w:r>
            <w:r w:rsidR="00BD267E" w:rsidRPr="00655964">
              <w:rPr>
                <w:i/>
                <w:sz w:val="26"/>
                <w:szCs w:val="26"/>
              </w:rPr>
              <w:t>5</w:t>
            </w:r>
            <w:r w:rsidRPr="00655964">
              <w:rPr>
                <w:i/>
                <w:sz w:val="26"/>
                <w:szCs w:val="26"/>
              </w:rPr>
              <w:t>.punkts</w:t>
            </w:r>
          </w:p>
        </w:tc>
        <w:tc>
          <w:tcPr>
            <w:tcW w:w="1076" w:type="pct"/>
            <w:tcBorders>
              <w:top w:val="thickThinLargeGap" w:sz="6" w:space="0" w:color="BFBFBF"/>
              <w:left w:val="thickThinLargeGap" w:sz="6" w:space="0" w:color="BFBFBF"/>
              <w:bottom w:val="thickThinLargeGap" w:sz="6" w:space="0" w:color="BFBFBF"/>
              <w:right w:val="thickThinLargeGap" w:sz="6" w:space="0" w:color="BFBFBF"/>
            </w:tcBorders>
            <w:hideMark/>
          </w:tcPr>
          <w:p w:rsidR="00704307" w:rsidRPr="00655964" w:rsidRDefault="00704307">
            <w:pPr>
              <w:pStyle w:val="naiskr"/>
              <w:spacing w:before="0" w:after="0"/>
              <w:rPr>
                <w:i/>
                <w:sz w:val="26"/>
                <w:szCs w:val="26"/>
              </w:rPr>
            </w:pPr>
            <w:r w:rsidRPr="003C0C7B">
              <w:rPr>
                <w:i/>
                <w:sz w:val="26"/>
                <w:szCs w:val="26"/>
              </w:rPr>
              <w:t>Tiek ieviesta pilnībā</w:t>
            </w:r>
          </w:p>
        </w:tc>
        <w:tc>
          <w:tcPr>
            <w:tcW w:w="1631" w:type="pct"/>
            <w:tcBorders>
              <w:top w:val="thickThinLargeGap" w:sz="6" w:space="0" w:color="BFBFBF"/>
              <w:left w:val="thickThinLargeGap" w:sz="6" w:space="0" w:color="BFBFBF"/>
              <w:bottom w:val="thickThinLargeGap" w:sz="6" w:space="0" w:color="BFBFBF"/>
              <w:right w:val="thickThinLargeGap" w:sz="6" w:space="0" w:color="BFBFBF"/>
            </w:tcBorders>
            <w:hideMark/>
          </w:tcPr>
          <w:p w:rsidR="00704307" w:rsidRPr="00655964" w:rsidRDefault="00704307">
            <w:pPr>
              <w:pStyle w:val="naiskr"/>
              <w:spacing w:before="0" w:after="0"/>
              <w:jc w:val="both"/>
              <w:rPr>
                <w:i/>
                <w:sz w:val="26"/>
                <w:szCs w:val="26"/>
              </w:rPr>
            </w:pPr>
            <w:r w:rsidRPr="00655964">
              <w:rPr>
                <w:i/>
                <w:sz w:val="26"/>
                <w:szCs w:val="26"/>
              </w:rPr>
              <w:t>Neparedz stingrākas prasības</w:t>
            </w:r>
          </w:p>
        </w:tc>
      </w:tr>
      <w:tr w:rsidR="00BD267E" w:rsidRPr="00655964" w:rsidTr="00914FE0">
        <w:trPr>
          <w:trHeight w:val="24"/>
        </w:trPr>
        <w:tc>
          <w:tcPr>
            <w:tcW w:w="1359" w:type="pct"/>
            <w:gridSpan w:val="2"/>
            <w:tcBorders>
              <w:top w:val="thickThinLargeGap" w:sz="6" w:space="0" w:color="BFBFBF"/>
              <w:left w:val="thickThinLargeGap" w:sz="6" w:space="0" w:color="BFBFBF"/>
              <w:bottom w:val="thickThinLargeGap" w:sz="6" w:space="0" w:color="BFBFBF"/>
              <w:right w:val="thickThinLargeGap" w:sz="6" w:space="0" w:color="BFBFBF"/>
            </w:tcBorders>
          </w:tcPr>
          <w:p w:rsidR="00BD267E" w:rsidRPr="00655964" w:rsidRDefault="00BD267E" w:rsidP="00BD267E">
            <w:pPr>
              <w:rPr>
                <w:i/>
                <w:sz w:val="26"/>
                <w:szCs w:val="26"/>
                <w:lang w:val="lv-LV"/>
              </w:rPr>
            </w:pPr>
            <w:r w:rsidRPr="00655964">
              <w:rPr>
                <w:i/>
                <w:sz w:val="26"/>
                <w:szCs w:val="26"/>
                <w:lang w:val="lv-LV" w:eastAsia="lv-LV"/>
              </w:rPr>
              <w:t>Kopienas pamatnostādņu 9.punkts</w:t>
            </w:r>
          </w:p>
        </w:tc>
        <w:tc>
          <w:tcPr>
            <w:tcW w:w="934" w:type="pct"/>
            <w:tcBorders>
              <w:top w:val="thickThinLargeGap" w:sz="6" w:space="0" w:color="BFBFBF"/>
              <w:left w:val="thickThinLargeGap" w:sz="6" w:space="0" w:color="BFBFBF"/>
              <w:bottom w:val="thickThinLargeGap" w:sz="6" w:space="0" w:color="BFBFBF"/>
              <w:right w:val="thickThinLargeGap" w:sz="6" w:space="0" w:color="BFBFBF"/>
            </w:tcBorders>
          </w:tcPr>
          <w:p w:rsidR="00BD267E" w:rsidRPr="00655964" w:rsidRDefault="00BD267E" w:rsidP="00BD267E">
            <w:pPr>
              <w:pStyle w:val="naiskr"/>
              <w:spacing w:before="0" w:after="0"/>
              <w:rPr>
                <w:i/>
                <w:sz w:val="26"/>
                <w:szCs w:val="26"/>
              </w:rPr>
            </w:pPr>
            <w:r w:rsidRPr="00655964">
              <w:rPr>
                <w:i/>
                <w:sz w:val="26"/>
                <w:szCs w:val="26"/>
              </w:rPr>
              <w:t>Noteikumu projekta 5.punkts</w:t>
            </w:r>
          </w:p>
        </w:tc>
        <w:tc>
          <w:tcPr>
            <w:tcW w:w="1076" w:type="pct"/>
            <w:tcBorders>
              <w:top w:val="thickThinLargeGap" w:sz="6" w:space="0" w:color="BFBFBF"/>
              <w:left w:val="thickThinLargeGap" w:sz="6" w:space="0" w:color="BFBFBF"/>
              <w:bottom w:val="thickThinLargeGap" w:sz="6" w:space="0" w:color="BFBFBF"/>
              <w:right w:val="thickThinLargeGap" w:sz="6" w:space="0" w:color="BFBFBF"/>
            </w:tcBorders>
          </w:tcPr>
          <w:p w:rsidR="00BD267E" w:rsidRPr="00655964" w:rsidRDefault="00BD267E">
            <w:pPr>
              <w:pStyle w:val="naiskr"/>
              <w:spacing w:before="0" w:after="0"/>
              <w:rPr>
                <w:i/>
                <w:sz w:val="26"/>
                <w:szCs w:val="26"/>
              </w:rPr>
            </w:pPr>
            <w:r w:rsidRPr="00655964">
              <w:rPr>
                <w:i/>
                <w:sz w:val="26"/>
                <w:szCs w:val="26"/>
              </w:rPr>
              <w:t>Tiek ieviesta pilnībā</w:t>
            </w:r>
          </w:p>
        </w:tc>
        <w:tc>
          <w:tcPr>
            <w:tcW w:w="1631" w:type="pct"/>
            <w:tcBorders>
              <w:top w:val="thickThinLargeGap" w:sz="6" w:space="0" w:color="BFBFBF"/>
              <w:left w:val="thickThinLargeGap" w:sz="6" w:space="0" w:color="BFBFBF"/>
              <w:bottom w:val="thickThinLargeGap" w:sz="6" w:space="0" w:color="BFBFBF"/>
              <w:right w:val="thickThinLargeGap" w:sz="6" w:space="0" w:color="BFBFBF"/>
            </w:tcBorders>
          </w:tcPr>
          <w:p w:rsidR="00BD267E" w:rsidRPr="00655964" w:rsidRDefault="00BD267E">
            <w:pPr>
              <w:pStyle w:val="naiskr"/>
              <w:spacing w:before="0" w:after="0"/>
              <w:jc w:val="both"/>
              <w:rPr>
                <w:i/>
                <w:sz w:val="26"/>
                <w:szCs w:val="26"/>
              </w:rPr>
            </w:pPr>
            <w:r w:rsidRPr="00655964">
              <w:rPr>
                <w:i/>
                <w:sz w:val="26"/>
                <w:szCs w:val="26"/>
              </w:rPr>
              <w:t>Neparedz stingrākas prasības</w:t>
            </w:r>
          </w:p>
        </w:tc>
      </w:tr>
      <w:tr w:rsidR="00BD267E" w:rsidRPr="00655964" w:rsidTr="00D029CC">
        <w:trPr>
          <w:trHeight w:val="24"/>
        </w:trPr>
        <w:tc>
          <w:tcPr>
            <w:tcW w:w="1359" w:type="pct"/>
            <w:gridSpan w:val="2"/>
            <w:tcBorders>
              <w:top w:val="thickThinLargeGap" w:sz="6" w:space="0" w:color="BFBFBF"/>
              <w:left w:val="thickThinLargeGap" w:sz="6" w:space="0" w:color="BFBFBF"/>
              <w:bottom w:val="thickThinLargeGap" w:sz="6" w:space="0" w:color="BFBFBF"/>
              <w:right w:val="thickThinLargeGap" w:sz="6" w:space="0" w:color="BFBFBF"/>
            </w:tcBorders>
          </w:tcPr>
          <w:p w:rsidR="00BD267E" w:rsidRPr="00655964" w:rsidRDefault="00BD267E" w:rsidP="003E5DF4">
            <w:pPr>
              <w:rPr>
                <w:i/>
                <w:sz w:val="26"/>
                <w:szCs w:val="26"/>
                <w:lang w:val="lv-LV"/>
              </w:rPr>
            </w:pPr>
            <w:r w:rsidRPr="00655964">
              <w:rPr>
                <w:i/>
                <w:sz w:val="26"/>
                <w:szCs w:val="26"/>
                <w:lang w:val="lv-LV" w:eastAsia="lv-LV"/>
              </w:rPr>
              <w:t xml:space="preserve">Kopienas pamatnostādņu </w:t>
            </w:r>
            <w:r w:rsidR="003E5DF4" w:rsidRPr="00655964">
              <w:rPr>
                <w:i/>
                <w:sz w:val="26"/>
                <w:szCs w:val="26"/>
                <w:lang w:val="lv-LV" w:eastAsia="lv-LV"/>
              </w:rPr>
              <w:t>10</w:t>
            </w:r>
            <w:r w:rsidRPr="00655964">
              <w:rPr>
                <w:i/>
                <w:sz w:val="26"/>
                <w:szCs w:val="26"/>
                <w:lang w:val="lv-LV" w:eastAsia="lv-LV"/>
              </w:rPr>
              <w:t>.punkts</w:t>
            </w:r>
          </w:p>
        </w:tc>
        <w:tc>
          <w:tcPr>
            <w:tcW w:w="934" w:type="pct"/>
            <w:tcBorders>
              <w:top w:val="thickThinLargeGap" w:sz="6" w:space="0" w:color="BFBFBF"/>
              <w:left w:val="thickThinLargeGap" w:sz="6" w:space="0" w:color="BFBFBF"/>
              <w:bottom w:val="thickThinLargeGap" w:sz="6" w:space="0" w:color="BFBFBF"/>
              <w:right w:val="thickThinLargeGap" w:sz="6" w:space="0" w:color="BFBFBF"/>
            </w:tcBorders>
          </w:tcPr>
          <w:p w:rsidR="00BD267E" w:rsidRPr="00655964" w:rsidRDefault="00BD267E" w:rsidP="00D029CC">
            <w:pPr>
              <w:pStyle w:val="naiskr"/>
              <w:spacing w:before="0" w:after="0"/>
              <w:rPr>
                <w:i/>
                <w:sz w:val="26"/>
                <w:szCs w:val="26"/>
              </w:rPr>
            </w:pPr>
            <w:r w:rsidRPr="00655964">
              <w:rPr>
                <w:i/>
                <w:sz w:val="26"/>
                <w:szCs w:val="26"/>
              </w:rPr>
              <w:t>Noteikumu projekta 5.punkts</w:t>
            </w:r>
          </w:p>
        </w:tc>
        <w:tc>
          <w:tcPr>
            <w:tcW w:w="1076" w:type="pct"/>
            <w:tcBorders>
              <w:top w:val="thickThinLargeGap" w:sz="6" w:space="0" w:color="BFBFBF"/>
              <w:left w:val="thickThinLargeGap" w:sz="6" w:space="0" w:color="BFBFBF"/>
              <w:bottom w:val="thickThinLargeGap" w:sz="6" w:space="0" w:color="BFBFBF"/>
              <w:right w:val="thickThinLargeGap" w:sz="6" w:space="0" w:color="BFBFBF"/>
            </w:tcBorders>
          </w:tcPr>
          <w:p w:rsidR="00BD267E" w:rsidRPr="00655964" w:rsidRDefault="00BD267E" w:rsidP="00D029CC">
            <w:pPr>
              <w:pStyle w:val="naiskr"/>
              <w:spacing w:before="0" w:after="0"/>
              <w:rPr>
                <w:i/>
                <w:sz w:val="26"/>
                <w:szCs w:val="26"/>
              </w:rPr>
            </w:pPr>
            <w:r w:rsidRPr="00655964">
              <w:rPr>
                <w:i/>
                <w:sz w:val="26"/>
                <w:szCs w:val="26"/>
              </w:rPr>
              <w:t>Tiek ieviesta pilnībā</w:t>
            </w:r>
          </w:p>
        </w:tc>
        <w:tc>
          <w:tcPr>
            <w:tcW w:w="1631" w:type="pct"/>
            <w:tcBorders>
              <w:top w:val="thickThinLargeGap" w:sz="6" w:space="0" w:color="BFBFBF"/>
              <w:left w:val="thickThinLargeGap" w:sz="6" w:space="0" w:color="BFBFBF"/>
              <w:bottom w:val="thickThinLargeGap" w:sz="6" w:space="0" w:color="BFBFBF"/>
              <w:right w:val="thickThinLargeGap" w:sz="6" w:space="0" w:color="BFBFBF"/>
            </w:tcBorders>
          </w:tcPr>
          <w:p w:rsidR="00BD267E" w:rsidRPr="00655964" w:rsidRDefault="00BD267E" w:rsidP="00D029CC">
            <w:pPr>
              <w:pStyle w:val="naiskr"/>
              <w:spacing w:before="0" w:after="0"/>
              <w:jc w:val="both"/>
              <w:rPr>
                <w:i/>
                <w:sz w:val="26"/>
                <w:szCs w:val="26"/>
              </w:rPr>
            </w:pPr>
            <w:r w:rsidRPr="00655964">
              <w:rPr>
                <w:i/>
                <w:sz w:val="26"/>
                <w:szCs w:val="26"/>
              </w:rPr>
              <w:t>Neparedz stingrākas prasības</w:t>
            </w:r>
          </w:p>
        </w:tc>
      </w:tr>
      <w:tr w:rsidR="003E5DF4" w:rsidRPr="00655964" w:rsidTr="00D029CC">
        <w:trPr>
          <w:trHeight w:val="24"/>
        </w:trPr>
        <w:tc>
          <w:tcPr>
            <w:tcW w:w="1359" w:type="pct"/>
            <w:gridSpan w:val="2"/>
            <w:tcBorders>
              <w:top w:val="thickThinLargeGap" w:sz="6" w:space="0" w:color="BFBFBF"/>
              <w:left w:val="thickThinLargeGap" w:sz="6" w:space="0" w:color="BFBFBF"/>
              <w:bottom w:val="thickThinLargeGap" w:sz="6" w:space="0" w:color="BFBFBF"/>
              <w:right w:val="thickThinLargeGap" w:sz="6" w:space="0" w:color="BFBFBF"/>
            </w:tcBorders>
          </w:tcPr>
          <w:p w:rsidR="003E5DF4" w:rsidRPr="00655964" w:rsidRDefault="003E5DF4" w:rsidP="003E5DF4">
            <w:pPr>
              <w:rPr>
                <w:i/>
                <w:sz w:val="26"/>
                <w:szCs w:val="26"/>
                <w:lang w:val="lv-LV"/>
              </w:rPr>
            </w:pPr>
            <w:r w:rsidRPr="00655964">
              <w:rPr>
                <w:i/>
                <w:sz w:val="26"/>
                <w:szCs w:val="26"/>
                <w:lang w:val="lv-LV" w:eastAsia="lv-LV"/>
              </w:rPr>
              <w:t>Kopienas pamatnostādņu 11.punkts</w:t>
            </w:r>
          </w:p>
        </w:tc>
        <w:tc>
          <w:tcPr>
            <w:tcW w:w="934" w:type="pct"/>
            <w:tcBorders>
              <w:top w:val="thickThinLargeGap" w:sz="6" w:space="0" w:color="BFBFBF"/>
              <w:left w:val="thickThinLargeGap" w:sz="6" w:space="0" w:color="BFBFBF"/>
              <w:bottom w:val="thickThinLargeGap" w:sz="6" w:space="0" w:color="BFBFBF"/>
              <w:right w:val="thickThinLargeGap" w:sz="6" w:space="0" w:color="BFBFBF"/>
            </w:tcBorders>
          </w:tcPr>
          <w:p w:rsidR="003E5DF4" w:rsidRPr="00655964" w:rsidRDefault="003E5DF4" w:rsidP="00D029CC">
            <w:pPr>
              <w:pStyle w:val="naiskr"/>
              <w:spacing w:before="0" w:after="0"/>
              <w:rPr>
                <w:i/>
                <w:sz w:val="26"/>
                <w:szCs w:val="26"/>
              </w:rPr>
            </w:pPr>
            <w:r w:rsidRPr="00655964">
              <w:rPr>
                <w:i/>
                <w:sz w:val="26"/>
                <w:szCs w:val="26"/>
              </w:rPr>
              <w:t>Noteikumu projekta 5.punkts</w:t>
            </w:r>
          </w:p>
        </w:tc>
        <w:tc>
          <w:tcPr>
            <w:tcW w:w="1076" w:type="pct"/>
            <w:tcBorders>
              <w:top w:val="thickThinLargeGap" w:sz="6" w:space="0" w:color="BFBFBF"/>
              <w:left w:val="thickThinLargeGap" w:sz="6" w:space="0" w:color="BFBFBF"/>
              <w:bottom w:val="thickThinLargeGap" w:sz="6" w:space="0" w:color="BFBFBF"/>
              <w:right w:val="thickThinLargeGap" w:sz="6" w:space="0" w:color="BFBFBF"/>
            </w:tcBorders>
          </w:tcPr>
          <w:p w:rsidR="003E5DF4" w:rsidRPr="00655964" w:rsidRDefault="003E5DF4" w:rsidP="00D029CC">
            <w:pPr>
              <w:pStyle w:val="naiskr"/>
              <w:spacing w:before="0" w:after="0"/>
              <w:rPr>
                <w:i/>
                <w:sz w:val="26"/>
                <w:szCs w:val="26"/>
              </w:rPr>
            </w:pPr>
            <w:r w:rsidRPr="00655964">
              <w:rPr>
                <w:i/>
                <w:sz w:val="26"/>
                <w:szCs w:val="26"/>
              </w:rPr>
              <w:t>Tiek ieviesta pilnībā</w:t>
            </w:r>
          </w:p>
        </w:tc>
        <w:tc>
          <w:tcPr>
            <w:tcW w:w="1631" w:type="pct"/>
            <w:tcBorders>
              <w:top w:val="thickThinLargeGap" w:sz="6" w:space="0" w:color="BFBFBF"/>
              <w:left w:val="thickThinLargeGap" w:sz="6" w:space="0" w:color="BFBFBF"/>
              <w:bottom w:val="thickThinLargeGap" w:sz="6" w:space="0" w:color="BFBFBF"/>
              <w:right w:val="thickThinLargeGap" w:sz="6" w:space="0" w:color="BFBFBF"/>
            </w:tcBorders>
          </w:tcPr>
          <w:p w:rsidR="003E5DF4" w:rsidRPr="00655964" w:rsidRDefault="003E5DF4" w:rsidP="00D029CC">
            <w:pPr>
              <w:pStyle w:val="naiskr"/>
              <w:spacing w:before="0" w:after="0"/>
              <w:jc w:val="both"/>
              <w:rPr>
                <w:i/>
                <w:sz w:val="26"/>
                <w:szCs w:val="26"/>
              </w:rPr>
            </w:pPr>
            <w:r w:rsidRPr="00655964">
              <w:rPr>
                <w:i/>
                <w:sz w:val="26"/>
                <w:szCs w:val="26"/>
              </w:rPr>
              <w:t>Neparedz stingrākas prasības</w:t>
            </w:r>
          </w:p>
        </w:tc>
      </w:tr>
      <w:tr w:rsidR="00704307" w:rsidRPr="00655964" w:rsidTr="00BD267E">
        <w:trPr>
          <w:trHeight w:val="191"/>
        </w:trPr>
        <w:tc>
          <w:tcPr>
            <w:tcW w:w="1359" w:type="pct"/>
            <w:gridSpan w:val="2"/>
            <w:tcBorders>
              <w:top w:val="thickThinLargeGap" w:sz="6" w:space="0" w:color="BFBFBF"/>
              <w:left w:val="thickThinLargeGap" w:sz="6" w:space="0" w:color="BFBFBF"/>
              <w:bottom w:val="thickThinLargeGap" w:sz="6" w:space="0" w:color="BFBFBF"/>
              <w:right w:val="thickThinLargeGap" w:sz="6" w:space="0" w:color="BFBFBF"/>
            </w:tcBorders>
            <w:vAlign w:val="center"/>
            <w:hideMark/>
          </w:tcPr>
          <w:p w:rsidR="00704307" w:rsidRPr="003851B6" w:rsidRDefault="00704307">
            <w:pPr>
              <w:rPr>
                <w:i/>
                <w:sz w:val="26"/>
                <w:szCs w:val="26"/>
                <w:lang w:val="lv-LV"/>
              </w:rPr>
            </w:pPr>
            <w:r w:rsidRPr="003C0C7B">
              <w:rPr>
                <w:sz w:val="26"/>
                <w:szCs w:val="26"/>
                <w:lang w:val="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641" w:type="pct"/>
            <w:gridSpan w:val="3"/>
            <w:tcBorders>
              <w:top w:val="thickThinLargeGap" w:sz="6" w:space="0" w:color="BFBFBF"/>
              <w:left w:val="thickThinLargeGap" w:sz="6" w:space="0" w:color="BFBFBF"/>
              <w:bottom w:val="thickThinLargeGap" w:sz="6" w:space="0" w:color="BFBFBF"/>
              <w:right w:val="thickThinLargeGap" w:sz="6" w:space="0" w:color="BFBFBF"/>
            </w:tcBorders>
            <w:hideMark/>
          </w:tcPr>
          <w:p w:rsidR="00704307" w:rsidRPr="00655964" w:rsidRDefault="00324271" w:rsidP="00324271">
            <w:pPr>
              <w:pStyle w:val="naiskr"/>
              <w:spacing w:before="0" w:after="0"/>
              <w:jc w:val="both"/>
              <w:rPr>
                <w:iCs/>
                <w:sz w:val="26"/>
                <w:szCs w:val="26"/>
              </w:rPr>
            </w:pPr>
            <w:r w:rsidRPr="00655964">
              <w:rPr>
                <w:iCs/>
                <w:sz w:val="26"/>
                <w:szCs w:val="26"/>
              </w:rPr>
              <w:t xml:space="preserve">Ņemot vērā, Regulas Nr.800/2008 9.pantu, atbildīgā iestāde 20 darba dienu </w:t>
            </w:r>
            <w:proofErr w:type="spellStart"/>
            <w:r w:rsidRPr="00655964">
              <w:rPr>
                <w:iCs/>
                <w:sz w:val="26"/>
                <w:szCs w:val="26"/>
              </w:rPr>
              <w:t>dienu</w:t>
            </w:r>
            <w:proofErr w:type="spellEnd"/>
            <w:r w:rsidRPr="00655964">
              <w:rPr>
                <w:iCs/>
                <w:sz w:val="26"/>
                <w:szCs w:val="26"/>
              </w:rPr>
              <w:t xml:space="preserve"> laikā pēc šī noteikumu projekta apstiprināšanas, izmantojot  </w:t>
            </w:r>
            <w:r w:rsidRPr="00655964">
              <w:rPr>
                <w:sz w:val="26"/>
                <w:szCs w:val="26"/>
              </w:rPr>
              <w:t>izveidoto Komisijas IT lietojumprogrammu</w:t>
            </w:r>
            <w:r w:rsidRPr="00655964">
              <w:rPr>
                <w:iCs/>
                <w:sz w:val="26"/>
                <w:szCs w:val="26"/>
              </w:rPr>
              <w:t xml:space="preserve"> SANI, sniegs Komisijai informāciju par  izdarītajiem grozījumiem MK noteikumos Nr.613.</w:t>
            </w:r>
          </w:p>
        </w:tc>
      </w:tr>
      <w:tr w:rsidR="00704307" w:rsidRPr="00655964" w:rsidTr="00BD267E">
        <w:trPr>
          <w:trHeight w:val="488"/>
        </w:trPr>
        <w:tc>
          <w:tcPr>
            <w:tcW w:w="1359" w:type="pct"/>
            <w:gridSpan w:val="2"/>
            <w:tcBorders>
              <w:top w:val="thickThinLargeGap" w:sz="6" w:space="0" w:color="BFBFBF"/>
              <w:left w:val="thickThinLargeGap" w:sz="6" w:space="0" w:color="BFBFBF"/>
              <w:bottom w:val="thickThinLargeGap" w:sz="6" w:space="0" w:color="BFBFBF"/>
              <w:right w:val="thickThinLargeGap" w:sz="6" w:space="0" w:color="BFBFBF"/>
            </w:tcBorders>
            <w:hideMark/>
          </w:tcPr>
          <w:p w:rsidR="00704307" w:rsidRPr="003851B6" w:rsidRDefault="00704307">
            <w:pPr>
              <w:pStyle w:val="naiskr"/>
              <w:spacing w:before="0" w:after="0"/>
              <w:rPr>
                <w:i/>
                <w:sz w:val="26"/>
                <w:szCs w:val="26"/>
              </w:rPr>
            </w:pPr>
            <w:r w:rsidRPr="003851B6">
              <w:rPr>
                <w:sz w:val="26"/>
                <w:szCs w:val="26"/>
              </w:rPr>
              <w:t>Cita informācija</w:t>
            </w:r>
          </w:p>
        </w:tc>
        <w:tc>
          <w:tcPr>
            <w:tcW w:w="3641" w:type="pct"/>
            <w:gridSpan w:val="3"/>
            <w:tcBorders>
              <w:top w:val="thickThinLargeGap" w:sz="6" w:space="0" w:color="BFBFBF"/>
              <w:left w:val="thickThinLargeGap" w:sz="6" w:space="0" w:color="BFBFBF"/>
              <w:bottom w:val="thickThinLargeGap" w:sz="6" w:space="0" w:color="BFBFBF"/>
              <w:right w:val="thickThinLargeGap" w:sz="6" w:space="0" w:color="BFBFBF"/>
            </w:tcBorders>
            <w:hideMark/>
          </w:tcPr>
          <w:p w:rsidR="00704307" w:rsidRPr="003851B6" w:rsidRDefault="00704307">
            <w:pPr>
              <w:pStyle w:val="naiskr"/>
              <w:spacing w:before="0" w:after="0"/>
              <w:jc w:val="both"/>
              <w:rPr>
                <w:sz w:val="26"/>
                <w:szCs w:val="26"/>
              </w:rPr>
            </w:pPr>
          </w:p>
        </w:tc>
      </w:tr>
    </w:tbl>
    <w:p w:rsidR="003C0C7B" w:rsidRPr="003C0C7B" w:rsidRDefault="003C0C7B" w:rsidP="00704307">
      <w:pPr>
        <w:rPr>
          <w:vanish/>
          <w:sz w:val="26"/>
          <w:szCs w:val="26"/>
          <w:lang w:val="lv-LV"/>
        </w:rPr>
      </w:pPr>
    </w:p>
    <w:p w:rsidR="00704307" w:rsidRDefault="00704307" w:rsidP="00704307">
      <w:pPr>
        <w:pStyle w:val="NormalWeb"/>
        <w:spacing w:before="0" w:beforeAutospacing="0" w:after="0" w:afterAutospacing="0"/>
        <w:jc w:val="center"/>
        <w:rPr>
          <w:b/>
          <w:sz w:val="26"/>
          <w:szCs w:val="26"/>
          <w:lang w:val="lv-LV"/>
        </w:rPr>
      </w:pPr>
    </w:p>
    <w:tbl>
      <w:tblPr>
        <w:tblpPr w:leftFromText="180" w:rightFromText="180" w:vertAnchor="text" w:horzAnchor="margin" w:tblpX="-73" w:tblpY="20"/>
        <w:tblW w:w="5066" w:type="pct"/>
        <w:tblBorders>
          <w:top w:val="double" w:sz="6" w:space="0" w:color="BFBFBF"/>
          <w:left w:val="double" w:sz="6" w:space="0" w:color="BFBFBF"/>
          <w:bottom w:val="double" w:sz="6" w:space="0" w:color="BFBFBF"/>
          <w:right w:val="double" w:sz="6" w:space="0" w:color="BFBFBF"/>
          <w:insideH w:val="double" w:sz="6" w:space="0" w:color="BFBFBF"/>
          <w:insideV w:val="double" w:sz="6" w:space="0" w:color="BFBFBF"/>
        </w:tblBorders>
        <w:tblCellMar>
          <w:left w:w="0" w:type="dxa"/>
          <w:right w:w="0" w:type="dxa"/>
        </w:tblCellMar>
        <w:tblLook w:val="04A0" w:firstRow="1" w:lastRow="0" w:firstColumn="1" w:lastColumn="0" w:noHBand="0" w:noVBand="1"/>
      </w:tblPr>
      <w:tblGrid>
        <w:gridCol w:w="2020"/>
        <w:gridCol w:w="1548"/>
        <w:gridCol w:w="1594"/>
        <w:gridCol w:w="4075"/>
      </w:tblGrid>
      <w:tr w:rsidR="003C0C7B" w:rsidRPr="003C0C7B" w:rsidTr="003C0C7B">
        <w:trPr>
          <w:trHeight w:val="792"/>
        </w:trPr>
        <w:tc>
          <w:tcPr>
            <w:tcW w:w="5000" w:type="pct"/>
            <w:gridSpan w:val="4"/>
            <w:tcBorders>
              <w:top w:val="double" w:sz="6" w:space="0" w:color="BFBFBF"/>
              <w:left w:val="double" w:sz="6" w:space="0" w:color="BFBFBF"/>
              <w:bottom w:val="double" w:sz="6" w:space="0" w:color="BFBFBF"/>
              <w:right w:val="double" w:sz="6" w:space="0" w:color="BFBFBF"/>
            </w:tcBorders>
            <w:vAlign w:val="center"/>
            <w:hideMark/>
          </w:tcPr>
          <w:p w:rsidR="003C0C7B" w:rsidRPr="003C0C7B" w:rsidRDefault="003C0C7B">
            <w:pPr>
              <w:pStyle w:val="naisnod"/>
              <w:spacing w:before="0" w:after="0"/>
              <w:rPr>
                <w:b w:val="0"/>
                <w:sz w:val="26"/>
                <w:szCs w:val="26"/>
              </w:rPr>
            </w:pPr>
            <w:r w:rsidRPr="003C0C7B">
              <w:rPr>
                <w:b w:val="0"/>
                <w:sz w:val="26"/>
                <w:szCs w:val="26"/>
              </w:rPr>
              <w:t xml:space="preserve">2.tabula </w:t>
            </w:r>
          </w:p>
          <w:p w:rsidR="003C0C7B" w:rsidRPr="003C0C7B" w:rsidRDefault="003C0C7B">
            <w:pPr>
              <w:pStyle w:val="naisnod"/>
              <w:spacing w:before="0" w:after="0"/>
              <w:rPr>
                <w:b w:val="0"/>
                <w:sz w:val="26"/>
                <w:szCs w:val="26"/>
              </w:rPr>
            </w:pPr>
            <w:r w:rsidRPr="003C0C7B">
              <w:rPr>
                <w:b w:val="0"/>
                <w:sz w:val="26"/>
                <w:szCs w:val="26"/>
              </w:rPr>
              <w:t>Ar tiesību akta projektu uzņemtās saistības, kas izriet no starptautiskajiem tiesību aktiem vai starptautiskas institūcijas vai organizācijas dokumentiem</w:t>
            </w:r>
          </w:p>
          <w:p w:rsidR="003C0C7B" w:rsidRPr="003C0C7B" w:rsidRDefault="003C0C7B">
            <w:pPr>
              <w:pStyle w:val="naisnod"/>
              <w:spacing w:before="0" w:after="0"/>
              <w:rPr>
                <w:b w:val="0"/>
                <w:sz w:val="26"/>
                <w:szCs w:val="26"/>
              </w:rPr>
            </w:pPr>
            <w:r w:rsidRPr="003C0C7B">
              <w:rPr>
                <w:b w:val="0"/>
                <w:sz w:val="26"/>
                <w:szCs w:val="26"/>
              </w:rPr>
              <w:t>Pasākumi šo saistību izpildei</w:t>
            </w:r>
          </w:p>
        </w:tc>
      </w:tr>
      <w:tr w:rsidR="003C0C7B" w:rsidRPr="003C0C7B" w:rsidTr="003C0C7B">
        <w:trPr>
          <w:trHeight w:val="1596"/>
        </w:trPr>
        <w:tc>
          <w:tcPr>
            <w:tcW w:w="1931" w:type="pct"/>
            <w:gridSpan w:val="2"/>
            <w:tcBorders>
              <w:top w:val="double" w:sz="6" w:space="0" w:color="BFBFBF"/>
              <w:left w:val="double" w:sz="6" w:space="0" w:color="BFBFBF"/>
              <w:bottom w:val="double" w:sz="6" w:space="0" w:color="BFBFBF"/>
              <w:right w:val="double" w:sz="6" w:space="0" w:color="BFBFBF"/>
            </w:tcBorders>
            <w:vAlign w:val="center"/>
            <w:hideMark/>
          </w:tcPr>
          <w:p w:rsidR="003C0C7B" w:rsidRPr="003C0C7B" w:rsidRDefault="003C0C7B">
            <w:pPr>
              <w:pStyle w:val="naiskr"/>
              <w:spacing w:before="0" w:after="0"/>
              <w:ind w:hanging="10"/>
              <w:rPr>
                <w:sz w:val="26"/>
                <w:szCs w:val="26"/>
              </w:rPr>
            </w:pPr>
            <w:r w:rsidRPr="003C0C7B">
              <w:rPr>
                <w:sz w:val="26"/>
                <w:szCs w:val="26"/>
              </w:rPr>
              <w:t>Attiecīgā starptautiskā tiesību akta vai starptautiskas institūcijas vai organizācijas dokumenta (turpmāk – starptautiskais dokuments) datums, numurs un nosaukums</w:t>
            </w:r>
          </w:p>
        </w:tc>
        <w:tc>
          <w:tcPr>
            <w:tcW w:w="3069" w:type="pct"/>
            <w:gridSpan w:val="2"/>
            <w:tcBorders>
              <w:top w:val="double" w:sz="6" w:space="0" w:color="BFBFBF"/>
              <w:left w:val="double" w:sz="6" w:space="0" w:color="BFBFBF"/>
              <w:bottom w:val="double" w:sz="6" w:space="0" w:color="BFBFBF"/>
              <w:right w:val="double" w:sz="6" w:space="0" w:color="BFBFBF"/>
            </w:tcBorders>
            <w:hideMark/>
          </w:tcPr>
          <w:p w:rsidR="003C0C7B" w:rsidRPr="003C0C7B" w:rsidRDefault="003C0C7B">
            <w:pPr>
              <w:pStyle w:val="naiskr"/>
              <w:spacing w:before="0" w:after="0"/>
              <w:rPr>
                <w:sz w:val="26"/>
                <w:szCs w:val="26"/>
              </w:rPr>
            </w:pPr>
            <w:r w:rsidRPr="003C0C7B">
              <w:rPr>
                <w:sz w:val="26"/>
                <w:szCs w:val="26"/>
              </w:rPr>
              <w:t>Nav.</w:t>
            </w:r>
          </w:p>
        </w:tc>
      </w:tr>
      <w:tr w:rsidR="003C0C7B" w:rsidRPr="003C0C7B" w:rsidTr="003C0C7B">
        <w:trPr>
          <w:trHeight w:val="163"/>
        </w:trPr>
        <w:tc>
          <w:tcPr>
            <w:tcW w:w="5000" w:type="pct"/>
            <w:gridSpan w:val="4"/>
            <w:tcBorders>
              <w:top w:val="double" w:sz="6" w:space="0" w:color="BFBFBF"/>
              <w:left w:val="double" w:sz="6" w:space="0" w:color="BFBFBF"/>
              <w:bottom w:val="double" w:sz="6" w:space="0" w:color="BFBFBF"/>
              <w:right w:val="double" w:sz="6" w:space="0" w:color="BFBFBF"/>
            </w:tcBorders>
            <w:vAlign w:val="center"/>
          </w:tcPr>
          <w:p w:rsidR="003C0C7B" w:rsidRPr="003C0C7B" w:rsidRDefault="003C0C7B">
            <w:pPr>
              <w:pStyle w:val="naiskr"/>
              <w:spacing w:before="0" w:after="0"/>
              <w:rPr>
                <w:i/>
                <w:sz w:val="26"/>
                <w:szCs w:val="26"/>
              </w:rPr>
            </w:pPr>
          </w:p>
        </w:tc>
      </w:tr>
      <w:tr w:rsidR="003C0C7B" w:rsidRPr="003C0C7B" w:rsidTr="003C0C7B">
        <w:trPr>
          <w:trHeight w:val="341"/>
        </w:trPr>
        <w:tc>
          <w:tcPr>
            <w:tcW w:w="1093" w:type="pct"/>
            <w:tcBorders>
              <w:top w:val="double" w:sz="6" w:space="0" w:color="BFBFBF"/>
              <w:left w:val="double" w:sz="6" w:space="0" w:color="BFBFBF"/>
              <w:bottom w:val="double" w:sz="6" w:space="0" w:color="BFBFBF"/>
              <w:right w:val="double" w:sz="6" w:space="0" w:color="BFBFBF"/>
            </w:tcBorders>
            <w:vAlign w:val="center"/>
            <w:hideMark/>
          </w:tcPr>
          <w:p w:rsidR="003C0C7B" w:rsidRPr="003C0C7B" w:rsidRDefault="003C0C7B">
            <w:pPr>
              <w:pStyle w:val="naiskr"/>
              <w:spacing w:before="0" w:after="0"/>
              <w:jc w:val="center"/>
              <w:rPr>
                <w:sz w:val="26"/>
                <w:szCs w:val="26"/>
              </w:rPr>
            </w:pPr>
            <w:r w:rsidRPr="003C0C7B">
              <w:rPr>
                <w:sz w:val="26"/>
                <w:szCs w:val="26"/>
              </w:rPr>
              <w:t>A</w:t>
            </w:r>
          </w:p>
        </w:tc>
        <w:tc>
          <w:tcPr>
            <w:tcW w:w="1701" w:type="pct"/>
            <w:gridSpan w:val="2"/>
            <w:tcBorders>
              <w:top w:val="double" w:sz="6" w:space="0" w:color="BFBFBF"/>
              <w:left w:val="double" w:sz="6" w:space="0" w:color="BFBFBF"/>
              <w:bottom w:val="double" w:sz="6" w:space="0" w:color="BFBFBF"/>
              <w:right w:val="double" w:sz="6" w:space="0" w:color="BFBFBF"/>
            </w:tcBorders>
            <w:vAlign w:val="center"/>
            <w:hideMark/>
          </w:tcPr>
          <w:p w:rsidR="003C0C7B" w:rsidRPr="003C0C7B" w:rsidRDefault="003C0C7B">
            <w:pPr>
              <w:pStyle w:val="naiskr"/>
              <w:spacing w:before="0" w:after="0"/>
              <w:jc w:val="center"/>
              <w:rPr>
                <w:sz w:val="26"/>
                <w:szCs w:val="26"/>
              </w:rPr>
            </w:pPr>
            <w:r w:rsidRPr="003C0C7B">
              <w:rPr>
                <w:sz w:val="26"/>
                <w:szCs w:val="26"/>
              </w:rPr>
              <w:t>B</w:t>
            </w:r>
          </w:p>
        </w:tc>
        <w:tc>
          <w:tcPr>
            <w:tcW w:w="2205" w:type="pct"/>
            <w:tcBorders>
              <w:top w:val="double" w:sz="6" w:space="0" w:color="BFBFBF"/>
              <w:left w:val="double" w:sz="6" w:space="0" w:color="BFBFBF"/>
              <w:bottom w:val="double" w:sz="6" w:space="0" w:color="BFBFBF"/>
              <w:right w:val="double" w:sz="6" w:space="0" w:color="BFBFBF"/>
            </w:tcBorders>
            <w:vAlign w:val="center"/>
            <w:hideMark/>
          </w:tcPr>
          <w:p w:rsidR="003C0C7B" w:rsidRPr="003C0C7B" w:rsidRDefault="003C0C7B">
            <w:pPr>
              <w:pStyle w:val="naiskr"/>
              <w:spacing w:before="0" w:after="0"/>
              <w:jc w:val="center"/>
              <w:rPr>
                <w:sz w:val="26"/>
                <w:szCs w:val="26"/>
              </w:rPr>
            </w:pPr>
            <w:r w:rsidRPr="003C0C7B">
              <w:rPr>
                <w:sz w:val="26"/>
                <w:szCs w:val="26"/>
              </w:rPr>
              <w:t>C</w:t>
            </w:r>
          </w:p>
        </w:tc>
      </w:tr>
      <w:tr w:rsidR="003C0C7B" w:rsidRPr="003C0C7B" w:rsidTr="003C0C7B">
        <w:trPr>
          <w:trHeight w:val="341"/>
        </w:trPr>
        <w:tc>
          <w:tcPr>
            <w:tcW w:w="1093" w:type="pct"/>
            <w:tcBorders>
              <w:top w:val="double" w:sz="6" w:space="0" w:color="BFBFBF"/>
              <w:left w:val="double" w:sz="6" w:space="0" w:color="BFBFBF"/>
              <w:bottom w:val="double" w:sz="6" w:space="0" w:color="BFBFBF"/>
              <w:right w:val="double" w:sz="6" w:space="0" w:color="BFBFBF"/>
            </w:tcBorders>
          </w:tcPr>
          <w:p w:rsidR="003C0C7B" w:rsidRPr="003C0C7B" w:rsidRDefault="003C0C7B">
            <w:pPr>
              <w:pStyle w:val="naiskr"/>
              <w:spacing w:before="0" w:after="0"/>
              <w:rPr>
                <w:sz w:val="26"/>
                <w:szCs w:val="26"/>
              </w:rPr>
            </w:pPr>
            <w:r w:rsidRPr="003C0C7B">
              <w:rPr>
                <w:sz w:val="26"/>
                <w:szCs w:val="26"/>
              </w:rPr>
              <w:t xml:space="preserve">Starptautiskās </w:t>
            </w:r>
            <w:r w:rsidRPr="003C0C7B">
              <w:rPr>
                <w:sz w:val="26"/>
                <w:szCs w:val="26"/>
              </w:rPr>
              <w:lastRenderedPageBreak/>
              <w:t>saistības (pēc būtības), kas izriet no norādītā starptautiskā dokumenta.</w:t>
            </w:r>
          </w:p>
          <w:p w:rsidR="003C0C7B" w:rsidRPr="003C0C7B" w:rsidRDefault="003C0C7B">
            <w:pPr>
              <w:pStyle w:val="naiskr"/>
              <w:spacing w:before="0" w:after="0"/>
              <w:rPr>
                <w:sz w:val="26"/>
                <w:szCs w:val="26"/>
              </w:rPr>
            </w:pPr>
          </w:p>
          <w:p w:rsidR="003C0C7B" w:rsidRPr="003C0C7B" w:rsidRDefault="003C0C7B">
            <w:pPr>
              <w:pStyle w:val="naiskr"/>
              <w:spacing w:before="0" w:after="0"/>
              <w:rPr>
                <w:sz w:val="26"/>
                <w:szCs w:val="26"/>
              </w:rPr>
            </w:pPr>
            <w:r w:rsidRPr="003C0C7B">
              <w:rPr>
                <w:sz w:val="26"/>
                <w:szCs w:val="26"/>
              </w:rPr>
              <w:t>Konkrēti veicamie pasākumi vai uzdevumi, kas nepieciešami šo starptautisko saistību izpildei</w:t>
            </w:r>
          </w:p>
        </w:tc>
        <w:tc>
          <w:tcPr>
            <w:tcW w:w="1701" w:type="pct"/>
            <w:gridSpan w:val="2"/>
            <w:tcBorders>
              <w:top w:val="double" w:sz="6" w:space="0" w:color="BFBFBF"/>
              <w:left w:val="double" w:sz="6" w:space="0" w:color="BFBFBF"/>
              <w:bottom w:val="double" w:sz="6" w:space="0" w:color="BFBFBF"/>
              <w:right w:val="double" w:sz="6" w:space="0" w:color="BFBFBF"/>
            </w:tcBorders>
          </w:tcPr>
          <w:p w:rsidR="003C0C7B" w:rsidRPr="003C0C7B" w:rsidRDefault="003C0C7B">
            <w:pPr>
              <w:pStyle w:val="naiskr"/>
              <w:spacing w:before="0" w:after="0"/>
              <w:rPr>
                <w:sz w:val="26"/>
                <w:szCs w:val="26"/>
              </w:rPr>
            </w:pPr>
            <w:r w:rsidRPr="003C0C7B">
              <w:rPr>
                <w:sz w:val="26"/>
                <w:szCs w:val="26"/>
              </w:rPr>
              <w:lastRenderedPageBreak/>
              <w:t xml:space="preserve">Ja pasākumi vai uzdevumi, ar </w:t>
            </w:r>
            <w:r w:rsidRPr="003C0C7B">
              <w:rPr>
                <w:sz w:val="26"/>
                <w:szCs w:val="26"/>
              </w:rPr>
              <w:lastRenderedPageBreak/>
              <w:t>ko tiks izpildītas starptautiskās saistības, tiek noteikti projektā, norāda attiecīgo projekta vienību.</w:t>
            </w:r>
          </w:p>
          <w:p w:rsidR="003C0C7B" w:rsidRPr="003C0C7B" w:rsidRDefault="003C0C7B">
            <w:pPr>
              <w:pStyle w:val="naiskr"/>
              <w:spacing w:before="0" w:after="0"/>
              <w:rPr>
                <w:sz w:val="26"/>
                <w:szCs w:val="26"/>
              </w:rPr>
            </w:pPr>
          </w:p>
          <w:p w:rsidR="003C0C7B" w:rsidRPr="003C0C7B" w:rsidRDefault="003C0C7B">
            <w:pPr>
              <w:pStyle w:val="naiskr"/>
              <w:spacing w:before="0" w:after="0"/>
              <w:rPr>
                <w:sz w:val="26"/>
                <w:szCs w:val="26"/>
              </w:rPr>
            </w:pPr>
            <w:r w:rsidRPr="003C0C7B">
              <w:rPr>
                <w:sz w:val="26"/>
                <w:szCs w:val="26"/>
              </w:rPr>
              <w:t>Vai arī norāda dokumentu, kurā sniegts izvērsts skaidrojums, kādā veidā tiks nodrošināta starptautisko saistību izpilde</w:t>
            </w:r>
          </w:p>
        </w:tc>
        <w:tc>
          <w:tcPr>
            <w:tcW w:w="2205" w:type="pct"/>
            <w:tcBorders>
              <w:top w:val="double" w:sz="6" w:space="0" w:color="BFBFBF"/>
              <w:left w:val="double" w:sz="6" w:space="0" w:color="BFBFBF"/>
              <w:bottom w:val="double" w:sz="6" w:space="0" w:color="BFBFBF"/>
              <w:right w:val="double" w:sz="6" w:space="0" w:color="BFBFBF"/>
            </w:tcBorders>
          </w:tcPr>
          <w:p w:rsidR="003C0C7B" w:rsidRPr="003C0C7B" w:rsidRDefault="003C0C7B">
            <w:pPr>
              <w:pStyle w:val="naiskr"/>
              <w:spacing w:before="0" w:after="0"/>
              <w:rPr>
                <w:sz w:val="26"/>
                <w:szCs w:val="26"/>
              </w:rPr>
            </w:pPr>
            <w:r w:rsidRPr="003C0C7B">
              <w:rPr>
                <w:sz w:val="26"/>
                <w:szCs w:val="26"/>
              </w:rPr>
              <w:lastRenderedPageBreak/>
              <w:t xml:space="preserve">Informācija par to, vai starptautiskās </w:t>
            </w:r>
            <w:r w:rsidRPr="003C0C7B">
              <w:rPr>
                <w:sz w:val="26"/>
                <w:szCs w:val="26"/>
              </w:rPr>
              <w:lastRenderedPageBreak/>
              <w:t>saistības, kas minētas šīs tabulas A ailē, tiek izpildītas pilnībā vai daļēji.</w:t>
            </w:r>
          </w:p>
          <w:p w:rsidR="003C0C7B" w:rsidRPr="003C0C7B" w:rsidRDefault="003C0C7B">
            <w:pPr>
              <w:pStyle w:val="naiskr"/>
              <w:spacing w:before="0" w:after="0"/>
              <w:rPr>
                <w:sz w:val="26"/>
                <w:szCs w:val="26"/>
              </w:rPr>
            </w:pPr>
          </w:p>
          <w:p w:rsidR="003C0C7B" w:rsidRPr="003C0C7B" w:rsidRDefault="003C0C7B">
            <w:pPr>
              <w:pStyle w:val="naiskr"/>
              <w:spacing w:before="0" w:after="0"/>
              <w:rPr>
                <w:sz w:val="26"/>
                <w:szCs w:val="26"/>
              </w:rPr>
            </w:pPr>
            <w:r w:rsidRPr="003C0C7B">
              <w:rPr>
                <w:sz w:val="26"/>
                <w:szCs w:val="26"/>
              </w:rPr>
              <w:t>Ja attiecīgās starptautiskās saistības tiek izpildītas daļēji, sniedz attiecīgu skaidrojumu, kā arī precīzi norāda, kad un kādā veidā starptautiskās saistības tiks izpildītas pilnībā.</w:t>
            </w:r>
          </w:p>
          <w:p w:rsidR="003C0C7B" w:rsidRPr="003C0C7B" w:rsidRDefault="003C0C7B">
            <w:pPr>
              <w:pStyle w:val="naiskr"/>
              <w:spacing w:before="0" w:after="0"/>
              <w:rPr>
                <w:sz w:val="26"/>
                <w:szCs w:val="26"/>
              </w:rPr>
            </w:pPr>
          </w:p>
          <w:p w:rsidR="003C0C7B" w:rsidRPr="003C0C7B" w:rsidRDefault="003C0C7B">
            <w:pPr>
              <w:pStyle w:val="naiskr"/>
              <w:spacing w:before="0" w:after="0"/>
              <w:rPr>
                <w:sz w:val="26"/>
                <w:szCs w:val="26"/>
              </w:rPr>
            </w:pPr>
            <w:r w:rsidRPr="003C0C7B">
              <w:rPr>
                <w:sz w:val="26"/>
                <w:szCs w:val="26"/>
              </w:rPr>
              <w:t>Norāda institūciju, kas ir atbildīga par šo saistību izpildi pilnībā</w:t>
            </w:r>
          </w:p>
        </w:tc>
      </w:tr>
      <w:tr w:rsidR="003C0C7B" w:rsidRPr="003C0C7B" w:rsidTr="003C0C7B">
        <w:trPr>
          <w:trHeight w:val="1425"/>
        </w:trPr>
        <w:tc>
          <w:tcPr>
            <w:tcW w:w="1093" w:type="pct"/>
            <w:tcBorders>
              <w:top w:val="double" w:sz="6" w:space="0" w:color="BFBFBF"/>
              <w:left w:val="double" w:sz="6" w:space="0" w:color="BFBFBF"/>
              <w:bottom w:val="double" w:sz="6" w:space="0" w:color="BFBFBF"/>
              <w:right w:val="double" w:sz="6" w:space="0" w:color="BFBFBF"/>
            </w:tcBorders>
            <w:hideMark/>
          </w:tcPr>
          <w:p w:rsidR="003C0C7B" w:rsidRPr="003C0C7B" w:rsidRDefault="003C0C7B">
            <w:pPr>
              <w:pStyle w:val="naiskr"/>
              <w:spacing w:before="0" w:after="0"/>
              <w:rPr>
                <w:sz w:val="26"/>
                <w:szCs w:val="26"/>
              </w:rPr>
            </w:pPr>
            <w:r w:rsidRPr="003C0C7B">
              <w:rPr>
                <w:sz w:val="26"/>
                <w:szCs w:val="26"/>
              </w:rPr>
              <w:lastRenderedPageBreak/>
              <w:t>Nav.</w:t>
            </w:r>
          </w:p>
        </w:tc>
        <w:tc>
          <w:tcPr>
            <w:tcW w:w="1701" w:type="pct"/>
            <w:gridSpan w:val="2"/>
            <w:tcBorders>
              <w:top w:val="double" w:sz="6" w:space="0" w:color="BFBFBF"/>
              <w:left w:val="double" w:sz="6" w:space="0" w:color="BFBFBF"/>
              <w:bottom w:val="double" w:sz="6" w:space="0" w:color="BFBFBF"/>
              <w:right w:val="double" w:sz="6" w:space="0" w:color="BFBFBF"/>
            </w:tcBorders>
            <w:hideMark/>
          </w:tcPr>
          <w:p w:rsidR="003C0C7B" w:rsidRPr="003C0C7B" w:rsidRDefault="003C0C7B">
            <w:pPr>
              <w:pStyle w:val="naiskr"/>
              <w:spacing w:before="0" w:after="0"/>
              <w:rPr>
                <w:sz w:val="26"/>
                <w:szCs w:val="26"/>
              </w:rPr>
            </w:pPr>
            <w:r w:rsidRPr="003C0C7B">
              <w:rPr>
                <w:sz w:val="26"/>
                <w:szCs w:val="26"/>
              </w:rPr>
              <w:t>Nav.</w:t>
            </w:r>
          </w:p>
        </w:tc>
        <w:tc>
          <w:tcPr>
            <w:tcW w:w="2205" w:type="pct"/>
            <w:tcBorders>
              <w:top w:val="double" w:sz="6" w:space="0" w:color="BFBFBF"/>
              <w:left w:val="double" w:sz="6" w:space="0" w:color="BFBFBF"/>
              <w:bottom w:val="double" w:sz="6" w:space="0" w:color="BFBFBF"/>
              <w:right w:val="double" w:sz="6" w:space="0" w:color="BFBFBF"/>
            </w:tcBorders>
            <w:hideMark/>
          </w:tcPr>
          <w:p w:rsidR="003C0C7B" w:rsidRPr="003C0C7B" w:rsidRDefault="003C0C7B">
            <w:pPr>
              <w:pStyle w:val="naiskr"/>
              <w:spacing w:before="0" w:after="0"/>
              <w:rPr>
                <w:sz w:val="26"/>
                <w:szCs w:val="26"/>
              </w:rPr>
            </w:pPr>
            <w:r w:rsidRPr="003C0C7B">
              <w:rPr>
                <w:sz w:val="26"/>
                <w:szCs w:val="26"/>
              </w:rPr>
              <w:t>Nav.</w:t>
            </w:r>
          </w:p>
        </w:tc>
      </w:tr>
      <w:tr w:rsidR="003C0C7B" w:rsidRPr="003C0C7B" w:rsidTr="003C0C7B">
        <w:trPr>
          <w:trHeight w:val="161"/>
        </w:trPr>
        <w:tc>
          <w:tcPr>
            <w:tcW w:w="1093" w:type="pct"/>
            <w:tcBorders>
              <w:top w:val="double" w:sz="6" w:space="0" w:color="BFBFBF"/>
              <w:left w:val="double" w:sz="6" w:space="0" w:color="BFBFBF"/>
              <w:bottom w:val="double" w:sz="6" w:space="0" w:color="BFBFBF"/>
              <w:right w:val="double" w:sz="6" w:space="0" w:color="BFBFBF"/>
            </w:tcBorders>
            <w:vAlign w:val="center"/>
          </w:tcPr>
          <w:p w:rsidR="003C0C7B" w:rsidRPr="003C0C7B" w:rsidRDefault="003C0C7B">
            <w:pPr>
              <w:pStyle w:val="naiskr"/>
              <w:spacing w:before="0" w:after="0"/>
              <w:jc w:val="center"/>
              <w:rPr>
                <w:sz w:val="26"/>
                <w:szCs w:val="26"/>
                <w:highlight w:val="yellow"/>
              </w:rPr>
            </w:pPr>
          </w:p>
        </w:tc>
        <w:tc>
          <w:tcPr>
            <w:tcW w:w="1701" w:type="pct"/>
            <w:gridSpan w:val="2"/>
            <w:tcBorders>
              <w:top w:val="double" w:sz="6" w:space="0" w:color="BFBFBF"/>
              <w:left w:val="double" w:sz="6" w:space="0" w:color="BFBFBF"/>
              <w:bottom w:val="double" w:sz="6" w:space="0" w:color="BFBFBF"/>
              <w:right w:val="double" w:sz="6" w:space="0" w:color="BFBFBF"/>
            </w:tcBorders>
            <w:vAlign w:val="center"/>
          </w:tcPr>
          <w:p w:rsidR="003C0C7B" w:rsidRPr="003C0C7B" w:rsidRDefault="003C0C7B">
            <w:pPr>
              <w:pStyle w:val="naiskr"/>
              <w:spacing w:before="0" w:after="0"/>
              <w:jc w:val="center"/>
              <w:rPr>
                <w:sz w:val="26"/>
                <w:szCs w:val="26"/>
                <w:highlight w:val="yellow"/>
              </w:rPr>
            </w:pPr>
          </w:p>
        </w:tc>
        <w:tc>
          <w:tcPr>
            <w:tcW w:w="2205" w:type="pct"/>
            <w:tcBorders>
              <w:top w:val="double" w:sz="6" w:space="0" w:color="BFBFBF"/>
              <w:left w:val="double" w:sz="6" w:space="0" w:color="BFBFBF"/>
              <w:bottom w:val="double" w:sz="6" w:space="0" w:color="BFBFBF"/>
              <w:right w:val="double" w:sz="6" w:space="0" w:color="BFBFBF"/>
            </w:tcBorders>
            <w:vAlign w:val="center"/>
          </w:tcPr>
          <w:p w:rsidR="003C0C7B" w:rsidRPr="00DE306B" w:rsidRDefault="003C0C7B">
            <w:pPr>
              <w:pStyle w:val="naiskr"/>
              <w:spacing w:before="0" w:after="0"/>
              <w:jc w:val="center"/>
              <w:rPr>
                <w:sz w:val="26"/>
                <w:szCs w:val="26"/>
                <w:highlight w:val="yellow"/>
              </w:rPr>
            </w:pPr>
          </w:p>
        </w:tc>
      </w:tr>
    </w:tbl>
    <w:p w:rsidR="003C0C7B" w:rsidRPr="003C0C7B" w:rsidRDefault="003C0C7B" w:rsidP="00704307">
      <w:pPr>
        <w:pStyle w:val="NormalWeb"/>
        <w:spacing w:before="0" w:beforeAutospacing="0" w:after="0" w:afterAutospacing="0"/>
        <w:jc w:val="center"/>
        <w:rPr>
          <w:b/>
          <w:sz w:val="26"/>
          <w:szCs w:val="26"/>
          <w:lang w:val="lv-LV"/>
        </w:rPr>
      </w:pPr>
    </w:p>
    <w:tbl>
      <w:tblPr>
        <w:tblW w:w="5061" w:type="pct"/>
        <w:jc w:val="center"/>
        <w:tblInd w:w="-45" w:type="dxa"/>
        <w:tblBorders>
          <w:top w:val="thickThinLargeGap" w:sz="6" w:space="0" w:color="BFBFBF"/>
          <w:left w:val="thickThinLargeGap" w:sz="6" w:space="0" w:color="BFBFBF"/>
          <w:bottom w:val="thickThinLargeGap" w:sz="6" w:space="0" w:color="BFBFBF"/>
          <w:right w:val="thickThinLargeGap" w:sz="6" w:space="0" w:color="BFBFBF"/>
          <w:insideH w:val="thickThinLargeGap" w:sz="6" w:space="0" w:color="BFBFBF"/>
          <w:insideV w:val="thickThinLargeGap" w:sz="6" w:space="0" w:color="BFBFBF"/>
        </w:tblBorders>
        <w:tblCellMar>
          <w:left w:w="0" w:type="dxa"/>
          <w:right w:w="0" w:type="dxa"/>
        </w:tblCellMar>
        <w:tblLook w:val="04A0" w:firstRow="1" w:lastRow="0" w:firstColumn="1" w:lastColumn="0" w:noHBand="0" w:noVBand="1"/>
      </w:tblPr>
      <w:tblGrid>
        <w:gridCol w:w="3943"/>
        <w:gridCol w:w="5299"/>
      </w:tblGrid>
      <w:tr w:rsidR="00704307" w:rsidRPr="003C0C7B" w:rsidTr="00E43435">
        <w:trPr>
          <w:trHeight w:val="161"/>
          <w:jc w:val="center"/>
        </w:trPr>
        <w:tc>
          <w:tcPr>
            <w:tcW w:w="2133" w:type="pct"/>
            <w:tcBorders>
              <w:top w:val="thickThinLargeGap" w:sz="6" w:space="0" w:color="BFBFBF"/>
              <w:left w:val="thickThinLargeGap" w:sz="6" w:space="0" w:color="BFBFBF"/>
              <w:bottom w:val="thickThinLargeGap" w:sz="6" w:space="0" w:color="BFBFBF"/>
              <w:right w:val="thickThinLargeGap" w:sz="6" w:space="0" w:color="BFBFBF"/>
            </w:tcBorders>
            <w:vAlign w:val="center"/>
            <w:hideMark/>
          </w:tcPr>
          <w:p w:rsidR="00704307" w:rsidRPr="003C0C7B" w:rsidRDefault="00704307">
            <w:pPr>
              <w:pStyle w:val="naisf"/>
              <w:tabs>
                <w:tab w:val="left" w:pos="900"/>
              </w:tabs>
              <w:spacing w:before="0" w:after="0"/>
              <w:ind w:firstLine="0"/>
              <w:jc w:val="left"/>
              <w:rPr>
                <w:sz w:val="26"/>
                <w:szCs w:val="26"/>
              </w:rPr>
            </w:pPr>
            <w:r w:rsidRPr="003C0C7B">
              <w:rPr>
                <w:sz w:val="26"/>
                <w:szCs w:val="26"/>
              </w:rPr>
              <w:t>Vai starptautiskajā dokumentā paredzētās saistības nav pretrunā ar jau esošajām Latvijas Republikas starptautiskajām saistībām</w:t>
            </w:r>
          </w:p>
        </w:tc>
        <w:tc>
          <w:tcPr>
            <w:tcW w:w="2867" w:type="pct"/>
            <w:tcBorders>
              <w:top w:val="thickThinLargeGap" w:sz="6" w:space="0" w:color="BFBFBF"/>
              <w:left w:val="thickThinLargeGap" w:sz="6" w:space="0" w:color="BFBFBF"/>
              <w:bottom w:val="thickThinLargeGap" w:sz="6" w:space="0" w:color="BFBFBF"/>
              <w:right w:val="thickThinLargeGap" w:sz="6" w:space="0" w:color="BFBFBF"/>
            </w:tcBorders>
            <w:hideMark/>
          </w:tcPr>
          <w:p w:rsidR="00704307" w:rsidRPr="003C0C7B" w:rsidRDefault="00704307">
            <w:pPr>
              <w:pStyle w:val="naiskr"/>
              <w:spacing w:before="0" w:after="0"/>
              <w:rPr>
                <w:sz w:val="26"/>
                <w:szCs w:val="26"/>
              </w:rPr>
            </w:pPr>
            <w:r w:rsidRPr="003C0C7B">
              <w:rPr>
                <w:iCs/>
                <w:sz w:val="26"/>
                <w:szCs w:val="26"/>
              </w:rPr>
              <w:t>Nav.</w:t>
            </w:r>
          </w:p>
        </w:tc>
      </w:tr>
      <w:tr w:rsidR="00704307" w:rsidRPr="003C0C7B" w:rsidTr="00E43435">
        <w:trPr>
          <w:trHeight w:val="709"/>
          <w:jc w:val="center"/>
        </w:trPr>
        <w:tc>
          <w:tcPr>
            <w:tcW w:w="2133" w:type="pct"/>
            <w:tcBorders>
              <w:top w:val="thickThinLargeGap" w:sz="6" w:space="0" w:color="BFBFBF"/>
              <w:left w:val="thickThinLargeGap" w:sz="6" w:space="0" w:color="BFBFBF"/>
              <w:bottom w:val="thickThinLargeGap" w:sz="6" w:space="0" w:color="BFBFBF"/>
              <w:right w:val="thickThinLargeGap" w:sz="6" w:space="0" w:color="BFBFBF"/>
            </w:tcBorders>
            <w:hideMark/>
          </w:tcPr>
          <w:p w:rsidR="00704307" w:rsidRPr="003C0C7B" w:rsidRDefault="00704307">
            <w:pPr>
              <w:pStyle w:val="naiskr"/>
              <w:spacing w:before="0" w:after="0"/>
              <w:rPr>
                <w:sz w:val="26"/>
                <w:szCs w:val="26"/>
              </w:rPr>
            </w:pPr>
            <w:r w:rsidRPr="003C0C7B">
              <w:rPr>
                <w:sz w:val="26"/>
                <w:szCs w:val="26"/>
              </w:rPr>
              <w:t>Cita informācija</w:t>
            </w:r>
          </w:p>
        </w:tc>
        <w:tc>
          <w:tcPr>
            <w:tcW w:w="2867" w:type="pct"/>
            <w:tcBorders>
              <w:top w:val="thickThinLargeGap" w:sz="6" w:space="0" w:color="BFBFBF"/>
              <w:left w:val="thickThinLargeGap" w:sz="6" w:space="0" w:color="BFBFBF"/>
              <w:bottom w:val="thickThinLargeGap" w:sz="6" w:space="0" w:color="BFBFBF"/>
              <w:right w:val="thickThinLargeGap" w:sz="6" w:space="0" w:color="BFBFBF"/>
            </w:tcBorders>
            <w:hideMark/>
          </w:tcPr>
          <w:p w:rsidR="00704307" w:rsidRPr="003C0C7B" w:rsidRDefault="00704307">
            <w:pPr>
              <w:pStyle w:val="naiskr"/>
              <w:spacing w:before="0" w:after="0"/>
              <w:rPr>
                <w:sz w:val="26"/>
                <w:szCs w:val="26"/>
              </w:rPr>
            </w:pPr>
            <w:r w:rsidRPr="003C0C7B">
              <w:rPr>
                <w:sz w:val="26"/>
                <w:szCs w:val="26"/>
              </w:rPr>
              <w:t>Nav.</w:t>
            </w:r>
          </w:p>
        </w:tc>
      </w:tr>
    </w:tbl>
    <w:p w:rsidR="00704307" w:rsidRPr="00655964" w:rsidRDefault="00704307" w:rsidP="005F3A63">
      <w:pPr>
        <w:pStyle w:val="NormalWeb"/>
        <w:spacing w:before="0" w:beforeAutospacing="0" w:after="0" w:afterAutospacing="0"/>
        <w:jc w:val="center"/>
        <w:rPr>
          <w:b/>
          <w:sz w:val="26"/>
          <w:szCs w:val="26"/>
          <w:lang w:val="lv-LV"/>
        </w:rPr>
      </w:pPr>
    </w:p>
    <w:p w:rsidR="00D20CD0" w:rsidRPr="003C0C7B" w:rsidRDefault="00704307" w:rsidP="00704307">
      <w:pPr>
        <w:pStyle w:val="NormalWeb"/>
        <w:spacing w:before="0" w:beforeAutospacing="0" w:after="0" w:afterAutospacing="0"/>
        <w:jc w:val="center"/>
        <w:rPr>
          <w:b/>
          <w:sz w:val="26"/>
          <w:szCs w:val="26"/>
          <w:lang w:val="lv-LV"/>
        </w:rPr>
      </w:pPr>
      <w:r w:rsidRPr="003C0C7B">
        <w:rPr>
          <w:b/>
          <w:sz w:val="26"/>
          <w:szCs w:val="26"/>
          <w:lang w:val="lv-LV"/>
        </w:rPr>
        <w:t>Anotācijas VI sadaļa - nav attiecināms.</w:t>
      </w:r>
    </w:p>
    <w:p w:rsidR="00704307" w:rsidRPr="003C0C7B" w:rsidRDefault="00704307" w:rsidP="005F3A63">
      <w:pPr>
        <w:rPr>
          <w:vanish/>
          <w:sz w:val="26"/>
          <w:szCs w:val="26"/>
          <w:lang w:val="lv-LV"/>
        </w:rPr>
      </w:pPr>
    </w:p>
    <w:p w:rsidR="00B255C1" w:rsidRPr="003C0C7B" w:rsidRDefault="00B255C1" w:rsidP="005F3A63">
      <w:pPr>
        <w:pStyle w:val="NormalWeb"/>
        <w:spacing w:before="0" w:beforeAutospacing="0" w:after="0" w:afterAutospacing="0"/>
        <w:jc w:val="center"/>
        <w:rPr>
          <w:b/>
          <w:sz w:val="26"/>
          <w:szCs w:val="26"/>
          <w:lang w:val="lv-LV"/>
        </w:rPr>
      </w:pPr>
    </w:p>
    <w:tbl>
      <w:tblPr>
        <w:tblW w:w="9356" w:type="dxa"/>
        <w:tblInd w:w="-112"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Layout w:type="fixed"/>
        <w:tblCellMar>
          <w:left w:w="0" w:type="dxa"/>
          <w:right w:w="0" w:type="dxa"/>
        </w:tblCellMar>
        <w:tblLook w:val="00A0" w:firstRow="1" w:lastRow="0" w:firstColumn="1" w:lastColumn="0" w:noHBand="0" w:noVBand="0"/>
      </w:tblPr>
      <w:tblGrid>
        <w:gridCol w:w="3261"/>
        <w:gridCol w:w="6095"/>
      </w:tblGrid>
      <w:tr w:rsidR="00D45BAA" w:rsidRPr="00655964" w:rsidTr="00214BE6">
        <w:tc>
          <w:tcPr>
            <w:tcW w:w="9356" w:type="dxa"/>
            <w:gridSpan w:val="2"/>
          </w:tcPr>
          <w:p w:rsidR="00D45BAA" w:rsidRPr="00655964" w:rsidRDefault="00D45BAA" w:rsidP="005F3A63">
            <w:pPr>
              <w:jc w:val="center"/>
              <w:rPr>
                <w:b/>
                <w:sz w:val="26"/>
                <w:szCs w:val="26"/>
                <w:lang w:val="lv-LV" w:eastAsia="lv-LV"/>
              </w:rPr>
            </w:pPr>
            <w:r w:rsidRPr="00655964">
              <w:rPr>
                <w:b/>
                <w:sz w:val="26"/>
                <w:szCs w:val="26"/>
                <w:lang w:val="lv-LV" w:eastAsia="lv-LV"/>
              </w:rPr>
              <w:t>VII. Tiesību akta projekta izpildes nodrošināšana un tās ietekme uz institūcijām</w:t>
            </w:r>
          </w:p>
        </w:tc>
      </w:tr>
      <w:tr w:rsidR="00D45BAA" w:rsidRPr="00655964" w:rsidTr="00230B0F">
        <w:tc>
          <w:tcPr>
            <w:tcW w:w="3261" w:type="dxa"/>
          </w:tcPr>
          <w:p w:rsidR="00D45BAA" w:rsidRPr="003C0C7B" w:rsidRDefault="00D45BAA" w:rsidP="005F3A63">
            <w:pPr>
              <w:rPr>
                <w:sz w:val="26"/>
                <w:szCs w:val="26"/>
                <w:lang w:val="lv-LV" w:eastAsia="lv-LV"/>
              </w:rPr>
            </w:pPr>
            <w:r w:rsidRPr="00655964">
              <w:rPr>
                <w:sz w:val="26"/>
                <w:szCs w:val="26"/>
                <w:lang w:val="lv-LV" w:eastAsia="lv-LV"/>
              </w:rPr>
              <w:t>1. Projekta izpildē iesaistītās institūcijas</w:t>
            </w:r>
          </w:p>
        </w:tc>
        <w:tc>
          <w:tcPr>
            <w:tcW w:w="6095" w:type="dxa"/>
          </w:tcPr>
          <w:p w:rsidR="007C1E82" w:rsidRPr="00655964" w:rsidRDefault="00D45BAA" w:rsidP="0027297C">
            <w:pPr>
              <w:ind w:left="142" w:right="142"/>
              <w:jc w:val="both"/>
              <w:rPr>
                <w:sz w:val="26"/>
                <w:szCs w:val="26"/>
                <w:lang w:val="lv-LV" w:eastAsia="lv-LV"/>
              </w:rPr>
            </w:pPr>
            <w:r w:rsidRPr="003C0C7B">
              <w:rPr>
                <w:sz w:val="26"/>
                <w:szCs w:val="26"/>
                <w:lang w:val="lv-LV"/>
              </w:rPr>
              <w:t xml:space="preserve">Noteikumu projekta izpildē ir iesaistīta Ekonomikas ministrija un </w:t>
            </w:r>
            <w:r w:rsidR="00E32662" w:rsidRPr="00655964">
              <w:rPr>
                <w:sz w:val="26"/>
                <w:szCs w:val="26"/>
                <w:lang w:val="lv-LV"/>
              </w:rPr>
              <w:t>Latvijas Garantiju aģentūra</w:t>
            </w:r>
            <w:r w:rsidRPr="00655964">
              <w:rPr>
                <w:sz w:val="26"/>
                <w:szCs w:val="26"/>
                <w:lang w:val="lv-LV"/>
              </w:rPr>
              <w:t>.</w:t>
            </w:r>
          </w:p>
        </w:tc>
      </w:tr>
      <w:tr w:rsidR="00D45BAA" w:rsidRPr="00655964" w:rsidTr="00230B0F">
        <w:tc>
          <w:tcPr>
            <w:tcW w:w="3261" w:type="dxa"/>
          </w:tcPr>
          <w:p w:rsidR="00D45BAA" w:rsidRPr="003C0C7B" w:rsidRDefault="00D45BAA" w:rsidP="005F3A63">
            <w:pPr>
              <w:rPr>
                <w:sz w:val="26"/>
                <w:szCs w:val="26"/>
                <w:lang w:val="lv-LV" w:eastAsia="lv-LV"/>
              </w:rPr>
            </w:pPr>
            <w:r w:rsidRPr="00655964">
              <w:rPr>
                <w:sz w:val="26"/>
                <w:szCs w:val="26"/>
                <w:lang w:val="lv-LV" w:eastAsia="lv-LV"/>
              </w:rPr>
              <w:t xml:space="preserve">2. Projekta izpildes ietekme uz </w:t>
            </w:r>
            <w:r w:rsidRPr="003C0C7B">
              <w:rPr>
                <w:sz w:val="26"/>
                <w:szCs w:val="26"/>
                <w:lang w:val="lv-LV" w:eastAsia="lv-LV"/>
              </w:rPr>
              <w:t>pārvaldes funkcijā</w:t>
            </w:r>
            <w:r w:rsidR="00C9437B" w:rsidRPr="003C0C7B">
              <w:rPr>
                <w:sz w:val="26"/>
                <w:szCs w:val="26"/>
                <w:lang w:val="lv-LV" w:eastAsia="lv-LV"/>
              </w:rPr>
              <w:t>m</w:t>
            </w:r>
          </w:p>
        </w:tc>
        <w:tc>
          <w:tcPr>
            <w:tcW w:w="6095" w:type="dxa"/>
          </w:tcPr>
          <w:p w:rsidR="007C1E82" w:rsidRPr="00655964" w:rsidRDefault="00D45BAA" w:rsidP="0027297C">
            <w:pPr>
              <w:ind w:left="142" w:right="142"/>
              <w:jc w:val="both"/>
              <w:rPr>
                <w:sz w:val="26"/>
                <w:szCs w:val="26"/>
                <w:lang w:val="lv-LV"/>
              </w:rPr>
            </w:pPr>
            <w:r w:rsidRPr="003C0C7B">
              <w:rPr>
                <w:sz w:val="26"/>
                <w:szCs w:val="26"/>
                <w:lang w:val="lv-LV"/>
              </w:rPr>
              <w:t xml:space="preserve">Noteikumu projekta izpildi nodrošinās </w:t>
            </w:r>
            <w:r w:rsidR="00E32662" w:rsidRPr="003C0C7B">
              <w:rPr>
                <w:sz w:val="26"/>
                <w:szCs w:val="26"/>
                <w:lang w:val="lv-LV"/>
              </w:rPr>
              <w:t>Latvijas Garantiju aģentūra</w:t>
            </w:r>
            <w:r w:rsidR="00C9437B" w:rsidRPr="00655964">
              <w:rPr>
                <w:sz w:val="26"/>
                <w:szCs w:val="26"/>
                <w:lang w:val="lv-LV"/>
              </w:rPr>
              <w:t>s</w:t>
            </w:r>
            <w:r w:rsidRPr="00655964">
              <w:rPr>
                <w:sz w:val="26"/>
                <w:szCs w:val="26"/>
                <w:lang w:val="lv-LV"/>
              </w:rPr>
              <w:t xml:space="preserve"> darbības ietvaros.</w:t>
            </w:r>
          </w:p>
        </w:tc>
      </w:tr>
      <w:tr w:rsidR="00D45BAA" w:rsidRPr="00655964" w:rsidTr="00230B0F">
        <w:trPr>
          <w:trHeight w:val="930"/>
        </w:trPr>
        <w:tc>
          <w:tcPr>
            <w:tcW w:w="3261" w:type="dxa"/>
          </w:tcPr>
          <w:p w:rsidR="00D45BAA" w:rsidRPr="003C0C7B" w:rsidRDefault="00D45BAA" w:rsidP="005F3A63">
            <w:pPr>
              <w:rPr>
                <w:sz w:val="26"/>
                <w:szCs w:val="26"/>
                <w:lang w:val="lv-LV" w:eastAsia="lv-LV"/>
              </w:rPr>
            </w:pPr>
            <w:r w:rsidRPr="00655964">
              <w:rPr>
                <w:sz w:val="26"/>
                <w:szCs w:val="26"/>
                <w:lang w:val="lv-LV" w:eastAsia="lv-LV"/>
              </w:rPr>
              <w:t>3. Projekta izpildes ietekme uz pārvaldes institucionālo struktūru. Jaunu institūciju izveide</w:t>
            </w:r>
          </w:p>
        </w:tc>
        <w:tc>
          <w:tcPr>
            <w:tcW w:w="6095" w:type="dxa"/>
          </w:tcPr>
          <w:p w:rsidR="007C1E82" w:rsidRPr="00655964" w:rsidRDefault="00D45BAA" w:rsidP="0027297C">
            <w:pPr>
              <w:ind w:left="142" w:right="142"/>
              <w:jc w:val="both"/>
              <w:rPr>
                <w:sz w:val="26"/>
                <w:szCs w:val="26"/>
                <w:highlight w:val="yellow"/>
                <w:lang w:val="lv-LV" w:eastAsia="lv-LV"/>
              </w:rPr>
            </w:pPr>
            <w:r w:rsidRPr="003C0C7B">
              <w:rPr>
                <w:sz w:val="26"/>
                <w:szCs w:val="26"/>
                <w:lang w:val="lv-LV"/>
              </w:rPr>
              <w:t>Noteikumu projekta izpildei nav nepieciešams radīt jaun</w:t>
            </w:r>
            <w:r w:rsidRPr="00655964">
              <w:rPr>
                <w:sz w:val="26"/>
                <w:szCs w:val="26"/>
                <w:lang w:val="lv-LV"/>
              </w:rPr>
              <w:t>as institūcijas.</w:t>
            </w:r>
          </w:p>
        </w:tc>
      </w:tr>
      <w:tr w:rsidR="00D45BAA" w:rsidRPr="00655964" w:rsidTr="00230B0F">
        <w:trPr>
          <w:trHeight w:val="366"/>
        </w:trPr>
        <w:tc>
          <w:tcPr>
            <w:tcW w:w="3261" w:type="dxa"/>
          </w:tcPr>
          <w:p w:rsidR="00D45BAA" w:rsidRPr="003C0C7B" w:rsidRDefault="00D45BAA" w:rsidP="005F3A63">
            <w:pPr>
              <w:rPr>
                <w:sz w:val="26"/>
                <w:szCs w:val="26"/>
                <w:lang w:val="lv-LV" w:eastAsia="lv-LV"/>
              </w:rPr>
            </w:pPr>
            <w:r w:rsidRPr="00655964">
              <w:rPr>
                <w:sz w:val="26"/>
                <w:szCs w:val="26"/>
                <w:lang w:val="lv-LV" w:eastAsia="lv-LV"/>
              </w:rPr>
              <w:t>4. Projekta izpildes ietekmes uz pārvaldes institucionālo struktūru. Esošu institūciju likvidācija</w:t>
            </w:r>
          </w:p>
        </w:tc>
        <w:tc>
          <w:tcPr>
            <w:tcW w:w="6095" w:type="dxa"/>
          </w:tcPr>
          <w:p w:rsidR="007C1E82" w:rsidRPr="00655964" w:rsidRDefault="00D45BAA" w:rsidP="0027297C">
            <w:pPr>
              <w:ind w:left="142" w:right="142"/>
              <w:jc w:val="both"/>
              <w:rPr>
                <w:sz w:val="26"/>
                <w:szCs w:val="26"/>
                <w:highlight w:val="yellow"/>
                <w:lang w:val="lv-LV" w:eastAsia="lv-LV"/>
              </w:rPr>
            </w:pPr>
            <w:r w:rsidRPr="003C0C7B">
              <w:rPr>
                <w:sz w:val="26"/>
                <w:szCs w:val="26"/>
                <w:lang w:val="lv-LV"/>
              </w:rPr>
              <w:t>Noteikumu projekta izpildei nav nepieciešams likvidēt esošās institūcijas.</w:t>
            </w:r>
          </w:p>
        </w:tc>
      </w:tr>
      <w:tr w:rsidR="00D45BAA" w:rsidRPr="00655964" w:rsidTr="00230B0F">
        <w:trPr>
          <w:trHeight w:val="912"/>
        </w:trPr>
        <w:tc>
          <w:tcPr>
            <w:tcW w:w="3261" w:type="dxa"/>
          </w:tcPr>
          <w:p w:rsidR="00D45BAA" w:rsidRPr="003C0C7B" w:rsidRDefault="00D45BAA" w:rsidP="005F3A63">
            <w:pPr>
              <w:rPr>
                <w:sz w:val="26"/>
                <w:szCs w:val="26"/>
                <w:lang w:val="lv-LV" w:eastAsia="lv-LV"/>
              </w:rPr>
            </w:pPr>
            <w:r w:rsidRPr="00655964">
              <w:rPr>
                <w:sz w:val="26"/>
                <w:szCs w:val="26"/>
                <w:lang w:val="lv-LV" w:eastAsia="lv-LV"/>
              </w:rPr>
              <w:lastRenderedPageBreak/>
              <w:t xml:space="preserve">5. Projekta izpildes ietekmes uz pārvaldes institucionālo </w:t>
            </w:r>
            <w:r w:rsidRPr="003C0C7B">
              <w:rPr>
                <w:sz w:val="26"/>
                <w:szCs w:val="26"/>
                <w:lang w:val="lv-LV" w:eastAsia="lv-LV"/>
              </w:rPr>
              <w:t>struktūru. Esošu institūciju reorganizācija</w:t>
            </w:r>
          </w:p>
        </w:tc>
        <w:tc>
          <w:tcPr>
            <w:tcW w:w="6095" w:type="dxa"/>
          </w:tcPr>
          <w:p w:rsidR="007C1E82" w:rsidRPr="00655964" w:rsidRDefault="00D45BAA" w:rsidP="0027297C">
            <w:pPr>
              <w:ind w:left="142" w:right="142"/>
              <w:jc w:val="both"/>
              <w:rPr>
                <w:sz w:val="26"/>
                <w:szCs w:val="26"/>
                <w:highlight w:val="yellow"/>
                <w:lang w:val="lv-LV" w:eastAsia="lv-LV"/>
              </w:rPr>
            </w:pPr>
            <w:r w:rsidRPr="00655964">
              <w:rPr>
                <w:sz w:val="26"/>
                <w:szCs w:val="26"/>
                <w:lang w:val="lv-LV"/>
              </w:rPr>
              <w:t>Noteikumu projekta izpildei nav nepieciešams reorganizēt esošās institūcijas.</w:t>
            </w:r>
          </w:p>
        </w:tc>
      </w:tr>
      <w:tr w:rsidR="00D45BAA" w:rsidRPr="00655964" w:rsidTr="00230B0F">
        <w:tc>
          <w:tcPr>
            <w:tcW w:w="3261" w:type="dxa"/>
          </w:tcPr>
          <w:p w:rsidR="00D45BAA" w:rsidRPr="00655964" w:rsidRDefault="00D45BAA" w:rsidP="005F3A63">
            <w:pPr>
              <w:rPr>
                <w:sz w:val="26"/>
                <w:szCs w:val="26"/>
                <w:lang w:val="lv-LV" w:eastAsia="lv-LV"/>
              </w:rPr>
            </w:pPr>
            <w:r w:rsidRPr="00655964">
              <w:rPr>
                <w:sz w:val="26"/>
                <w:szCs w:val="26"/>
                <w:lang w:val="lv-LV" w:eastAsia="lv-LV"/>
              </w:rPr>
              <w:t>6. Cita informācija</w:t>
            </w:r>
          </w:p>
        </w:tc>
        <w:tc>
          <w:tcPr>
            <w:tcW w:w="6095" w:type="dxa"/>
          </w:tcPr>
          <w:p w:rsidR="00D45BAA" w:rsidRPr="003C0C7B" w:rsidRDefault="00D45BAA" w:rsidP="005F3A63">
            <w:pPr>
              <w:ind w:left="142"/>
              <w:rPr>
                <w:sz w:val="26"/>
                <w:szCs w:val="26"/>
                <w:lang w:val="lv-LV" w:eastAsia="lv-LV"/>
              </w:rPr>
            </w:pPr>
            <w:r w:rsidRPr="003C0C7B">
              <w:rPr>
                <w:sz w:val="26"/>
                <w:szCs w:val="26"/>
                <w:lang w:val="lv-LV" w:eastAsia="lv-LV"/>
              </w:rPr>
              <w:t>Nav.</w:t>
            </w:r>
          </w:p>
        </w:tc>
      </w:tr>
    </w:tbl>
    <w:p w:rsidR="00BD44E9" w:rsidRPr="00655964" w:rsidRDefault="00BD44E9" w:rsidP="005F3A63">
      <w:pPr>
        <w:tabs>
          <w:tab w:val="left" w:pos="7655"/>
        </w:tabs>
        <w:jc w:val="both"/>
        <w:rPr>
          <w:bCs/>
          <w:sz w:val="26"/>
          <w:szCs w:val="26"/>
          <w:lang w:val="lv-LV"/>
        </w:rPr>
      </w:pPr>
    </w:p>
    <w:p w:rsidR="00011BE7" w:rsidRPr="003C0C7B" w:rsidRDefault="00011BE7" w:rsidP="005F3A63">
      <w:pPr>
        <w:tabs>
          <w:tab w:val="right" w:pos="9071"/>
        </w:tabs>
        <w:jc w:val="both"/>
        <w:rPr>
          <w:bCs/>
          <w:sz w:val="26"/>
          <w:szCs w:val="26"/>
          <w:lang w:val="lv-LV"/>
        </w:rPr>
      </w:pPr>
    </w:p>
    <w:p w:rsidR="003376B8" w:rsidRPr="003C0C7B" w:rsidRDefault="003376B8" w:rsidP="005F3A63">
      <w:pPr>
        <w:tabs>
          <w:tab w:val="right" w:pos="9071"/>
        </w:tabs>
        <w:jc w:val="both"/>
        <w:rPr>
          <w:bCs/>
          <w:sz w:val="26"/>
          <w:szCs w:val="26"/>
          <w:lang w:val="lv-LV"/>
        </w:rPr>
      </w:pPr>
    </w:p>
    <w:p w:rsidR="003376B8" w:rsidRPr="00655964" w:rsidRDefault="003376B8" w:rsidP="005F3A63">
      <w:pPr>
        <w:tabs>
          <w:tab w:val="right" w:pos="9071"/>
        </w:tabs>
        <w:jc w:val="both"/>
        <w:rPr>
          <w:bCs/>
          <w:sz w:val="26"/>
          <w:szCs w:val="26"/>
          <w:lang w:val="lv-LV"/>
        </w:rPr>
      </w:pPr>
    </w:p>
    <w:p w:rsidR="00D45BAA" w:rsidRPr="00655964" w:rsidRDefault="00970EBC" w:rsidP="005F3A63">
      <w:pPr>
        <w:tabs>
          <w:tab w:val="right" w:pos="9071"/>
        </w:tabs>
        <w:jc w:val="both"/>
        <w:rPr>
          <w:bCs/>
          <w:sz w:val="26"/>
          <w:szCs w:val="26"/>
          <w:lang w:val="lv-LV"/>
        </w:rPr>
      </w:pPr>
      <w:r w:rsidRPr="00655964">
        <w:rPr>
          <w:bCs/>
          <w:sz w:val="26"/>
          <w:szCs w:val="26"/>
          <w:lang w:val="lv-LV"/>
        </w:rPr>
        <w:t>Ekonomikas ministrs</w:t>
      </w:r>
      <w:r w:rsidRPr="00655964">
        <w:rPr>
          <w:bCs/>
          <w:sz w:val="26"/>
          <w:szCs w:val="26"/>
          <w:lang w:val="lv-LV"/>
        </w:rPr>
        <w:tab/>
        <w:t>D.Pavļuts</w:t>
      </w:r>
    </w:p>
    <w:p w:rsidR="00D031FE" w:rsidRPr="00655964" w:rsidRDefault="00D031FE" w:rsidP="005F3A63">
      <w:pPr>
        <w:pStyle w:val="EnvelopeReturn"/>
        <w:jc w:val="both"/>
        <w:rPr>
          <w:rFonts w:ascii="Times New Roman" w:hAnsi="Times New Roman"/>
          <w:color w:val="000000"/>
          <w:sz w:val="26"/>
          <w:szCs w:val="26"/>
          <w:lang w:val="lv-LV"/>
        </w:rPr>
      </w:pPr>
    </w:p>
    <w:p w:rsidR="00011BE7" w:rsidRPr="00655964" w:rsidRDefault="00011BE7" w:rsidP="005F3A63">
      <w:pPr>
        <w:pStyle w:val="EnvelopeReturn"/>
        <w:tabs>
          <w:tab w:val="right" w:pos="9071"/>
        </w:tabs>
        <w:jc w:val="both"/>
        <w:rPr>
          <w:rFonts w:ascii="Times New Roman" w:hAnsi="Times New Roman"/>
          <w:color w:val="000000"/>
          <w:sz w:val="26"/>
          <w:szCs w:val="26"/>
          <w:lang w:val="lv-LV"/>
        </w:rPr>
      </w:pPr>
    </w:p>
    <w:p w:rsidR="003376B8" w:rsidRPr="00655964" w:rsidRDefault="003376B8" w:rsidP="005F3A63">
      <w:pPr>
        <w:pStyle w:val="EnvelopeReturn"/>
        <w:tabs>
          <w:tab w:val="right" w:pos="9071"/>
        </w:tabs>
        <w:jc w:val="both"/>
        <w:rPr>
          <w:rFonts w:ascii="Times New Roman" w:hAnsi="Times New Roman"/>
          <w:color w:val="000000"/>
          <w:sz w:val="26"/>
          <w:szCs w:val="26"/>
          <w:lang w:val="lv-LV"/>
        </w:rPr>
      </w:pPr>
    </w:p>
    <w:p w:rsidR="003376B8" w:rsidRPr="00655964" w:rsidRDefault="003376B8" w:rsidP="005F3A63">
      <w:pPr>
        <w:pStyle w:val="EnvelopeReturn"/>
        <w:tabs>
          <w:tab w:val="right" w:pos="9071"/>
        </w:tabs>
        <w:jc w:val="both"/>
        <w:rPr>
          <w:rFonts w:ascii="Times New Roman" w:hAnsi="Times New Roman"/>
          <w:color w:val="000000"/>
          <w:sz w:val="26"/>
          <w:szCs w:val="26"/>
          <w:lang w:val="lv-LV"/>
        </w:rPr>
      </w:pPr>
    </w:p>
    <w:p w:rsidR="00011BE7" w:rsidRPr="00655964" w:rsidRDefault="00011BE7" w:rsidP="005F3A63">
      <w:pPr>
        <w:pStyle w:val="EnvelopeReturn"/>
        <w:tabs>
          <w:tab w:val="right" w:pos="9071"/>
        </w:tabs>
        <w:jc w:val="both"/>
        <w:rPr>
          <w:rFonts w:ascii="Times New Roman" w:hAnsi="Times New Roman"/>
          <w:color w:val="000000"/>
          <w:sz w:val="26"/>
          <w:szCs w:val="26"/>
          <w:lang w:val="lv-LV"/>
        </w:rPr>
      </w:pPr>
    </w:p>
    <w:p w:rsidR="005D5EE0" w:rsidRPr="00655964" w:rsidRDefault="005D5EE0" w:rsidP="00854A5F">
      <w:pPr>
        <w:tabs>
          <w:tab w:val="right" w:pos="9071"/>
        </w:tabs>
        <w:rPr>
          <w:sz w:val="26"/>
          <w:szCs w:val="26"/>
        </w:rPr>
      </w:pPr>
      <w:proofErr w:type="spellStart"/>
      <w:r w:rsidRPr="00655964">
        <w:rPr>
          <w:sz w:val="26"/>
          <w:szCs w:val="26"/>
        </w:rPr>
        <w:t>Vīza</w:t>
      </w:r>
      <w:proofErr w:type="spellEnd"/>
      <w:r w:rsidRPr="00655964">
        <w:rPr>
          <w:sz w:val="26"/>
          <w:szCs w:val="26"/>
        </w:rPr>
        <w:t xml:space="preserve">: </w:t>
      </w:r>
      <w:proofErr w:type="spellStart"/>
      <w:r w:rsidRPr="00655964">
        <w:rPr>
          <w:sz w:val="26"/>
          <w:szCs w:val="26"/>
        </w:rPr>
        <w:t>Valsts</w:t>
      </w:r>
      <w:proofErr w:type="spellEnd"/>
      <w:r w:rsidRPr="00655964">
        <w:rPr>
          <w:sz w:val="26"/>
          <w:szCs w:val="26"/>
        </w:rPr>
        <w:t xml:space="preserve"> </w:t>
      </w:r>
      <w:proofErr w:type="spellStart"/>
      <w:r w:rsidR="00854A5F" w:rsidRPr="00655964">
        <w:rPr>
          <w:sz w:val="26"/>
          <w:szCs w:val="26"/>
        </w:rPr>
        <w:t>sekretārs</w:t>
      </w:r>
      <w:proofErr w:type="spellEnd"/>
      <w:r w:rsidRPr="00655964">
        <w:rPr>
          <w:sz w:val="26"/>
          <w:szCs w:val="26"/>
        </w:rPr>
        <w:tab/>
      </w:r>
      <w:proofErr w:type="spellStart"/>
      <w:r w:rsidR="00854A5F" w:rsidRPr="00655964">
        <w:rPr>
          <w:sz w:val="26"/>
          <w:szCs w:val="26"/>
        </w:rPr>
        <w:t>J.Pūce</w:t>
      </w:r>
      <w:proofErr w:type="spellEnd"/>
    </w:p>
    <w:p w:rsidR="005D5EE0" w:rsidRPr="00655964" w:rsidRDefault="005D5EE0" w:rsidP="005D5EE0">
      <w:pPr>
        <w:rPr>
          <w:sz w:val="26"/>
          <w:szCs w:val="26"/>
        </w:rPr>
      </w:pPr>
    </w:p>
    <w:p w:rsidR="00230B0F" w:rsidRPr="00655964" w:rsidRDefault="00230B0F" w:rsidP="005F3A63">
      <w:pPr>
        <w:jc w:val="both"/>
        <w:rPr>
          <w:color w:val="000000"/>
          <w:sz w:val="26"/>
          <w:szCs w:val="26"/>
          <w:lang w:val="lv-LV"/>
        </w:rPr>
      </w:pPr>
    </w:p>
    <w:p w:rsidR="003376B8" w:rsidRPr="00655964" w:rsidRDefault="003376B8" w:rsidP="005F3A63">
      <w:pPr>
        <w:jc w:val="both"/>
        <w:rPr>
          <w:color w:val="000000"/>
          <w:sz w:val="26"/>
          <w:szCs w:val="26"/>
          <w:lang w:val="lv-LV"/>
        </w:rPr>
      </w:pPr>
    </w:p>
    <w:p w:rsidR="003376B8" w:rsidRPr="00655964" w:rsidRDefault="003376B8" w:rsidP="005F3A63">
      <w:pPr>
        <w:jc w:val="both"/>
        <w:rPr>
          <w:color w:val="000000"/>
          <w:sz w:val="26"/>
          <w:szCs w:val="26"/>
          <w:lang w:val="lv-LV"/>
        </w:rPr>
      </w:pPr>
    </w:p>
    <w:p w:rsidR="00011BE7" w:rsidRPr="0010012A" w:rsidRDefault="00011BE7" w:rsidP="005F3A63">
      <w:pPr>
        <w:jc w:val="both"/>
        <w:rPr>
          <w:color w:val="000000"/>
          <w:sz w:val="24"/>
          <w:szCs w:val="28"/>
          <w:lang w:val="lv-LV"/>
        </w:rPr>
      </w:pPr>
    </w:p>
    <w:p w:rsidR="00970EBC" w:rsidRPr="0010012A" w:rsidRDefault="00970EBC" w:rsidP="005F3A63">
      <w:pPr>
        <w:jc w:val="both"/>
        <w:rPr>
          <w:color w:val="000000"/>
          <w:lang w:val="lv-LV"/>
        </w:rPr>
      </w:pPr>
    </w:p>
    <w:p w:rsidR="00D031FE" w:rsidRPr="0010012A" w:rsidRDefault="004A2320" w:rsidP="005F3A63">
      <w:pPr>
        <w:jc w:val="both"/>
        <w:rPr>
          <w:color w:val="000000"/>
          <w:lang w:val="lv-LV"/>
        </w:rPr>
      </w:pPr>
      <w:r>
        <w:rPr>
          <w:color w:val="000000"/>
          <w:lang w:val="lv-LV"/>
        </w:rPr>
        <w:t>08.06.2012 16:05</w:t>
      </w:r>
      <w:bookmarkStart w:id="10" w:name="_GoBack"/>
      <w:bookmarkEnd w:id="10"/>
    </w:p>
    <w:p w:rsidR="00D031FE" w:rsidRPr="0010012A" w:rsidRDefault="00F859F1" w:rsidP="005F3A63">
      <w:pPr>
        <w:jc w:val="both"/>
        <w:rPr>
          <w:color w:val="000000"/>
          <w:lang w:val="lv-LV"/>
        </w:rPr>
      </w:pPr>
      <w:fldSimple w:instr=" NUMWORDS   \* MERGEFORMAT ">
        <w:r w:rsidR="004A2320" w:rsidRPr="004A2320">
          <w:rPr>
            <w:noProof/>
            <w:color w:val="000000"/>
            <w:lang w:val="lv-LV"/>
          </w:rPr>
          <w:t>1290</w:t>
        </w:r>
      </w:fldSimple>
    </w:p>
    <w:p w:rsidR="00D031FE" w:rsidRPr="0010012A" w:rsidRDefault="00D031FE" w:rsidP="005F3A63">
      <w:pPr>
        <w:jc w:val="both"/>
        <w:rPr>
          <w:color w:val="000000"/>
          <w:lang w:val="lv-LV"/>
        </w:rPr>
      </w:pPr>
      <w:r w:rsidRPr="0010012A">
        <w:rPr>
          <w:color w:val="000000"/>
          <w:lang w:val="lv-LV"/>
        </w:rPr>
        <w:t>Egita Poļanska</w:t>
      </w:r>
    </w:p>
    <w:p w:rsidR="00385502" w:rsidRPr="0010012A" w:rsidRDefault="00D031FE" w:rsidP="005F3A63">
      <w:pPr>
        <w:jc w:val="both"/>
        <w:rPr>
          <w:color w:val="000000"/>
          <w:lang w:val="lv-LV"/>
        </w:rPr>
      </w:pPr>
      <w:r w:rsidRPr="0010012A">
        <w:rPr>
          <w:color w:val="000000"/>
          <w:lang w:val="lv-LV"/>
        </w:rPr>
        <w:t>67013108, Egita.Polanska@em.gov.lv</w:t>
      </w:r>
    </w:p>
    <w:sectPr w:rsidR="00385502" w:rsidRPr="0010012A" w:rsidSect="00B014C2">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D64" w:rsidRDefault="00C47D64" w:rsidP="00B014C2">
      <w:r>
        <w:separator/>
      </w:r>
    </w:p>
  </w:endnote>
  <w:endnote w:type="continuationSeparator" w:id="0">
    <w:p w:rsidR="00C47D64" w:rsidRDefault="00C47D64" w:rsidP="00B01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B98" w:rsidRPr="00C5538D" w:rsidRDefault="00F859F1" w:rsidP="00C5538D">
    <w:pPr>
      <w:tabs>
        <w:tab w:val="left" w:pos="6237"/>
      </w:tabs>
      <w:jc w:val="both"/>
      <w:rPr>
        <w:sz w:val="24"/>
        <w:szCs w:val="24"/>
        <w:lang w:val="lv-LV" w:eastAsia="lv-LV"/>
      </w:rPr>
    </w:pPr>
    <w:fldSimple w:instr=" FILENAME   \* MERGEFORMAT ">
      <w:r w:rsidR="003851B6" w:rsidRPr="003851B6">
        <w:rPr>
          <w:noProof/>
          <w:sz w:val="24"/>
          <w:szCs w:val="24"/>
        </w:rPr>
        <w:t>EMAnot_080612_groz613</w:t>
      </w:r>
    </w:fldSimple>
    <w:r w:rsidR="00383B98" w:rsidRPr="00B0407B">
      <w:rPr>
        <w:sz w:val="24"/>
        <w:szCs w:val="24"/>
      </w:rPr>
      <w:t>;</w:t>
    </w:r>
    <w:r w:rsidR="00383B98" w:rsidRPr="00860FDE">
      <w:rPr>
        <w:sz w:val="24"/>
        <w:szCs w:val="24"/>
      </w:rPr>
      <w:t xml:space="preserve"> </w:t>
    </w:r>
    <w:r w:rsidR="00053D87" w:rsidRPr="00053D87">
      <w:rPr>
        <w:sz w:val="24"/>
        <w:szCs w:val="28"/>
        <w:lang w:val="lv-LV" w:eastAsia="lv-LV"/>
      </w:rPr>
      <w:t>Ministru kabineta noteikumu projekta „Grozījumi Ministru kabineta 2011.gada 2.augusta noteikumos Nr.613 „Noteikumi par mezanīna aizdevumiem saimnieciskās darbības veicēju konkurētspējas uzlabošanai”” sākotnējās ietekmes novērtējuma ziņojums (anotācija</w:t>
    </w:r>
    <w:r w:rsidR="00053D87">
      <w:rPr>
        <w:sz w:val="24"/>
        <w:szCs w:val="28"/>
        <w:lang w:val="lv-LV" w:eastAsia="lv-LV"/>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B98" w:rsidRPr="00AC1512" w:rsidRDefault="00F859F1" w:rsidP="00E84D21">
    <w:pPr>
      <w:tabs>
        <w:tab w:val="left" w:pos="6237"/>
      </w:tabs>
      <w:jc w:val="both"/>
      <w:rPr>
        <w:sz w:val="24"/>
        <w:szCs w:val="24"/>
        <w:lang w:val="lv-LV" w:eastAsia="lv-LV"/>
      </w:rPr>
    </w:pPr>
    <w:fldSimple w:instr=" FILENAME   \* MERGEFORMAT ">
      <w:r w:rsidR="003851B6" w:rsidRPr="003851B6">
        <w:rPr>
          <w:noProof/>
          <w:sz w:val="24"/>
          <w:szCs w:val="24"/>
        </w:rPr>
        <w:t>EMAnot_080612_groz613</w:t>
      </w:r>
    </w:fldSimple>
    <w:r w:rsidR="00383B98" w:rsidRPr="00AC1512">
      <w:rPr>
        <w:sz w:val="24"/>
        <w:szCs w:val="24"/>
      </w:rPr>
      <w:t xml:space="preserve">; </w:t>
    </w:r>
    <w:r w:rsidR="00053D87" w:rsidRPr="00053D87">
      <w:rPr>
        <w:sz w:val="24"/>
        <w:szCs w:val="28"/>
        <w:lang w:val="lv-LV" w:eastAsia="lv-LV"/>
      </w:rPr>
      <w:t>Ministru kabineta noteikumu projekta „Grozījumi Ministru kabineta 2011.gada 2.augusta noteikumos Nr.613 „Noteikumi par mezanīna aizdevumiem saimnieciskās darbības veicēju konkurētspējas uzlabošanai”” sākotnējās ietekmes novērtējuma ziņojums (anotācija</w:t>
    </w:r>
    <w:r w:rsidR="00053D87">
      <w:rPr>
        <w:sz w:val="24"/>
        <w:szCs w:val="28"/>
        <w:lang w:val="lv-LV" w:eastAsia="lv-LV"/>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D64" w:rsidRDefault="00C47D64" w:rsidP="00B014C2">
      <w:r>
        <w:separator/>
      </w:r>
    </w:p>
  </w:footnote>
  <w:footnote w:type="continuationSeparator" w:id="0">
    <w:p w:rsidR="00C47D64" w:rsidRDefault="00C47D64" w:rsidP="00B014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B98" w:rsidRPr="00B014C2" w:rsidRDefault="0001635F">
    <w:pPr>
      <w:pStyle w:val="Header"/>
      <w:jc w:val="center"/>
      <w:rPr>
        <w:sz w:val="24"/>
        <w:szCs w:val="24"/>
      </w:rPr>
    </w:pPr>
    <w:r w:rsidRPr="00B014C2">
      <w:rPr>
        <w:sz w:val="24"/>
        <w:szCs w:val="24"/>
      </w:rPr>
      <w:fldChar w:fldCharType="begin"/>
    </w:r>
    <w:r w:rsidR="00383B98" w:rsidRPr="00B014C2">
      <w:rPr>
        <w:sz w:val="24"/>
        <w:szCs w:val="24"/>
      </w:rPr>
      <w:instrText xml:space="preserve"> PAGE   \* MERGEFORMAT </w:instrText>
    </w:r>
    <w:r w:rsidRPr="00B014C2">
      <w:rPr>
        <w:sz w:val="24"/>
        <w:szCs w:val="24"/>
      </w:rPr>
      <w:fldChar w:fldCharType="separate"/>
    </w:r>
    <w:r w:rsidR="004A2320">
      <w:rPr>
        <w:noProof/>
        <w:sz w:val="24"/>
        <w:szCs w:val="24"/>
      </w:rPr>
      <w:t>7</w:t>
    </w:r>
    <w:r w:rsidRPr="00B014C2">
      <w:rPr>
        <w:sz w:val="24"/>
        <w:szCs w:val="24"/>
      </w:rPr>
      <w:fldChar w:fldCharType="end"/>
    </w:r>
  </w:p>
  <w:p w:rsidR="00383B98" w:rsidRDefault="00383B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375DB"/>
    <w:multiLevelType w:val="hybridMultilevel"/>
    <w:tmpl w:val="3634F03A"/>
    <w:lvl w:ilvl="0" w:tplc="04260001">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1">
    <w:nsid w:val="37C673D4"/>
    <w:multiLevelType w:val="hybridMultilevel"/>
    <w:tmpl w:val="937C8CC2"/>
    <w:lvl w:ilvl="0" w:tplc="C7F6DE7A">
      <w:start w:val="2009"/>
      <w:numFmt w:val="bullet"/>
      <w:lvlText w:val="-"/>
      <w:lvlJc w:val="left"/>
      <w:pPr>
        <w:ind w:left="1080" w:hanging="360"/>
      </w:pPr>
      <w:rPr>
        <w:rFonts w:ascii="Times New Roman" w:eastAsia="Times New Roman" w:hAnsi="Times New Roman" w:hint="default"/>
      </w:rPr>
    </w:lvl>
    <w:lvl w:ilvl="1" w:tplc="04260003" w:tentative="1">
      <w:start w:val="1"/>
      <w:numFmt w:val="bullet"/>
      <w:lvlText w:val="o"/>
      <w:lvlJc w:val="left"/>
      <w:pPr>
        <w:ind w:left="1800" w:hanging="360"/>
      </w:pPr>
      <w:rPr>
        <w:rFonts w:ascii="Courier New" w:hAnsi="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nsid w:val="3C984F69"/>
    <w:multiLevelType w:val="hybridMultilevel"/>
    <w:tmpl w:val="001A3FCC"/>
    <w:lvl w:ilvl="0" w:tplc="013EF558">
      <w:start w:val="1"/>
      <w:numFmt w:val="decimal"/>
      <w:lvlText w:val="%1."/>
      <w:lvlJc w:val="left"/>
      <w:pPr>
        <w:tabs>
          <w:tab w:val="num" w:pos="1080"/>
        </w:tabs>
        <w:ind w:left="1080" w:hanging="360"/>
      </w:pPr>
      <w:rPr>
        <w:rFonts w:ascii="Times New Roman" w:hAnsi="Times New Roman" w:cs="Times New Roman" w:hint="default"/>
      </w:rPr>
    </w:lvl>
    <w:lvl w:ilvl="1" w:tplc="04260019">
      <w:start w:val="1"/>
      <w:numFmt w:val="decimal"/>
      <w:lvlText w:val="%2."/>
      <w:lvlJc w:val="left"/>
      <w:pPr>
        <w:tabs>
          <w:tab w:val="num" w:pos="1440"/>
        </w:tabs>
        <w:ind w:left="1440" w:hanging="360"/>
      </w:pPr>
      <w:rPr>
        <w:rFonts w:cs="Times New Roman"/>
      </w:rPr>
    </w:lvl>
    <w:lvl w:ilvl="2" w:tplc="0426001B">
      <w:start w:val="1"/>
      <w:numFmt w:val="decimal"/>
      <w:lvlText w:val="%3."/>
      <w:lvlJc w:val="left"/>
      <w:pPr>
        <w:tabs>
          <w:tab w:val="num" w:pos="2160"/>
        </w:tabs>
        <w:ind w:left="2160" w:hanging="36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decimal"/>
      <w:lvlText w:val="%5."/>
      <w:lvlJc w:val="left"/>
      <w:pPr>
        <w:tabs>
          <w:tab w:val="num" w:pos="3600"/>
        </w:tabs>
        <w:ind w:left="3600" w:hanging="360"/>
      </w:pPr>
      <w:rPr>
        <w:rFonts w:cs="Times New Roman"/>
      </w:rPr>
    </w:lvl>
    <w:lvl w:ilvl="5" w:tplc="0426001B">
      <w:start w:val="1"/>
      <w:numFmt w:val="decimal"/>
      <w:lvlText w:val="%6."/>
      <w:lvlJc w:val="left"/>
      <w:pPr>
        <w:tabs>
          <w:tab w:val="num" w:pos="4320"/>
        </w:tabs>
        <w:ind w:left="4320" w:hanging="36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decimal"/>
      <w:lvlText w:val="%8."/>
      <w:lvlJc w:val="left"/>
      <w:pPr>
        <w:tabs>
          <w:tab w:val="num" w:pos="5760"/>
        </w:tabs>
        <w:ind w:left="5760" w:hanging="360"/>
      </w:pPr>
      <w:rPr>
        <w:rFonts w:cs="Times New Roman"/>
      </w:rPr>
    </w:lvl>
    <w:lvl w:ilvl="8" w:tplc="0426001B">
      <w:start w:val="1"/>
      <w:numFmt w:val="decimal"/>
      <w:lvlText w:val="%9."/>
      <w:lvlJc w:val="left"/>
      <w:pPr>
        <w:tabs>
          <w:tab w:val="num" w:pos="6480"/>
        </w:tabs>
        <w:ind w:left="6480" w:hanging="360"/>
      </w:pPr>
      <w:rPr>
        <w:rFonts w:cs="Times New Roman"/>
      </w:rPr>
    </w:lvl>
  </w:abstractNum>
  <w:abstractNum w:abstractNumId="3">
    <w:nsid w:val="46352358"/>
    <w:multiLevelType w:val="hybridMultilevel"/>
    <w:tmpl w:val="28F0002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
    <w:nsid w:val="54B7462C"/>
    <w:multiLevelType w:val="hybridMultilevel"/>
    <w:tmpl w:val="AADAF8C0"/>
    <w:lvl w:ilvl="0" w:tplc="04260001">
      <w:start w:val="1"/>
      <w:numFmt w:val="bullet"/>
      <w:lvlText w:val=""/>
      <w:lvlJc w:val="left"/>
      <w:pPr>
        <w:ind w:left="927" w:hanging="360"/>
      </w:pPr>
      <w:rPr>
        <w:rFonts w:ascii="Symbol" w:hAnsi="Symbol"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5">
    <w:nsid w:val="58DA79B7"/>
    <w:multiLevelType w:val="hybridMultilevel"/>
    <w:tmpl w:val="FFDE7B3C"/>
    <w:lvl w:ilvl="0" w:tplc="5EE8603C">
      <w:start w:val="1"/>
      <w:numFmt w:val="decimal"/>
      <w:lvlText w:val="%1)"/>
      <w:lvlJc w:val="left"/>
      <w:pPr>
        <w:ind w:left="720" w:hanging="360"/>
      </w:pPr>
      <w:rPr>
        <w:rFonts w:cs="Times New Roman"/>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6">
    <w:nsid w:val="6F142C6F"/>
    <w:multiLevelType w:val="hybridMultilevel"/>
    <w:tmpl w:val="C55E3054"/>
    <w:lvl w:ilvl="0" w:tplc="EACE7FA0">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7">
    <w:nsid w:val="712C625F"/>
    <w:multiLevelType w:val="hybridMultilevel"/>
    <w:tmpl w:val="C55E3054"/>
    <w:lvl w:ilvl="0" w:tplc="EACE7FA0">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8">
    <w:nsid w:val="791B46C5"/>
    <w:multiLevelType w:val="hybridMultilevel"/>
    <w:tmpl w:val="C55E3054"/>
    <w:lvl w:ilvl="0" w:tplc="EACE7FA0">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num w:numId="1">
    <w:abstractNumId w:val="7"/>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6"/>
  </w:num>
  <w:num w:numId="5">
    <w:abstractNumId w:val="8"/>
  </w:num>
  <w:num w:numId="6">
    <w:abstractNumId w:val="5"/>
  </w:num>
  <w:num w:numId="7">
    <w:abstractNumId w:val="2"/>
  </w:num>
  <w:num w:numId="8">
    <w:abstractNumId w:val="3"/>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B09C5"/>
    <w:rsid w:val="000016AB"/>
    <w:rsid w:val="00004E51"/>
    <w:rsid w:val="0001186C"/>
    <w:rsid w:val="00011BE7"/>
    <w:rsid w:val="000149E8"/>
    <w:rsid w:val="000158C8"/>
    <w:rsid w:val="0001635F"/>
    <w:rsid w:val="0001764D"/>
    <w:rsid w:val="000229C8"/>
    <w:rsid w:val="00025B0A"/>
    <w:rsid w:val="0002603A"/>
    <w:rsid w:val="00026C03"/>
    <w:rsid w:val="0002762A"/>
    <w:rsid w:val="0003046E"/>
    <w:rsid w:val="000330DD"/>
    <w:rsid w:val="00036856"/>
    <w:rsid w:val="00036E03"/>
    <w:rsid w:val="00040862"/>
    <w:rsid w:val="0004167C"/>
    <w:rsid w:val="0004692D"/>
    <w:rsid w:val="00047EF5"/>
    <w:rsid w:val="00050EA4"/>
    <w:rsid w:val="00052E89"/>
    <w:rsid w:val="00053D87"/>
    <w:rsid w:val="00054E04"/>
    <w:rsid w:val="000554FF"/>
    <w:rsid w:val="000643D5"/>
    <w:rsid w:val="0007058B"/>
    <w:rsid w:val="000729ED"/>
    <w:rsid w:val="000803DD"/>
    <w:rsid w:val="00083227"/>
    <w:rsid w:val="00084A2D"/>
    <w:rsid w:val="00085E74"/>
    <w:rsid w:val="000921C6"/>
    <w:rsid w:val="00092FAA"/>
    <w:rsid w:val="00097583"/>
    <w:rsid w:val="000A40F9"/>
    <w:rsid w:val="000A434E"/>
    <w:rsid w:val="000A4AED"/>
    <w:rsid w:val="000B0719"/>
    <w:rsid w:val="000D0388"/>
    <w:rsid w:val="000D1257"/>
    <w:rsid w:val="000D2265"/>
    <w:rsid w:val="000D2F05"/>
    <w:rsid w:val="000D30E0"/>
    <w:rsid w:val="000E409F"/>
    <w:rsid w:val="000E4277"/>
    <w:rsid w:val="000E6100"/>
    <w:rsid w:val="000E67EF"/>
    <w:rsid w:val="000F3F4C"/>
    <w:rsid w:val="000F6E9E"/>
    <w:rsid w:val="0010012A"/>
    <w:rsid w:val="001002E4"/>
    <w:rsid w:val="00101FE0"/>
    <w:rsid w:val="0010410B"/>
    <w:rsid w:val="001047E8"/>
    <w:rsid w:val="001054DE"/>
    <w:rsid w:val="00110E66"/>
    <w:rsid w:val="00113586"/>
    <w:rsid w:val="00115E25"/>
    <w:rsid w:val="00123352"/>
    <w:rsid w:val="00130B41"/>
    <w:rsid w:val="00130C6B"/>
    <w:rsid w:val="00131C62"/>
    <w:rsid w:val="0013371B"/>
    <w:rsid w:val="001346DE"/>
    <w:rsid w:val="00142CBB"/>
    <w:rsid w:val="001507B4"/>
    <w:rsid w:val="00156BF0"/>
    <w:rsid w:val="00157107"/>
    <w:rsid w:val="001622FC"/>
    <w:rsid w:val="00164571"/>
    <w:rsid w:val="001658AC"/>
    <w:rsid w:val="00166B88"/>
    <w:rsid w:val="001728B2"/>
    <w:rsid w:val="0017312C"/>
    <w:rsid w:val="001764E7"/>
    <w:rsid w:val="001831F7"/>
    <w:rsid w:val="001871BB"/>
    <w:rsid w:val="00191102"/>
    <w:rsid w:val="00193BE3"/>
    <w:rsid w:val="00195030"/>
    <w:rsid w:val="001973A7"/>
    <w:rsid w:val="001A4583"/>
    <w:rsid w:val="001A6894"/>
    <w:rsid w:val="001B167D"/>
    <w:rsid w:val="001B3236"/>
    <w:rsid w:val="001B3390"/>
    <w:rsid w:val="001B3656"/>
    <w:rsid w:val="001B5F59"/>
    <w:rsid w:val="001B6D15"/>
    <w:rsid w:val="001C1BFF"/>
    <w:rsid w:val="001C3AE7"/>
    <w:rsid w:val="001D0910"/>
    <w:rsid w:val="001D37CE"/>
    <w:rsid w:val="001D5E9C"/>
    <w:rsid w:val="001D6919"/>
    <w:rsid w:val="001D76FC"/>
    <w:rsid w:val="001D7D13"/>
    <w:rsid w:val="001E343D"/>
    <w:rsid w:val="001E4B13"/>
    <w:rsid w:val="001E5031"/>
    <w:rsid w:val="001E63EF"/>
    <w:rsid w:val="001E6F96"/>
    <w:rsid w:val="001F02C1"/>
    <w:rsid w:val="001F7479"/>
    <w:rsid w:val="001F7527"/>
    <w:rsid w:val="00205FEE"/>
    <w:rsid w:val="0021241F"/>
    <w:rsid w:val="00213D6A"/>
    <w:rsid w:val="00213F8B"/>
    <w:rsid w:val="00214BE6"/>
    <w:rsid w:val="00217BC1"/>
    <w:rsid w:val="00221E0C"/>
    <w:rsid w:val="00222F67"/>
    <w:rsid w:val="00223C20"/>
    <w:rsid w:val="00226BD5"/>
    <w:rsid w:val="0023085A"/>
    <w:rsid w:val="00230B0F"/>
    <w:rsid w:val="00230FB6"/>
    <w:rsid w:val="00233657"/>
    <w:rsid w:val="00240CAE"/>
    <w:rsid w:val="00243A9D"/>
    <w:rsid w:val="00243B70"/>
    <w:rsid w:val="00247529"/>
    <w:rsid w:val="002507A0"/>
    <w:rsid w:val="00257A14"/>
    <w:rsid w:val="00257EAE"/>
    <w:rsid w:val="002720E3"/>
    <w:rsid w:val="0027297C"/>
    <w:rsid w:val="002748FF"/>
    <w:rsid w:val="00274E58"/>
    <w:rsid w:val="00275696"/>
    <w:rsid w:val="0028114E"/>
    <w:rsid w:val="00284615"/>
    <w:rsid w:val="0028698C"/>
    <w:rsid w:val="002A0CEE"/>
    <w:rsid w:val="002A49E9"/>
    <w:rsid w:val="002A646A"/>
    <w:rsid w:val="002B2613"/>
    <w:rsid w:val="002B4D01"/>
    <w:rsid w:val="002C0E0E"/>
    <w:rsid w:val="002C1ABF"/>
    <w:rsid w:val="002C20C8"/>
    <w:rsid w:val="002C7CFA"/>
    <w:rsid w:val="002D7DF1"/>
    <w:rsid w:val="002E093C"/>
    <w:rsid w:val="002E0D23"/>
    <w:rsid w:val="002E6122"/>
    <w:rsid w:val="002E6E37"/>
    <w:rsid w:val="002E7093"/>
    <w:rsid w:val="002E7530"/>
    <w:rsid w:val="002F063C"/>
    <w:rsid w:val="002F423D"/>
    <w:rsid w:val="002F4553"/>
    <w:rsid w:val="002F6D2C"/>
    <w:rsid w:val="003000F0"/>
    <w:rsid w:val="00303B7C"/>
    <w:rsid w:val="003108D5"/>
    <w:rsid w:val="00315494"/>
    <w:rsid w:val="003205FD"/>
    <w:rsid w:val="00322A15"/>
    <w:rsid w:val="00324271"/>
    <w:rsid w:val="003277E9"/>
    <w:rsid w:val="00334ABC"/>
    <w:rsid w:val="00335837"/>
    <w:rsid w:val="003372CD"/>
    <w:rsid w:val="003376B8"/>
    <w:rsid w:val="0034284E"/>
    <w:rsid w:val="00342A47"/>
    <w:rsid w:val="0034329B"/>
    <w:rsid w:val="003451DA"/>
    <w:rsid w:val="003525FA"/>
    <w:rsid w:val="0035647E"/>
    <w:rsid w:val="00360437"/>
    <w:rsid w:val="00361DA6"/>
    <w:rsid w:val="003633B3"/>
    <w:rsid w:val="00363B7B"/>
    <w:rsid w:val="00373767"/>
    <w:rsid w:val="00374052"/>
    <w:rsid w:val="003756B1"/>
    <w:rsid w:val="00375A4C"/>
    <w:rsid w:val="00382BEB"/>
    <w:rsid w:val="00383438"/>
    <w:rsid w:val="00383500"/>
    <w:rsid w:val="00383B98"/>
    <w:rsid w:val="00384799"/>
    <w:rsid w:val="003851B6"/>
    <w:rsid w:val="00385502"/>
    <w:rsid w:val="003970C6"/>
    <w:rsid w:val="00397836"/>
    <w:rsid w:val="003A177C"/>
    <w:rsid w:val="003A3469"/>
    <w:rsid w:val="003A5963"/>
    <w:rsid w:val="003A607D"/>
    <w:rsid w:val="003B2F8C"/>
    <w:rsid w:val="003B6675"/>
    <w:rsid w:val="003C0C7B"/>
    <w:rsid w:val="003C3FA4"/>
    <w:rsid w:val="003C5D28"/>
    <w:rsid w:val="003D0C12"/>
    <w:rsid w:val="003D37FA"/>
    <w:rsid w:val="003D79D8"/>
    <w:rsid w:val="003E0167"/>
    <w:rsid w:val="003E28D2"/>
    <w:rsid w:val="003E2968"/>
    <w:rsid w:val="003E3604"/>
    <w:rsid w:val="003E4A16"/>
    <w:rsid w:val="003E589B"/>
    <w:rsid w:val="003E5DF4"/>
    <w:rsid w:val="003E6CB3"/>
    <w:rsid w:val="003F095C"/>
    <w:rsid w:val="003F0AB9"/>
    <w:rsid w:val="003F4E09"/>
    <w:rsid w:val="00402B2B"/>
    <w:rsid w:val="00403279"/>
    <w:rsid w:val="00403EAD"/>
    <w:rsid w:val="0040497F"/>
    <w:rsid w:val="00404D4B"/>
    <w:rsid w:val="0040743C"/>
    <w:rsid w:val="0041461D"/>
    <w:rsid w:val="00420FC8"/>
    <w:rsid w:val="00421C45"/>
    <w:rsid w:val="00422E08"/>
    <w:rsid w:val="0042395B"/>
    <w:rsid w:val="0042472B"/>
    <w:rsid w:val="0042492D"/>
    <w:rsid w:val="004257CC"/>
    <w:rsid w:val="00425B9C"/>
    <w:rsid w:val="004260C8"/>
    <w:rsid w:val="004272CA"/>
    <w:rsid w:val="0043243D"/>
    <w:rsid w:val="00434B8C"/>
    <w:rsid w:val="004368B2"/>
    <w:rsid w:val="00436A58"/>
    <w:rsid w:val="00436E6A"/>
    <w:rsid w:val="00446F97"/>
    <w:rsid w:val="004527EA"/>
    <w:rsid w:val="00453630"/>
    <w:rsid w:val="00460A29"/>
    <w:rsid w:val="00463282"/>
    <w:rsid w:val="004657AC"/>
    <w:rsid w:val="00472755"/>
    <w:rsid w:val="004775F4"/>
    <w:rsid w:val="00484C10"/>
    <w:rsid w:val="00485D96"/>
    <w:rsid w:val="004878E3"/>
    <w:rsid w:val="00494412"/>
    <w:rsid w:val="00495434"/>
    <w:rsid w:val="004970CF"/>
    <w:rsid w:val="004A03D6"/>
    <w:rsid w:val="004A19D5"/>
    <w:rsid w:val="004A1A10"/>
    <w:rsid w:val="004A2320"/>
    <w:rsid w:val="004A3A36"/>
    <w:rsid w:val="004A7CF9"/>
    <w:rsid w:val="004B0096"/>
    <w:rsid w:val="004B638C"/>
    <w:rsid w:val="004C3E5C"/>
    <w:rsid w:val="004C54F0"/>
    <w:rsid w:val="004C66CA"/>
    <w:rsid w:val="004C7B7E"/>
    <w:rsid w:val="004D1F74"/>
    <w:rsid w:val="004D4997"/>
    <w:rsid w:val="004E2BFC"/>
    <w:rsid w:val="004E5EE4"/>
    <w:rsid w:val="004E7F2B"/>
    <w:rsid w:val="004F2B5D"/>
    <w:rsid w:val="004F2F91"/>
    <w:rsid w:val="00501114"/>
    <w:rsid w:val="00502C2A"/>
    <w:rsid w:val="00502EB8"/>
    <w:rsid w:val="00510235"/>
    <w:rsid w:val="005115E7"/>
    <w:rsid w:val="0051208E"/>
    <w:rsid w:val="00512E58"/>
    <w:rsid w:val="00517C20"/>
    <w:rsid w:val="00522B62"/>
    <w:rsid w:val="00522F77"/>
    <w:rsid w:val="005233BE"/>
    <w:rsid w:val="005279FC"/>
    <w:rsid w:val="00531E23"/>
    <w:rsid w:val="00532147"/>
    <w:rsid w:val="00533893"/>
    <w:rsid w:val="00537A29"/>
    <w:rsid w:val="005422C3"/>
    <w:rsid w:val="00542F49"/>
    <w:rsid w:val="005471CA"/>
    <w:rsid w:val="00551B3C"/>
    <w:rsid w:val="00554A7A"/>
    <w:rsid w:val="00560311"/>
    <w:rsid w:val="00561CB9"/>
    <w:rsid w:val="0056528D"/>
    <w:rsid w:val="00576B09"/>
    <w:rsid w:val="00580317"/>
    <w:rsid w:val="0058249F"/>
    <w:rsid w:val="00583D76"/>
    <w:rsid w:val="005850B6"/>
    <w:rsid w:val="0058679B"/>
    <w:rsid w:val="005867EB"/>
    <w:rsid w:val="005877DA"/>
    <w:rsid w:val="00587F1A"/>
    <w:rsid w:val="005960F4"/>
    <w:rsid w:val="005B0429"/>
    <w:rsid w:val="005B0DE1"/>
    <w:rsid w:val="005B1EC4"/>
    <w:rsid w:val="005B2957"/>
    <w:rsid w:val="005B29DE"/>
    <w:rsid w:val="005B30CE"/>
    <w:rsid w:val="005B4D4E"/>
    <w:rsid w:val="005C03F5"/>
    <w:rsid w:val="005C251D"/>
    <w:rsid w:val="005C3235"/>
    <w:rsid w:val="005C4CFD"/>
    <w:rsid w:val="005C6DDB"/>
    <w:rsid w:val="005D3658"/>
    <w:rsid w:val="005D5EE0"/>
    <w:rsid w:val="005D729C"/>
    <w:rsid w:val="005D7806"/>
    <w:rsid w:val="005E2C40"/>
    <w:rsid w:val="005E5376"/>
    <w:rsid w:val="005E7F99"/>
    <w:rsid w:val="005F129D"/>
    <w:rsid w:val="005F3A63"/>
    <w:rsid w:val="005F5121"/>
    <w:rsid w:val="00603D6F"/>
    <w:rsid w:val="00606694"/>
    <w:rsid w:val="006073B1"/>
    <w:rsid w:val="0060761C"/>
    <w:rsid w:val="00613019"/>
    <w:rsid w:val="00616CBC"/>
    <w:rsid w:val="006218A6"/>
    <w:rsid w:val="006224F7"/>
    <w:rsid w:val="00623730"/>
    <w:rsid w:val="00624B39"/>
    <w:rsid w:val="00626585"/>
    <w:rsid w:val="00630367"/>
    <w:rsid w:val="00631039"/>
    <w:rsid w:val="006316BA"/>
    <w:rsid w:val="00634947"/>
    <w:rsid w:val="006349DF"/>
    <w:rsid w:val="00635F4A"/>
    <w:rsid w:val="00636440"/>
    <w:rsid w:val="006442D7"/>
    <w:rsid w:val="006456BB"/>
    <w:rsid w:val="006469BA"/>
    <w:rsid w:val="00647FA6"/>
    <w:rsid w:val="00650716"/>
    <w:rsid w:val="00651669"/>
    <w:rsid w:val="00655964"/>
    <w:rsid w:val="00672A2F"/>
    <w:rsid w:val="00674BA7"/>
    <w:rsid w:val="00676770"/>
    <w:rsid w:val="00681496"/>
    <w:rsid w:val="006910BE"/>
    <w:rsid w:val="006930C0"/>
    <w:rsid w:val="00696772"/>
    <w:rsid w:val="0069780B"/>
    <w:rsid w:val="006A2C2B"/>
    <w:rsid w:val="006A7638"/>
    <w:rsid w:val="006B106D"/>
    <w:rsid w:val="006B584A"/>
    <w:rsid w:val="006C04B0"/>
    <w:rsid w:val="006C136E"/>
    <w:rsid w:val="006C1797"/>
    <w:rsid w:val="006C249E"/>
    <w:rsid w:val="006D0B9B"/>
    <w:rsid w:val="006D1F62"/>
    <w:rsid w:val="006D3A18"/>
    <w:rsid w:val="006D4C40"/>
    <w:rsid w:val="006D69A4"/>
    <w:rsid w:val="006D7CF7"/>
    <w:rsid w:val="006E3C7C"/>
    <w:rsid w:val="006E53FC"/>
    <w:rsid w:val="006E67D7"/>
    <w:rsid w:val="006F0C19"/>
    <w:rsid w:val="006F24A8"/>
    <w:rsid w:val="006F56C1"/>
    <w:rsid w:val="006F6BF6"/>
    <w:rsid w:val="00702852"/>
    <w:rsid w:val="00704307"/>
    <w:rsid w:val="00704CDB"/>
    <w:rsid w:val="007058E9"/>
    <w:rsid w:val="0071026C"/>
    <w:rsid w:val="00712EC4"/>
    <w:rsid w:val="00713E7D"/>
    <w:rsid w:val="007217E4"/>
    <w:rsid w:val="00725107"/>
    <w:rsid w:val="0072668A"/>
    <w:rsid w:val="007278CF"/>
    <w:rsid w:val="007315C5"/>
    <w:rsid w:val="007355DD"/>
    <w:rsid w:val="007363F2"/>
    <w:rsid w:val="00737AB8"/>
    <w:rsid w:val="0074462A"/>
    <w:rsid w:val="007465B9"/>
    <w:rsid w:val="007547B1"/>
    <w:rsid w:val="00760465"/>
    <w:rsid w:val="00767185"/>
    <w:rsid w:val="00767EF4"/>
    <w:rsid w:val="0077435A"/>
    <w:rsid w:val="0077547B"/>
    <w:rsid w:val="00786AFB"/>
    <w:rsid w:val="00787BED"/>
    <w:rsid w:val="00794B98"/>
    <w:rsid w:val="007A0D95"/>
    <w:rsid w:val="007A14D0"/>
    <w:rsid w:val="007A1D95"/>
    <w:rsid w:val="007A25F6"/>
    <w:rsid w:val="007A3DB5"/>
    <w:rsid w:val="007A7FC5"/>
    <w:rsid w:val="007B223B"/>
    <w:rsid w:val="007C1E82"/>
    <w:rsid w:val="007C2992"/>
    <w:rsid w:val="007C2E47"/>
    <w:rsid w:val="007D0155"/>
    <w:rsid w:val="007D12E0"/>
    <w:rsid w:val="007D6900"/>
    <w:rsid w:val="007D6B32"/>
    <w:rsid w:val="007D7613"/>
    <w:rsid w:val="007D7A8A"/>
    <w:rsid w:val="007E7623"/>
    <w:rsid w:val="007E7AE2"/>
    <w:rsid w:val="007F0242"/>
    <w:rsid w:val="007F0C15"/>
    <w:rsid w:val="007F31E9"/>
    <w:rsid w:val="008004CE"/>
    <w:rsid w:val="0080350F"/>
    <w:rsid w:val="00803933"/>
    <w:rsid w:val="008062B7"/>
    <w:rsid w:val="00810454"/>
    <w:rsid w:val="00812990"/>
    <w:rsid w:val="00817839"/>
    <w:rsid w:val="00820300"/>
    <w:rsid w:val="00823419"/>
    <w:rsid w:val="0082376A"/>
    <w:rsid w:val="008265EF"/>
    <w:rsid w:val="00827407"/>
    <w:rsid w:val="00843294"/>
    <w:rsid w:val="0084359B"/>
    <w:rsid w:val="00854A5F"/>
    <w:rsid w:val="00860387"/>
    <w:rsid w:val="00860FDE"/>
    <w:rsid w:val="0087099D"/>
    <w:rsid w:val="00874C25"/>
    <w:rsid w:val="00877FED"/>
    <w:rsid w:val="0089090B"/>
    <w:rsid w:val="00891DAA"/>
    <w:rsid w:val="008927D8"/>
    <w:rsid w:val="00894F91"/>
    <w:rsid w:val="0089622A"/>
    <w:rsid w:val="008972A4"/>
    <w:rsid w:val="00897307"/>
    <w:rsid w:val="00897C16"/>
    <w:rsid w:val="008A515D"/>
    <w:rsid w:val="008A6918"/>
    <w:rsid w:val="008B6C2F"/>
    <w:rsid w:val="008C2298"/>
    <w:rsid w:val="008C37BE"/>
    <w:rsid w:val="008C47D6"/>
    <w:rsid w:val="008C49BB"/>
    <w:rsid w:val="008C76E4"/>
    <w:rsid w:val="008D17E5"/>
    <w:rsid w:val="008D54C2"/>
    <w:rsid w:val="008D599A"/>
    <w:rsid w:val="008D6725"/>
    <w:rsid w:val="008D78FF"/>
    <w:rsid w:val="008D7A50"/>
    <w:rsid w:val="008E0248"/>
    <w:rsid w:val="008E2ECE"/>
    <w:rsid w:val="008E581A"/>
    <w:rsid w:val="008F48C1"/>
    <w:rsid w:val="008F4C9D"/>
    <w:rsid w:val="008F5394"/>
    <w:rsid w:val="0090048A"/>
    <w:rsid w:val="0090395A"/>
    <w:rsid w:val="0090449A"/>
    <w:rsid w:val="00904580"/>
    <w:rsid w:val="0090536A"/>
    <w:rsid w:val="009062D3"/>
    <w:rsid w:val="00906388"/>
    <w:rsid w:val="00906840"/>
    <w:rsid w:val="00906909"/>
    <w:rsid w:val="00907EE3"/>
    <w:rsid w:val="0091477F"/>
    <w:rsid w:val="00914999"/>
    <w:rsid w:val="00914CB3"/>
    <w:rsid w:val="00914FE0"/>
    <w:rsid w:val="00916054"/>
    <w:rsid w:val="00916509"/>
    <w:rsid w:val="009243DD"/>
    <w:rsid w:val="0092468A"/>
    <w:rsid w:val="00925417"/>
    <w:rsid w:val="00925C96"/>
    <w:rsid w:val="009266DE"/>
    <w:rsid w:val="00927127"/>
    <w:rsid w:val="00932C66"/>
    <w:rsid w:val="009347CA"/>
    <w:rsid w:val="00937618"/>
    <w:rsid w:val="00940388"/>
    <w:rsid w:val="00944903"/>
    <w:rsid w:val="00945AEE"/>
    <w:rsid w:val="0094732D"/>
    <w:rsid w:val="00953044"/>
    <w:rsid w:val="0095696B"/>
    <w:rsid w:val="00962CEA"/>
    <w:rsid w:val="0096699E"/>
    <w:rsid w:val="00970EBC"/>
    <w:rsid w:val="00971CE8"/>
    <w:rsid w:val="00971FEE"/>
    <w:rsid w:val="009741BB"/>
    <w:rsid w:val="00975337"/>
    <w:rsid w:val="00976DE4"/>
    <w:rsid w:val="009779DD"/>
    <w:rsid w:val="0099344A"/>
    <w:rsid w:val="00995388"/>
    <w:rsid w:val="009A118B"/>
    <w:rsid w:val="009A164D"/>
    <w:rsid w:val="009A38AD"/>
    <w:rsid w:val="009A4789"/>
    <w:rsid w:val="009A758E"/>
    <w:rsid w:val="009B0DB2"/>
    <w:rsid w:val="009B0F81"/>
    <w:rsid w:val="009B2624"/>
    <w:rsid w:val="009B2F66"/>
    <w:rsid w:val="009B4731"/>
    <w:rsid w:val="009B623D"/>
    <w:rsid w:val="009C2CF9"/>
    <w:rsid w:val="009C6774"/>
    <w:rsid w:val="009C7064"/>
    <w:rsid w:val="009D10C0"/>
    <w:rsid w:val="009D5D10"/>
    <w:rsid w:val="009D6B85"/>
    <w:rsid w:val="009E116E"/>
    <w:rsid w:val="009E182A"/>
    <w:rsid w:val="009E1AEA"/>
    <w:rsid w:val="009E604D"/>
    <w:rsid w:val="009E66C4"/>
    <w:rsid w:val="009E7DF3"/>
    <w:rsid w:val="009F37B4"/>
    <w:rsid w:val="009F6CA0"/>
    <w:rsid w:val="00A017C6"/>
    <w:rsid w:val="00A029AA"/>
    <w:rsid w:val="00A129CD"/>
    <w:rsid w:val="00A14437"/>
    <w:rsid w:val="00A15971"/>
    <w:rsid w:val="00A24EF0"/>
    <w:rsid w:val="00A30576"/>
    <w:rsid w:val="00A30F97"/>
    <w:rsid w:val="00A326B1"/>
    <w:rsid w:val="00A32DF2"/>
    <w:rsid w:val="00A34AC6"/>
    <w:rsid w:val="00A3785C"/>
    <w:rsid w:val="00A419B3"/>
    <w:rsid w:val="00A425FC"/>
    <w:rsid w:val="00A44590"/>
    <w:rsid w:val="00A44F14"/>
    <w:rsid w:val="00A4657F"/>
    <w:rsid w:val="00A47339"/>
    <w:rsid w:val="00A47536"/>
    <w:rsid w:val="00A52BA6"/>
    <w:rsid w:val="00A6113D"/>
    <w:rsid w:val="00A6164F"/>
    <w:rsid w:val="00A71316"/>
    <w:rsid w:val="00A74727"/>
    <w:rsid w:val="00A806F1"/>
    <w:rsid w:val="00A841BE"/>
    <w:rsid w:val="00A92DAD"/>
    <w:rsid w:val="00A963C3"/>
    <w:rsid w:val="00AA0ADF"/>
    <w:rsid w:val="00AA258C"/>
    <w:rsid w:val="00AA5C4F"/>
    <w:rsid w:val="00AA5F61"/>
    <w:rsid w:val="00AA72FE"/>
    <w:rsid w:val="00AB067F"/>
    <w:rsid w:val="00AB248D"/>
    <w:rsid w:val="00AB2B93"/>
    <w:rsid w:val="00AB488D"/>
    <w:rsid w:val="00AB5B30"/>
    <w:rsid w:val="00AC0231"/>
    <w:rsid w:val="00AC1512"/>
    <w:rsid w:val="00AC7873"/>
    <w:rsid w:val="00AD2958"/>
    <w:rsid w:val="00AD2F9E"/>
    <w:rsid w:val="00AD452A"/>
    <w:rsid w:val="00AD5849"/>
    <w:rsid w:val="00AE01C3"/>
    <w:rsid w:val="00AE05F1"/>
    <w:rsid w:val="00AE1659"/>
    <w:rsid w:val="00AE51EC"/>
    <w:rsid w:val="00AE52B6"/>
    <w:rsid w:val="00AE6E0C"/>
    <w:rsid w:val="00AF1E99"/>
    <w:rsid w:val="00B014C2"/>
    <w:rsid w:val="00B033B8"/>
    <w:rsid w:val="00B0407B"/>
    <w:rsid w:val="00B11963"/>
    <w:rsid w:val="00B13669"/>
    <w:rsid w:val="00B17599"/>
    <w:rsid w:val="00B17C2B"/>
    <w:rsid w:val="00B221CA"/>
    <w:rsid w:val="00B23B0C"/>
    <w:rsid w:val="00B255C1"/>
    <w:rsid w:val="00B26A25"/>
    <w:rsid w:val="00B30133"/>
    <w:rsid w:val="00B31842"/>
    <w:rsid w:val="00B37ECA"/>
    <w:rsid w:val="00B4309E"/>
    <w:rsid w:val="00B45132"/>
    <w:rsid w:val="00B45711"/>
    <w:rsid w:val="00B51F00"/>
    <w:rsid w:val="00B54DDE"/>
    <w:rsid w:val="00B6151B"/>
    <w:rsid w:val="00B62197"/>
    <w:rsid w:val="00B67838"/>
    <w:rsid w:val="00B73144"/>
    <w:rsid w:val="00B73E1F"/>
    <w:rsid w:val="00B74BCA"/>
    <w:rsid w:val="00B76F7D"/>
    <w:rsid w:val="00B7774A"/>
    <w:rsid w:val="00B81E82"/>
    <w:rsid w:val="00B82499"/>
    <w:rsid w:val="00B91224"/>
    <w:rsid w:val="00B931D1"/>
    <w:rsid w:val="00B97180"/>
    <w:rsid w:val="00B97BA7"/>
    <w:rsid w:val="00BA0849"/>
    <w:rsid w:val="00BA0A22"/>
    <w:rsid w:val="00BA0A3A"/>
    <w:rsid w:val="00BA2509"/>
    <w:rsid w:val="00BA7293"/>
    <w:rsid w:val="00BB09C5"/>
    <w:rsid w:val="00BB1706"/>
    <w:rsid w:val="00BB1832"/>
    <w:rsid w:val="00BB4180"/>
    <w:rsid w:val="00BB6516"/>
    <w:rsid w:val="00BC06E8"/>
    <w:rsid w:val="00BC16B4"/>
    <w:rsid w:val="00BC1DE4"/>
    <w:rsid w:val="00BC262B"/>
    <w:rsid w:val="00BC486B"/>
    <w:rsid w:val="00BC51A3"/>
    <w:rsid w:val="00BC70FB"/>
    <w:rsid w:val="00BD1934"/>
    <w:rsid w:val="00BD22EA"/>
    <w:rsid w:val="00BD267E"/>
    <w:rsid w:val="00BD4455"/>
    <w:rsid w:val="00BD44E9"/>
    <w:rsid w:val="00BE0EC8"/>
    <w:rsid w:val="00BE1338"/>
    <w:rsid w:val="00BE4892"/>
    <w:rsid w:val="00BF13E2"/>
    <w:rsid w:val="00C01525"/>
    <w:rsid w:val="00C01B08"/>
    <w:rsid w:val="00C0378A"/>
    <w:rsid w:val="00C044F2"/>
    <w:rsid w:val="00C04B3F"/>
    <w:rsid w:val="00C10CEA"/>
    <w:rsid w:val="00C11C6A"/>
    <w:rsid w:val="00C12C72"/>
    <w:rsid w:val="00C1663D"/>
    <w:rsid w:val="00C20EF9"/>
    <w:rsid w:val="00C21702"/>
    <w:rsid w:val="00C307D2"/>
    <w:rsid w:val="00C31F73"/>
    <w:rsid w:val="00C32F05"/>
    <w:rsid w:val="00C37B14"/>
    <w:rsid w:val="00C40FDA"/>
    <w:rsid w:val="00C43F6F"/>
    <w:rsid w:val="00C47D64"/>
    <w:rsid w:val="00C514A8"/>
    <w:rsid w:val="00C537EC"/>
    <w:rsid w:val="00C53FB2"/>
    <w:rsid w:val="00C54581"/>
    <w:rsid w:val="00C5538D"/>
    <w:rsid w:val="00C5549D"/>
    <w:rsid w:val="00C7076B"/>
    <w:rsid w:val="00C7152A"/>
    <w:rsid w:val="00C73791"/>
    <w:rsid w:val="00C77B5C"/>
    <w:rsid w:val="00C85068"/>
    <w:rsid w:val="00C852AB"/>
    <w:rsid w:val="00C91969"/>
    <w:rsid w:val="00C91FF8"/>
    <w:rsid w:val="00C9437B"/>
    <w:rsid w:val="00CA0B16"/>
    <w:rsid w:val="00CA181C"/>
    <w:rsid w:val="00CA4ADF"/>
    <w:rsid w:val="00CA4B26"/>
    <w:rsid w:val="00CA6526"/>
    <w:rsid w:val="00CA7E59"/>
    <w:rsid w:val="00CB0990"/>
    <w:rsid w:val="00CB1F81"/>
    <w:rsid w:val="00CB2CB2"/>
    <w:rsid w:val="00CB5D7B"/>
    <w:rsid w:val="00CB6A16"/>
    <w:rsid w:val="00CB7A76"/>
    <w:rsid w:val="00CC76C2"/>
    <w:rsid w:val="00CD5BFC"/>
    <w:rsid w:val="00CE09F6"/>
    <w:rsid w:val="00CE46A5"/>
    <w:rsid w:val="00CF0039"/>
    <w:rsid w:val="00CF05DA"/>
    <w:rsid w:val="00CF2441"/>
    <w:rsid w:val="00CF3403"/>
    <w:rsid w:val="00CF370C"/>
    <w:rsid w:val="00CF5C7C"/>
    <w:rsid w:val="00CF696C"/>
    <w:rsid w:val="00D0103C"/>
    <w:rsid w:val="00D031FE"/>
    <w:rsid w:val="00D03BE9"/>
    <w:rsid w:val="00D06E46"/>
    <w:rsid w:val="00D07CDB"/>
    <w:rsid w:val="00D17FC9"/>
    <w:rsid w:val="00D20CD0"/>
    <w:rsid w:val="00D215C9"/>
    <w:rsid w:val="00D25154"/>
    <w:rsid w:val="00D25DF0"/>
    <w:rsid w:val="00D30469"/>
    <w:rsid w:val="00D315BC"/>
    <w:rsid w:val="00D347F4"/>
    <w:rsid w:val="00D44653"/>
    <w:rsid w:val="00D45BAA"/>
    <w:rsid w:val="00D51E6D"/>
    <w:rsid w:val="00D52F66"/>
    <w:rsid w:val="00D5483C"/>
    <w:rsid w:val="00D57792"/>
    <w:rsid w:val="00D62CCB"/>
    <w:rsid w:val="00D71175"/>
    <w:rsid w:val="00D7256E"/>
    <w:rsid w:val="00D74282"/>
    <w:rsid w:val="00D751F5"/>
    <w:rsid w:val="00D765F5"/>
    <w:rsid w:val="00D76B32"/>
    <w:rsid w:val="00D84793"/>
    <w:rsid w:val="00D905C1"/>
    <w:rsid w:val="00D90B92"/>
    <w:rsid w:val="00DA61A3"/>
    <w:rsid w:val="00DA6618"/>
    <w:rsid w:val="00DB28DC"/>
    <w:rsid w:val="00DB35ED"/>
    <w:rsid w:val="00DC406B"/>
    <w:rsid w:val="00DC4C6D"/>
    <w:rsid w:val="00DC543B"/>
    <w:rsid w:val="00DD0266"/>
    <w:rsid w:val="00DD28ED"/>
    <w:rsid w:val="00DD32A1"/>
    <w:rsid w:val="00DD3C99"/>
    <w:rsid w:val="00DD40E6"/>
    <w:rsid w:val="00DD42C2"/>
    <w:rsid w:val="00DD7A97"/>
    <w:rsid w:val="00DE0DDE"/>
    <w:rsid w:val="00DE1404"/>
    <w:rsid w:val="00DE1523"/>
    <w:rsid w:val="00DE306B"/>
    <w:rsid w:val="00DE5D69"/>
    <w:rsid w:val="00DE67FC"/>
    <w:rsid w:val="00DF0637"/>
    <w:rsid w:val="00DF0A7E"/>
    <w:rsid w:val="00E007C1"/>
    <w:rsid w:val="00E01205"/>
    <w:rsid w:val="00E03A78"/>
    <w:rsid w:val="00E07DF2"/>
    <w:rsid w:val="00E10D14"/>
    <w:rsid w:val="00E126D1"/>
    <w:rsid w:val="00E147E0"/>
    <w:rsid w:val="00E14BE8"/>
    <w:rsid w:val="00E22EBE"/>
    <w:rsid w:val="00E26AAA"/>
    <w:rsid w:val="00E26E54"/>
    <w:rsid w:val="00E32662"/>
    <w:rsid w:val="00E374A8"/>
    <w:rsid w:val="00E43435"/>
    <w:rsid w:val="00E45814"/>
    <w:rsid w:val="00E53C62"/>
    <w:rsid w:val="00E57468"/>
    <w:rsid w:val="00E65238"/>
    <w:rsid w:val="00E65F36"/>
    <w:rsid w:val="00E65F64"/>
    <w:rsid w:val="00E70B81"/>
    <w:rsid w:val="00E73425"/>
    <w:rsid w:val="00E748B4"/>
    <w:rsid w:val="00E84D21"/>
    <w:rsid w:val="00E850DF"/>
    <w:rsid w:val="00E90C7E"/>
    <w:rsid w:val="00EA1779"/>
    <w:rsid w:val="00EA2820"/>
    <w:rsid w:val="00EA5412"/>
    <w:rsid w:val="00EA57EF"/>
    <w:rsid w:val="00EA7EF9"/>
    <w:rsid w:val="00EB00D9"/>
    <w:rsid w:val="00EB03F5"/>
    <w:rsid w:val="00EB1BE8"/>
    <w:rsid w:val="00EB263C"/>
    <w:rsid w:val="00EB6C93"/>
    <w:rsid w:val="00EC0E27"/>
    <w:rsid w:val="00EC23F3"/>
    <w:rsid w:val="00EC772A"/>
    <w:rsid w:val="00ED29AD"/>
    <w:rsid w:val="00ED377B"/>
    <w:rsid w:val="00EE2B7B"/>
    <w:rsid w:val="00EE424E"/>
    <w:rsid w:val="00EE4FC3"/>
    <w:rsid w:val="00EF0674"/>
    <w:rsid w:val="00EF26A5"/>
    <w:rsid w:val="00EF335B"/>
    <w:rsid w:val="00EF662A"/>
    <w:rsid w:val="00EF67CD"/>
    <w:rsid w:val="00EF6E5B"/>
    <w:rsid w:val="00EF7A99"/>
    <w:rsid w:val="00EF7D9D"/>
    <w:rsid w:val="00F0292B"/>
    <w:rsid w:val="00F067B2"/>
    <w:rsid w:val="00F1009A"/>
    <w:rsid w:val="00F15198"/>
    <w:rsid w:val="00F15932"/>
    <w:rsid w:val="00F210C4"/>
    <w:rsid w:val="00F213B5"/>
    <w:rsid w:val="00F2262C"/>
    <w:rsid w:val="00F25271"/>
    <w:rsid w:val="00F258DB"/>
    <w:rsid w:val="00F27161"/>
    <w:rsid w:val="00F32B06"/>
    <w:rsid w:val="00F40234"/>
    <w:rsid w:val="00F449DB"/>
    <w:rsid w:val="00F45FC6"/>
    <w:rsid w:val="00F47577"/>
    <w:rsid w:val="00F50C6E"/>
    <w:rsid w:val="00F5348D"/>
    <w:rsid w:val="00F54C76"/>
    <w:rsid w:val="00F634BC"/>
    <w:rsid w:val="00F7200E"/>
    <w:rsid w:val="00F73226"/>
    <w:rsid w:val="00F73E4D"/>
    <w:rsid w:val="00F768B2"/>
    <w:rsid w:val="00F80221"/>
    <w:rsid w:val="00F81BD0"/>
    <w:rsid w:val="00F84A31"/>
    <w:rsid w:val="00F859F1"/>
    <w:rsid w:val="00F85AEB"/>
    <w:rsid w:val="00F86808"/>
    <w:rsid w:val="00F92AE7"/>
    <w:rsid w:val="00F942CC"/>
    <w:rsid w:val="00F9656B"/>
    <w:rsid w:val="00F96614"/>
    <w:rsid w:val="00FA1511"/>
    <w:rsid w:val="00FA2035"/>
    <w:rsid w:val="00FA3614"/>
    <w:rsid w:val="00FA6053"/>
    <w:rsid w:val="00FA6507"/>
    <w:rsid w:val="00FB02DE"/>
    <w:rsid w:val="00FB2469"/>
    <w:rsid w:val="00FB3DF4"/>
    <w:rsid w:val="00FC1889"/>
    <w:rsid w:val="00FC441E"/>
    <w:rsid w:val="00FC4CC7"/>
    <w:rsid w:val="00FC6E18"/>
    <w:rsid w:val="00FC7264"/>
    <w:rsid w:val="00FD42A6"/>
    <w:rsid w:val="00FE25DE"/>
    <w:rsid w:val="00FE4313"/>
    <w:rsid w:val="00FE5447"/>
    <w:rsid w:val="00FF5C79"/>
    <w:rsid w:val="00FF5F3F"/>
    <w:rsid w:val="00FF7B9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Signature" w:locked="1" w:semiHidden="0" w:uiPriority="0" w:unhideWhenUsed="0"/>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9C5"/>
    <w:rPr>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B09C5"/>
    <w:pPr>
      <w:tabs>
        <w:tab w:val="center" w:pos="4153"/>
        <w:tab w:val="right" w:pos="8306"/>
      </w:tabs>
    </w:pPr>
  </w:style>
  <w:style w:type="character" w:customStyle="1" w:styleId="FooterChar">
    <w:name w:val="Footer Char"/>
    <w:link w:val="Footer"/>
    <w:uiPriority w:val="99"/>
    <w:locked/>
    <w:rsid w:val="00BB09C5"/>
    <w:rPr>
      <w:rFonts w:eastAsia="Times New Roman" w:cs="Times New Roman"/>
      <w:sz w:val="20"/>
      <w:szCs w:val="20"/>
      <w:lang w:val="en-AU"/>
    </w:rPr>
  </w:style>
  <w:style w:type="paragraph" w:styleId="BodyText">
    <w:name w:val="Body Text"/>
    <w:basedOn w:val="Normal"/>
    <w:link w:val="BodyTextChar"/>
    <w:uiPriority w:val="99"/>
    <w:rsid w:val="00BB09C5"/>
    <w:pPr>
      <w:jc w:val="both"/>
    </w:pPr>
    <w:rPr>
      <w:rFonts w:eastAsia="Times New Roman"/>
      <w:sz w:val="28"/>
      <w:lang w:val="lv-LV" w:eastAsia="lv-LV"/>
    </w:rPr>
  </w:style>
  <w:style w:type="character" w:customStyle="1" w:styleId="BodyTextChar">
    <w:name w:val="Body Text Char"/>
    <w:link w:val="BodyText"/>
    <w:uiPriority w:val="99"/>
    <w:locked/>
    <w:rsid w:val="00BB09C5"/>
    <w:rPr>
      <w:rFonts w:eastAsia="Times New Roman" w:cs="Times New Roman"/>
      <w:sz w:val="20"/>
      <w:szCs w:val="20"/>
      <w:lang w:eastAsia="lv-LV"/>
    </w:rPr>
  </w:style>
  <w:style w:type="paragraph" w:styleId="BodyTextIndent">
    <w:name w:val="Body Text Indent"/>
    <w:basedOn w:val="Normal"/>
    <w:link w:val="BodyTextIndentChar"/>
    <w:uiPriority w:val="99"/>
    <w:rsid w:val="00BB09C5"/>
    <w:pPr>
      <w:spacing w:after="120"/>
      <w:ind w:left="283"/>
    </w:pPr>
  </w:style>
  <w:style w:type="character" w:customStyle="1" w:styleId="BodyTextIndentChar">
    <w:name w:val="Body Text Indent Char"/>
    <w:link w:val="BodyTextIndent"/>
    <w:uiPriority w:val="99"/>
    <w:locked/>
    <w:rsid w:val="00BB09C5"/>
    <w:rPr>
      <w:rFonts w:eastAsia="Times New Roman" w:cs="Times New Roman"/>
      <w:sz w:val="20"/>
      <w:szCs w:val="20"/>
      <w:lang w:val="en-AU"/>
    </w:rPr>
  </w:style>
  <w:style w:type="paragraph" w:styleId="BodyTextIndent2">
    <w:name w:val="Body Text Indent 2"/>
    <w:basedOn w:val="Normal"/>
    <w:link w:val="BodyTextIndent2Char"/>
    <w:uiPriority w:val="99"/>
    <w:semiHidden/>
    <w:rsid w:val="00BB09C5"/>
    <w:pPr>
      <w:spacing w:after="120" w:line="480" w:lineRule="auto"/>
      <w:ind w:left="283"/>
    </w:pPr>
  </w:style>
  <w:style w:type="character" w:customStyle="1" w:styleId="BodyTextIndent2Char">
    <w:name w:val="Body Text Indent 2 Char"/>
    <w:link w:val="BodyTextIndent2"/>
    <w:uiPriority w:val="99"/>
    <w:semiHidden/>
    <w:locked/>
    <w:rsid w:val="00BB09C5"/>
    <w:rPr>
      <w:rFonts w:eastAsia="Times New Roman" w:cs="Times New Roman"/>
      <w:sz w:val="20"/>
      <w:szCs w:val="20"/>
      <w:lang w:val="en-AU"/>
    </w:rPr>
  </w:style>
  <w:style w:type="paragraph" w:styleId="Header">
    <w:name w:val="header"/>
    <w:basedOn w:val="Normal"/>
    <w:link w:val="HeaderChar"/>
    <w:uiPriority w:val="99"/>
    <w:rsid w:val="00B014C2"/>
    <w:pPr>
      <w:tabs>
        <w:tab w:val="center" w:pos="4153"/>
        <w:tab w:val="right" w:pos="8306"/>
      </w:tabs>
    </w:pPr>
  </w:style>
  <w:style w:type="character" w:customStyle="1" w:styleId="HeaderChar">
    <w:name w:val="Header Char"/>
    <w:link w:val="Header"/>
    <w:uiPriority w:val="99"/>
    <w:locked/>
    <w:rsid w:val="00B014C2"/>
    <w:rPr>
      <w:rFonts w:eastAsia="Times New Roman" w:cs="Times New Roman"/>
      <w:sz w:val="20"/>
      <w:szCs w:val="20"/>
      <w:lang w:val="en-AU"/>
    </w:rPr>
  </w:style>
  <w:style w:type="paragraph" w:styleId="ListParagraph">
    <w:name w:val="List Paragraph"/>
    <w:basedOn w:val="Normal"/>
    <w:uiPriority w:val="99"/>
    <w:qFormat/>
    <w:rsid w:val="009B2F66"/>
    <w:pPr>
      <w:ind w:left="720"/>
      <w:contextualSpacing/>
    </w:pPr>
  </w:style>
  <w:style w:type="paragraph" w:customStyle="1" w:styleId="naisf">
    <w:name w:val="naisf"/>
    <w:basedOn w:val="Normal"/>
    <w:uiPriority w:val="99"/>
    <w:rsid w:val="00036E03"/>
    <w:pPr>
      <w:spacing w:before="75" w:after="75"/>
      <w:ind w:firstLine="375"/>
      <w:jc w:val="both"/>
    </w:pPr>
    <w:rPr>
      <w:rFonts w:eastAsia="Times New Roman"/>
      <w:sz w:val="24"/>
      <w:szCs w:val="24"/>
      <w:lang w:val="lv-LV" w:eastAsia="lv-LV"/>
    </w:rPr>
  </w:style>
  <w:style w:type="paragraph" w:customStyle="1" w:styleId="naisnod">
    <w:name w:val="naisnod"/>
    <w:basedOn w:val="Normal"/>
    <w:rsid w:val="00036E03"/>
    <w:pPr>
      <w:spacing w:before="150" w:after="150"/>
      <w:jc w:val="center"/>
    </w:pPr>
    <w:rPr>
      <w:rFonts w:eastAsia="Times New Roman"/>
      <w:b/>
      <w:bCs/>
      <w:sz w:val="24"/>
      <w:szCs w:val="24"/>
      <w:lang w:val="lv-LV" w:eastAsia="lv-LV"/>
    </w:rPr>
  </w:style>
  <w:style w:type="paragraph" w:customStyle="1" w:styleId="naiskr">
    <w:name w:val="naiskr"/>
    <w:basedOn w:val="Normal"/>
    <w:rsid w:val="00036E03"/>
    <w:pPr>
      <w:spacing w:before="75" w:after="75"/>
    </w:pPr>
    <w:rPr>
      <w:rFonts w:eastAsia="Times New Roman"/>
      <w:sz w:val="24"/>
      <w:szCs w:val="24"/>
      <w:lang w:val="lv-LV" w:eastAsia="lv-LV"/>
    </w:rPr>
  </w:style>
  <w:style w:type="table" w:styleId="TableGrid">
    <w:name w:val="Table Grid"/>
    <w:basedOn w:val="TableNormal"/>
    <w:uiPriority w:val="99"/>
    <w:rsid w:val="00BE0E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2F063C"/>
    <w:rPr>
      <w:rFonts w:ascii="Tahoma" w:hAnsi="Tahoma" w:cs="Tahoma"/>
      <w:sz w:val="16"/>
      <w:szCs w:val="16"/>
    </w:rPr>
  </w:style>
  <w:style w:type="character" w:customStyle="1" w:styleId="BalloonTextChar">
    <w:name w:val="Balloon Text Char"/>
    <w:link w:val="BalloonText"/>
    <w:uiPriority w:val="99"/>
    <w:semiHidden/>
    <w:locked/>
    <w:rsid w:val="002F063C"/>
    <w:rPr>
      <w:rFonts w:ascii="Tahoma" w:hAnsi="Tahoma" w:cs="Tahoma"/>
      <w:sz w:val="16"/>
      <w:szCs w:val="16"/>
      <w:lang w:val="en-AU"/>
    </w:rPr>
  </w:style>
  <w:style w:type="character" w:styleId="Hyperlink">
    <w:name w:val="Hyperlink"/>
    <w:uiPriority w:val="99"/>
    <w:rsid w:val="00B74BCA"/>
    <w:rPr>
      <w:rFonts w:cs="Times New Roman"/>
      <w:color w:val="0000FF"/>
      <w:u w:val="single"/>
    </w:rPr>
  </w:style>
  <w:style w:type="character" w:customStyle="1" w:styleId="apple-style-span">
    <w:name w:val="apple-style-span"/>
    <w:uiPriority w:val="99"/>
    <w:rsid w:val="00B97180"/>
    <w:rPr>
      <w:rFonts w:cs="Times New Roman"/>
    </w:rPr>
  </w:style>
  <w:style w:type="paragraph" w:styleId="Signature">
    <w:name w:val="Signature"/>
    <w:basedOn w:val="Normal"/>
    <w:next w:val="EnvelopeReturn"/>
    <w:link w:val="SignatureChar"/>
    <w:uiPriority w:val="99"/>
    <w:rsid w:val="00CB6A16"/>
    <w:pPr>
      <w:keepNext/>
      <w:keepLines/>
      <w:widowControl w:val="0"/>
      <w:tabs>
        <w:tab w:val="right" w:pos="9072"/>
      </w:tabs>
      <w:suppressAutoHyphens/>
      <w:spacing w:before="600"/>
      <w:ind w:firstLine="720"/>
    </w:pPr>
    <w:rPr>
      <w:rFonts w:eastAsia="Times New Roman"/>
      <w:sz w:val="26"/>
    </w:rPr>
  </w:style>
  <w:style w:type="character" w:customStyle="1" w:styleId="SignatureChar">
    <w:name w:val="Signature Char"/>
    <w:link w:val="Signature"/>
    <w:uiPriority w:val="99"/>
    <w:locked/>
    <w:rsid w:val="00CB6A16"/>
    <w:rPr>
      <w:rFonts w:eastAsia="Times New Roman" w:cs="Times New Roman"/>
      <w:sz w:val="20"/>
      <w:szCs w:val="20"/>
      <w:lang w:val="en-AU"/>
    </w:rPr>
  </w:style>
  <w:style w:type="paragraph" w:styleId="EnvelopeReturn">
    <w:name w:val="envelope return"/>
    <w:basedOn w:val="Normal"/>
    <w:uiPriority w:val="99"/>
    <w:rsid w:val="00CB6A16"/>
    <w:rPr>
      <w:rFonts w:ascii="Cambria" w:eastAsia="Times New Roman" w:hAnsi="Cambria"/>
    </w:rPr>
  </w:style>
  <w:style w:type="paragraph" w:customStyle="1" w:styleId="naisc">
    <w:name w:val="naisc"/>
    <w:basedOn w:val="Normal"/>
    <w:uiPriority w:val="99"/>
    <w:rsid w:val="00B17C2B"/>
    <w:pPr>
      <w:spacing w:before="94" w:after="94"/>
      <w:jc w:val="center"/>
    </w:pPr>
    <w:rPr>
      <w:rFonts w:eastAsia="Times New Roman"/>
      <w:sz w:val="24"/>
      <w:szCs w:val="24"/>
      <w:lang w:val="lv-LV" w:eastAsia="lv-LV"/>
    </w:rPr>
  </w:style>
  <w:style w:type="paragraph" w:styleId="NormalWeb">
    <w:name w:val="Normal (Web)"/>
    <w:basedOn w:val="Normal"/>
    <w:uiPriority w:val="99"/>
    <w:rsid w:val="00166B88"/>
    <w:pPr>
      <w:spacing w:before="100" w:beforeAutospacing="1" w:after="100" w:afterAutospacing="1"/>
    </w:pPr>
    <w:rPr>
      <w:sz w:val="24"/>
      <w:szCs w:val="24"/>
      <w:lang w:val="en-GB"/>
    </w:rPr>
  </w:style>
  <w:style w:type="character" w:styleId="CommentReference">
    <w:name w:val="annotation reference"/>
    <w:uiPriority w:val="99"/>
    <w:semiHidden/>
    <w:unhideWhenUsed/>
    <w:rsid w:val="004A3A36"/>
    <w:rPr>
      <w:sz w:val="16"/>
      <w:szCs w:val="16"/>
    </w:rPr>
  </w:style>
  <w:style w:type="paragraph" w:styleId="CommentText">
    <w:name w:val="annotation text"/>
    <w:basedOn w:val="Normal"/>
    <w:link w:val="CommentTextChar"/>
    <w:uiPriority w:val="99"/>
    <w:semiHidden/>
    <w:unhideWhenUsed/>
    <w:rsid w:val="004A3A36"/>
  </w:style>
  <w:style w:type="character" w:customStyle="1" w:styleId="CommentTextChar">
    <w:name w:val="Comment Text Char"/>
    <w:link w:val="CommentText"/>
    <w:uiPriority w:val="99"/>
    <w:semiHidden/>
    <w:rsid w:val="004A3A36"/>
    <w:rPr>
      <w:sz w:val="20"/>
      <w:szCs w:val="20"/>
      <w:lang w:val="en-AU" w:eastAsia="en-US"/>
    </w:rPr>
  </w:style>
  <w:style w:type="paragraph" w:styleId="CommentSubject">
    <w:name w:val="annotation subject"/>
    <w:basedOn w:val="CommentText"/>
    <w:next w:val="CommentText"/>
    <w:link w:val="CommentSubjectChar"/>
    <w:uiPriority w:val="99"/>
    <w:semiHidden/>
    <w:unhideWhenUsed/>
    <w:rsid w:val="004A3A36"/>
    <w:rPr>
      <w:b/>
      <w:bCs/>
    </w:rPr>
  </w:style>
  <w:style w:type="character" w:customStyle="1" w:styleId="CommentSubjectChar">
    <w:name w:val="Comment Subject Char"/>
    <w:link w:val="CommentSubject"/>
    <w:uiPriority w:val="99"/>
    <w:semiHidden/>
    <w:rsid w:val="004A3A36"/>
    <w:rPr>
      <w:b/>
      <w:bCs/>
      <w:sz w:val="20"/>
      <w:szCs w:val="20"/>
      <w:lang w:val="en-AU" w:eastAsia="en-US"/>
    </w:rPr>
  </w:style>
  <w:style w:type="character" w:styleId="Strong">
    <w:name w:val="Strong"/>
    <w:uiPriority w:val="22"/>
    <w:qFormat/>
    <w:locked/>
    <w:rsid w:val="002A49E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Signature" w:locked="1" w:semiHidden="0" w:uiPriority="0" w:unhideWhenUsed="0"/>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9C5"/>
    <w:rPr>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B09C5"/>
    <w:pPr>
      <w:tabs>
        <w:tab w:val="center" w:pos="4153"/>
        <w:tab w:val="right" w:pos="8306"/>
      </w:tabs>
    </w:pPr>
  </w:style>
  <w:style w:type="character" w:customStyle="1" w:styleId="FooterChar">
    <w:name w:val="Footer Char"/>
    <w:link w:val="Footer"/>
    <w:uiPriority w:val="99"/>
    <w:locked/>
    <w:rsid w:val="00BB09C5"/>
    <w:rPr>
      <w:rFonts w:eastAsia="Times New Roman" w:cs="Times New Roman"/>
      <w:sz w:val="20"/>
      <w:szCs w:val="20"/>
      <w:lang w:val="en-AU"/>
    </w:rPr>
  </w:style>
  <w:style w:type="paragraph" w:styleId="BodyText">
    <w:name w:val="Body Text"/>
    <w:basedOn w:val="Normal"/>
    <w:link w:val="BodyTextChar"/>
    <w:uiPriority w:val="99"/>
    <w:rsid w:val="00BB09C5"/>
    <w:pPr>
      <w:jc w:val="both"/>
    </w:pPr>
    <w:rPr>
      <w:rFonts w:eastAsia="Times New Roman"/>
      <w:sz w:val="28"/>
      <w:lang w:val="lv-LV" w:eastAsia="lv-LV"/>
    </w:rPr>
  </w:style>
  <w:style w:type="character" w:customStyle="1" w:styleId="BodyTextChar">
    <w:name w:val="Body Text Char"/>
    <w:link w:val="BodyText"/>
    <w:uiPriority w:val="99"/>
    <w:locked/>
    <w:rsid w:val="00BB09C5"/>
    <w:rPr>
      <w:rFonts w:eastAsia="Times New Roman" w:cs="Times New Roman"/>
      <w:sz w:val="20"/>
      <w:szCs w:val="20"/>
      <w:lang w:eastAsia="lv-LV"/>
    </w:rPr>
  </w:style>
  <w:style w:type="paragraph" w:styleId="BodyTextIndent">
    <w:name w:val="Body Text Indent"/>
    <w:basedOn w:val="Normal"/>
    <w:link w:val="BodyTextIndentChar"/>
    <w:uiPriority w:val="99"/>
    <w:rsid w:val="00BB09C5"/>
    <w:pPr>
      <w:spacing w:after="120"/>
      <w:ind w:left="283"/>
    </w:pPr>
  </w:style>
  <w:style w:type="character" w:customStyle="1" w:styleId="BodyTextIndentChar">
    <w:name w:val="Body Text Indent Char"/>
    <w:link w:val="BodyTextIndent"/>
    <w:uiPriority w:val="99"/>
    <w:locked/>
    <w:rsid w:val="00BB09C5"/>
    <w:rPr>
      <w:rFonts w:eastAsia="Times New Roman" w:cs="Times New Roman"/>
      <w:sz w:val="20"/>
      <w:szCs w:val="20"/>
      <w:lang w:val="en-AU"/>
    </w:rPr>
  </w:style>
  <w:style w:type="paragraph" w:styleId="BodyTextIndent2">
    <w:name w:val="Body Text Indent 2"/>
    <w:basedOn w:val="Normal"/>
    <w:link w:val="BodyTextIndent2Char"/>
    <w:uiPriority w:val="99"/>
    <w:semiHidden/>
    <w:rsid w:val="00BB09C5"/>
    <w:pPr>
      <w:spacing w:after="120" w:line="480" w:lineRule="auto"/>
      <w:ind w:left="283"/>
    </w:pPr>
  </w:style>
  <w:style w:type="character" w:customStyle="1" w:styleId="BodyTextIndent2Char">
    <w:name w:val="Body Text Indent 2 Char"/>
    <w:link w:val="BodyTextIndent2"/>
    <w:uiPriority w:val="99"/>
    <w:semiHidden/>
    <w:locked/>
    <w:rsid w:val="00BB09C5"/>
    <w:rPr>
      <w:rFonts w:eastAsia="Times New Roman" w:cs="Times New Roman"/>
      <w:sz w:val="20"/>
      <w:szCs w:val="20"/>
      <w:lang w:val="en-AU"/>
    </w:rPr>
  </w:style>
  <w:style w:type="paragraph" w:styleId="Header">
    <w:name w:val="header"/>
    <w:basedOn w:val="Normal"/>
    <w:link w:val="HeaderChar"/>
    <w:uiPriority w:val="99"/>
    <w:rsid w:val="00B014C2"/>
    <w:pPr>
      <w:tabs>
        <w:tab w:val="center" w:pos="4153"/>
        <w:tab w:val="right" w:pos="8306"/>
      </w:tabs>
    </w:pPr>
  </w:style>
  <w:style w:type="character" w:customStyle="1" w:styleId="HeaderChar">
    <w:name w:val="Header Char"/>
    <w:link w:val="Header"/>
    <w:uiPriority w:val="99"/>
    <w:locked/>
    <w:rsid w:val="00B014C2"/>
    <w:rPr>
      <w:rFonts w:eastAsia="Times New Roman" w:cs="Times New Roman"/>
      <w:sz w:val="20"/>
      <w:szCs w:val="20"/>
      <w:lang w:val="en-AU"/>
    </w:rPr>
  </w:style>
  <w:style w:type="paragraph" w:styleId="ListParagraph">
    <w:name w:val="List Paragraph"/>
    <w:basedOn w:val="Normal"/>
    <w:uiPriority w:val="99"/>
    <w:qFormat/>
    <w:rsid w:val="009B2F66"/>
    <w:pPr>
      <w:ind w:left="720"/>
      <w:contextualSpacing/>
    </w:pPr>
  </w:style>
  <w:style w:type="paragraph" w:customStyle="1" w:styleId="naisf">
    <w:name w:val="naisf"/>
    <w:basedOn w:val="Normal"/>
    <w:uiPriority w:val="99"/>
    <w:rsid w:val="00036E03"/>
    <w:pPr>
      <w:spacing w:before="75" w:after="75"/>
      <w:ind w:firstLine="375"/>
      <w:jc w:val="both"/>
    </w:pPr>
    <w:rPr>
      <w:rFonts w:eastAsia="Times New Roman"/>
      <w:sz w:val="24"/>
      <w:szCs w:val="24"/>
      <w:lang w:val="lv-LV" w:eastAsia="lv-LV"/>
    </w:rPr>
  </w:style>
  <w:style w:type="paragraph" w:customStyle="1" w:styleId="naisnod">
    <w:name w:val="naisnod"/>
    <w:basedOn w:val="Normal"/>
    <w:uiPriority w:val="99"/>
    <w:rsid w:val="00036E03"/>
    <w:pPr>
      <w:spacing w:before="150" w:after="150"/>
      <w:jc w:val="center"/>
    </w:pPr>
    <w:rPr>
      <w:rFonts w:eastAsia="Times New Roman"/>
      <w:b/>
      <w:bCs/>
      <w:sz w:val="24"/>
      <w:szCs w:val="24"/>
      <w:lang w:val="lv-LV" w:eastAsia="lv-LV"/>
    </w:rPr>
  </w:style>
  <w:style w:type="paragraph" w:customStyle="1" w:styleId="naiskr">
    <w:name w:val="naiskr"/>
    <w:basedOn w:val="Normal"/>
    <w:uiPriority w:val="99"/>
    <w:rsid w:val="00036E03"/>
    <w:pPr>
      <w:spacing w:before="75" w:after="75"/>
    </w:pPr>
    <w:rPr>
      <w:rFonts w:eastAsia="Times New Roman"/>
      <w:sz w:val="24"/>
      <w:szCs w:val="24"/>
      <w:lang w:val="lv-LV" w:eastAsia="lv-LV"/>
    </w:rPr>
  </w:style>
  <w:style w:type="table" w:styleId="TableGrid">
    <w:name w:val="Table Grid"/>
    <w:basedOn w:val="TableNormal"/>
    <w:uiPriority w:val="99"/>
    <w:rsid w:val="00BE0E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2F063C"/>
    <w:rPr>
      <w:rFonts w:ascii="Tahoma" w:hAnsi="Tahoma" w:cs="Tahoma"/>
      <w:sz w:val="16"/>
      <w:szCs w:val="16"/>
    </w:rPr>
  </w:style>
  <w:style w:type="character" w:customStyle="1" w:styleId="BalloonTextChar">
    <w:name w:val="Balloon Text Char"/>
    <w:link w:val="BalloonText"/>
    <w:uiPriority w:val="99"/>
    <w:semiHidden/>
    <w:locked/>
    <w:rsid w:val="002F063C"/>
    <w:rPr>
      <w:rFonts w:ascii="Tahoma" w:hAnsi="Tahoma" w:cs="Tahoma"/>
      <w:sz w:val="16"/>
      <w:szCs w:val="16"/>
      <w:lang w:val="en-AU"/>
    </w:rPr>
  </w:style>
  <w:style w:type="character" w:styleId="Hyperlink">
    <w:name w:val="Hyperlink"/>
    <w:uiPriority w:val="99"/>
    <w:rsid w:val="00B74BCA"/>
    <w:rPr>
      <w:rFonts w:cs="Times New Roman"/>
      <w:color w:val="0000FF"/>
      <w:u w:val="single"/>
    </w:rPr>
  </w:style>
  <w:style w:type="character" w:customStyle="1" w:styleId="apple-style-span">
    <w:name w:val="apple-style-span"/>
    <w:uiPriority w:val="99"/>
    <w:rsid w:val="00B97180"/>
    <w:rPr>
      <w:rFonts w:cs="Times New Roman"/>
    </w:rPr>
  </w:style>
  <w:style w:type="paragraph" w:styleId="Signature">
    <w:name w:val="Signature"/>
    <w:basedOn w:val="Normal"/>
    <w:next w:val="EnvelopeReturn"/>
    <w:link w:val="SignatureChar"/>
    <w:uiPriority w:val="99"/>
    <w:rsid w:val="00CB6A16"/>
    <w:pPr>
      <w:keepNext/>
      <w:keepLines/>
      <w:widowControl w:val="0"/>
      <w:tabs>
        <w:tab w:val="right" w:pos="9072"/>
      </w:tabs>
      <w:suppressAutoHyphens/>
      <w:spacing w:before="600"/>
      <w:ind w:firstLine="720"/>
    </w:pPr>
    <w:rPr>
      <w:rFonts w:eastAsia="Times New Roman"/>
      <w:sz w:val="26"/>
    </w:rPr>
  </w:style>
  <w:style w:type="character" w:customStyle="1" w:styleId="SignatureChar">
    <w:name w:val="Signature Char"/>
    <w:link w:val="Signature"/>
    <w:uiPriority w:val="99"/>
    <w:locked/>
    <w:rsid w:val="00CB6A16"/>
    <w:rPr>
      <w:rFonts w:eastAsia="Times New Roman" w:cs="Times New Roman"/>
      <w:sz w:val="20"/>
      <w:szCs w:val="20"/>
      <w:lang w:val="en-AU"/>
    </w:rPr>
  </w:style>
  <w:style w:type="paragraph" w:styleId="EnvelopeReturn">
    <w:name w:val="envelope return"/>
    <w:basedOn w:val="Normal"/>
    <w:uiPriority w:val="99"/>
    <w:rsid w:val="00CB6A16"/>
    <w:rPr>
      <w:rFonts w:ascii="Cambria" w:eastAsia="Times New Roman" w:hAnsi="Cambria"/>
    </w:rPr>
  </w:style>
  <w:style w:type="paragraph" w:customStyle="1" w:styleId="naisc">
    <w:name w:val="naisc"/>
    <w:basedOn w:val="Normal"/>
    <w:uiPriority w:val="99"/>
    <w:rsid w:val="00B17C2B"/>
    <w:pPr>
      <w:spacing w:before="94" w:after="94"/>
      <w:jc w:val="center"/>
    </w:pPr>
    <w:rPr>
      <w:rFonts w:eastAsia="Times New Roman"/>
      <w:sz w:val="24"/>
      <w:szCs w:val="24"/>
      <w:lang w:val="lv-LV" w:eastAsia="lv-LV"/>
    </w:rPr>
  </w:style>
  <w:style w:type="paragraph" w:styleId="NormalWeb">
    <w:name w:val="Normal (Web)"/>
    <w:basedOn w:val="Normal"/>
    <w:uiPriority w:val="99"/>
    <w:rsid w:val="00166B88"/>
    <w:pPr>
      <w:spacing w:before="100" w:beforeAutospacing="1" w:after="100" w:afterAutospacing="1"/>
    </w:pPr>
    <w:rPr>
      <w:sz w:val="24"/>
      <w:szCs w:val="24"/>
      <w:lang w:val="en-GB"/>
    </w:rPr>
  </w:style>
  <w:style w:type="character" w:styleId="CommentReference">
    <w:name w:val="annotation reference"/>
    <w:uiPriority w:val="99"/>
    <w:semiHidden/>
    <w:unhideWhenUsed/>
    <w:rsid w:val="004A3A36"/>
    <w:rPr>
      <w:sz w:val="16"/>
      <w:szCs w:val="16"/>
    </w:rPr>
  </w:style>
  <w:style w:type="paragraph" w:styleId="CommentText">
    <w:name w:val="annotation text"/>
    <w:basedOn w:val="Normal"/>
    <w:link w:val="CommentTextChar"/>
    <w:uiPriority w:val="99"/>
    <w:semiHidden/>
    <w:unhideWhenUsed/>
    <w:rsid w:val="004A3A36"/>
  </w:style>
  <w:style w:type="character" w:customStyle="1" w:styleId="CommentTextChar">
    <w:name w:val="Comment Text Char"/>
    <w:link w:val="CommentText"/>
    <w:uiPriority w:val="99"/>
    <w:semiHidden/>
    <w:rsid w:val="004A3A36"/>
    <w:rPr>
      <w:sz w:val="20"/>
      <w:szCs w:val="20"/>
      <w:lang w:val="en-AU" w:eastAsia="en-US"/>
    </w:rPr>
  </w:style>
  <w:style w:type="paragraph" w:styleId="CommentSubject">
    <w:name w:val="annotation subject"/>
    <w:basedOn w:val="CommentText"/>
    <w:next w:val="CommentText"/>
    <w:link w:val="CommentSubjectChar"/>
    <w:uiPriority w:val="99"/>
    <w:semiHidden/>
    <w:unhideWhenUsed/>
    <w:rsid w:val="004A3A36"/>
    <w:rPr>
      <w:b/>
      <w:bCs/>
    </w:rPr>
  </w:style>
  <w:style w:type="character" w:customStyle="1" w:styleId="CommentSubjectChar">
    <w:name w:val="Comment Subject Char"/>
    <w:link w:val="CommentSubject"/>
    <w:uiPriority w:val="99"/>
    <w:semiHidden/>
    <w:rsid w:val="004A3A36"/>
    <w:rPr>
      <w:b/>
      <w:bCs/>
      <w:sz w:val="20"/>
      <w:szCs w:val="20"/>
      <w:lang w:val="en-AU" w:eastAsia="en-US"/>
    </w:rPr>
  </w:style>
  <w:style w:type="character" w:styleId="Strong">
    <w:name w:val="Strong"/>
    <w:uiPriority w:val="22"/>
    <w:qFormat/>
    <w:locked/>
    <w:rsid w:val="002A49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975407">
      <w:bodyDiv w:val="1"/>
      <w:marLeft w:val="0"/>
      <w:marRight w:val="0"/>
      <w:marTop w:val="0"/>
      <w:marBottom w:val="0"/>
      <w:divBdr>
        <w:top w:val="none" w:sz="0" w:space="0" w:color="auto"/>
        <w:left w:val="none" w:sz="0" w:space="0" w:color="auto"/>
        <w:bottom w:val="none" w:sz="0" w:space="0" w:color="auto"/>
        <w:right w:val="none" w:sz="0" w:space="0" w:color="auto"/>
      </w:divBdr>
    </w:div>
    <w:div w:id="373043480">
      <w:marLeft w:val="0"/>
      <w:marRight w:val="0"/>
      <w:marTop w:val="0"/>
      <w:marBottom w:val="0"/>
      <w:divBdr>
        <w:top w:val="none" w:sz="0" w:space="0" w:color="auto"/>
        <w:left w:val="none" w:sz="0" w:space="0" w:color="auto"/>
        <w:bottom w:val="none" w:sz="0" w:space="0" w:color="auto"/>
        <w:right w:val="none" w:sz="0" w:space="0" w:color="auto"/>
      </w:divBdr>
    </w:div>
    <w:div w:id="373043481">
      <w:marLeft w:val="0"/>
      <w:marRight w:val="0"/>
      <w:marTop w:val="0"/>
      <w:marBottom w:val="0"/>
      <w:divBdr>
        <w:top w:val="none" w:sz="0" w:space="0" w:color="auto"/>
        <w:left w:val="none" w:sz="0" w:space="0" w:color="auto"/>
        <w:bottom w:val="none" w:sz="0" w:space="0" w:color="auto"/>
        <w:right w:val="none" w:sz="0" w:space="0" w:color="auto"/>
      </w:divBdr>
    </w:div>
    <w:div w:id="373043482">
      <w:marLeft w:val="0"/>
      <w:marRight w:val="0"/>
      <w:marTop w:val="0"/>
      <w:marBottom w:val="0"/>
      <w:divBdr>
        <w:top w:val="none" w:sz="0" w:space="0" w:color="auto"/>
        <w:left w:val="none" w:sz="0" w:space="0" w:color="auto"/>
        <w:bottom w:val="none" w:sz="0" w:space="0" w:color="auto"/>
        <w:right w:val="none" w:sz="0" w:space="0" w:color="auto"/>
      </w:divBdr>
    </w:div>
    <w:div w:id="373043483">
      <w:marLeft w:val="0"/>
      <w:marRight w:val="0"/>
      <w:marTop w:val="0"/>
      <w:marBottom w:val="0"/>
      <w:divBdr>
        <w:top w:val="none" w:sz="0" w:space="0" w:color="auto"/>
        <w:left w:val="none" w:sz="0" w:space="0" w:color="auto"/>
        <w:bottom w:val="none" w:sz="0" w:space="0" w:color="auto"/>
        <w:right w:val="none" w:sz="0" w:space="0" w:color="auto"/>
      </w:divBdr>
    </w:div>
    <w:div w:id="373043484">
      <w:marLeft w:val="0"/>
      <w:marRight w:val="0"/>
      <w:marTop w:val="0"/>
      <w:marBottom w:val="0"/>
      <w:divBdr>
        <w:top w:val="none" w:sz="0" w:space="0" w:color="auto"/>
        <w:left w:val="none" w:sz="0" w:space="0" w:color="auto"/>
        <w:bottom w:val="none" w:sz="0" w:space="0" w:color="auto"/>
        <w:right w:val="none" w:sz="0" w:space="0" w:color="auto"/>
      </w:divBdr>
    </w:div>
    <w:div w:id="749158261">
      <w:bodyDiv w:val="1"/>
      <w:marLeft w:val="0"/>
      <w:marRight w:val="0"/>
      <w:marTop w:val="0"/>
      <w:marBottom w:val="0"/>
      <w:divBdr>
        <w:top w:val="none" w:sz="0" w:space="0" w:color="auto"/>
        <w:left w:val="none" w:sz="0" w:space="0" w:color="auto"/>
        <w:bottom w:val="none" w:sz="0" w:space="0" w:color="auto"/>
        <w:right w:val="none" w:sz="0" w:space="0" w:color="auto"/>
      </w:divBdr>
    </w:div>
    <w:div w:id="926184095">
      <w:bodyDiv w:val="1"/>
      <w:marLeft w:val="0"/>
      <w:marRight w:val="0"/>
      <w:marTop w:val="0"/>
      <w:marBottom w:val="0"/>
      <w:divBdr>
        <w:top w:val="none" w:sz="0" w:space="0" w:color="auto"/>
        <w:left w:val="none" w:sz="0" w:space="0" w:color="auto"/>
        <w:bottom w:val="none" w:sz="0" w:space="0" w:color="auto"/>
        <w:right w:val="none" w:sz="0" w:space="0" w:color="auto"/>
      </w:divBdr>
    </w:div>
    <w:div w:id="943881246">
      <w:bodyDiv w:val="1"/>
      <w:marLeft w:val="0"/>
      <w:marRight w:val="0"/>
      <w:marTop w:val="0"/>
      <w:marBottom w:val="0"/>
      <w:divBdr>
        <w:top w:val="none" w:sz="0" w:space="0" w:color="auto"/>
        <w:left w:val="none" w:sz="0" w:space="0" w:color="auto"/>
        <w:bottom w:val="none" w:sz="0" w:space="0" w:color="auto"/>
        <w:right w:val="none" w:sz="0" w:space="0" w:color="auto"/>
      </w:divBdr>
    </w:div>
    <w:div w:id="991131515">
      <w:bodyDiv w:val="1"/>
      <w:marLeft w:val="0"/>
      <w:marRight w:val="0"/>
      <w:marTop w:val="0"/>
      <w:marBottom w:val="0"/>
      <w:divBdr>
        <w:top w:val="none" w:sz="0" w:space="0" w:color="auto"/>
        <w:left w:val="none" w:sz="0" w:space="0" w:color="auto"/>
        <w:bottom w:val="none" w:sz="0" w:space="0" w:color="auto"/>
        <w:right w:val="none" w:sz="0" w:space="0" w:color="auto"/>
      </w:divBdr>
    </w:div>
    <w:div w:id="1105921196">
      <w:bodyDiv w:val="1"/>
      <w:marLeft w:val="0"/>
      <w:marRight w:val="0"/>
      <w:marTop w:val="0"/>
      <w:marBottom w:val="0"/>
      <w:divBdr>
        <w:top w:val="none" w:sz="0" w:space="0" w:color="auto"/>
        <w:left w:val="none" w:sz="0" w:space="0" w:color="auto"/>
        <w:bottom w:val="none" w:sz="0" w:space="0" w:color="auto"/>
        <w:right w:val="none" w:sz="0" w:space="0" w:color="auto"/>
      </w:divBdr>
    </w:div>
    <w:div w:id="1270241845">
      <w:bodyDiv w:val="1"/>
      <w:marLeft w:val="0"/>
      <w:marRight w:val="0"/>
      <w:marTop w:val="0"/>
      <w:marBottom w:val="0"/>
      <w:divBdr>
        <w:top w:val="none" w:sz="0" w:space="0" w:color="auto"/>
        <w:left w:val="none" w:sz="0" w:space="0" w:color="auto"/>
        <w:bottom w:val="none" w:sz="0" w:space="0" w:color="auto"/>
        <w:right w:val="none" w:sz="0" w:space="0" w:color="auto"/>
      </w:divBdr>
    </w:div>
    <w:div w:id="1384790846">
      <w:bodyDiv w:val="1"/>
      <w:marLeft w:val="0"/>
      <w:marRight w:val="0"/>
      <w:marTop w:val="0"/>
      <w:marBottom w:val="0"/>
      <w:divBdr>
        <w:top w:val="none" w:sz="0" w:space="0" w:color="auto"/>
        <w:left w:val="none" w:sz="0" w:space="0" w:color="auto"/>
        <w:bottom w:val="none" w:sz="0" w:space="0" w:color="auto"/>
        <w:right w:val="none" w:sz="0" w:space="0" w:color="auto"/>
      </w:divBdr>
    </w:div>
    <w:div w:id="1585990178">
      <w:bodyDiv w:val="1"/>
      <w:marLeft w:val="0"/>
      <w:marRight w:val="0"/>
      <w:marTop w:val="0"/>
      <w:marBottom w:val="0"/>
      <w:divBdr>
        <w:top w:val="none" w:sz="0" w:space="0" w:color="auto"/>
        <w:left w:val="none" w:sz="0" w:space="0" w:color="auto"/>
        <w:bottom w:val="none" w:sz="0" w:space="0" w:color="auto"/>
        <w:right w:val="none" w:sz="0" w:space="0" w:color="auto"/>
      </w:divBdr>
    </w:div>
    <w:div w:id="1917589917">
      <w:bodyDiv w:val="1"/>
      <w:marLeft w:val="0"/>
      <w:marRight w:val="0"/>
      <w:marTop w:val="0"/>
      <w:marBottom w:val="0"/>
      <w:divBdr>
        <w:top w:val="none" w:sz="0" w:space="0" w:color="auto"/>
        <w:left w:val="none" w:sz="0" w:space="0" w:color="auto"/>
        <w:bottom w:val="none" w:sz="0" w:space="0" w:color="auto"/>
        <w:right w:val="none" w:sz="0" w:space="0" w:color="auto"/>
      </w:divBdr>
    </w:div>
    <w:div w:id="192364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293</TotalTime>
  <Pages>7</Pages>
  <Words>1308</Words>
  <Characters>9228</Characters>
  <Application>Microsoft Office Word</Application>
  <DocSecurity>0</DocSecurity>
  <Lines>439</Lines>
  <Paragraphs>159</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2008.gada 25.novembra noteikumos Nr.983 „Noteikumi par atbalsta piešķiršanu tehnoloģiju pārneses un riska kapitāla jomā”” sākotnējās ietekmes novērtējuma ziņojums (anotācija).</vt:lpstr>
    </vt:vector>
  </TitlesOfParts>
  <Company>LR Ekonomikas ministrija</Company>
  <LinksUpToDate>false</LinksUpToDate>
  <CharactersWithSpaces>10377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2008.gada 25.novembra noteikumos Nr.983 „Noteikumi par atbalsta piešķiršanu tehnoloģiju pārneses un riska kapitāla jomā”” sākotnējās ietekmes novērtējuma ziņojums (anotācija).</dc:title>
  <dc:subject>Anotācija</dc:subject>
  <dc:creator>Egita Poļanska</dc:creator>
  <dc:description>67013108, Egita.Polanska@em.gov.lv;</dc:description>
  <cp:lastModifiedBy>Egita Poļanska</cp:lastModifiedBy>
  <cp:revision>40</cp:revision>
  <cp:lastPrinted>2010-07-14T09:41:00Z</cp:lastPrinted>
  <dcterms:created xsi:type="dcterms:W3CDTF">2012-05-02T14:29:00Z</dcterms:created>
  <dcterms:modified xsi:type="dcterms:W3CDTF">2012-06-08T13:05:00Z</dcterms:modified>
</cp:coreProperties>
</file>