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42" w:rsidRPr="007C0F2C" w:rsidRDefault="00852042" w:rsidP="00214094">
      <w:pPr>
        <w:pStyle w:val="naislab"/>
        <w:spacing w:before="0" w:after="0"/>
        <w:rPr>
          <w:sz w:val="28"/>
          <w:szCs w:val="28"/>
        </w:rPr>
      </w:pPr>
    </w:p>
    <w:p w:rsidR="0056573F" w:rsidRDefault="00B352C3" w:rsidP="00B352C3">
      <w:pPr>
        <w:pStyle w:val="Title"/>
        <w:outlineLvl w:val="0"/>
        <w:rPr>
          <w:sz w:val="28"/>
          <w:szCs w:val="28"/>
        </w:rPr>
      </w:pPr>
      <w:bookmarkStart w:id="0" w:name="OLE_LINK1"/>
      <w:bookmarkStart w:id="1" w:name="OLE_LINK2"/>
      <w:r w:rsidRPr="007F16D9">
        <w:rPr>
          <w:sz w:val="28"/>
          <w:szCs w:val="28"/>
        </w:rPr>
        <w:t>Minis</w:t>
      </w:r>
      <w:r>
        <w:rPr>
          <w:sz w:val="28"/>
          <w:szCs w:val="28"/>
        </w:rPr>
        <w:t>tru kabineta noteikumu projekt</w:t>
      </w:r>
      <w:bookmarkEnd w:id="0"/>
      <w:bookmarkEnd w:id="1"/>
      <w:r>
        <w:rPr>
          <w:sz w:val="28"/>
          <w:szCs w:val="28"/>
        </w:rPr>
        <w:t xml:space="preserve">a </w:t>
      </w:r>
    </w:p>
    <w:p w:rsidR="0056573F" w:rsidRDefault="00B352C3" w:rsidP="00B352C3">
      <w:pPr>
        <w:pStyle w:val="Title"/>
        <w:outlineLvl w:val="0"/>
        <w:rPr>
          <w:sz w:val="28"/>
          <w:szCs w:val="28"/>
        </w:rPr>
      </w:pPr>
      <w:r>
        <w:rPr>
          <w:sz w:val="28"/>
          <w:szCs w:val="28"/>
        </w:rPr>
        <w:t>„</w:t>
      </w:r>
      <w:r w:rsidRPr="005C7704">
        <w:rPr>
          <w:sz w:val="28"/>
          <w:szCs w:val="28"/>
        </w:rPr>
        <w:t xml:space="preserve">Par Latvijas Republikas Ekonomikas ministrijas un </w:t>
      </w:r>
    </w:p>
    <w:p w:rsidR="0056573F" w:rsidRDefault="0056573F" w:rsidP="00B352C3">
      <w:pPr>
        <w:pStyle w:val="Title"/>
        <w:outlineLvl w:val="0"/>
        <w:rPr>
          <w:sz w:val="28"/>
          <w:szCs w:val="28"/>
        </w:rPr>
      </w:pPr>
      <w:r>
        <w:rPr>
          <w:sz w:val="28"/>
          <w:szCs w:val="28"/>
        </w:rPr>
        <w:t>Kirovas</w:t>
      </w:r>
      <w:r w:rsidR="00B352C3" w:rsidRPr="005C7704">
        <w:rPr>
          <w:sz w:val="28"/>
          <w:szCs w:val="28"/>
        </w:rPr>
        <w:t xml:space="preserve"> apgabala (Krievijas Feder</w:t>
      </w:r>
      <w:r w:rsidR="00C022CD">
        <w:rPr>
          <w:sz w:val="28"/>
          <w:szCs w:val="28"/>
        </w:rPr>
        <w:t xml:space="preserve">ācija) </w:t>
      </w:r>
      <w:r>
        <w:rPr>
          <w:sz w:val="28"/>
          <w:szCs w:val="28"/>
        </w:rPr>
        <w:t>valdības</w:t>
      </w:r>
      <w:r w:rsidR="00C022CD">
        <w:rPr>
          <w:sz w:val="28"/>
          <w:szCs w:val="28"/>
        </w:rPr>
        <w:t xml:space="preserve"> </w:t>
      </w:r>
    </w:p>
    <w:p w:rsidR="00B352C3" w:rsidRPr="005C7704" w:rsidRDefault="00C022CD" w:rsidP="00B352C3">
      <w:pPr>
        <w:pStyle w:val="Title"/>
        <w:outlineLvl w:val="0"/>
        <w:rPr>
          <w:sz w:val="28"/>
          <w:szCs w:val="28"/>
        </w:rPr>
      </w:pPr>
      <w:r>
        <w:rPr>
          <w:sz w:val="28"/>
          <w:szCs w:val="28"/>
        </w:rPr>
        <w:t>v</w:t>
      </w:r>
      <w:r w:rsidR="00B352C3">
        <w:rPr>
          <w:sz w:val="28"/>
          <w:szCs w:val="28"/>
        </w:rPr>
        <w:t>ienošano</w:t>
      </w:r>
      <w:r w:rsidR="00B352C3" w:rsidRPr="005C7704">
        <w:rPr>
          <w:sz w:val="28"/>
          <w:szCs w:val="28"/>
        </w:rPr>
        <w:t>s par ekonomisko sadarbību”</w:t>
      </w:r>
    </w:p>
    <w:p w:rsidR="008C5649" w:rsidRDefault="00852042" w:rsidP="00214094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7C0F2C">
        <w:rPr>
          <w:b/>
          <w:sz w:val="28"/>
          <w:szCs w:val="28"/>
        </w:rPr>
        <w:t>sākotnējā</w:t>
      </w:r>
      <w:r w:rsidR="002D3306" w:rsidRPr="007C0F2C">
        <w:rPr>
          <w:b/>
          <w:sz w:val="28"/>
          <w:szCs w:val="28"/>
        </w:rPr>
        <w:t>s</w:t>
      </w:r>
      <w:r w:rsidRPr="007C0F2C">
        <w:rPr>
          <w:b/>
          <w:sz w:val="28"/>
          <w:szCs w:val="28"/>
        </w:rPr>
        <w:t xml:space="preserve">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7C0F2C">
          <w:rPr>
            <w:b/>
            <w:sz w:val="28"/>
            <w:szCs w:val="28"/>
          </w:rPr>
          <w:t>ziņojums</w:t>
        </w:r>
      </w:smartTag>
      <w:r w:rsidRPr="007C0F2C">
        <w:rPr>
          <w:b/>
          <w:sz w:val="28"/>
          <w:szCs w:val="28"/>
        </w:rPr>
        <w:t xml:space="preserve"> (anotācija)</w:t>
      </w:r>
    </w:p>
    <w:p w:rsidR="0056573F" w:rsidRDefault="0056573F" w:rsidP="00214094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p w:rsidR="004E263D" w:rsidRPr="007C0F2C" w:rsidRDefault="004E263D" w:rsidP="00214094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1"/>
        <w:gridCol w:w="3404"/>
        <w:gridCol w:w="5895"/>
      </w:tblGrid>
      <w:tr w:rsidR="00852042" w:rsidRPr="007C0F2C" w:rsidTr="005C25AD">
        <w:tc>
          <w:tcPr>
            <w:tcW w:w="9730" w:type="dxa"/>
            <w:gridSpan w:val="3"/>
            <w:vAlign w:val="center"/>
          </w:tcPr>
          <w:p w:rsidR="00852042" w:rsidRPr="007C0F2C" w:rsidRDefault="00852042" w:rsidP="00BD06FC">
            <w:pPr>
              <w:pStyle w:val="naisnod"/>
              <w:spacing w:before="120" w:after="120"/>
            </w:pPr>
            <w:r w:rsidRPr="007C0F2C">
              <w:t>I</w:t>
            </w:r>
            <w:r w:rsidR="000941C5" w:rsidRPr="007C0F2C">
              <w:t>.</w:t>
            </w:r>
            <w:r w:rsidRPr="007C0F2C">
              <w:t xml:space="preserve"> Tiesību akta </w:t>
            </w:r>
            <w:r w:rsidR="002E3FF4" w:rsidRPr="007C0F2C">
              <w:t xml:space="preserve">projekta </w:t>
            </w:r>
            <w:r w:rsidRPr="007C0F2C">
              <w:t>izstrādes nepieciešamība</w:t>
            </w:r>
          </w:p>
        </w:tc>
      </w:tr>
      <w:tr w:rsidR="00262E2B" w:rsidRPr="007C0F2C" w:rsidTr="005C25AD">
        <w:trPr>
          <w:trHeight w:val="630"/>
        </w:trPr>
        <w:tc>
          <w:tcPr>
            <w:tcW w:w="431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3404" w:type="dxa"/>
          </w:tcPr>
          <w:p w:rsidR="00262E2B" w:rsidRPr="007C0F2C" w:rsidRDefault="002D7F54" w:rsidP="00BD06FC">
            <w:pPr>
              <w:pStyle w:val="naiskr"/>
              <w:spacing w:before="120" w:after="120"/>
              <w:ind w:hanging="1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Pamatojums</w:t>
            </w:r>
          </w:p>
        </w:tc>
        <w:tc>
          <w:tcPr>
            <w:tcW w:w="5895" w:type="dxa"/>
          </w:tcPr>
          <w:p w:rsidR="00262E2B" w:rsidRPr="00767169" w:rsidRDefault="00B87606" w:rsidP="00D205B2">
            <w:pPr>
              <w:widowControl w:val="0"/>
              <w:spacing w:before="120" w:after="120"/>
              <w:ind w:left="198" w:right="198"/>
              <w:jc w:val="both"/>
            </w:pPr>
            <w:r w:rsidRPr="00476DDD">
              <w:t xml:space="preserve">Deklarācijas par Valda </w:t>
            </w:r>
            <w:proofErr w:type="spellStart"/>
            <w:r w:rsidRPr="00476DDD">
              <w:t>Dombrovska</w:t>
            </w:r>
            <w:proofErr w:type="spellEnd"/>
            <w:r w:rsidRPr="00476DDD">
              <w:t xml:space="preserve"> vadītā Mini</w:t>
            </w:r>
            <w:r w:rsidR="00897585">
              <w:t>stru kabineta iecerēto darbību 11.30</w:t>
            </w:r>
            <w:r w:rsidRPr="00476DDD">
              <w:t>. punkts „</w:t>
            </w:r>
            <w:r w:rsidR="00897585" w:rsidRPr="00897585">
              <w:t>Turpināsim darbu pie starpvalstu līgumu tiesiskās bāzes pilnveidošanas, jaunu un esošu eksporta tirgu paplašināšanai</w:t>
            </w:r>
            <w:r w:rsidRPr="00476DDD">
              <w:t>”.</w:t>
            </w:r>
          </w:p>
        </w:tc>
      </w:tr>
      <w:tr w:rsidR="00262E2B" w:rsidRPr="007C0F2C" w:rsidTr="005C25AD">
        <w:trPr>
          <w:trHeight w:val="472"/>
        </w:trPr>
        <w:tc>
          <w:tcPr>
            <w:tcW w:w="431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</w:tcPr>
          <w:p w:rsidR="00262E2B" w:rsidRPr="007C0F2C" w:rsidRDefault="00262E2B" w:rsidP="00BD06FC">
            <w:pPr>
              <w:pStyle w:val="naiskr"/>
              <w:tabs>
                <w:tab w:val="left" w:pos="170"/>
              </w:tabs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Pašreizējā situācija</w:t>
            </w:r>
            <w:r w:rsidR="001F5CD6" w:rsidRPr="007C0F2C">
              <w:rPr>
                <w:sz w:val="22"/>
                <w:szCs w:val="22"/>
              </w:rPr>
              <w:t xml:space="preserve"> un problēmas</w:t>
            </w:r>
          </w:p>
        </w:tc>
        <w:tc>
          <w:tcPr>
            <w:tcW w:w="5895" w:type="dxa"/>
          </w:tcPr>
          <w:p w:rsidR="0067371B" w:rsidRDefault="00BD334F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Latvijas Republikas valdības un Krievijas Federācijas valdības vienošanā</w:t>
            </w:r>
            <w:r w:rsidR="0067371B" w:rsidRPr="00BD502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s par ekonomisko sadarbību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(spēkā no 16.11.2006.) </w:t>
            </w:r>
            <w:r w:rsidR="0067371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paredz </w:t>
            </w:r>
            <w:r w:rsidR="0067371B" w:rsidRPr="005661F0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Latvijas un Krievijas</w:t>
            </w:r>
            <w:r w:rsidR="0067371B" w:rsidRPr="00455E7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divpusējo ekonomisko attiecību intensifikāciju dažādos ekonomikas sektoros, tai skaitā investīciju, inovāciju, kā arī enerģētikas, transporta un pierobežas infrastruktūras, sertifikācijas, standartizācijas un metroloģijas, tūrisma un citās jomās.</w:t>
            </w:r>
          </w:p>
          <w:p w:rsidR="00B352C3" w:rsidRDefault="007C4D29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Vienlaikus </w:t>
            </w:r>
            <w:r w:rsidR="0067371B" w:rsidRPr="0067371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Latvija ir ieinteresēta attīstīt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padziļinātu</w:t>
            </w:r>
            <w:r w:rsidR="003A2B7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  <w:r w:rsidR="0067371B" w:rsidRPr="0067371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ekonomisko sadarbību ar</w:t>
            </w:r>
            <w:r w:rsidR="003A2B7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ī ar </w:t>
            </w:r>
            <w:r w:rsidR="0067371B" w:rsidRPr="0067371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Kr</w:t>
            </w:r>
            <w:r w:rsidR="003A2B7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</w:t>
            </w:r>
            <w:r w:rsidR="00985AD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evijas Federācijas reģioniem, </w:t>
            </w:r>
            <w:r w:rsidR="003A2B7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  <w:r w:rsidR="00985AD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tādejādi pave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rot</w:t>
            </w:r>
            <w:r w:rsidR="0067371B" w:rsidRPr="0067371B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plašākas iespējas abu valstu ekonomisko un tirdzniecības sakaru attīstībai, kā arī savstarpējās sadarbības veicināšanai.</w:t>
            </w:r>
            <w:r w:rsidR="00B352C3" w:rsidRPr="00B352C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  <w:p w:rsidR="00B352C3" w:rsidRPr="0067371B" w:rsidRDefault="00B352C3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B352C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Latvijas Republikas Ekonomikas ministrijas un </w:t>
            </w:r>
            <w:r w:rsidR="009E780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Kirovas </w:t>
            </w:r>
            <w:r w:rsidRPr="00B352C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apgabala (Krievij</w:t>
            </w:r>
            <w:r w:rsidR="00985AD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as Federācija) </w:t>
            </w:r>
            <w:r w:rsidR="0089758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valdības</w:t>
            </w:r>
            <w:r w:rsidR="00985AD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v</w:t>
            </w:r>
            <w:r w:rsidRPr="00B352C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ienošanās par ekonomisko sadarbību sniegs papildus iespējas ekonomiskās sadarbības padziļināšanai un attīstībai starp Latviju un Krievijas Federācijas </w:t>
            </w:r>
            <w:r w:rsidR="0056573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Kirovas</w:t>
            </w:r>
            <w:r w:rsidRPr="00B352C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apgabalu.</w:t>
            </w:r>
          </w:p>
        </w:tc>
      </w:tr>
      <w:tr w:rsidR="00262E2B" w:rsidRPr="007C0F2C" w:rsidTr="005C25AD">
        <w:trPr>
          <w:trHeight w:val="701"/>
        </w:trPr>
        <w:tc>
          <w:tcPr>
            <w:tcW w:w="431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3.</w:t>
            </w:r>
          </w:p>
        </w:tc>
        <w:tc>
          <w:tcPr>
            <w:tcW w:w="3404" w:type="dxa"/>
          </w:tcPr>
          <w:p w:rsidR="00262E2B" w:rsidRPr="007C0F2C" w:rsidRDefault="00420870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S</w:t>
            </w:r>
            <w:r w:rsidR="000B69CF" w:rsidRPr="007C0F2C">
              <w:rPr>
                <w:sz w:val="22"/>
                <w:szCs w:val="22"/>
              </w:rPr>
              <w:t xml:space="preserve">aistītie </w:t>
            </w:r>
            <w:r w:rsidR="001A6AE4" w:rsidRPr="007C0F2C">
              <w:rPr>
                <w:sz w:val="22"/>
                <w:szCs w:val="22"/>
              </w:rPr>
              <w:t>politikas ietekmes novērtējumi</w:t>
            </w:r>
            <w:r w:rsidR="00CB0247" w:rsidRPr="007C0F2C">
              <w:rPr>
                <w:sz w:val="22"/>
                <w:szCs w:val="22"/>
              </w:rPr>
              <w:t xml:space="preserve"> un</w:t>
            </w:r>
            <w:r w:rsidR="001A6AE4" w:rsidRPr="007C0F2C">
              <w:rPr>
                <w:sz w:val="22"/>
                <w:szCs w:val="22"/>
              </w:rPr>
              <w:t xml:space="preserve"> </w:t>
            </w:r>
            <w:r w:rsidR="000B69CF" w:rsidRPr="007C0F2C">
              <w:rPr>
                <w:sz w:val="22"/>
                <w:szCs w:val="22"/>
              </w:rPr>
              <w:t>pētījumi</w:t>
            </w:r>
          </w:p>
        </w:tc>
        <w:tc>
          <w:tcPr>
            <w:tcW w:w="5895" w:type="dxa"/>
          </w:tcPr>
          <w:p w:rsidR="00B352C3" w:rsidRPr="00B352C3" w:rsidRDefault="00D205B2" w:rsidP="00D205B2">
            <w:pPr>
              <w:pStyle w:val="naiskr"/>
              <w:spacing w:before="120" w:after="120"/>
              <w:ind w:left="281"/>
              <w:jc w:val="both"/>
            </w:pPr>
            <w:r>
              <w:t>Projekts šo jomu neskar.</w:t>
            </w:r>
          </w:p>
        </w:tc>
      </w:tr>
      <w:tr w:rsidR="00262E2B" w:rsidRPr="007C0F2C" w:rsidTr="005C25AD">
        <w:trPr>
          <w:trHeight w:val="384"/>
        </w:trPr>
        <w:tc>
          <w:tcPr>
            <w:tcW w:w="431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4.</w:t>
            </w:r>
          </w:p>
        </w:tc>
        <w:tc>
          <w:tcPr>
            <w:tcW w:w="3404" w:type="dxa"/>
          </w:tcPr>
          <w:p w:rsidR="00262E2B" w:rsidRPr="007C0F2C" w:rsidRDefault="000C790C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Tiesiskā r</w:t>
            </w:r>
            <w:r w:rsidR="00400032" w:rsidRPr="007C0F2C">
              <w:rPr>
                <w:sz w:val="22"/>
                <w:szCs w:val="22"/>
              </w:rPr>
              <w:t xml:space="preserve">egulējuma </w:t>
            </w:r>
            <w:r w:rsidR="00262E2B" w:rsidRPr="007C0F2C">
              <w:rPr>
                <w:sz w:val="22"/>
                <w:szCs w:val="22"/>
              </w:rPr>
              <w:t>mērķis un būtība</w:t>
            </w:r>
          </w:p>
        </w:tc>
        <w:tc>
          <w:tcPr>
            <w:tcW w:w="5895" w:type="dxa"/>
          </w:tcPr>
          <w:p w:rsidR="00262E2B" w:rsidRPr="00D205B2" w:rsidRDefault="0067371B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Latvijas Republikas Ekonomikas ministrijas un </w:t>
            </w:r>
            <w:r w:rsidR="00897585"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Kirovas</w:t>
            </w: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apgabala (Krievijas </w:t>
            </w:r>
            <w:r w:rsidR="00985ADC"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Federācija) </w:t>
            </w:r>
            <w:r w:rsidR="00897585"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valdības</w:t>
            </w:r>
            <w:r w:rsidR="00985ADC"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v</w:t>
            </w: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ienošanās par ekonomisko sadarbību </w:t>
            </w:r>
            <w:r w:rsidR="000F064A"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mērķis ir regulēt</w:t>
            </w: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divpusējo ekonomisko sadarbību, kas aptvers sadarbību tādās jomās kā </w:t>
            </w:r>
            <w:r w:rsidR="00781D10"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kokapstrāde, būvniecība, agrāri rūpnieciskais komplekss, pārtikas produktu ražošana un tirdzniecība, tūrisms, mašīnbūve, loģistika, informācijas tehnoloģijas, </w:t>
            </w: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u.c., kā arī veicinās Latvijas Republikas ekonomiskās sadarbības turpmāku attīstību ar Krievijas Federācijas </w:t>
            </w:r>
            <w:r w:rsidR="00781D10"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Kirovas</w:t>
            </w: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apgabalu.</w:t>
            </w:r>
          </w:p>
          <w:p w:rsidR="00BD334F" w:rsidRPr="00BD06FC" w:rsidRDefault="00BD334F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BD06F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lastRenderedPageBreak/>
              <w:t xml:space="preserve">Latvijas Republikas Ekonomikas ministrijas un </w:t>
            </w:r>
            <w:r w:rsidRPr="0089758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Kirovas apgabala (Krievijas Federācija) valdības</w:t>
            </w:r>
            <w:r w:rsidRPr="00BD06F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Vienošanās par ekonomisko sadarbību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ietvaros </w:t>
            </w:r>
            <w:r w:rsidRPr="00EF5F6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Puses</w:t>
            </w:r>
            <w:r w:rsidR="000F064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savas kompetences ietvaros veiks</w:t>
            </w:r>
            <w:r w:rsidRPr="00EF5F6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visus nepieciešamos pasākumus ekonomiskās sadarbības attīstībai un nostiprināšanai visās savstarpējo interešu un izdevīguma jomās.</w:t>
            </w:r>
          </w:p>
          <w:p w:rsidR="00BD334F" w:rsidRPr="00781D10" w:rsidRDefault="00BD334F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81D10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Puses</w:t>
            </w:r>
            <w:r w:rsidR="000F064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savas kompetences ietvaros radīs</w:t>
            </w:r>
            <w:r w:rsidRPr="00781D10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labvēlīgus apstākļus ekonomiskās sadarbības attīstībai, sekmējot:</w:t>
            </w:r>
          </w:p>
          <w:p w:rsidR="00BD334F" w:rsidRPr="00D205B2" w:rsidRDefault="00BD334F" w:rsidP="00E969A9">
            <w:pPr>
              <w:pStyle w:val="NormalWeb"/>
              <w:numPr>
                <w:ilvl w:val="0"/>
                <w:numId w:val="19"/>
              </w:numPr>
              <w:spacing w:before="120" w:beforeAutospacing="0" w:after="120" w:afterAutospacing="0"/>
              <w:ind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kontaktus starp saimnieciskās darbības veicējiem;</w:t>
            </w:r>
          </w:p>
          <w:p w:rsidR="00BD334F" w:rsidRPr="00D205B2" w:rsidRDefault="00BD334F" w:rsidP="00E969A9">
            <w:pPr>
              <w:pStyle w:val="NormalWeb"/>
              <w:numPr>
                <w:ilvl w:val="0"/>
                <w:numId w:val="19"/>
              </w:numPr>
              <w:spacing w:before="120" w:beforeAutospacing="0" w:after="120" w:afterAutospacing="0"/>
              <w:ind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gadatirgu, izstāžu, simpoziju utt. organizēšanu Latvijas Republikas un Kirovas apgabala (Krievijas Federācija) teritorijā;</w:t>
            </w:r>
          </w:p>
          <w:p w:rsidR="00BD334F" w:rsidRPr="00D205B2" w:rsidRDefault="00BD334F" w:rsidP="00E969A9">
            <w:pPr>
              <w:pStyle w:val="NormalWeb"/>
              <w:numPr>
                <w:ilvl w:val="0"/>
                <w:numId w:val="19"/>
              </w:numPr>
              <w:spacing w:before="120" w:beforeAutospacing="0" w:after="120" w:afterAutospacing="0"/>
              <w:ind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citu ekonomisko sadarbību veicinošu pasākumu realizēšanu.</w:t>
            </w:r>
          </w:p>
          <w:p w:rsidR="00BD334F" w:rsidRDefault="00BD334F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F5F6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Par Vienošanās paredzēto saistību izpildi atbildīgā institūcija no Latvijas puses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ir</w:t>
            </w:r>
            <w:r w:rsidRPr="00EF5F6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LR </w:t>
            </w:r>
            <w:r w:rsidRPr="00EF5F6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Ekonomikas ministrija.</w:t>
            </w:r>
          </w:p>
          <w:p w:rsidR="00BD334F" w:rsidRPr="00D205B2" w:rsidRDefault="00BD334F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Vienošanās realizācijai Vienošanās līgumslēdzējpuses – Ekonomikas ministrija un Kirovas apgabala (Krievijas Federācija) valdība sagatavos un parakstīs pasākumu plānu (darba programmu) uz trim gadiem.</w:t>
            </w:r>
          </w:p>
        </w:tc>
      </w:tr>
      <w:tr w:rsidR="00262E2B" w:rsidRPr="007C0F2C" w:rsidTr="005C25AD">
        <w:trPr>
          <w:trHeight w:val="476"/>
        </w:trPr>
        <w:tc>
          <w:tcPr>
            <w:tcW w:w="431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404" w:type="dxa"/>
          </w:tcPr>
          <w:p w:rsidR="00262E2B" w:rsidRPr="007C0F2C" w:rsidRDefault="001A4066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Projekta i</w:t>
            </w:r>
            <w:r w:rsidR="00262E2B" w:rsidRPr="007C0F2C">
              <w:rPr>
                <w:sz w:val="22"/>
                <w:szCs w:val="22"/>
              </w:rPr>
              <w:t>zstrād</w:t>
            </w:r>
            <w:r w:rsidR="00420870" w:rsidRPr="007C0F2C">
              <w:rPr>
                <w:sz w:val="22"/>
                <w:szCs w:val="22"/>
              </w:rPr>
              <w:t xml:space="preserve">ē </w:t>
            </w:r>
            <w:r w:rsidR="00262E2B" w:rsidRPr="007C0F2C">
              <w:rPr>
                <w:sz w:val="22"/>
                <w:szCs w:val="22"/>
              </w:rPr>
              <w:t>iesaistītās institūcijas</w:t>
            </w:r>
          </w:p>
        </w:tc>
        <w:tc>
          <w:tcPr>
            <w:tcW w:w="5895" w:type="dxa"/>
          </w:tcPr>
          <w:p w:rsidR="00BC2D00" w:rsidRPr="00BD06FC" w:rsidRDefault="007C6711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C6711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Projektu izstrādāja LR Ekonomikas ministrija</w:t>
            </w:r>
            <w:r w:rsidR="00BD334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.</w:t>
            </w:r>
          </w:p>
        </w:tc>
      </w:tr>
      <w:tr w:rsidR="00262E2B" w:rsidRPr="007C0F2C" w:rsidTr="005C25AD">
        <w:trPr>
          <w:trHeight w:val="881"/>
        </w:trPr>
        <w:tc>
          <w:tcPr>
            <w:tcW w:w="431" w:type="dxa"/>
          </w:tcPr>
          <w:p w:rsidR="00262E2B" w:rsidRPr="007C0F2C" w:rsidRDefault="00262E2B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6.</w:t>
            </w:r>
          </w:p>
        </w:tc>
        <w:tc>
          <w:tcPr>
            <w:tcW w:w="3404" w:type="dxa"/>
          </w:tcPr>
          <w:p w:rsidR="00262E2B" w:rsidRPr="007C0F2C" w:rsidRDefault="00BB7C94" w:rsidP="00BD06FC">
            <w:pPr>
              <w:pStyle w:val="naiskr"/>
              <w:spacing w:before="120" w:after="120"/>
              <w:rPr>
                <w:i/>
                <w:sz w:val="22"/>
                <w:szCs w:val="22"/>
                <w:highlight w:val="yellow"/>
              </w:rPr>
            </w:pPr>
            <w:r w:rsidRPr="007C0F2C">
              <w:rPr>
                <w:sz w:val="22"/>
                <w:szCs w:val="22"/>
              </w:rPr>
              <w:t xml:space="preserve">Iemesli, kādēļ netika nodrošināta </w:t>
            </w:r>
            <w:r w:rsidR="00262E2B" w:rsidRPr="007C0F2C">
              <w:rPr>
                <w:sz w:val="22"/>
                <w:szCs w:val="22"/>
              </w:rPr>
              <w:t xml:space="preserve">sabiedrības </w:t>
            </w:r>
            <w:r w:rsidRPr="007C0F2C">
              <w:rPr>
                <w:sz w:val="22"/>
                <w:szCs w:val="22"/>
              </w:rPr>
              <w:t>līdzdalība</w:t>
            </w:r>
          </w:p>
        </w:tc>
        <w:tc>
          <w:tcPr>
            <w:tcW w:w="5895" w:type="dxa"/>
          </w:tcPr>
          <w:p w:rsidR="00D205B2" w:rsidRPr="00D205B2" w:rsidRDefault="00EE2614" w:rsidP="00D205B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205B2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Sabiedrības līdzdalība šādu vienošanos projektu izstrādē nav paredzēta.</w:t>
            </w:r>
          </w:p>
        </w:tc>
      </w:tr>
      <w:tr w:rsidR="00D205B2" w:rsidRPr="007C0F2C" w:rsidTr="006770E2">
        <w:trPr>
          <w:trHeight w:val="881"/>
        </w:trPr>
        <w:tc>
          <w:tcPr>
            <w:tcW w:w="431" w:type="dxa"/>
            <w:tcBorders>
              <w:bottom w:val="single" w:sz="4" w:space="0" w:color="auto"/>
            </w:tcBorders>
          </w:tcPr>
          <w:p w:rsidR="00D205B2" w:rsidRPr="007C0F2C" w:rsidRDefault="00D205B2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:rsidR="00D205B2" w:rsidRPr="007C0F2C" w:rsidRDefault="00D205B2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6770E2" w:rsidRPr="00EB3DA3" w:rsidRDefault="006770E2" w:rsidP="006770E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B3DA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2010.gadā Krievija pēc preču tirdzniecības apgrozījuma bija 2. lielākais Latvijas tirdzniecības partneris. </w:t>
            </w:r>
          </w:p>
          <w:p w:rsidR="00D205B2" w:rsidRPr="006770E2" w:rsidRDefault="006770E2" w:rsidP="006770E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EB3DA3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Preču eksports ar Krieviju sasniedza 716,9 milj. USD (par 59,1% vairāk nekā 2009.gadā), savukārt preču imports 858,9 milj. USD (par 19,4% vairāk nekā 2009.gadā).</w:t>
            </w:r>
          </w:p>
        </w:tc>
      </w:tr>
      <w:tr w:rsidR="006770E2" w:rsidRPr="007C0F2C" w:rsidTr="006770E2">
        <w:trPr>
          <w:trHeight w:val="192"/>
        </w:trPr>
        <w:tc>
          <w:tcPr>
            <w:tcW w:w="431" w:type="dxa"/>
            <w:tcBorders>
              <w:left w:val="nil"/>
              <w:bottom w:val="nil"/>
              <w:right w:val="nil"/>
            </w:tcBorders>
          </w:tcPr>
          <w:p w:rsidR="006770E2" w:rsidRDefault="006770E2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404" w:type="dxa"/>
            <w:tcBorders>
              <w:left w:val="nil"/>
              <w:bottom w:val="nil"/>
              <w:right w:val="nil"/>
            </w:tcBorders>
          </w:tcPr>
          <w:p w:rsidR="006770E2" w:rsidRPr="007C0F2C" w:rsidRDefault="006770E2" w:rsidP="00BD06FC">
            <w:pPr>
              <w:pStyle w:val="naiskr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8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70E2" w:rsidRPr="00EB3DA3" w:rsidRDefault="006770E2" w:rsidP="006770E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:rsidR="00816F6A" w:rsidRDefault="00816F6A"/>
    <w:tbl>
      <w:tblPr>
        <w:tblW w:w="9745" w:type="dxa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382"/>
        <w:gridCol w:w="5937"/>
      </w:tblGrid>
      <w:tr w:rsidR="00B352C3" w:rsidRPr="00B352C3" w:rsidTr="005C25AD">
        <w:trPr>
          <w:jc w:val="center"/>
        </w:trPr>
        <w:tc>
          <w:tcPr>
            <w:tcW w:w="9745" w:type="dxa"/>
            <w:gridSpan w:val="3"/>
          </w:tcPr>
          <w:p w:rsidR="00B352C3" w:rsidRPr="007C0F2C" w:rsidRDefault="00B352C3" w:rsidP="00B352C3">
            <w:pPr>
              <w:pStyle w:val="naisnod"/>
              <w:spacing w:before="0" w:after="0"/>
              <w:jc w:val="both"/>
            </w:pPr>
            <w:r w:rsidRPr="007C0F2C">
              <w:t>V. Tiesību akta projekta atbilstība Latvijas Republikas starptautiskajām saistībām</w:t>
            </w:r>
          </w:p>
        </w:tc>
      </w:tr>
      <w:tr w:rsidR="00B352C3" w:rsidRPr="00B352C3" w:rsidTr="005C25AD">
        <w:trPr>
          <w:jc w:val="center"/>
        </w:trPr>
        <w:tc>
          <w:tcPr>
            <w:tcW w:w="426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iCs/>
              </w:rPr>
              <w:t>1.</w:t>
            </w:r>
          </w:p>
        </w:tc>
        <w:tc>
          <w:tcPr>
            <w:tcW w:w="3382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sz w:val="22"/>
                <w:szCs w:val="22"/>
              </w:rPr>
              <w:t>Saistības pret Eiropas Savienību</w:t>
            </w:r>
          </w:p>
        </w:tc>
        <w:tc>
          <w:tcPr>
            <w:tcW w:w="5937" w:type="dxa"/>
          </w:tcPr>
          <w:p w:rsidR="00B352C3" w:rsidRDefault="00985ADC" w:rsidP="00BD06FC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BD06F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Latvijas Republikas Ekonomikas ministrijas un </w:t>
            </w:r>
            <w:r w:rsidR="00897585" w:rsidRPr="0089758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Kirovas apgabala (Krievijas Federācija) valdības</w:t>
            </w:r>
            <w:r w:rsidR="00897585" w:rsidRPr="00BD06F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  <w:r w:rsidRPr="00BD06F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vienošanās par ekonomisko sadarbību</w:t>
            </w:r>
            <w:r w:rsidR="00EA015D" w:rsidRPr="00BD06F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nav pretrunā ar 1994. gadā noslēgto ES un Krievijas Partnerattiecību un sadarbības līgumu.</w:t>
            </w:r>
          </w:p>
          <w:p w:rsidR="00B416C2" w:rsidRPr="00B416C2" w:rsidRDefault="00B416C2" w:rsidP="00B416C2">
            <w:pPr>
              <w:pStyle w:val="NormalWeb"/>
              <w:spacing w:before="120" w:beforeAutospacing="0" w:after="120" w:afterAutospacing="0"/>
              <w:ind w:left="198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BD06F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Latvijas Republikas Ekonomikas ministrijas un </w:t>
            </w:r>
            <w:r w:rsidRPr="0089758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Kirovas apgabala (Krievijas Federācija) valdības</w:t>
            </w:r>
            <w:r w:rsidRPr="00BD06F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vienošanās par ekonomisko sadarbību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nav pretrunā ar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lastRenderedPageBreak/>
              <w:t>2006</w:t>
            </w:r>
            <w:r w:rsidRPr="00BD06F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. gadā noslēgto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Latvijas Republikas valdības un Krievijas Federācijas valdības vienošano</w:t>
            </w:r>
            <w:r w:rsidRPr="00BD5025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s par ekonomisko sadarbību</w:t>
            </w:r>
            <w:r w:rsidRPr="00BD06FC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.</w:t>
            </w:r>
          </w:p>
        </w:tc>
      </w:tr>
      <w:tr w:rsidR="00B352C3" w:rsidRPr="00B352C3" w:rsidTr="005C25AD">
        <w:trPr>
          <w:jc w:val="center"/>
        </w:trPr>
        <w:tc>
          <w:tcPr>
            <w:tcW w:w="426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iCs/>
              </w:rPr>
              <w:lastRenderedPageBreak/>
              <w:t>2.</w:t>
            </w:r>
          </w:p>
        </w:tc>
        <w:tc>
          <w:tcPr>
            <w:tcW w:w="3382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sz w:val="22"/>
                <w:szCs w:val="22"/>
              </w:rPr>
              <w:t>Citas starptautiskās saistības</w:t>
            </w:r>
          </w:p>
        </w:tc>
        <w:tc>
          <w:tcPr>
            <w:tcW w:w="5937" w:type="dxa"/>
          </w:tcPr>
          <w:p w:rsidR="00B352C3" w:rsidRPr="00BD06FC" w:rsidRDefault="000F064A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Projekts šo jomu neskar</w:t>
            </w:r>
            <w:r w:rsidR="00B416C2">
              <w:rPr>
                <w:lang w:eastAsia="en-US"/>
              </w:rPr>
              <w:t>.</w:t>
            </w:r>
          </w:p>
        </w:tc>
      </w:tr>
      <w:tr w:rsidR="00B352C3" w:rsidRPr="00B352C3" w:rsidTr="005C25AD">
        <w:trPr>
          <w:jc w:val="center"/>
        </w:trPr>
        <w:tc>
          <w:tcPr>
            <w:tcW w:w="426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B352C3">
              <w:rPr>
                <w:iCs/>
              </w:rPr>
              <w:t>3.</w:t>
            </w:r>
          </w:p>
        </w:tc>
        <w:tc>
          <w:tcPr>
            <w:tcW w:w="3382" w:type="dxa"/>
          </w:tcPr>
          <w:p w:rsidR="00B352C3" w:rsidRPr="00B352C3" w:rsidRDefault="00B352C3" w:rsidP="00B352C3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sz w:val="22"/>
                <w:szCs w:val="22"/>
              </w:rPr>
            </w:pPr>
            <w:r w:rsidRPr="00B352C3">
              <w:rPr>
                <w:sz w:val="22"/>
                <w:szCs w:val="22"/>
              </w:rPr>
              <w:t>Cita informācija</w:t>
            </w:r>
          </w:p>
        </w:tc>
        <w:tc>
          <w:tcPr>
            <w:tcW w:w="5937" w:type="dxa"/>
          </w:tcPr>
          <w:p w:rsidR="00E70682" w:rsidRPr="00B53998" w:rsidRDefault="00B53998" w:rsidP="00B53998">
            <w:pPr>
              <w:pStyle w:val="NormalWeb"/>
              <w:spacing w:before="0" w:beforeAutospacing="0" w:after="0" w:afterAutospacing="0"/>
              <w:ind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B53998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Nav</w:t>
            </w:r>
          </w:p>
        </w:tc>
      </w:tr>
    </w:tbl>
    <w:p w:rsidR="00CC5D63" w:rsidRDefault="00CC5D63" w:rsidP="00CC5D63">
      <w:pPr>
        <w:pStyle w:val="naisf"/>
        <w:spacing w:before="0" w:after="0"/>
      </w:pPr>
    </w:p>
    <w:p w:rsidR="00B416C2" w:rsidRPr="007C0F2C" w:rsidRDefault="00B416C2" w:rsidP="00CC5D63">
      <w:pPr>
        <w:pStyle w:val="naisf"/>
        <w:spacing w:before="0" w:after="0"/>
      </w:pPr>
    </w:p>
    <w:tbl>
      <w:tblPr>
        <w:tblW w:w="9842" w:type="dxa"/>
        <w:jc w:val="center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842"/>
      </w:tblGrid>
      <w:tr w:rsidR="00CC5D63" w:rsidRPr="007C0F2C" w:rsidTr="00CC5D63">
        <w:trPr>
          <w:trHeight w:val="523"/>
          <w:jc w:val="center"/>
        </w:trPr>
        <w:tc>
          <w:tcPr>
            <w:tcW w:w="9842" w:type="dxa"/>
            <w:vAlign w:val="center"/>
          </w:tcPr>
          <w:p w:rsidR="00CC5D63" w:rsidRPr="007C0F2C" w:rsidRDefault="00CC5D63" w:rsidP="00F0006E">
            <w:pPr>
              <w:pStyle w:val="naisnod"/>
              <w:spacing w:before="0" w:after="0"/>
            </w:pPr>
            <w:r w:rsidRPr="007C0F2C">
              <w:t xml:space="preserve">1.tabula </w:t>
            </w:r>
          </w:p>
          <w:p w:rsidR="00CC5D63" w:rsidRPr="007C0F2C" w:rsidRDefault="00CC5D63" w:rsidP="00F0006E">
            <w:pPr>
              <w:pStyle w:val="naisnod"/>
              <w:spacing w:before="0" w:after="0"/>
              <w:rPr>
                <w:i/>
              </w:rPr>
            </w:pPr>
            <w:r w:rsidRPr="007C0F2C">
              <w:t>Tiesību akta projekta atbilstība ES tiesību aktiem</w:t>
            </w:r>
          </w:p>
        </w:tc>
      </w:tr>
      <w:tr w:rsidR="00CC5D63" w:rsidRPr="007C0F2C" w:rsidTr="00CC5D63">
        <w:trPr>
          <w:trHeight w:val="497"/>
          <w:jc w:val="center"/>
        </w:trPr>
        <w:tc>
          <w:tcPr>
            <w:tcW w:w="9842" w:type="dxa"/>
            <w:vAlign w:val="center"/>
          </w:tcPr>
          <w:p w:rsidR="00CC5D63" w:rsidRPr="007C0F2C" w:rsidRDefault="00985ADC" w:rsidP="00897585">
            <w:pPr>
              <w:pStyle w:val="naiskr"/>
              <w:spacing w:before="0" w:after="0"/>
              <w:jc w:val="both"/>
            </w:pPr>
            <w:r w:rsidRPr="00B352C3">
              <w:t xml:space="preserve">Latvijas Republikas Ekonomikas ministrijas un </w:t>
            </w:r>
            <w:r w:rsidR="00897585">
              <w:t>Kirovas</w:t>
            </w:r>
            <w:r w:rsidR="00897585" w:rsidRPr="00B03614">
              <w:t xml:space="preserve"> apgabala (Krievijas </w:t>
            </w:r>
            <w:r w:rsidR="00897585">
              <w:t>Federācija) valdības</w:t>
            </w:r>
            <w:r w:rsidR="007538FF" w:rsidRPr="007538FF">
              <w:t xml:space="preserve"> vieno</w:t>
            </w:r>
            <w:r w:rsidR="007538FF">
              <w:t xml:space="preserve">šanās </w:t>
            </w:r>
            <w:r w:rsidRPr="00B352C3">
              <w:t>par ekonomisko sadarbību</w:t>
            </w:r>
            <w:r w:rsidR="00EA015D" w:rsidRPr="00EF5F67">
              <w:t xml:space="preserve"> </w:t>
            </w:r>
            <w:r w:rsidR="00EA015D">
              <w:t xml:space="preserve">nav pretrunā ar </w:t>
            </w:r>
            <w:r w:rsidR="00EA015D" w:rsidRPr="00EF5F67">
              <w:t xml:space="preserve">1994. gadā </w:t>
            </w:r>
            <w:r w:rsidR="00EA015D">
              <w:t>noslēgto</w:t>
            </w:r>
            <w:r w:rsidR="00EA015D" w:rsidRPr="00EF5F67">
              <w:t xml:space="preserve"> </w:t>
            </w:r>
            <w:r w:rsidR="00EA015D">
              <w:t xml:space="preserve">ES un </w:t>
            </w:r>
            <w:r w:rsidR="00EA015D" w:rsidRPr="00EF5F67">
              <w:t xml:space="preserve">Krievijas Partnerattiecību un sadarbības </w:t>
            </w:r>
            <w:r w:rsidR="00EA015D">
              <w:t>līgumu.</w:t>
            </w:r>
          </w:p>
        </w:tc>
      </w:tr>
    </w:tbl>
    <w:p w:rsidR="00CC5D63" w:rsidRDefault="00CC5D63" w:rsidP="00B352C3">
      <w:pPr>
        <w:pStyle w:val="naisf"/>
        <w:spacing w:before="0" w:after="0"/>
      </w:pPr>
    </w:p>
    <w:tbl>
      <w:tblPr>
        <w:tblW w:w="9909" w:type="dxa"/>
        <w:jc w:val="center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909"/>
      </w:tblGrid>
      <w:tr w:rsidR="00B352C3" w:rsidRPr="007C0F2C" w:rsidTr="00EA015D">
        <w:trPr>
          <w:trHeight w:val="792"/>
          <w:jc w:val="center"/>
        </w:trPr>
        <w:tc>
          <w:tcPr>
            <w:tcW w:w="9909" w:type="dxa"/>
            <w:vAlign w:val="center"/>
          </w:tcPr>
          <w:p w:rsidR="00B352C3" w:rsidRPr="007C0F2C" w:rsidRDefault="00CC5D63" w:rsidP="00F0006E">
            <w:pPr>
              <w:pStyle w:val="naisnod"/>
              <w:spacing w:before="0" w:after="0"/>
            </w:pPr>
            <w:r>
              <w:br w:type="page"/>
            </w:r>
            <w:r>
              <w:br w:type="page"/>
            </w:r>
            <w:r w:rsidR="00B352C3" w:rsidRPr="007C0F2C">
              <w:t xml:space="preserve">2.tabula </w:t>
            </w:r>
          </w:p>
          <w:p w:rsidR="00B352C3" w:rsidRPr="007C0F2C" w:rsidRDefault="00B352C3" w:rsidP="00F0006E">
            <w:pPr>
              <w:pStyle w:val="naisnod"/>
              <w:spacing w:before="0" w:after="0"/>
            </w:pPr>
            <w:r w:rsidRPr="007C0F2C">
              <w:t>Ar tiesību akta projektu uzņemtās saistības, kas izriet no starptautiskajiem tiesību aktiem vai starptautiskas institūcijas vai organizācijas dokumentiem</w:t>
            </w:r>
          </w:p>
          <w:p w:rsidR="00B352C3" w:rsidRPr="007C0F2C" w:rsidRDefault="00B352C3" w:rsidP="00F0006E">
            <w:pPr>
              <w:pStyle w:val="naisnod"/>
              <w:spacing w:before="0" w:after="0"/>
            </w:pPr>
            <w:r w:rsidRPr="007C0F2C">
              <w:t>Pasākumi šo saistību izpildei</w:t>
            </w:r>
          </w:p>
        </w:tc>
      </w:tr>
      <w:tr w:rsidR="00B352C3" w:rsidRPr="007C0F2C" w:rsidTr="00EA015D">
        <w:trPr>
          <w:trHeight w:val="163"/>
          <w:jc w:val="center"/>
        </w:trPr>
        <w:tc>
          <w:tcPr>
            <w:tcW w:w="9909" w:type="dxa"/>
            <w:vAlign w:val="center"/>
          </w:tcPr>
          <w:p w:rsidR="00EA015D" w:rsidRDefault="00EA015D" w:rsidP="00F0006E">
            <w:pPr>
              <w:pStyle w:val="naiskr"/>
              <w:spacing w:before="0" w:after="0"/>
              <w:rPr>
                <w:sz w:val="22"/>
                <w:szCs w:val="22"/>
              </w:rPr>
            </w:pPr>
          </w:p>
          <w:p w:rsidR="00B352C3" w:rsidRDefault="00816F6A" w:rsidP="00EA015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Projekts šo jomu neskar.</w:t>
            </w:r>
          </w:p>
          <w:p w:rsidR="00EA015D" w:rsidRPr="007C0F2C" w:rsidRDefault="00EA015D" w:rsidP="00F0006E">
            <w:pPr>
              <w:pStyle w:val="naiskr"/>
              <w:spacing w:before="0" w:after="0"/>
              <w:rPr>
                <w:i/>
                <w:sz w:val="16"/>
                <w:szCs w:val="16"/>
              </w:rPr>
            </w:pPr>
          </w:p>
        </w:tc>
      </w:tr>
    </w:tbl>
    <w:p w:rsidR="00B352C3" w:rsidRDefault="00B352C3" w:rsidP="006C4607">
      <w:pPr>
        <w:pStyle w:val="naiskr"/>
        <w:tabs>
          <w:tab w:val="left" w:pos="2628"/>
        </w:tabs>
        <w:spacing w:before="0" w:after="0"/>
        <w:rPr>
          <w:sz w:val="22"/>
          <w:szCs w:val="22"/>
        </w:rPr>
      </w:pPr>
    </w:p>
    <w:p w:rsidR="00214094" w:rsidRPr="007C0F2C" w:rsidRDefault="00B352C3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  <w:r>
        <w:t>Anotācijas II, III, IV</w:t>
      </w:r>
      <w:r w:rsidR="00BC2D00">
        <w:t>, VI, VII</w:t>
      </w:r>
      <w:r w:rsidR="00767169">
        <w:t xml:space="preserve"> </w:t>
      </w:r>
      <w:r w:rsidR="00767169" w:rsidRPr="00226A27">
        <w:t>sadaļ</w:t>
      </w:r>
      <w:r w:rsidR="00767169">
        <w:t>a</w:t>
      </w:r>
      <w:r w:rsidR="00767169" w:rsidRPr="00226A27">
        <w:t xml:space="preserve"> – </w:t>
      </w:r>
      <w:r w:rsidR="00816F6A">
        <w:rPr>
          <w:sz w:val="22"/>
          <w:szCs w:val="22"/>
        </w:rPr>
        <w:t>projekts šīs jomas neskar</w:t>
      </w:r>
      <w:r w:rsidR="00767169">
        <w:t>.</w:t>
      </w:r>
    </w:p>
    <w:p w:rsidR="00214094" w:rsidRPr="007C0F2C" w:rsidRDefault="00214094" w:rsidP="006C4607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67371B" w:rsidRPr="00226A27" w:rsidRDefault="0067371B" w:rsidP="0067371B">
      <w:pPr>
        <w:pStyle w:val="Signature"/>
        <w:widowControl/>
        <w:spacing w:before="0"/>
        <w:ind w:firstLine="0"/>
        <w:rPr>
          <w:sz w:val="24"/>
          <w:szCs w:val="24"/>
          <w:lang w:val="lv-LV"/>
        </w:rPr>
      </w:pPr>
      <w:r w:rsidRPr="00226A27">
        <w:rPr>
          <w:sz w:val="24"/>
          <w:szCs w:val="24"/>
          <w:lang w:val="lv-LV"/>
        </w:rPr>
        <w:t>Ekonomikas ministr</w:t>
      </w:r>
      <w:r>
        <w:rPr>
          <w:sz w:val="24"/>
          <w:szCs w:val="24"/>
          <w:lang w:val="lv-LV"/>
        </w:rPr>
        <w:t>s</w:t>
      </w:r>
      <w:r>
        <w:rPr>
          <w:sz w:val="24"/>
          <w:szCs w:val="24"/>
          <w:lang w:val="lv-LV"/>
        </w:rPr>
        <w:tab/>
        <w:t>A. Kampars</w:t>
      </w:r>
    </w:p>
    <w:p w:rsidR="0067371B" w:rsidRPr="00226A27" w:rsidRDefault="0067371B" w:rsidP="0067371B">
      <w:pPr>
        <w:pStyle w:val="EnvelopeReturn"/>
        <w:spacing w:before="0"/>
        <w:rPr>
          <w:sz w:val="24"/>
          <w:szCs w:val="24"/>
          <w:lang w:val="lv-LV"/>
        </w:rPr>
      </w:pPr>
    </w:p>
    <w:p w:rsidR="0067371B" w:rsidRPr="00226A27" w:rsidRDefault="0067371B" w:rsidP="0067371B">
      <w:pPr>
        <w:pStyle w:val="EnvelopeReturn"/>
        <w:spacing w:before="0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Vīza: Valsts sekretār</w:t>
      </w:r>
      <w:r w:rsidR="003A1148">
        <w:rPr>
          <w:sz w:val="24"/>
          <w:szCs w:val="24"/>
          <w:lang w:val="lv-LV"/>
        </w:rPr>
        <w:t>s</w:t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</w:r>
      <w:r w:rsidR="003A1148">
        <w:rPr>
          <w:sz w:val="24"/>
          <w:szCs w:val="24"/>
          <w:lang w:val="lv-LV"/>
        </w:rPr>
        <w:tab/>
        <w:t xml:space="preserve">   J</w:t>
      </w:r>
      <w:r>
        <w:rPr>
          <w:sz w:val="24"/>
          <w:szCs w:val="24"/>
          <w:lang w:val="lv-LV"/>
        </w:rPr>
        <w:t>. </w:t>
      </w:r>
      <w:r w:rsidR="003A1148">
        <w:rPr>
          <w:sz w:val="24"/>
          <w:szCs w:val="24"/>
          <w:lang w:val="lv-LV"/>
        </w:rPr>
        <w:t>Pūce</w:t>
      </w:r>
    </w:p>
    <w:p w:rsidR="00FA0D67" w:rsidRDefault="00FA0D67" w:rsidP="0067371B">
      <w:pPr>
        <w:pStyle w:val="Header"/>
        <w:tabs>
          <w:tab w:val="clear" w:pos="4153"/>
          <w:tab w:val="clear" w:pos="8306"/>
        </w:tabs>
      </w:pPr>
    </w:p>
    <w:p w:rsidR="005C25AD" w:rsidRDefault="005C25AD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5C25AD" w:rsidRDefault="005C25AD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5C25AD" w:rsidRDefault="005C25AD" w:rsidP="0067371B">
      <w:pPr>
        <w:pStyle w:val="Header"/>
        <w:tabs>
          <w:tab w:val="clear" w:pos="4153"/>
          <w:tab w:val="clear" w:pos="8306"/>
        </w:tabs>
        <w:rPr>
          <w:sz w:val="22"/>
        </w:rPr>
      </w:pPr>
    </w:p>
    <w:p w:rsidR="005C25AD" w:rsidRDefault="005C25AD" w:rsidP="005C25AD">
      <w:pPr>
        <w:pStyle w:val="Header"/>
        <w:tabs>
          <w:tab w:val="clear" w:pos="4153"/>
          <w:tab w:val="clear" w:pos="8306"/>
          <w:tab w:val="left" w:pos="2940"/>
        </w:tabs>
        <w:rPr>
          <w:sz w:val="22"/>
        </w:rPr>
      </w:pPr>
      <w:r>
        <w:rPr>
          <w:sz w:val="22"/>
        </w:rPr>
        <w:tab/>
      </w:r>
    </w:p>
    <w:p w:rsidR="0067371B" w:rsidRPr="00BD334F" w:rsidRDefault="00B53998" w:rsidP="0067371B">
      <w:pPr>
        <w:pStyle w:val="Header"/>
        <w:tabs>
          <w:tab w:val="clear" w:pos="4153"/>
          <w:tab w:val="clear" w:pos="8306"/>
        </w:tabs>
        <w:rPr>
          <w:sz w:val="22"/>
          <w:lang w:val="en-US"/>
        </w:rPr>
      </w:pPr>
      <w:r>
        <w:rPr>
          <w:sz w:val="22"/>
          <w:lang w:val="en-US"/>
        </w:rPr>
        <w:t>0</w:t>
      </w:r>
      <w:r w:rsidR="006770E2">
        <w:rPr>
          <w:sz w:val="22"/>
          <w:lang w:val="en-US"/>
        </w:rPr>
        <w:t>6</w:t>
      </w:r>
      <w:r>
        <w:rPr>
          <w:sz w:val="22"/>
        </w:rPr>
        <w:t>.0</w:t>
      </w:r>
      <w:r w:rsidR="006770E2">
        <w:rPr>
          <w:sz w:val="22"/>
        </w:rPr>
        <w:t>9</w:t>
      </w:r>
      <w:r>
        <w:rPr>
          <w:sz w:val="22"/>
        </w:rPr>
        <w:t>.2011</w:t>
      </w:r>
      <w:r w:rsidR="0067371B" w:rsidRPr="00781D10">
        <w:rPr>
          <w:sz w:val="22"/>
        </w:rPr>
        <w:t xml:space="preserve">. </w:t>
      </w:r>
      <w:r w:rsidR="00897585" w:rsidRPr="00781D10">
        <w:rPr>
          <w:sz w:val="22"/>
        </w:rPr>
        <w:t>1</w:t>
      </w:r>
      <w:r w:rsidR="006770E2">
        <w:rPr>
          <w:sz w:val="22"/>
          <w:lang w:val="en-US"/>
        </w:rPr>
        <w:t>3</w:t>
      </w:r>
      <w:r>
        <w:rPr>
          <w:sz w:val="22"/>
        </w:rPr>
        <w:t>:</w:t>
      </w:r>
      <w:r w:rsidR="006770E2">
        <w:rPr>
          <w:sz w:val="22"/>
        </w:rPr>
        <w:t>21</w:t>
      </w:r>
    </w:p>
    <w:p w:rsidR="0067371B" w:rsidRPr="00FC6A3E" w:rsidRDefault="006770E2" w:rsidP="0067371B">
      <w:pPr>
        <w:pStyle w:val="Header"/>
        <w:tabs>
          <w:tab w:val="clear" w:pos="4153"/>
          <w:tab w:val="clear" w:pos="8306"/>
        </w:tabs>
        <w:rPr>
          <w:sz w:val="22"/>
        </w:rPr>
      </w:pPr>
      <w:r>
        <w:rPr>
          <w:sz w:val="22"/>
        </w:rPr>
        <w:t>581</w:t>
      </w:r>
    </w:p>
    <w:p w:rsidR="0067371B" w:rsidRPr="00FC6A3E" w:rsidRDefault="003A1148" w:rsidP="0067371B">
      <w:pPr>
        <w:pStyle w:val="Header"/>
        <w:tabs>
          <w:tab w:val="clear" w:pos="4153"/>
          <w:tab w:val="clear" w:pos="8306"/>
        </w:tabs>
        <w:rPr>
          <w:sz w:val="22"/>
        </w:rPr>
      </w:pPr>
      <w:r>
        <w:rPr>
          <w:sz w:val="22"/>
        </w:rPr>
        <w:t>K.Koroļova</w:t>
      </w:r>
    </w:p>
    <w:p w:rsidR="00BF40ED" w:rsidRPr="007C0F2C" w:rsidRDefault="00B53998" w:rsidP="003A1148">
      <w:pPr>
        <w:pStyle w:val="Header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2"/>
        </w:rPr>
        <w:t>67013221</w:t>
      </w:r>
      <w:r w:rsidR="0067371B" w:rsidRPr="00FC6A3E">
        <w:rPr>
          <w:sz w:val="22"/>
        </w:rPr>
        <w:t xml:space="preserve">, </w:t>
      </w:r>
      <w:r w:rsidR="003A1148">
        <w:rPr>
          <w:sz w:val="22"/>
        </w:rPr>
        <w:t>Ksenija.Korolova</w:t>
      </w:r>
      <w:r w:rsidR="0067371B" w:rsidRPr="003A1148">
        <w:rPr>
          <w:sz w:val="22"/>
        </w:rPr>
        <w:t>@em.gov.lv</w:t>
      </w:r>
    </w:p>
    <w:sectPr w:rsidR="00BF40ED" w:rsidRPr="007C0F2C" w:rsidSect="0042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1A" w:rsidRDefault="00C8081A">
      <w:r>
        <w:separator/>
      </w:r>
    </w:p>
  </w:endnote>
  <w:endnote w:type="continuationSeparator" w:id="0">
    <w:p w:rsidR="00C8081A" w:rsidRDefault="00C8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03" w:rsidRDefault="00A24E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Pr="0067371B" w:rsidRDefault="00B53998" w:rsidP="0067371B">
    <w:pPr>
      <w:ind w:right="-1"/>
      <w:jc w:val="both"/>
      <w:rPr>
        <w:sz w:val="22"/>
      </w:rPr>
    </w:pPr>
    <w:r>
      <w:rPr>
        <w:sz w:val="22"/>
      </w:rPr>
      <w:t>EMAnot_1001</w:t>
    </w:r>
    <w:r w:rsidR="00A24E03">
      <w:rPr>
        <w:sz w:val="22"/>
      </w:rPr>
      <w:t>11</w:t>
    </w:r>
    <w:r w:rsidR="0067371B" w:rsidRPr="00480E97">
      <w:rPr>
        <w:sz w:val="22"/>
      </w:rPr>
      <w:t>_</w:t>
    </w:r>
    <w:r w:rsidR="00897585">
      <w:rPr>
        <w:sz w:val="22"/>
      </w:rPr>
      <w:t>KIROV</w:t>
    </w:r>
    <w:r w:rsidR="0067371B" w:rsidRPr="00480E97">
      <w:rPr>
        <w:sz w:val="22"/>
      </w:rPr>
      <w:t xml:space="preserve">; </w:t>
    </w:r>
    <w:r w:rsidR="0067371B">
      <w:t>Par MK noteikumu projektu</w:t>
    </w:r>
    <w:r w:rsidR="0067371B">
      <w:rPr>
        <w:sz w:val="22"/>
      </w:rPr>
      <w:t xml:space="preserve"> </w:t>
    </w:r>
    <w:r w:rsidR="0067371B" w:rsidRPr="00A31D6A">
      <w:rPr>
        <w:sz w:val="22"/>
      </w:rPr>
      <w:t>„</w:t>
    </w:r>
    <w:r w:rsidR="0067371B" w:rsidRPr="00A31D6A">
      <w:rPr>
        <w:szCs w:val="28"/>
      </w:rPr>
      <w:t xml:space="preserve">Par Latvijas Republikas Ekonomikas ministrijas un </w:t>
    </w:r>
    <w:r w:rsidR="00897585">
      <w:t>Kirovas</w:t>
    </w:r>
    <w:r w:rsidR="00897585" w:rsidRPr="00B03614">
      <w:t xml:space="preserve"> apgabala (Krievijas </w:t>
    </w:r>
    <w:r w:rsidR="00897585">
      <w:t>Federācija) valdības</w:t>
    </w:r>
    <w:r w:rsidR="00897585" w:rsidRPr="00A31D6A">
      <w:rPr>
        <w:szCs w:val="28"/>
      </w:rPr>
      <w:t xml:space="preserve"> </w:t>
    </w:r>
    <w:r w:rsidR="0067371B" w:rsidRPr="00A31D6A">
      <w:rPr>
        <w:szCs w:val="28"/>
      </w:rPr>
      <w:t>par ekonomisko sadarbību”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Pr="00427088" w:rsidRDefault="00A24E03" w:rsidP="00427088">
    <w:pPr>
      <w:ind w:right="-1"/>
      <w:jc w:val="both"/>
      <w:rPr>
        <w:sz w:val="22"/>
      </w:rPr>
    </w:pPr>
    <w:r>
      <w:rPr>
        <w:sz w:val="22"/>
      </w:rPr>
      <w:t>EMAnot_100111</w:t>
    </w:r>
    <w:r w:rsidR="0056573F" w:rsidRPr="00480E97">
      <w:rPr>
        <w:sz w:val="22"/>
      </w:rPr>
      <w:t>_</w:t>
    </w:r>
    <w:r w:rsidR="0056573F">
      <w:rPr>
        <w:sz w:val="22"/>
      </w:rPr>
      <w:t>KIROV</w:t>
    </w:r>
    <w:r w:rsidR="0056573F" w:rsidRPr="00480E97">
      <w:rPr>
        <w:sz w:val="22"/>
      </w:rPr>
      <w:t xml:space="preserve">; </w:t>
    </w:r>
    <w:r w:rsidR="0056573F">
      <w:t>Par MK noteikumu projektu</w:t>
    </w:r>
    <w:r w:rsidR="0056573F">
      <w:rPr>
        <w:sz w:val="22"/>
      </w:rPr>
      <w:t xml:space="preserve"> </w:t>
    </w:r>
    <w:r w:rsidR="0056573F" w:rsidRPr="00A31D6A">
      <w:rPr>
        <w:sz w:val="22"/>
      </w:rPr>
      <w:t>„</w:t>
    </w:r>
    <w:r w:rsidR="0056573F" w:rsidRPr="00A31D6A">
      <w:rPr>
        <w:szCs w:val="28"/>
      </w:rPr>
      <w:t xml:space="preserve">Par Latvijas Republikas Ekonomikas ministrijas un </w:t>
    </w:r>
    <w:r w:rsidR="0056573F">
      <w:t>Kirovas</w:t>
    </w:r>
    <w:r w:rsidR="0056573F" w:rsidRPr="00B03614">
      <w:t xml:space="preserve"> apgabala (Krievijas </w:t>
    </w:r>
    <w:r w:rsidR="0056573F">
      <w:t>Federācija) valdības</w:t>
    </w:r>
    <w:r w:rsidR="0056573F" w:rsidRPr="00A31D6A">
      <w:rPr>
        <w:szCs w:val="28"/>
      </w:rPr>
      <w:t xml:space="preserve"> par ekonomisko sadarbību”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1A" w:rsidRDefault="00C8081A">
      <w:r>
        <w:separator/>
      </w:r>
    </w:p>
  </w:footnote>
  <w:footnote w:type="continuationSeparator" w:id="0">
    <w:p w:rsidR="00C8081A" w:rsidRDefault="00C8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Default="0048104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C13" w:rsidRDefault="00481043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63D">
      <w:rPr>
        <w:rStyle w:val="PageNumber"/>
        <w:noProof/>
      </w:rPr>
      <w:t>3</w:t>
    </w:r>
    <w:r>
      <w:rPr>
        <w:rStyle w:val="PageNumber"/>
      </w:rPr>
      <w:fldChar w:fldCharType="end"/>
    </w:r>
  </w:p>
  <w:p w:rsidR="00DE1C13" w:rsidRDefault="00DE1C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E03" w:rsidRDefault="00A24E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0F85"/>
    <w:multiLevelType w:val="multilevel"/>
    <w:tmpl w:val="21A8A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">
    <w:nsid w:val="07CC4293"/>
    <w:multiLevelType w:val="hybridMultilevel"/>
    <w:tmpl w:val="81BA59F0"/>
    <w:lvl w:ilvl="0" w:tplc="0426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0405D6"/>
    <w:multiLevelType w:val="hybridMultilevel"/>
    <w:tmpl w:val="33B888EA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3FF7297D"/>
    <w:multiLevelType w:val="hybridMultilevel"/>
    <w:tmpl w:val="B046E338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1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18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5"/>
  </w:num>
  <w:num w:numId="13">
    <w:abstractNumId w:val="16"/>
  </w:num>
  <w:num w:numId="14">
    <w:abstractNumId w:val="0"/>
  </w:num>
  <w:num w:numId="15">
    <w:abstractNumId w:val="2"/>
  </w:num>
  <w:num w:numId="16">
    <w:abstractNumId w:val="4"/>
  </w:num>
  <w:num w:numId="17">
    <w:abstractNumId w:val="9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11D24"/>
    <w:rsid w:val="00013FF4"/>
    <w:rsid w:val="00020FE1"/>
    <w:rsid w:val="00022E13"/>
    <w:rsid w:val="00032388"/>
    <w:rsid w:val="00035CE2"/>
    <w:rsid w:val="0005553B"/>
    <w:rsid w:val="000604D2"/>
    <w:rsid w:val="0009005E"/>
    <w:rsid w:val="000941C5"/>
    <w:rsid w:val="000A6451"/>
    <w:rsid w:val="000A6CD0"/>
    <w:rsid w:val="000B064E"/>
    <w:rsid w:val="000B44AC"/>
    <w:rsid w:val="000B69CF"/>
    <w:rsid w:val="000C0C60"/>
    <w:rsid w:val="000C790C"/>
    <w:rsid w:val="000F061D"/>
    <w:rsid w:val="000F064A"/>
    <w:rsid w:val="000F3463"/>
    <w:rsid w:val="000F4794"/>
    <w:rsid w:val="00124F12"/>
    <w:rsid w:val="00144E3A"/>
    <w:rsid w:val="0015060C"/>
    <w:rsid w:val="0016018A"/>
    <w:rsid w:val="00161F0E"/>
    <w:rsid w:val="00163751"/>
    <w:rsid w:val="00170E2A"/>
    <w:rsid w:val="00177394"/>
    <w:rsid w:val="00182C18"/>
    <w:rsid w:val="00183CC2"/>
    <w:rsid w:val="001900E4"/>
    <w:rsid w:val="00190F88"/>
    <w:rsid w:val="001A4066"/>
    <w:rsid w:val="001A6AE4"/>
    <w:rsid w:val="001B01FD"/>
    <w:rsid w:val="001B4A71"/>
    <w:rsid w:val="001D5B54"/>
    <w:rsid w:val="001E1DBF"/>
    <w:rsid w:val="001E4639"/>
    <w:rsid w:val="001E4A7D"/>
    <w:rsid w:val="001F43A8"/>
    <w:rsid w:val="001F5CD6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A6C"/>
    <w:rsid w:val="00242D2B"/>
    <w:rsid w:val="00262E2B"/>
    <w:rsid w:val="00270429"/>
    <w:rsid w:val="002721C5"/>
    <w:rsid w:val="002723E9"/>
    <w:rsid w:val="00277929"/>
    <w:rsid w:val="00283B82"/>
    <w:rsid w:val="002846E9"/>
    <w:rsid w:val="00284C34"/>
    <w:rsid w:val="0029066C"/>
    <w:rsid w:val="002930A3"/>
    <w:rsid w:val="002A26A5"/>
    <w:rsid w:val="002B50DB"/>
    <w:rsid w:val="002C12AB"/>
    <w:rsid w:val="002C5590"/>
    <w:rsid w:val="002C6999"/>
    <w:rsid w:val="002C7CAC"/>
    <w:rsid w:val="002D3306"/>
    <w:rsid w:val="002D48AA"/>
    <w:rsid w:val="002D7BAA"/>
    <w:rsid w:val="002D7F54"/>
    <w:rsid w:val="002E3FF4"/>
    <w:rsid w:val="002F78C8"/>
    <w:rsid w:val="00301CF3"/>
    <w:rsid w:val="0032715C"/>
    <w:rsid w:val="00337CA5"/>
    <w:rsid w:val="003511A5"/>
    <w:rsid w:val="00362478"/>
    <w:rsid w:val="00375B25"/>
    <w:rsid w:val="003850F5"/>
    <w:rsid w:val="00396542"/>
    <w:rsid w:val="0039685B"/>
    <w:rsid w:val="003A1148"/>
    <w:rsid w:val="003A2B7D"/>
    <w:rsid w:val="003A31A6"/>
    <w:rsid w:val="003A7F0C"/>
    <w:rsid w:val="003A7F79"/>
    <w:rsid w:val="003B6404"/>
    <w:rsid w:val="003C449B"/>
    <w:rsid w:val="003D1E7F"/>
    <w:rsid w:val="003D21FF"/>
    <w:rsid w:val="003F0112"/>
    <w:rsid w:val="003F071A"/>
    <w:rsid w:val="003F160B"/>
    <w:rsid w:val="00400032"/>
    <w:rsid w:val="00400B5B"/>
    <w:rsid w:val="00405A00"/>
    <w:rsid w:val="00420870"/>
    <w:rsid w:val="00427088"/>
    <w:rsid w:val="0043791B"/>
    <w:rsid w:val="00441483"/>
    <w:rsid w:val="00441BCB"/>
    <w:rsid w:val="0045176A"/>
    <w:rsid w:val="00456332"/>
    <w:rsid w:val="00461826"/>
    <w:rsid w:val="004800F9"/>
    <w:rsid w:val="00481043"/>
    <w:rsid w:val="00482512"/>
    <w:rsid w:val="0049134A"/>
    <w:rsid w:val="004A58CB"/>
    <w:rsid w:val="004B1795"/>
    <w:rsid w:val="004B56DD"/>
    <w:rsid w:val="004C020F"/>
    <w:rsid w:val="004C1AFD"/>
    <w:rsid w:val="004C558B"/>
    <w:rsid w:val="004E263D"/>
    <w:rsid w:val="004F1F88"/>
    <w:rsid w:val="004F5F1B"/>
    <w:rsid w:val="00502374"/>
    <w:rsid w:val="005060A1"/>
    <w:rsid w:val="00516072"/>
    <w:rsid w:val="005332EC"/>
    <w:rsid w:val="00534418"/>
    <w:rsid w:val="005353AB"/>
    <w:rsid w:val="005440C2"/>
    <w:rsid w:val="005560BC"/>
    <w:rsid w:val="005573BE"/>
    <w:rsid w:val="0056573F"/>
    <w:rsid w:val="00567F36"/>
    <w:rsid w:val="00572700"/>
    <w:rsid w:val="00580468"/>
    <w:rsid w:val="0058603B"/>
    <w:rsid w:val="0059431B"/>
    <w:rsid w:val="005A1776"/>
    <w:rsid w:val="005A39CC"/>
    <w:rsid w:val="005B4730"/>
    <w:rsid w:val="005C25AD"/>
    <w:rsid w:val="005E05D7"/>
    <w:rsid w:val="005E41E7"/>
    <w:rsid w:val="005E450F"/>
    <w:rsid w:val="0062298A"/>
    <w:rsid w:val="00626514"/>
    <w:rsid w:val="00626589"/>
    <w:rsid w:val="006339A0"/>
    <w:rsid w:val="006413A8"/>
    <w:rsid w:val="00642E56"/>
    <w:rsid w:val="00651E00"/>
    <w:rsid w:val="0065545A"/>
    <w:rsid w:val="0067371B"/>
    <w:rsid w:val="00674572"/>
    <w:rsid w:val="006770E2"/>
    <w:rsid w:val="00687763"/>
    <w:rsid w:val="0069010E"/>
    <w:rsid w:val="00692B0D"/>
    <w:rsid w:val="00693E0E"/>
    <w:rsid w:val="00694EA8"/>
    <w:rsid w:val="006A1AE3"/>
    <w:rsid w:val="006C0ECD"/>
    <w:rsid w:val="006C30E1"/>
    <w:rsid w:val="006C4607"/>
    <w:rsid w:val="006D48F1"/>
    <w:rsid w:val="006D56B6"/>
    <w:rsid w:val="006F45BE"/>
    <w:rsid w:val="006F7953"/>
    <w:rsid w:val="007004FC"/>
    <w:rsid w:val="007020B0"/>
    <w:rsid w:val="00705412"/>
    <w:rsid w:val="007058FA"/>
    <w:rsid w:val="00706670"/>
    <w:rsid w:val="0072417C"/>
    <w:rsid w:val="00734450"/>
    <w:rsid w:val="00745F67"/>
    <w:rsid w:val="0075039E"/>
    <w:rsid w:val="00752D9D"/>
    <w:rsid w:val="007538FF"/>
    <w:rsid w:val="00754784"/>
    <w:rsid w:val="007558C4"/>
    <w:rsid w:val="00757C6E"/>
    <w:rsid w:val="00762BDA"/>
    <w:rsid w:val="00767169"/>
    <w:rsid w:val="007805FD"/>
    <w:rsid w:val="00781D10"/>
    <w:rsid w:val="00784422"/>
    <w:rsid w:val="007B3B54"/>
    <w:rsid w:val="007B3FA0"/>
    <w:rsid w:val="007C0F2C"/>
    <w:rsid w:val="007C2BCC"/>
    <w:rsid w:val="007C4D29"/>
    <w:rsid w:val="007C4EF0"/>
    <w:rsid w:val="007C6711"/>
    <w:rsid w:val="007D099D"/>
    <w:rsid w:val="007E2664"/>
    <w:rsid w:val="007E3ABF"/>
    <w:rsid w:val="007E5BFA"/>
    <w:rsid w:val="007E6689"/>
    <w:rsid w:val="007E731C"/>
    <w:rsid w:val="007F0A03"/>
    <w:rsid w:val="008041E1"/>
    <w:rsid w:val="00810040"/>
    <w:rsid w:val="00816F6A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5703D"/>
    <w:rsid w:val="0087510C"/>
    <w:rsid w:val="00882170"/>
    <w:rsid w:val="0089738E"/>
    <w:rsid w:val="00897585"/>
    <w:rsid w:val="008B5FDB"/>
    <w:rsid w:val="008C50F4"/>
    <w:rsid w:val="008C5649"/>
    <w:rsid w:val="008E44A2"/>
    <w:rsid w:val="008E697D"/>
    <w:rsid w:val="00903263"/>
    <w:rsid w:val="00906A21"/>
    <w:rsid w:val="009079C3"/>
    <w:rsid w:val="00910462"/>
    <w:rsid w:val="009111C8"/>
    <w:rsid w:val="00915AB1"/>
    <w:rsid w:val="00917532"/>
    <w:rsid w:val="009235BA"/>
    <w:rsid w:val="00924023"/>
    <w:rsid w:val="00924CE2"/>
    <w:rsid w:val="00925B9F"/>
    <w:rsid w:val="00931AED"/>
    <w:rsid w:val="009476A3"/>
    <w:rsid w:val="0095334F"/>
    <w:rsid w:val="00965897"/>
    <w:rsid w:val="0096765C"/>
    <w:rsid w:val="009727E4"/>
    <w:rsid w:val="009755DE"/>
    <w:rsid w:val="00985ADC"/>
    <w:rsid w:val="009934C5"/>
    <w:rsid w:val="00994C0F"/>
    <w:rsid w:val="009B22D7"/>
    <w:rsid w:val="009B72ED"/>
    <w:rsid w:val="009C6DEB"/>
    <w:rsid w:val="009D384B"/>
    <w:rsid w:val="009D472D"/>
    <w:rsid w:val="009D6504"/>
    <w:rsid w:val="009E12D7"/>
    <w:rsid w:val="009E30FD"/>
    <w:rsid w:val="009E661A"/>
    <w:rsid w:val="009E7807"/>
    <w:rsid w:val="009F1B56"/>
    <w:rsid w:val="00A06781"/>
    <w:rsid w:val="00A068FD"/>
    <w:rsid w:val="00A074C3"/>
    <w:rsid w:val="00A11364"/>
    <w:rsid w:val="00A1509C"/>
    <w:rsid w:val="00A17020"/>
    <w:rsid w:val="00A23D3E"/>
    <w:rsid w:val="00A24E03"/>
    <w:rsid w:val="00A34260"/>
    <w:rsid w:val="00A61F80"/>
    <w:rsid w:val="00A70CFD"/>
    <w:rsid w:val="00A72A0B"/>
    <w:rsid w:val="00A81E42"/>
    <w:rsid w:val="00A864FE"/>
    <w:rsid w:val="00A86F41"/>
    <w:rsid w:val="00A87D04"/>
    <w:rsid w:val="00A950C5"/>
    <w:rsid w:val="00AA1D25"/>
    <w:rsid w:val="00AB2B1A"/>
    <w:rsid w:val="00AB397F"/>
    <w:rsid w:val="00AB5832"/>
    <w:rsid w:val="00AC51F2"/>
    <w:rsid w:val="00AE5066"/>
    <w:rsid w:val="00AE5E24"/>
    <w:rsid w:val="00AE61B7"/>
    <w:rsid w:val="00AE6CBA"/>
    <w:rsid w:val="00AE79AD"/>
    <w:rsid w:val="00AF35E4"/>
    <w:rsid w:val="00AF5CDE"/>
    <w:rsid w:val="00B026A3"/>
    <w:rsid w:val="00B11A57"/>
    <w:rsid w:val="00B211C3"/>
    <w:rsid w:val="00B25597"/>
    <w:rsid w:val="00B267B9"/>
    <w:rsid w:val="00B33E09"/>
    <w:rsid w:val="00B352C3"/>
    <w:rsid w:val="00B416C2"/>
    <w:rsid w:val="00B50708"/>
    <w:rsid w:val="00B50C68"/>
    <w:rsid w:val="00B51293"/>
    <w:rsid w:val="00B52B1E"/>
    <w:rsid w:val="00B53998"/>
    <w:rsid w:val="00B55481"/>
    <w:rsid w:val="00B56C32"/>
    <w:rsid w:val="00B57ACF"/>
    <w:rsid w:val="00B64BB1"/>
    <w:rsid w:val="00B73166"/>
    <w:rsid w:val="00B8426C"/>
    <w:rsid w:val="00B85A9F"/>
    <w:rsid w:val="00B87606"/>
    <w:rsid w:val="00B91B8D"/>
    <w:rsid w:val="00B94E90"/>
    <w:rsid w:val="00BA34DA"/>
    <w:rsid w:val="00BB0A82"/>
    <w:rsid w:val="00BB7C94"/>
    <w:rsid w:val="00BC0A9D"/>
    <w:rsid w:val="00BC2D00"/>
    <w:rsid w:val="00BD06FC"/>
    <w:rsid w:val="00BD334F"/>
    <w:rsid w:val="00BF40ED"/>
    <w:rsid w:val="00BF5BC2"/>
    <w:rsid w:val="00C022CD"/>
    <w:rsid w:val="00C1133D"/>
    <w:rsid w:val="00C27A08"/>
    <w:rsid w:val="00C31312"/>
    <w:rsid w:val="00C326C6"/>
    <w:rsid w:val="00C35295"/>
    <w:rsid w:val="00C36ADD"/>
    <w:rsid w:val="00C36E74"/>
    <w:rsid w:val="00C40595"/>
    <w:rsid w:val="00C41621"/>
    <w:rsid w:val="00C449FA"/>
    <w:rsid w:val="00C47C25"/>
    <w:rsid w:val="00C5384F"/>
    <w:rsid w:val="00C56964"/>
    <w:rsid w:val="00C62AD4"/>
    <w:rsid w:val="00C62D9F"/>
    <w:rsid w:val="00C656D5"/>
    <w:rsid w:val="00C67103"/>
    <w:rsid w:val="00C71BB9"/>
    <w:rsid w:val="00C8081A"/>
    <w:rsid w:val="00C85706"/>
    <w:rsid w:val="00C94C28"/>
    <w:rsid w:val="00CA3D85"/>
    <w:rsid w:val="00CB0247"/>
    <w:rsid w:val="00CB3440"/>
    <w:rsid w:val="00CC1692"/>
    <w:rsid w:val="00CC5D63"/>
    <w:rsid w:val="00CD138B"/>
    <w:rsid w:val="00CD3E31"/>
    <w:rsid w:val="00CD74A3"/>
    <w:rsid w:val="00CE0527"/>
    <w:rsid w:val="00CE27D4"/>
    <w:rsid w:val="00CE5B23"/>
    <w:rsid w:val="00CF70AD"/>
    <w:rsid w:val="00CF7729"/>
    <w:rsid w:val="00D00059"/>
    <w:rsid w:val="00D107FA"/>
    <w:rsid w:val="00D12275"/>
    <w:rsid w:val="00D12766"/>
    <w:rsid w:val="00D205B2"/>
    <w:rsid w:val="00D20FF4"/>
    <w:rsid w:val="00D24D2C"/>
    <w:rsid w:val="00D25BE4"/>
    <w:rsid w:val="00D34D6F"/>
    <w:rsid w:val="00D35881"/>
    <w:rsid w:val="00D94DAD"/>
    <w:rsid w:val="00DA7DA5"/>
    <w:rsid w:val="00DB073B"/>
    <w:rsid w:val="00DB4CE6"/>
    <w:rsid w:val="00DB78F0"/>
    <w:rsid w:val="00DC2E43"/>
    <w:rsid w:val="00DC3759"/>
    <w:rsid w:val="00DD095C"/>
    <w:rsid w:val="00DD1020"/>
    <w:rsid w:val="00DD1330"/>
    <w:rsid w:val="00DE0B83"/>
    <w:rsid w:val="00DE1A81"/>
    <w:rsid w:val="00DE1C13"/>
    <w:rsid w:val="00DE4E10"/>
    <w:rsid w:val="00E02ABF"/>
    <w:rsid w:val="00E14995"/>
    <w:rsid w:val="00E179CD"/>
    <w:rsid w:val="00E22835"/>
    <w:rsid w:val="00E23E8D"/>
    <w:rsid w:val="00E37F98"/>
    <w:rsid w:val="00E46559"/>
    <w:rsid w:val="00E6670C"/>
    <w:rsid w:val="00E70682"/>
    <w:rsid w:val="00E776E8"/>
    <w:rsid w:val="00E92C1F"/>
    <w:rsid w:val="00E95D4B"/>
    <w:rsid w:val="00E969A9"/>
    <w:rsid w:val="00EA015D"/>
    <w:rsid w:val="00EB15F2"/>
    <w:rsid w:val="00EB199F"/>
    <w:rsid w:val="00EC23F7"/>
    <w:rsid w:val="00EC2D05"/>
    <w:rsid w:val="00EC4BD8"/>
    <w:rsid w:val="00EC63EB"/>
    <w:rsid w:val="00ED412F"/>
    <w:rsid w:val="00EE2614"/>
    <w:rsid w:val="00EE57BC"/>
    <w:rsid w:val="00EF36B2"/>
    <w:rsid w:val="00EF5F67"/>
    <w:rsid w:val="00F0006E"/>
    <w:rsid w:val="00F201EC"/>
    <w:rsid w:val="00F208A9"/>
    <w:rsid w:val="00F41D75"/>
    <w:rsid w:val="00F5139D"/>
    <w:rsid w:val="00F63DAC"/>
    <w:rsid w:val="00F7454F"/>
    <w:rsid w:val="00F77988"/>
    <w:rsid w:val="00F77F48"/>
    <w:rsid w:val="00FA0D67"/>
    <w:rsid w:val="00FB30F1"/>
    <w:rsid w:val="00FB53E7"/>
    <w:rsid w:val="00FC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4EDE-77EC-40C8-801E-78859629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3185</Words>
  <Characters>1817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instrukcijas projekts “Tiesību akta projekta sākotnējās ietekmes izvērtēšanas kārtība”</vt:lpstr>
    </vt:vector>
  </TitlesOfParts>
  <Company>Valsts kanceleja, Politikas koordinācijas departaments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“Tiesību akta projekta sākotnējās ietekmes izvērtēšanas kārtība”</dc:title>
  <dc:subject>Instrukcijas pielikums</dc:subject>
  <dc:creator>Ieva Bloma</dc:creator>
  <cp:keywords/>
  <dc:description>67082972_x000d_
Ieva.Bloma@mk.gov.lv</dc:description>
  <cp:lastModifiedBy>Ksenija Koroļova</cp:lastModifiedBy>
  <cp:revision>12</cp:revision>
  <cp:lastPrinted>2010-11-13T10:23:00Z</cp:lastPrinted>
  <dcterms:created xsi:type="dcterms:W3CDTF">2011-01-10T10:12:00Z</dcterms:created>
  <dcterms:modified xsi:type="dcterms:W3CDTF">2011-09-07T06:23:00Z</dcterms:modified>
</cp:coreProperties>
</file>