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36" w:rsidRPr="001D19DF" w:rsidRDefault="00895E36" w:rsidP="0090601D">
      <w:pPr>
        <w:jc w:val="center"/>
        <w:rPr>
          <w:b/>
          <w:sz w:val="28"/>
          <w:szCs w:val="28"/>
        </w:rPr>
      </w:pPr>
      <w:bookmarkStart w:id="0" w:name="OLE_LINK1"/>
      <w:bookmarkStart w:id="1" w:name="OLE_LINK2"/>
      <w:bookmarkStart w:id="2" w:name="OLE_LINK3"/>
      <w:bookmarkStart w:id="3" w:name="OLE_LINK4"/>
      <w:r>
        <w:rPr>
          <w:b/>
          <w:sz w:val="28"/>
          <w:szCs w:val="28"/>
        </w:rPr>
        <w:t>Likumprojekta „</w:t>
      </w:r>
      <w:r w:rsidRPr="001D19DF">
        <w:rPr>
          <w:b/>
          <w:sz w:val="28"/>
          <w:szCs w:val="28"/>
        </w:rPr>
        <w:t>Grozījum</w:t>
      </w:r>
      <w:r>
        <w:rPr>
          <w:b/>
          <w:sz w:val="28"/>
          <w:szCs w:val="28"/>
        </w:rPr>
        <w:t>i</w:t>
      </w:r>
      <w:r w:rsidRPr="001D19DF">
        <w:rPr>
          <w:b/>
          <w:sz w:val="28"/>
          <w:szCs w:val="28"/>
        </w:rPr>
        <w:t xml:space="preserve"> </w:t>
      </w:r>
      <w:r w:rsidR="006F5408">
        <w:rPr>
          <w:b/>
          <w:sz w:val="28"/>
          <w:szCs w:val="28"/>
        </w:rPr>
        <w:t>Elek</w:t>
      </w:r>
      <w:r w:rsidR="00B463CE">
        <w:rPr>
          <w:b/>
          <w:sz w:val="28"/>
          <w:szCs w:val="28"/>
        </w:rPr>
        <w:t>troenerģijas tirgus likumā</w:t>
      </w:r>
      <w:r>
        <w:rPr>
          <w:b/>
          <w:sz w:val="28"/>
          <w:szCs w:val="28"/>
        </w:rPr>
        <w:t>”</w:t>
      </w:r>
    </w:p>
    <w:p w:rsidR="008C5649" w:rsidRDefault="00CC69EB" w:rsidP="0090601D">
      <w:pPr>
        <w:pStyle w:val="naislab"/>
        <w:spacing w:before="0" w:after="0"/>
        <w:jc w:val="center"/>
        <w:outlineLvl w:val="0"/>
        <w:rPr>
          <w:b/>
          <w:sz w:val="28"/>
          <w:szCs w:val="28"/>
        </w:rPr>
      </w:pPr>
      <w:r>
        <w:rPr>
          <w:b/>
          <w:sz w:val="28"/>
          <w:szCs w:val="28"/>
        </w:rPr>
        <w:t>s</w:t>
      </w:r>
      <w:r w:rsidR="00852042" w:rsidRPr="007C0F2C">
        <w:rPr>
          <w:b/>
          <w:sz w:val="28"/>
          <w:szCs w:val="28"/>
        </w:rPr>
        <w:t>ākotnējā</w:t>
      </w:r>
      <w:r w:rsidR="002D3306" w:rsidRPr="007C0F2C">
        <w:rPr>
          <w:b/>
          <w:sz w:val="28"/>
          <w:szCs w:val="28"/>
        </w:rPr>
        <w:t>s</w:t>
      </w:r>
      <w:r w:rsidR="00852042" w:rsidRPr="007C0F2C">
        <w:rPr>
          <w:b/>
          <w:sz w:val="28"/>
          <w:szCs w:val="28"/>
        </w:rPr>
        <w:t xml:space="preserve"> ietekmes novērtējuma </w:t>
      </w:r>
      <w:smartTag w:uri="urn:schemas-microsoft-com:office:smarttags" w:element="place">
        <w:smartTagPr>
          <w:attr w:name="text" w:val="ziņojums"/>
          <w:attr w:name="baseform" w:val="ziņojums"/>
          <w:attr w:name="id" w:val="-1"/>
        </w:smartTagPr>
        <w:r w:rsidR="00852042" w:rsidRPr="007C0F2C">
          <w:rPr>
            <w:b/>
            <w:sz w:val="28"/>
            <w:szCs w:val="28"/>
          </w:rPr>
          <w:t>ziņojums</w:t>
        </w:r>
      </w:smartTag>
      <w:r w:rsidR="00852042" w:rsidRPr="007C0F2C">
        <w:rPr>
          <w:b/>
          <w:sz w:val="28"/>
          <w:szCs w:val="28"/>
        </w:rPr>
        <w:t xml:space="preserve"> (anotācija)</w:t>
      </w:r>
      <w:bookmarkEnd w:id="0"/>
      <w:bookmarkEnd w:id="1"/>
    </w:p>
    <w:p w:rsidR="00D77C45" w:rsidRPr="005C777A" w:rsidRDefault="00D77C45" w:rsidP="0090601D">
      <w:pPr>
        <w:pStyle w:val="naislab"/>
        <w:spacing w:before="0" w:after="0"/>
        <w:jc w:val="center"/>
        <w:outlineLvl w:val="0"/>
        <w:rPr>
          <w:b/>
        </w:rPr>
      </w:pPr>
    </w:p>
    <w:tbl>
      <w:tblPr>
        <w:tblpPr w:leftFromText="180" w:rightFromText="180" w:vertAnchor="text" w:horzAnchor="margin" w:tblpXSpec="center" w:tblpY="149"/>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2820"/>
        <w:gridCol w:w="5912"/>
      </w:tblGrid>
      <w:tr w:rsidR="00852042" w:rsidRPr="005C777A" w:rsidTr="002A4920">
        <w:tc>
          <w:tcPr>
            <w:tcW w:w="9157" w:type="dxa"/>
            <w:gridSpan w:val="3"/>
            <w:vAlign w:val="center"/>
          </w:tcPr>
          <w:bookmarkEnd w:id="2"/>
          <w:bookmarkEnd w:id="3"/>
          <w:p w:rsidR="00852042" w:rsidRPr="005C777A" w:rsidRDefault="00852042" w:rsidP="006C4607">
            <w:pPr>
              <w:pStyle w:val="naisnod"/>
              <w:spacing w:before="0" w:after="0"/>
            </w:pPr>
            <w:r w:rsidRPr="005C777A">
              <w:t>I</w:t>
            </w:r>
            <w:r w:rsidR="000941C5" w:rsidRPr="005C777A">
              <w:t>.</w:t>
            </w:r>
            <w:r w:rsidRPr="005C777A">
              <w:t xml:space="preserve"> Tiesību akta </w:t>
            </w:r>
            <w:r w:rsidR="002E3FF4" w:rsidRPr="005C777A">
              <w:t xml:space="preserve">projekta </w:t>
            </w:r>
            <w:r w:rsidRPr="005C777A">
              <w:t>izstrādes nepieciešamība</w:t>
            </w:r>
          </w:p>
        </w:tc>
      </w:tr>
      <w:tr w:rsidR="00262E2B" w:rsidRPr="005C777A" w:rsidTr="002A4920">
        <w:trPr>
          <w:trHeight w:val="630"/>
        </w:trPr>
        <w:tc>
          <w:tcPr>
            <w:tcW w:w="425" w:type="dxa"/>
          </w:tcPr>
          <w:p w:rsidR="00262E2B" w:rsidRPr="005C777A" w:rsidRDefault="00262E2B" w:rsidP="006C4607">
            <w:pPr>
              <w:pStyle w:val="naiskr"/>
              <w:spacing w:before="0" w:after="0"/>
            </w:pPr>
            <w:r w:rsidRPr="005C777A">
              <w:t>1.</w:t>
            </w:r>
          </w:p>
        </w:tc>
        <w:tc>
          <w:tcPr>
            <w:tcW w:w="2820" w:type="dxa"/>
          </w:tcPr>
          <w:p w:rsidR="00262E2B" w:rsidRPr="005C777A" w:rsidRDefault="002D7F54" w:rsidP="006C4607">
            <w:pPr>
              <w:pStyle w:val="naiskr"/>
              <w:spacing w:before="0" w:after="0"/>
              <w:ind w:hanging="10"/>
            </w:pPr>
            <w:r w:rsidRPr="005C777A">
              <w:t>Pamatojums</w:t>
            </w:r>
          </w:p>
        </w:tc>
        <w:tc>
          <w:tcPr>
            <w:tcW w:w="5912" w:type="dxa"/>
          </w:tcPr>
          <w:p w:rsidR="00371374" w:rsidRPr="00371374" w:rsidRDefault="00371374" w:rsidP="00371374">
            <w:pPr>
              <w:pStyle w:val="Default"/>
              <w:jc w:val="both"/>
              <w:rPr>
                <w:rFonts w:ascii="Times New Roman" w:hAnsi="Times New Roman" w:cs="Times New Roman"/>
                <w:b/>
                <w:bCs/>
                <w:sz w:val="22"/>
                <w:szCs w:val="22"/>
              </w:rPr>
            </w:pPr>
            <w:r w:rsidRPr="00371374">
              <w:rPr>
                <w:rFonts w:ascii="Times New Roman" w:hAnsi="Times New Roman" w:cs="Times New Roman"/>
                <w:b/>
                <w:bCs/>
                <w:sz w:val="22"/>
                <w:szCs w:val="22"/>
              </w:rPr>
              <w:t>PSO nodalīšana</w:t>
            </w:r>
          </w:p>
          <w:p w:rsidR="003D2E23" w:rsidRDefault="00B66F29" w:rsidP="00371374">
            <w:pPr>
              <w:pStyle w:val="Default"/>
              <w:jc w:val="both"/>
              <w:rPr>
                <w:rFonts w:ascii="Times New Roman" w:hAnsi="Times New Roman" w:cs="Times New Roman"/>
                <w:bCs/>
                <w:sz w:val="22"/>
                <w:szCs w:val="22"/>
              </w:rPr>
            </w:pPr>
            <w:r w:rsidRPr="00C459CA">
              <w:rPr>
                <w:rFonts w:ascii="Times New Roman" w:hAnsi="Times New Roman" w:cs="Times New Roman"/>
                <w:bCs/>
                <w:sz w:val="22"/>
                <w:szCs w:val="22"/>
              </w:rPr>
              <w:t>Eiropas Parlamenta un Padomes Direktīva 2009/</w:t>
            </w:r>
            <w:r w:rsidR="002B3679">
              <w:rPr>
                <w:rFonts w:ascii="Times New Roman" w:hAnsi="Times New Roman" w:cs="Times New Roman"/>
                <w:bCs/>
                <w:sz w:val="22"/>
                <w:szCs w:val="22"/>
              </w:rPr>
              <w:t>72</w:t>
            </w:r>
            <w:r w:rsidRPr="00C459CA">
              <w:rPr>
                <w:rFonts w:ascii="Times New Roman" w:hAnsi="Times New Roman" w:cs="Times New Roman"/>
                <w:bCs/>
                <w:sz w:val="22"/>
                <w:szCs w:val="22"/>
              </w:rPr>
              <w:t>/EK</w:t>
            </w:r>
            <w:r w:rsidR="00B12F1D" w:rsidRPr="00C459CA">
              <w:rPr>
                <w:rFonts w:ascii="Times New Roman" w:hAnsi="Times New Roman" w:cs="Times New Roman"/>
                <w:bCs/>
                <w:sz w:val="22"/>
                <w:szCs w:val="22"/>
              </w:rPr>
              <w:t xml:space="preserve"> </w:t>
            </w:r>
            <w:r w:rsidR="00B12F1D" w:rsidRPr="00C459CA">
              <w:rPr>
                <w:rStyle w:val="Strong"/>
                <w:rFonts w:ascii="Times New Roman" w:hAnsi="Times New Roman" w:cs="Times New Roman"/>
                <w:b w:val="0"/>
                <w:sz w:val="22"/>
                <w:szCs w:val="22"/>
              </w:rPr>
              <w:t xml:space="preserve">(2009. gada </w:t>
            </w:r>
            <w:r w:rsidR="002B3679">
              <w:rPr>
                <w:rStyle w:val="Strong"/>
                <w:rFonts w:ascii="Times New Roman" w:hAnsi="Times New Roman" w:cs="Times New Roman"/>
                <w:b w:val="0"/>
                <w:sz w:val="22"/>
                <w:szCs w:val="22"/>
              </w:rPr>
              <w:t>13.jūlijs</w:t>
            </w:r>
            <w:r w:rsidR="00B12F1D" w:rsidRPr="00C459CA">
              <w:rPr>
                <w:rStyle w:val="Strong"/>
                <w:rFonts w:ascii="Times New Roman" w:hAnsi="Times New Roman" w:cs="Times New Roman"/>
                <w:b w:val="0"/>
                <w:sz w:val="22"/>
                <w:szCs w:val="22"/>
              </w:rPr>
              <w:t>)</w:t>
            </w:r>
            <w:r w:rsidR="00B12F1D" w:rsidRPr="00C459CA">
              <w:rPr>
                <w:rFonts w:ascii="Times New Roman" w:hAnsi="Times New Roman" w:cs="Times New Roman"/>
                <w:sz w:val="22"/>
                <w:szCs w:val="22"/>
              </w:rPr>
              <w:t xml:space="preserve"> </w:t>
            </w:r>
            <w:r w:rsidRPr="00C459CA">
              <w:rPr>
                <w:rFonts w:ascii="Times New Roman" w:hAnsi="Times New Roman" w:cs="Times New Roman"/>
                <w:bCs/>
                <w:sz w:val="22"/>
                <w:szCs w:val="22"/>
              </w:rPr>
              <w:t xml:space="preserve">par </w:t>
            </w:r>
            <w:r w:rsidR="002B3679">
              <w:rPr>
                <w:rFonts w:ascii="Times New Roman" w:hAnsi="Times New Roman" w:cs="Times New Roman"/>
                <w:bCs/>
                <w:sz w:val="22"/>
                <w:szCs w:val="22"/>
              </w:rPr>
              <w:t>kopīgiem noteikumiem attiecībā uz elektroenerģijas iekšējo tirgu</w:t>
            </w:r>
            <w:r w:rsidRPr="00C459CA">
              <w:rPr>
                <w:rFonts w:ascii="Times New Roman" w:hAnsi="Times New Roman" w:cs="Times New Roman"/>
                <w:bCs/>
                <w:sz w:val="22"/>
                <w:szCs w:val="22"/>
              </w:rPr>
              <w:t xml:space="preserve"> un </w:t>
            </w:r>
            <w:r w:rsidR="002B3679">
              <w:rPr>
                <w:rFonts w:ascii="Times New Roman" w:hAnsi="Times New Roman" w:cs="Times New Roman"/>
                <w:bCs/>
                <w:sz w:val="22"/>
                <w:szCs w:val="22"/>
              </w:rPr>
              <w:t>par</w:t>
            </w:r>
            <w:r w:rsidRPr="00C459CA">
              <w:rPr>
                <w:rFonts w:ascii="Times New Roman" w:hAnsi="Times New Roman" w:cs="Times New Roman"/>
                <w:bCs/>
                <w:sz w:val="22"/>
                <w:szCs w:val="22"/>
              </w:rPr>
              <w:t xml:space="preserve"> </w:t>
            </w:r>
            <w:r w:rsidR="002B3679">
              <w:rPr>
                <w:rFonts w:ascii="Times New Roman" w:hAnsi="Times New Roman" w:cs="Times New Roman"/>
                <w:bCs/>
                <w:sz w:val="22"/>
                <w:szCs w:val="22"/>
              </w:rPr>
              <w:t>Direktīvas 2003/54</w:t>
            </w:r>
            <w:r w:rsidRPr="00C459CA">
              <w:rPr>
                <w:rFonts w:ascii="Times New Roman" w:hAnsi="Times New Roman" w:cs="Times New Roman"/>
                <w:bCs/>
                <w:sz w:val="22"/>
                <w:szCs w:val="22"/>
              </w:rPr>
              <w:t xml:space="preserve">/EK </w:t>
            </w:r>
            <w:r w:rsidR="00B463CE" w:rsidRPr="00C459CA">
              <w:rPr>
                <w:rFonts w:ascii="Times New Roman" w:hAnsi="Times New Roman" w:cs="Times New Roman"/>
                <w:bCs/>
                <w:sz w:val="22"/>
                <w:szCs w:val="22"/>
              </w:rPr>
              <w:t>(turpmāk – Direktīva 2009/</w:t>
            </w:r>
            <w:r w:rsidR="002B3679">
              <w:rPr>
                <w:rFonts w:ascii="Times New Roman" w:hAnsi="Times New Roman" w:cs="Times New Roman"/>
                <w:bCs/>
                <w:sz w:val="22"/>
                <w:szCs w:val="22"/>
              </w:rPr>
              <w:t>72</w:t>
            </w:r>
            <w:r w:rsidR="00B463CE" w:rsidRPr="00C459CA">
              <w:rPr>
                <w:rFonts w:ascii="Times New Roman" w:hAnsi="Times New Roman" w:cs="Times New Roman"/>
                <w:bCs/>
                <w:sz w:val="22"/>
                <w:szCs w:val="22"/>
              </w:rPr>
              <w:t>/EK)</w:t>
            </w:r>
            <w:r w:rsidR="00C96176" w:rsidRPr="00C459CA">
              <w:rPr>
                <w:rFonts w:ascii="Times New Roman" w:hAnsi="Times New Roman" w:cs="Times New Roman"/>
                <w:bCs/>
                <w:sz w:val="22"/>
                <w:szCs w:val="22"/>
              </w:rPr>
              <w:t>.</w:t>
            </w:r>
          </w:p>
          <w:p w:rsidR="002B3679" w:rsidRPr="00C459CA" w:rsidRDefault="002B3679" w:rsidP="00B12F1D">
            <w:pPr>
              <w:pStyle w:val="Default"/>
              <w:jc w:val="both"/>
              <w:rPr>
                <w:rFonts w:ascii="Times New Roman" w:hAnsi="Times New Roman" w:cs="Times New Roman"/>
                <w:bCs/>
                <w:sz w:val="22"/>
                <w:szCs w:val="22"/>
              </w:rPr>
            </w:pPr>
          </w:p>
          <w:p w:rsidR="00D013ED" w:rsidRPr="00D013ED" w:rsidRDefault="00D013ED" w:rsidP="00B12F1D">
            <w:pPr>
              <w:pStyle w:val="Default"/>
              <w:jc w:val="both"/>
              <w:rPr>
                <w:rFonts w:ascii="Times New Roman" w:hAnsi="Times New Roman" w:cs="Times New Roman"/>
                <w:bCs/>
                <w:i/>
              </w:rPr>
            </w:pPr>
            <w:r>
              <w:rPr>
                <w:rFonts w:ascii="Times New Roman" w:hAnsi="Times New Roman" w:cs="Times New Roman"/>
                <w:bCs/>
                <w:sz w:val="22"/>
                <w:szCs w:val="22"/>
              </w:rPr>
              <w:t xml:space="preserve">2011.gada 12.janvāra Ministru kabineta rīkojuma Nr.12 </w:t>
            </w:r>
            <w:r w:rsidRPr="00D013ED">
              <w:rPr>
                <w:rFonts w:ascii="Times New Roman" w:hAnsi="Times New Roman" w:cs="Times New Roman"/>
                <w:bCs/>
                <w:i/>
              </w:rPr>
              <w:t xml:space="preserve">„ </w:t>
            </w:r>
          </w:p>
          <w:p w:rsidR="00D013ED" w:rsidRPr="00D013ED" w:rsidRDefault="00D013ED" w:rsidP="00D013ED">
            <w:pPr>
              <w:jc w:val="both"/>
              <w:rPr>
                <w:color w:val="000000"/>
              </w:rPr>
            </w:pPr>
            <w:r w:rsidRPr="00D013ED">
              <w:rPr>
                <w:bCs/>
                <w:i/>
                <w:color w:val="000000"/>
              </w:rPr>
              <w:t xml:space="preserve">Par Koncepciju par nepieciešamajām darbībām </w:t>
            </w:r>
            <w:r w:rsidRPr="00D013ED">
              <w:rPr>
                <w:i/>
                <w:color w:val="000000"/>
              </w:rPr>
              <w:t>Eiropas Parlamenta un Padomes 2009.gada 13.jūlija Direktīvā 2009/72/EK par kopīgiem noteikumiem attiecībā uz elektroenerģijas iekšējo tirgu un par Direktīvas 2003/54/EK atcelšanu noteiktajai elektroenerģijas pārvades sistēmas operatora nodalīšanai”</w:t>
            </w:r>
            <w:r>
              <w:rPr>
                <w:color w:val="000000"/>
              </w:rPr>
              <w:t xml:space="preserve"> 3.punkts.</w:t>
            </w:r>
          </w:p>
          <w:p w:rsidR="00371374" w:rsidRPr="00E044BC" w:rsidRDefault="00371374" w:rsidP="00371374">
            <w:pPr>
              <w:spacing w:before="120" w:after="120"/>
              <w:ind w:right="101"/>
              <w:jc w:val="both"/>
              <w:rPr>
                <w:b/>
              </w:rPr>
            </w:pPr>
            <w:r w:rsidRPr="00E044BC">
              <w:rPr>
                <w:b/>
              </w:rPr>
              <w:t>Elektroenerģijas birža</w:t>
            </w:r>
          </w:p>
          <w:p w:rsidR="00371374" w:rsidRPr="00F27252" w:rsidRDefault="00371374" w:rsidP="00371374">
            <w:pPr>
              <w:pStyle w:val="naiskr"/>
              <w:snapToGrid w:val="0"/>
              <w:spacing w:before="0" w:after="0"/>
              <w:ind w:right="48"/>
              <w:jc w:val="both"/>
            </w:pPr>
            <w:r w:rsidRPr="00F27252">
              <w:rPr>
                <w:color w:val="000000"/>
              </w:rPr>
              <w:t xml:space="preserve">2009.gada 17.jūlijā starp Eiropas Komisiju, virkni dalībvalstu, tostarp Latvijas Republiku tika noslēgts nodomu protokols par </w:t>
            </w:r>
            <w:r w:rsidRPr="00F27252">
              <w:t xml:space="preserve">Baltijas enerģijas tirgu </w:t>
            </w:r>
            <w:proofErr w:type="spellStart"/>
            <w:r w:rsidRPr="00F27252">
              <w:t>starpsavienojumu</w:t>
            </w:r>
            <w:proofErr w:type="spellEnd"/>
            <w:r w:rsidRPr="00F27252">
              <w:t xml:space="preserve"> plānu (BEMIP). BEMIP  rīcības plāna 2.1.punkts paredz, ka valstis veic nepieciešamos pasākumus, lai no 2011.gada Baltijā sāktu darbojies elektroenerģijas birža.</w:t>
            </w:r>
          </w:p>
          <w:p w:rsidR="00B463CE" w:rsidRPr="00F27252" w:rsidRDefault="00371374" w:rsidP="00371374">
            <w:pPr>
              <w:pStyle w:val="naiskr"/>
              <w:snapToGrid w:val="0"/>
              <w:spacing w:before="0" w:after="0"/>
              <w:ind w:right="48"/>
              <w:jc w:val="both"/>
              <w:rPr>
                <w:color w:val="000000"/>
              </w:rPr>
            </w:pPr>
            <w:r w:rsidRPr="00F27252">
              <w:t xml:space="preserve">Tostarp likumprojekts sagatavots, </w:t>
            </w:r>
            <w:r w:rsidRPr="00F27252">
              <w:rPr>
                <w:rStyle w:val="Strong"/>
                <w:b w:val="0"/>
              </w:rPr>
              <w:t xml:space="preserve">atbilstoši Deklarācijas par Valda </w:t>
            </w:r>
            <w:proofErr w:type="spellStart"/>
            <w:r w:rsidRPr="00F27252">
              <w:rPr>
                <w:rStyle w:val="Strong"/>
                <w:b w:val="0"/>
              </w:rPr>
              <w:t>Dombrovska</w:t>
            </w:r>
            <w:proofErr w:type="spellEnd"/>
            <w:r w:rsidRPr="00F27252">
              <w:rPr>
                <w:rStyle w:val="Strong"/>
                <w:b w:val="0"/>
              </w:rPr>
              <w:t xml:space="preserve"> vadītā Ministru kabineta iecerētās darbības </w:t>
            </w:r>
            <w:r w:rsidRPr="00F27252">
              <w:t>11.41.</w:t>
            </w:r>
            <w:r w:rsidRPr="00F27252">
              <w:rPr>
                <w:color w:val="000000"/>
              </w:rPr>
              <w:t xml:space="preserve"> apakšpunktam.</w:t>
            </w:r>
          </w:p>
          <w:p w:rsidR="004D409D" w:rsidRPr="00F27252" w:rsidRDefault="004D409D" w:rsidP="00371374">
            <w:pPr>
              <w:pStyle w:val="naiskr"/>
              <w:snapToGrid w:val="0"/>
              <w:spacing w:before="0" w:after="0"/>
              <w:ind w:right="48"/>
              <w:jc w:val="both"/>
              <w:rPr>
                <w:color w:val="000000"/>
              </w:rPr>
            </w:pPr>
          </w:p>
          <w:p w:rsidR="004D409D" w:rsidRPr="00F27252" w:rsidRDefault="004D409D" w:rsidP="00371374">
            <w:pPr>
              <w:pStyle w:val="naiskr"/>
              <w:snapToGrid w:val="0"/>
              <w:spacing w:before="0" w:after="0"/>
              <w:ind w:right="48"/>
              <w:jc w:val="both"/>
              <w:rPr>
                <w:b/>
                <w:color w:val="000000"/>
              </w:rPr>
            </w:pPr>
            <w:r w:rsidRPr="00F27252">
              <w:rPr>
                <w:b/>
                <w:color w:val="000000"/>
              </w:rPr>
              <w:t>AER direktīva</w:t>
            </w:r>
          </w:p>
          <w:p w:rsidR="004D409D" w:rsidRPr="00F27252" w:rsidRDefault="004D409D" w:rsidP="004D409D">
            <w:pPr>
              <w:pStyle w:val="Default"/>
              <w:jc w:val="both"/>
              <w:rPr>
                <w:rFonts w:ascii="Times New Roman" w:hAnsi="Times New Roman" w:cs="Times New Roman"/>
                <w:bCs/>
              </w:rPr>
            </w:pPr>
            <w:r w:rsidRPr="00F27252">
              <w:rPr>
                <w:rFonts w:ascii="Times New Roman" w:hAnsi="Times New Roman" w:cs="Times New Roman"/>
                <w:bCs/>
              </w:rPr>
              <w:t xml:space="preserve">Eiropas Parlamenta un Padomes Direktīva 2009/28/EK </w:t>
            </w:r>
            <w:r w:rsidRPr="00F27252">
              <w:rPr>
                <w:rStyle w:val="Strong"/>
                <w:rFonts w:ascii="Times New Roman" w:hAnsi="Times New Roman" w:cs="Times New Roman"/>
                <w:b w:val="0"/>
              </w:rPr>
              <w:t>(2009. gada 23. aprīlis)</w:t>
            </w:r>
            <w:r w:rsidRPr="00F27252">
              <w:rPr>
                <w:rFonts w:ascii="Times New Roman" w:hAnsi="Times New Roman" w:cs="Times New Roman"/>
              </w:rPr>
              <w:t xml:space="preserve"> </w:t>
            </w:r>
            <w:r w:rsidRPr="00F27252">
              <w:rPr>
                <w:rFonts w:ascii="Times New Roman" w:hAnsi="Times New Roman" w:cs="Times New Roman"/>
                <w:bCs/>
              </w:rPr>
              <w:t>par atjaunojamo energoresursu izmantošanas veicināšanu un ar ko groza un sekojoši atceļ Direktīvas 2001/77/EK un 2003/30/EK (turpmāk – Direktīva 2009/28/EK).</w:t>
            </w:r>
          </w:p>
          <w:p w:rsidR="004D409D" w:rsidRPr="00F27252" w:rsidRDefault="004D409D" w:rsidP="004D409D">
            <w:pPr>
              <w:pStyle w:val="Default"/>
              <w:jc w:val="both"/>
              <w:rPr>
                <w:rFonts w:ascii="Times New Roman" w:hAnsi="Times New Roman" w:cs="Times New Roman"/>
                <w:bCs/>
              </w:rPr>
            </w:pPr>
            <w:r w:rsidRPr="00F27252">
              <w:rPr>
                <w:rFonts w:ascii="Times New Roman" w:hAnsi="Times New Roman" w:cs="Times New Roman"/>
                <w:bCs/>
              </w:rPr>
              <w:t>Direktīvas prasības jāpārņem līdz 2010.gada 5.decembrim.</w:t>
            </w:r>
          </w:p>
          <w:p w:rsidR="004D409D" w:rsidRPr="00F27252" w:rsidRDefault="004D409D" w:rsidP="004D409D">
            <w:pPr>
              <w:pStyle w:val="naiskr"/>
              <w:snapToGrid w:val="0"/>
              <w:spacing w:before="0" w:after="0"/>
              <w:ind w:right="48"/>
              <w:jc w:val="both"/>
              <w:rPr>
                <w:color w:val="000000"/>
              </w:rPr>
            </w:pPr>
            <w:r w:rsidRPr="00F27252">
              <w:rPr>
                <w:rStyle w:val="Strong"/>
                <w:b w:val="0"/>
              </w:rPr>
              <w:t xml:space="preserve">Likumprojekts sagatavots atbilstoši Deklarācijas par Valda </w:t>
            </w:r>
            <w:proofErr w:type="spellStart"/>
            <w:r w:rsidRPr="00F27252">
              <w:rPr>
                <w:rStyle w:val="Strong"/>
                <w:b w:val="0"/>
              </w:rPr>
              <w:t>Dombrovska</w:t>
            </w:r>
            <w:proofErr w:type="spellEnd"/>
            <w:r w:rsidRPr="00F27252">
              <w:rPr>
                <w:rStyle w:val="Strong"/>
                <w:b w:val="0"/>
              </w:rPr>
              <w:t xml:space="preserve"> vadītā Ministru kabineta iecerēto darbību</w:t>
            </w:r>
            <w:r w:rsidRPr="00F27252">
              <w:rPr>
                <w:b/>
              </w:rPr>
              <w:t xml:space="preserve"> </w:t>
            </w:r>
            <w:r w:rsidRPr="00F27252">
              <w:rPr>
                <w:color w:val="000000"/>
              </w:rPr>
              <w:t>11.39., 11.40., 11.45. un 11.46. apakšpunktam.</w:t>
            </w:r>
          </w:p>
          <w:p w:rsidR="00F27252" w:rsidRPr="00F27252" w:rsidRDefault="00F27252" w:rsidP="004D409D">
            <w:pPr>
              <w:pStyle w:val="naiskr"/>
              <w:snapToGrid w:val="0"/>
              <w:spacing w:before="0" w:after="0"/>
              <w:ind w:right="48"/>
              <w:jc w:val="both"/>
              <w:rPr>
                <w:color w:val="000000"/>
              </w:rPr>
            </w:pPr>
          </w:p>
          <w:p w:rsidR="00F27252" w:rsidRPr="00F27252" w:rsidRDefault="00F27252" w:rsidP="004D409D">
            <w:pPr>
              <w:pStyle w:val="naiskr"/>
              <w:snapToGrid w:val="0"/>
              <w:spacing w:before="0" w:after="0"/>
              <w:ind w:right="48"/>
              <w:jc w:val="both"/>
              <w:rPr>
                <w:b/>
                <w:color w:val="000000"/>
              </w:rPr>
            </w:pPr>
            <w:r w:rsidRPr="00F27252">
              <w:rPr>
                <w:b/>
                <w:color w:val="000000"/>
              </w:rPr>
              <w:t>Licencēšanas grozījumi</w:t>
            </w:r>
          </w:p>
          <w:p w:rsidR="00F27252" w:rsidRPr="00F27252" w:rsidRDefault="00F27252" w:rsidP="00F27252">
            <w:pPr>
              <w:spacing w:before="60"/>
              <w:jc w:val="both"/>
            </w:pPr>
            <w:r w:rsidRPr="00F27252">
              <w:t xml:space="preserve">Eiropas Parlamenta un Padomes Direktīva 2009/72/EK par kopīgiem noteikumiem attiecībā uz elektroenerģijas iekšējo tirgu un par Direktīvas 2003/54/EK atcelšanu paredz administratīvo procedūru vienkāršošanu elektroenerģijas ražotājiem un tirgotājiem (direktīvas preambulas 31.punkts un 3.panta 4.punkts) </w:t>
            </w:r>
          </w:p>
          <w:p w:rsidR="00F27252" w:rsidRPr="00F27252" w:rsidRDefault="00F27252" w:rsidP="00F27252">
            <w:pPr>
              <w:pStyle w:val="naiskr"/>
              <w:snapToGrid w:val="0"/>
              <w:spacing w:before="0" w:after="0"/>
              <w:ind w:right="48"/>
              <w:jc w:val="both"/>
              <w:rPr>
                <w:b/>
                <w:color w:val="000000"/>
              </w:rPr>
            </w:pPr>
            <w:r w:rsidRPr="00F27252">
              <w:t xml:space="preserve">Deklarācija par Valda </w:t>
            </w:r>
            <w:proofErr w:type="spellStart"/>
            <w:r w:rsidRPr="00F27252">
              <w:t>Dombrovska</w:t>
            </w:r>
            <w:proofErr w:type="spellEnd"/>
            <w:r w:rsidRPr="00F27252">
              <w:t xml:space="preserve"> vadītā Ministru kabineta iecerēto darbību </w:t>
            </w:r>
            <w:proofErr w:type="spellStart"/>
            <w:r w:rsidRPr="00F27252">
              <w:t>citstarp</w:t>
            </w:r>
            <w:proofErr w:type="spellEnd"/>
            <w:r w:rsidRPr="00F27252">
              <w:t xml:space="preserve"> paredz novērst uzņēmējdarbības attīstību ierobežojošos birokrātiskos šķēršļus (deklarācijas 11.11.apakšpunkts).</w:t>
            </w:r>
          </w:p>
        </w:tc>
      </w:tr>
      <w:tr w:rsidR="00262E2B" w:rsidRPr="005C777A" w:rsidTr="002A4920">
        <w:trPr>
          <w:trHeight w:val="472"/>
        </w:trPr>
        <w:tc>
          <w:tcPr>
            <w:tcW w:w="425" w:type="dxa"/>
          </w:tcPr>
          <w:p w:rsidR="00262E2B" w:rsidRPr="005C777A" w:rsidRDefault="00262E2B" w:rsidP="006C4607">
            <w:pPr>
              <w:pStyle w:val="naiskr"/>
              <w:spacing w:before="0" w:after="0"/>
            </w:pPr>
            <w:r w:rsidRPr="005C777A">
              <w:lastRenderedPageBreak/>
              <w:t>2.</w:t>
            </w:r>
          </w:p>
        </w:tc>
        <w:tc>
          <w:tcPr>
            <w:tcW w:w="2820" w:type="dxa"/>
          </w:tcPr>
          <w:p w:rsidR="00262E2B" w:rsidRPr="004D409D" w:rsidRDefault="00262E2B" w:rsidP="006C4607">
            <w:pPr>
              <w:pStyle w:val="naiskr"/>
              <w:tabs>
                <w:tab w:val="left" w:pos="170"/>
              </w:tabs>
              <w:spacing w:before="0" w:after="0"/>
            </w:pPr>
            <w:r w:rsidRPr="004D409D">
              <w:t>Pašreizējā situācija</w:t>
            </w:r>
            <w:r w:rsidR="001F5CD6" w:rsidRPr="004D409D">
              <w:t xml:space="preserve"> un problēmas</w:t>
            </w:r>
          </w:p>
        </w:tc>
        <w:tc>
          <w:tcPr>
            <w:tcW w:w="5912" w:type="dxa"/>
          </w:tcPr>
          <w:p w:rsidR="004D409D" w:rsidRPr="004D409D" w:rsidRDefault="004D409D" w:rsidP="004D409D">
            <w:pPr>
              <w:pStyle w:val="naiskr"/>
              <w:snapToGrid w:val="0"/>
              <w:spacing w:before="0" w:after="0"/>
              <w:ind w:right="48"/>
              <w:jc w:val="both"/>
              <w:rPr>
                <w:b/>
                <w:color w:val="000000"/>
              </w:rPr>
            </w:pPr>
            <w:r w:rsidRPr="004D409D">
              <w:rPr>
                <w:b/>
                <w:color w:val="000000"/>
              </w:rPr>
              <w:t>AER direktīva</w:t>
            </w:r>
          </w:p>
          <w:p w:rsidR="004D409D" w:rsidRPr="004D409D" w:rsidRDefault="004D409D" w:rsidP="004D409D">
            <w:pPr>
              <w:spacing w:before="120" w:after="120"/>
              <w:ind w:right="101"/>
              <w:jc w:val="both"/>
            </w:pPr>
            <w:r w:rsidRPr="004D409D">
              <w:t>Pašlaik Elektroenerģijas tirgus likumā ir iekļautas tiesību normas, kas izriet no Eiropas Parlamenta un Padomes 2001.gada 27.septembra direktīvas 2001/77/EK par tādas elektroenerģijas izmantošanas veicināšanu iekšējā tirgū, kas saražota, izmantojot atjaunojamos enerģijas avotus (turpmāk – Direktīva 2001/77/EK).</w:t>
            </w:r>
          </w:p>
          <w:p w:rsidR="004D409D" w:rsidRPr="004D409D" w:rsidRDefault="00E00AFE" w:rsidP="004D409D">
            <w:pPr>
              <w:spacing w:before="120" w:after="120"/>
              <w:ind w:right="101"/>
              <w:jc w:val="both"/>
            </w:pPr>
            <w:r>
              <w:t>Šobrīd pastāvošie atbalsta mehānismi</w:t>
            </w:r>
            <w:r w:rsidR="004D409D" w:rsidRPr="004D409D">
              <w:t xml:space="preserve"> elektroenerģijas ražošanai no atjaunojamiem energoresursiem (turpmāk - AER), kuru pamatā ir Elektroenerģijas tirgus likums (turpmāk - ETL) un enerģētikas politikas vidēja termiņa plānošanas dokumenti (Enerģētikas attīstības pamatnostādnes 2007. – 2016.gadam, Latvijas Atjaunojamo energoresursu izmantošanas pamatnostādnes 2006. – 2013.gadam), kas paredz no AER saražotā elektroenerģijas apjoma, kas iepērkams obligātā iepirkuma ietvaros, ierobežošanu, izveidotas tā, lai būtu iespējams kontrolēt obligātā iepirkuma ietvaros no AER ražotas elektroenerģijas radītu izmaksu slogu elektroenerģijas gala lietotājiem.</w:t>
            </w:r>
          </w:p>
          <w:p w:rsidR="004D409D" w:rsidRPr="004D409D" w:rsidRDefault="004D409D" w:rsidP="004D409D">
            <w:pPr>
              <w:spacing w:before="120" w:after="120"/>
              <w:ind w:right="101"/>
              <w:jc w:val="both"/>
            </w:pPr>
            <w:r w:rsidRPr="004D409D">
              <w:t>ETL 29.pants,  29.</w:t>
            </w:r>
            <w:r w:rsidRPr="004D409D">
              <w:rPr>
                <w:vertAlign w:val="superscript"/>
              </w:rPr>
              <w:t>1</w:t>
            </w:r>
            <w:r w:rsidRPr="004D409D">
              <w:t xml:space="preserve"> un 30.pants regulē elektroenerģijas ražošanu, izmantojot AER, ieviešot Direktīvas 2001/77/EK prasības.</w:t>
            </w:r>
          </w:p>
          <w:p w:rsidR="004D409D" w:rsidRPr="004D409D" w:rsidRDefault="004D409D" w:rsidP="004D409D">
            <w:pPr>
              <w:spacing w:before="120" w:after="120"/>
              <w:ind w:right="101"/>
              <w:jc w:val="both"/>
            </w:pPr>
            <w:r w:rsidRPr="004D409D">
              <w:t>ETL 29.panta pirmā daļa nosaka, ka ražotājs, kas elektroenerģiju ražo, izmantojot atjaunojamos energoresursus, var iegūt tiesības pārdot saražoto elektroenerģiju obligāti iepērkamā elektroenerģijas apjoma veidā, savukārt 29.panta otrā daļa nosaka, ka noteikta daļa no visu Latvijas elektroenerģijas galalietotāju kopējā patēriņa ir obligāti nosedzama ar elektroenerģiju, kas ražota, izmantojot atjaunojamos energoresursus. Šo daļu katram atjaunojamo energoresursu veidam piecu gadu periodam, sākot no 2006.gada 1.janvāra, nosaka Ministru kabinets tā, lai līdz 2010.gada 31.decembrim šīs daļas procentuālais īpatsvars attiecībā pret kopējo elektroenerģijas patēriņu sasniegtu ne mazāk kā 49,3 procentus.</w:t>
            </w:r>
          </w:p>
          <w:p w:rsidR="004D409D" w:rsidRPr="004D409D" w:rsidRDefault="004D409D" w:rsidP="004D409D">
            <w:pPr>
              <w:spacing w:before="120" w:after="120"/>
              <w:ind w:right="101"/>
              <w:jc w:val="both"/>
            </w:pPr>
            <w:r w:rsidRPr="004D409D">
              <w:t>Pilnīgai Direktīvas 2001/77/EK ieviešanai saskaņā ar ETL 29.panta otro, ceturto un piekto daļu, kā arī 29.</w:t>
            </w:r>
            <w:r w:rsidRPr="004D409D">
              <w:rPr>
                <w:vertAlign w:val="superscript"/>
              </w:rPr>
              <w:t xml:space="preserve">1 </w:t>
            </w:r>
            <w:r w:rsidRPr="004D409D">
              <w:t>panta otro un piekto daļu ir izdoti un ir spēkā Ministru kabineta 2010.gada 16.marta noteikumi Nr.262 „</w:t>
            </w:r>
            <w:r w:rsidRPr="004D409D">
              <w:rPr>
                <w:bCs/>
                <w:color w:val="000000"/>
              </w:rPr>
              <w:t>Noteikumi par elektroenerģijas ražošanu, izmantojot atjaunojamos energoresursus, un cenu noteikšanas kārtību</w:t>
            </w:r>
            <w:r w:rsidRPr="004D409D">
              <w:t>”.</w:t>
            </w:r>
          </w:p>
          <w:p w:rsidR="004D409D" w:rsidRPr="004D409D" w:rsidRDefault="004D409D" w:rsidP="004D409D">
            <w:pPr>
              <w:spacing w:before="120" w:after="120"/>
              <w:ind w:right="101"/>
              <w:jc w:val="both"/>
            </w:pPr>
            <w:r w:rsidRPr="004D409D">
              <w:t>Ar Direktīvu 2009/28/EK groza un sekojoši atceļ Direktīvu 2001/77/EK:</w:t>
            </w:r>
          </w:p>
          <w:p w:rsidR="004D409D" w:rsidRPr="004D409D" w:rsidRDefault="004D409D" w:rsidP="004D409D">
            <w:pPr>
              <w:spacing w:before="120" w:after="120"/>
              <w:ind w:right="101"/>
              <w:jc w:val="both"/>
            </w:pPr>
            <w:r w:rsidRPr="004D409D">
              <w:t>1. Direktīvas 2009/28/EK 26.panta 1.punkts nosaka, ka no 2010.gada 1.aprīļa Direktīvā tiek svītrots 2.pants, 3.panta 2.punkts, kā arī 4.- 8.punkts.</w:t>
            </w:r>
          </w:p>
          <w:p w:rsidR="004D409D" w:rsidRPr="004D409D" w:rsidRDefault="004D409D" w:rsidP="004D409D">
            <w:pPr>
              <w:spacing w:before="120" w:after="120"/>
              <w:ind w:right="101"/>
              <w:jc w:val="both"/>
            </w:pPr>
            <w:r w:rsidRPr="004D409D">
              <w:t xml:space="preserve">2. Direktīvas 2009/28/EK 26.panta 3.punkts nosaka, ka no </w:t>
            </w:r>
            <w:r w:rsidRPr="004D409D">
              <w:lastRenderedPageBreak/>
              <w:t>2012.gada 1.janvāra atceļ Direktīvu 2001/77/EK.</w:t>
            </w:r>
          </w:p>
          <w:p w:rsidR="004D409D" w:rsidRPr="004D409D" w:rsidRDefault="004D409D" w:rsidP="004D409D">
            <w:pPr>
              <w:spacing w:before="120" w:after="120"/>
              <w:ind w:right="101"/>
              <w:jc w:val="both"/>
              <w:rPr>
                <w:b/>
              </w:rPr>
            </w:pPr>
            <w:r w:rsidRPr="004D409D">
              <w:t>Ņemot vērā to, ka Direktīva 2001/77/EK Latvijas normatīvajos aktos ir ieviesta ar ETL normām un tam pakārtotiem Ministru kabineta noteikumiem, ir nepieciešams veikt attiecīgus grozījumus ETL, saskaņojot tos ar normatīvajiem aktiem, ar kuriem tiek ieviestas Direktīvas 2009/28/EK prasības.</w:t>
            </w:r>
          </w:p>
          <w:p w:rsidR="004D409D" w:rsidRPr="004D409D" w:rsidRDefault="00371374" w:rsidP="00371374">
            <w:pPr>
              <w:spacing w:before="120" w:after="120"/>
              <w:ind w:right="101"/>
              <w:jc w:val="both"/>
              <w:rPr>
                <w:b/>
              </w:rPr>
            </w:pPr>
            <w:r w:rsidRPr="004D409D">
              <w:rPr>
                <w:b/>
              </w:rPr>
              <w:t>Elektroenerģijas birža</w:t>
            </w:r>
          </w:p>
          <w:p w:rsidR="00371374" w:rsidRPr="004D409D" w:rsidRDefault="00371374" w:rsidP="00371374">
            <w:pPr>
              <w:spacing w:before="120" w:after="120"/>
              <w:ind w:right="101"/>
              <w:jc w:val="both"/>
            </w:pPr>
            <w:r w:rsidRPr="004D409D">
              <w:t xml:space="preserve">Ņemot vērā, ka Baltijas elektroenerģijas tirgus integrēšana ir uzsvērta kā </w:t>
            </w:r>
            <w:r w:rsidR="00E00AFE">
              <w:t>būtiska</w:t>
            </w:r>
            <w:r w:rsidRPr="004D409D">
              <w:t xml:space="preserve">, lai fiziski integrētu Baltijas reģionu un veiktu jaunu </w:t>
            </w:r>
            <w:proofErr w:type="spellStart"/>
            <w:r w:rsidRPr="004D409D">
              <w:t>starpsavienojumu</w:t>
            </w:r>
            <w:proofErr w:type="spellEnd"/>
            <w:r w:rsidRPr="004D409D">
              <w:t xml:space="preserve"> būvniecību, nolūkā uzlabot Baltijas valstu elektroapgādes drošumu un attīstīt pārrobežu tirdzniecību, kā arī panākt konkurētspējīgas cenas BEMIP rīcības plāns paredz, ka laika posmā no 2011.</w:t>
            </w:r>
            <w:r w:rsidR="00E00AFE">
              <w:t xml:space="preserve">gada līdz </w:t>
            </w:r>
            <w:r w:rsidRPr="004D409D">
              <w:t>2013.gada</w:t>
            </w:r>
            <w:r w:rsidR="00E00AFE">
              <w:t>m</w:t>
            </w:r>
            <w:r w:rsidRPr="004D409D">
              <w:t xml:space="preserve"> ir jāievieš Baltijas kopējā elektroenerģijas tirdzniecība nākošajai dienai </w:t>
            </w:r>
            <w:proofErr w:type="spellStart"/>
            <w:r w:rsidRPr="004D409D">
              <w:t>Nord</w:t>
            </w:r>
            <w:proofErr w:type="spellEnd"/>
            <w:r w:rsidRPr="004D409D">
              <w:t xml:space="preserve"> </w:t>
            </w:r>
            <w:proofErr w:type="spellStart"/>
            <w:r w:rsidRPr="004D409D">
              <w:t>Pool</w:t>
            </w:r>
            <w:proofErr w:type="spellEnd"/>
            <w:r w:rsidRPr="004D409D">
              <w:t xml:space="preserve"> </w:t>
            </w:r>
            <w:proofErr w:type="spellStart"/>
            <w:r w:rsidRPr="004D409D">
              <w:t>Spot</w:t>
            </w:r>
            <w:proofErr w:type="spellEnd"/>
            <w:r w:rsidRPr="004D409D">
              <w:t xml:space="preserve"> tirdzniecības platformā, elektroenerģijas tirdzniecība tekošās dienas ietvaros, kā arī uz tirgus principiem balstīta AS </w:t>
            </w:r>
            <w:proofErr w:type="spellStart"/>
            <w:r w:rsidRPr="004D409D">
              <w:t>Nord</w:t>
            </w:r>
            <w:proofErr w:type="spellEnd"/>
            <w:r w:rsidRPr="004D409D">
              <w:t xml:space="preserve"> </w:t>
            </w:r>
            <w:proofErr w:type="spellStart"/>
            <w:r w:rsidRPr="004D409D">
              <w:t>Pool</w:t>
            </w:r>
            <w:proofErr w:type="spellEnd"/>
            <w:r w:rsidRPr="004D409D">
              <w:t xml:space="preserve"> </w:t>
            </w:r>
            <w:proofErr w:type="spellStart"/>
            <w:r w:rsidRPr="004D409D">
              <w:t>Spot</w:t>
            </w:r>
            <w:proofErr w:type="spellEnd"/>
            <w:r w:rsidRPr="004D409D">
              <w:t xml:space="preserve"> organizēta tīkla sastrēgumu un pārslodzes vadība un netiešo izsoļu rīkošana.</w:t>
            </w:r>
          </w:p>
          <w:p w:rsidR="00371374" w:rsidRPr="004D409D" w:rsidRDefault="00371374" w:rsidP="00371374">
            <w:pPr>
              <w:pStyle w:val="Default"/>
              <w:jc w:val="both"/>
              <w:rPr>
                <w:rFonts w:ascii="Times New Roman" w:hAnsi="Times New Roman" w:cs="Times New Roman"/>
                <w:b/>
                <w:bCs/>
              </w:rPr>
            </w:pPr>
            <w:r w:rsidRPr="004D409D">
              <w:rPr>
                <w:rFonts w:ascii="Times New Roman" w:hAnsi="Times New Roman" w:cs="Times New Roman"/>
              </w:rPr>
              <w:t xml:space="preserve">Šobrīd nacionālajos tiesību aktos nav ieviests tirgus operatora jēdziens, un šādā gadījumā elektroenerģijas  biržas, kuras organizē elektroenerģijas tirdzniecību, saskaņā ar spēka esošajiem tiesību aktiem ir jāuzskata par tirgotājiem, jo  elektroenerģijas tirdzniecības darījumos birža ir līgumslēdzējpuse elektroenerģijas pirkuma vai pārdevuma gadījumā (AS </w:t>
            </w:r>
            <w:proofErr w:type="spellStart"/>
            <w:r w:rsidRPr="004D409D">
              <w:rPr>
                <w:rFonts w:ascii="Times New Roman" w:hAnsi="Times New Roman" w:cs="Times New Roman"/>
              </w:rPr>
              <w:t>Nord</w:t>
            </w:r>
            <w:proofErr w:type="spellEnd"/>
            <w:r w:rsidRPr="004D409D">
              <w:rPr>
                <w:rFonts w:ascii="Times New Roman" w:hAnsi="Times New Roman" w:cs="Times New Roman"/>
              </w:rPr>
              <w:t xml:space="preserve"> </w:t>
            </w:r>
            <w:proofErr w:type="spellStart"/>
            <w:r w:rsidRPr="004D409D">
              <w:rPr>
                <w:rFonts w:ascii="Times New Roman" w:hAnsi="Times New Roman" w:cs="Times New Roman"/>
              </w:rPr>
              <w:t>Pool</w:t>
            </w:r>
            <w:proofErr w:type="spellEnd"/>
            <w:r w:rsidRPr="004D409D">
              <w:rPr>
                <w:rFonts w:ascii="Times New Roman" w:hAnsi="Times New Roman" w:cs="Times New Roman"/>
              </w:rPr>
              <w:t xml:space="preserve"> </w:t>
            </w:r>
            <w:proofErr w:type="spellStart"/>
            <w:r w:rsidRPr="004D409D">
              <w:rPr>
                <w:rFonts w:ascii="Times New Roman" w:hAnsi="Times New Roman" w:cs="Times New Roman"/>
              </w:rPr>
              <w:t>Spot</w:t>
            </w:r>
            <w:proofErr w:type="spellEnd"/>
            <w:r w:rsidRPr="004D409D">
              <w:rPr>
                <w:rFonts w:ascii="Times New Roman" w:hAnsi="Times New Roman" w:cs="Times New Roman"/>
              </w:rPr>
              <w:t xml:space="preserve"> tirdzniecību organizē tieši šādā veidā). Tā kā tirgotāju diferencēšana, piemērojot tiem atšķirīgu tiesisko regulējumu, nav tiesiski iespējama, arī uz elektroenerģijas biržu attiek</w:t>
            </w:r>
            <w:r w:rsidR="00E00AFE">
              <w:rPr>
                <w:rFonts w:ascii="Times New Roman" w:hAnsi="Times New Roman" w:cs="Times New Roman"/>
              </w:rPr>
              <w:t>t</w:t>
            </w:r>
            <w:r w:rsidRPr="004D409D">
              <w:rPr>
                <w:rFonts w:ascii="Times New Roman" w:hAnsi="Times New Roman" w:cs="Times New Roman"/>
              </w:rPr>
              <w:t>os visi nacionālajos tiesību aktos tirgotājiem paredzētie pienākumi, tai skaitā pienākums saņemt tirdzniecības licenci un maksāt regulēšanas nodevu.</w:t>
            </w:r>
          </w:p>
          <w:p w:rsidR="00371374" w:rsidRPr="004D409D" w:rsidRDefault="00371374" w:rsidP="00371374">
            <w:pPr>
              <w:pStyle w:val="Default"/>
              <w:jc w:val="both"/>
              <w:rPr>
                <w:rFonts w:ascii="Times New Roman" w:hAnsi="Times New Roman" w:cs="Times New Roman"/>
                <w:b/>
                <w:bCs/>
              </w:rPr>
            </w:pPr>
          </w:p>
          <w:p w:rsidR="00371374" w:rsidRPr="004D409D" w:rsidRDefault="00371374" w:rsidP="00371374">
            <w:pPr>
              <w:pStyle w:val="Default"/>
              <w:jc w:val="both"/>
              <w:rPr>
                <w:rFonts w:ascii="Times New Roman" w:hAnsi="Times New Roman" w:cs="Times New Roman"/>
                <w:b/>
                <w:bCs/>
              </w:rPr>
            </w:pPr>
            <w:r w:rsidRPr="004D409D">
              <w:rPr>
                <w:rFonts w:ascii="Times New Roman" w:hAnsi="Times New Roman" w:cs="Times New Roman"/>
                <w:b/>
                <w:bCs/>
              </w:rPr>
              <w:t>PSO nodalīšana</w:t>
            </w:r>
          </w:p>
          <w:p w:rsidR="008434D9" w:rsidRPr="004D409D" w:rsidRDefault="008434D9" w:rsidP="008434D9">
            <w:pPr>
              <w:jc w:val="both"/>
            </w:pPr>
            <w:r w:rsidRPr="004D409D">
              <w:t>Enerģētika ir viena no Eiropas Savienības (turpmāk - ES) kopējās politikas jomām, līdz ar to Latvijai, veidojot savu nacionālo likumdošanu, ir jāņem vērā ES  tiesību akti. Eiropas Komisijas 2007.gada 10.janvāra paziņojumā „Enerģētikas politika Eiropai”</w:t>
            </w:r>
            <w:r w:rsidRPr="004D409D">
              <w:rPr>
                <w:rStyle w:val="FootnoteReference"/>
              </w:rPr>
              <w:t xml:space="preserve"> </w:t>
            </w:r>
            <w:r w:rsidRPr="004D409D">
              <w:t>uzsvērts, ka svarīgi ir pabeigt elektroenerģijas iekšējā tirgus izveidi un pieņemt vienādus noteikumus visiem ES elektroenerģijas uzņēmumiem. ES enerģētikas politikas mērķis ir droša energoapgāde un efektīva iekšējā tirgus izveidošana, un šo mērķu sasniegšanai ES ir vai</w:t>
            </w:r>
            <w:r w:rsidR="00E26C13">
              <w:t xml:space="preserve">rākkārtīgi pieņēmusi dokumentu </w:t>
            </w:r>
            <w:r w:rsidRPr="004D409D">
              <w:t>paketes.</w:t>
            </w:r>
          </w:p>
          <w:p w:rsidR="008434D9" w:rsidRPr="00E26C13" w:rsidRDefault="008434D9" w:rsidP="008434D9">
            <w:pPr>
              <w:spacing w:before="120" w:after="120"/>
              <w:ind w:right="101"/>
              <w:jc w:val="both"/>
            </w:pPr>
            <w:r w:rsidRPr="004D409D">
              <w:t xml:space="preserve">Analizējot dalībvalstu progresu nacionālo enerģētikas tirgu liberalizācijā, Eiropas Komisija secināja, ka ir nepieciešams </w:t>
            </w:r>
            <w:r w:rsidRPr="00E26C13">
              <w:t xml:space="preserve">dalībvalstīm izvirzīt vēl precīzākas tirgus liberalizācijas prasības. Komisijas 2007.gada 10.janvāra paziņojums „Enerģētikas politika Eiropai” un nozares konkurences </w:t>
            </w:r>
            <w:r w:rsidRPr="00E26C13">
              <w:lastRenderedPageBreak/>
              <w:t xml:space="preserve">pētījuma noslēguma ziņojums liecina, ka pašreizējie noteikumi un pasākumi nav pietiekami funkcionējoša iekšējā tirgus izveidei. Tādēļ 2009.gadā tika pieņemta trešā enerģētikas dokumentu pakete, kuru ir nepieciešams ieviest Latvijas nacionālajā likumdošanā līdz 2011.gada 3.martam. Viens no ieviešamajiem dokumentiem ir </w:t>
            </w:r>
            <w:r w:rsidR="001B08EA" w:rsidRPr="00E26C13">
              <w:t>Direktīva 2009/72/EK</w:t>
            </w:r>
            <w:r w:rsidRPr="00E26C13">
              <w:t>. Tās mērķis ir vēl tālāka elektroenerģijas tirdzniecības un ražošanas nodalīšana no darbībām, kas saistītas ar elektroenerģijas pārvades sistēmu. Tādējādi arī Latvijā ir jāizvēlas un jāievieš Direktīvai 2009/72/EK atbilstošs, darboties spējīgs pārvades sistēmas operatora īpašumtiesību nodalīšanas modelis.</w:t>
            </w:r>
          </w:p>
          <w:p w:rsidR="00E26C13" w:rsidRPr="00E26C13" w:rsidRDefault="00E26C13" w:rsidP="00E26C13">
            <w:pPr>
              <w:jc w:val="both"/>
            </w:pPr>
            <w:r w:rsidRPr="00E26C13">
              <w:t xml:space="preserve">Viens no būtiskākajiem uzdevumiem, ko nosaka Direktīva 2009/72/EK, ir elektroenerģijas pārvades sistēmas operatoru neatkarīgas darbības nodrošināšana un pārvades sistēmas īpašumtiesību nodalīšana no darbībām, kas saistītas ar elektroenerģijas ražošanu, tirdzniecību vai sadali. </w:t>
            </w:r>
          </w:p>
          <w:p w:rsidR="00E26C13" w:rsidRPr="00E26C13" w:rsidRDefault="00E26C13" w:rsidP="00E26C13">
            <w:pPr>
              <w:autoSpaceDE w:val="0"/>
              <w:autoSpaceDN w:val="0"/>
              <w:jc w:val="both"/>
              <w:rPr>
                <w:iCs/>
              </w:rPr>
            </w:pPr>
            <w:r w:rsidRPr="00E26C13">
              <w:rPr>
                <w:iCs/>
              </w:rPr>
              <w:t xml:space="preserve">Labi funkcionējošam iekšējam elektroenerģijas tirgum jāsniedz  ražotājiem  atbilstīgi  stimuli  ieguldīt   jaunos enerģijas ražošanas veidos, tostarp elektrības ražošanā no atjaunojamiem enerģijas avotiem. </w:t>
            </w:r>
          </w:p>
          <w:p w:rsidR="00E26C13" w:rsidRPr="00E26C13" w:rsidRDefault="00E26C13" w:rsidP="00E26C13">
            <w:pPr>
              <w:autoSpaceDE w:val="0"/>
              <w:autoSpaceDN w:val="0"/>
              <w:jc w:val="both"/>
              <w:rPr>
                <w:iCs/>
              </w:rPr>
            </w:pPr>
            <w:r w:rsidRPr="00E26C13">
              <w:rPr>
                <w:iCs/>
              </w:rPr>
              <w:t xml:space="preserve">Nenodalot tīklus no ražošanas un tirdzniecības darbībām (efektīva nodalīšana), pastāv risks ne vien saskarties ar diskrimināciju  tīkla  vadīšanā,  bet  risks,  ka   vertikāli integrēti uzņēmumi zaudē stimulu veikt  pienācīgus ieguldījumus tīklos. Īpašumtiesību nodalīšana pārvades līmenī uzskatāma par visefektīvāko līdzekli, lai nediskriminējoši veicinātu ieguldījumus infrastruktūrā, jaunu dalībnieku taisnīgu piekļuvi tīklam un  </w:t>
            </w:r>
            <w:proofErr w:type="spellStart"/>
            <w:r w:rsidRPr="00E26C13">
              <w:rPr>
                <w:iCs/>
              </w:rPr>
              <w:t>pārredzamību</w:t>
            </w:r>
            <w:proofErr w:type="spellEnd"/>
            <w:r w:rsidRPr="00E26C13">
              <w:rPr>
                <w:iCs/>
              </w:rPr>
              <w:t xml:space="preserve">  tirgū. </w:t>
            </w:r>
          </w:p>
          <w:p w:rsidR="00E26C13" w:rsidRPr="00E26C13" w:rsidRDefault="00E26C13" w:rsidP="00E26C13">
            <w:pPr>
              <w:autoSpaceDE w:val="0"/>
              <w:autoSpaceDN w:val="0"/>
              <w:jc w:val="both"/>
              <w:rPr>
                <w:iCs/>
              </w:rPr>
            </w:pPr>
            <w:r w:rsidRPr="00E26C13">
              <w:rPr>
                <w:iCs/>
              </w:rPr>
              <w:t xml:space="preserve">Efektīvi nodalīt var tikai vienā veidā – likvidējot vertikāli integrētu uzņēmumu motivāciju diskriminēt konkurentus attiecībā uz piekļuvi tīkliem un ieguldījumiem. Vienkāršs un stabils risinājums dabiskā interešu konflikta novēršanai un piegādes drošuma panākšanai ir īpašumtiesību nodalīšana, kas paredz tīkla īpašnieku norīkot par sistēmas operatoru un viņa neatkarību no piegādes un ražošanas interesēm. </w:t>
            </w:r>
          </w:p>
          <w:p w:rsidR="00E26C13" w:rsidRPr="00E26C13" w:rsidRDefault="00E26C13" w:rsidP="00E26C13">
            <w:pPr>
              <w:autoSpaceDE w:val="0"/>
              <w:autoSpaceDN w:val="0"/>
              <w:jc w:val="both"/>
              <w:rPr>
                <w:iCs/>
              </w:rPr>
            </w:pPr>
            <w:r w:rsidRPr="00E26C13">
              <w:rPr>
                <w:iCs/>
              </w:rPr>
              <w:t>Izveidojot sistēmas operatoru vai pārvades operatoru, kas ir neatkarīgs no piegādes un ražošanas interesēm, vertikāli integrētam uzņēmumam būtu jāvar paturēt savā īpašumā tīkla aktīvus, vienlaikus nodrošinot interešu efektīvu nodalīšanu, ar nosacījumu, ka neatkarīgais sistēmas operators vai neatkarīgais pārvades operators veic visas tīkla operatora funkcijas un ka tiek nodrošināts sīki izstrādāts regulējums un aptveroši regulatīvās kontroles mehānismi.</w:t>
            </w:r>
          </w:p>
          <w:p w:rsidR="00886667" w:rsidRDefault="00E26C13" w:rsidP="00371374">
            <w:pPr>
              <w:spacing w:before="120" w:after="120"/>
              <w:ind w:right="101"/>
              <w:jc w:val="both"/>
            </w:pPr>
            <w:r w:rsidRPr="00E26C13">
              <w:t>Ministru kabinets 2011.gada 12.janvārī izdeva rīkojumu Nr.12 ar kuru, tas atbalstīja  Direktīvā 2009/72/EK iekļauto 2.modeli PSO nodalīšanai.</w:t>
            </w:r>
          </w:p>
          <w:p w:rsidR="00F27252" w:rsidRPr="00F27252" w:rsidRDefault="00F27252" w:rsidP="00F27252">
            <w:pPr>
              <w:pStyle w:val="naiskr"/>
              <w:snapToGrid w:val="0"/>
              <w:spacing w:before="0" w:after="0"/>
              <w:ind w:right="48"/>
              <w:jc w:val="both"/>
              <w:rPr>
                <w:b/>
                <w:color w:val="000000"/>
              </w:rPr>
            </w:pPr>
            <w:r w:rsidRPr="00F27252">
              <w:rPr>
                <w:b/>
                <w:color w:val="000000"/>
              </w:rPr>
              <w:t>Licencēšanas grozījumi</w:t>
            </w:r>
          </w:p>
          <w:p w:rsidR="00F27252" w:rsidRDefault="00F27252" w:rsidP="00F27252">
            <w:pPr>
              <w:spacing w:before="60"/>
              <w:jc w:val="both"/>
            </w:pPr>
            <w:r>
              <w:t xml:space="preserve">Noteikta pakalpojuma iekļaušana to sabiedrisko pakalpojumu vidū, kuru sniegšanu valstij ir nepieciešams </w:t>
            </w:r>
            <w:r>
              <w:lastRenderedPageBreak/>
              <w:t>regulēt, ir pamatojama ar konkurences trūkumu noteiktajā tirgū, kas var apdraudēt attiecīgā pakalpojuma lietotāju iespēju saņemt nepārtrauktus, drošus un kvalitatīvus pakalpojumus, kuru ta</w:t>
            </w:r>
            <w:r w:rsidR="00E00AFE">
              <w:t>rifi (cenas) atbilst ekonomiski</w:t>
            </w:r>
            <w:r>
              <w:t xml:space="preserve"> pamatotām izmaksām. Savukārt prasība komersantam saņemt atļauju (licenci) noteikta pakalpojuma sniegšanai ir komercdarbībai uzlikts papildu administratīvais slogs, kas ir attaisnojams tikai ar nozīmīgu sabiedrības labumu.</w:t>
            </w:r>
          </w:p>
          <w:p w:rsidR="00F27252" w:rsidRDefault="00F27252" w:rsidP="00F27252">
            <w:pPr>
              <w:spacing w:before="60"/>
              <w:jc w:val="both"/>
            </w:pPr>
            <w:r>
              <w:t>Šobrīd saskaņā ar normatīvajiem aktiem regulators sabiedrisko pakalpojumu sniegšanu licencē (enerģijas ražošanu, pārvadi, sadali, tirdzniecību u.c.) vai arī reģistrē sabiedrisko pakalpojumu sniedzēju reģistrā (elektronisko sakaru komersanti). Reģistrēšanas procedūra salīdzinoši ar licencēšanu ir vienkāršāka un ātrāka, jo pakalpojuma sniegšanas uzsākšanai ir nepieciešams tikai nosūtīt regulatoram reģistrācijas paziņojumu. Savukārt, lai saņemtu licenci, komersantam ir jāiesniedz regulatoram virkne dokumentu un ir nepieciešams regulatora lēmums, kura pieņemšana prasa līdz 30 dienām laika. Turklāt vienkāršāka un ātrāka ir arī grozījumu izdarīšana sabiedrisko pakalpojumu sniedzēju reģistrā, nekā licencēs.</w:t>
            </w:r>
          </w:p>
          <w:p w:rsidR="00F27252" w:rsidRDefault="00F27252" w:rsidP="00F27252">
            <w:pPr>
              <w:spacing w:before="60"/>
              <w:jc w:val="both"/>
            </w:pPr>
            <w:r>
              <w:t xml:space="preserve">Elektroenerģijas ražošanas un elektroenerģijas tirdzniecības pakalpojuma atrašanās to regulējamo sabiedrisko pakalpojumu vidū, kuru sniegšanai ir nepieciešama licence, nav lietderīga un pamatota, jo elektroenerģijas ražotāji un elektroenerģijas tirgotāji darbojas konkurences apstākļos, lietotājiem ir iespēja brīvi izvēlēties to elektroenerģijas ražotāju vai elektroenerģijas tirgotāju, no kura saņemt sabiedrisko pakalpojumu. </w:t>
            </w:r>
          </w:p>
          <w:p w:rsidR="00F27252" w:rsidRDefault="00F27252" w:rsidP="00F27252">
            <w:pPr>
              <w:spacing w:before="60"/>
              <w:jc w:val="both"/>
            </w:pPr>
            <w:r>
              <w:t>Turklāt elektroenerģijas ražošanas uzraudzību veic arī Ekonomikas ministrija, kura saskaņā ar Elektroenerģijas tirgus likuma 22.panta pirmo daļu izsniedz atļaujas ražošanas jaudu palielināšanai un jaunu ražošanas iekārtu ieviešanai. Lai izsniegtu minēto atļauju, Ekonomikas ministrija atbilstoši Ministru kabineta 2009.gada 11.augusta noteikumiem Nr.</w:t>
            </w:r>
            <w:r w:rsidRPr="00804388">
              <w:t>883</w:t>
            </w:r>
            <w:r>
              <w:t xml:space="preserve"> „Noteikumi par atļaujām elektroenerģijas ražošanas jaudu palielināšanai vai jaunu ražošanas iekārtu ieviešanai”</w:t>
            </w:r>
            <w:r w:rsidRPr="005438DE">
              <w:t xml:space="preserve"> </w:t>
            </w:r>
            <w:r>
              <w:t>(turpmāk – Noteikumi Nr.883) vērtē virkni dokumentu, tai skaitā informāciju par plānoto elektrostaciju, iekārtām, kā arī valdījuma tiesībām uz nekustamo īpašumu, kurā plānots izvietot elektrostaciju. Savukārt, l</w:t>
            </w:r>
            <w:r w:rsidRPr="00804388">
              <w:t>ai iegūtu tiesības saražoto elektroenerģiju pārdot obligātā iepirkuma ietvaros komersantam ir jāizpilda virkne prasīb</w:t>
            </w:r>
            <w:r w:rsidR="00E00AFE">
              <w:t>u</w:t>
            </w:r>
            <w:r w:rsidRPr="00804388">
              <w:t>, ko nosaka</w:t>
            </w:r>
            <w:r w:rsidRPr="005438DE">
              <w:t xml:space="preserve"> </w:t>
            </w:r>
            <w:r>
              <w:t>Ministru kabineta 2010.gada 16.marta noteikumi Nr.262 „Noteikumi par elektroenerģijas ražošanu, izmantojot atjaunojamos energoresursus, un cenu noteikšanas kārtību”</w:t>
            </w:r>
            <w:r w:rsidRPr="005438DE">
              <w:t xml:space="preserve"> </w:t>
            </w:r>
            <w:r>
              <w:t>(turpmāk – Noteikumi Nr.262)</w:t>
            </w:r>
            <w:r w:rsidRPr="00804388">
              <w:t>.</w:t>
            </w:r>
            <w:r>
              <w:t xml:space="preserve"> Minētie noteikumi nosaka arī Ekonomikas ministrijas kompetenci obligātā iepirkuma uzraudzībā. </w:t>
            </w:r>
          </w:p>
          <w:p w:rsidR="00F27252" w:rsidRDefault="00F27252" w:rsidP="00F27252">
            <w:pPr>
              <w:spacing w:before="60"/>
              <w:jc w:val="both"/>
            </w:pPr>
            <w:r>
              <w:t xml:space="preserve">Ekonomikas ministrijas un regulatora funkcijas </w:t>
            </w:r>
            <w:r>
              <w:lastRenderedPageBreak/>
              <w:t xml:space="preserve">elektroenerģijas ražotāju regulēšanā šobrīd pārklājas, jo: </w:t>
            </w:r>
          </w:p>
          <w:p w:rsidR="00F27252" w:rsidRDefault="00F27252" w:rsidP="00F27252">
            <w:pPr>
              <w:spacing w:before="60"/>
              <w:jc w:val="both"/>
            </w:pPr>
            <w:r>
              <w:t>1) izsniedzot licenci, regulators saskaņā ar Ministru kabineta 2010.gada 30.augusta noteikumiem Nr.</w:t>
            </w:r>
            <w:r w:rsidRPr="00804388">
              <w:t>664</w:t>
            </w:r>
            <w:r>
              <w:t xml:space="preserve"> „Sabiedrisko pakalpojumu licencēšanas noteikumi” (turpmāk – Noteikumi Nr.664) pēc būtības atkārtoti vērtē to pašu informāciju, kuru Ekonomikas ministrija ir jau vērtējusi, saskaņā ar Noteikumiem Nr.883 izsniedzot atļauju;</w:t>
            </w:r>
          </w:p>
          <w:p w:rsidR="00F27252" w:rsidRDefault="00F27252" w:rsidP="00F27252">
            <w:pPr>
              <w:spacing w:before="60"/>
              <w:jc w:val="both"/>
            </w:pPr>
            <w:r>
              <w:t>2) daļa informācijas, kuru komersantam jāsniedz Ekonomikas ministrijai, lai saskaņā ar Noteikumiem Nr.262 iegūtu tiesības saražoto elektroenerģiju pārdot obligātā iepirkuma ietvaros, ir jau skatīta Ekonomikas ministrijā, lai saņemtu Noteikumos Nr.883 paredzēto atļauju, bet vēlāk – regulatorā, lai atbilstoši Noteikumiem Nr.664 saņemtu licenci;</w:t>
            </w:r>
          </w:p>
          <w:p w:rsidR="00F27252" w:rsidRDefault="00F27252" w:rsidP="00F27252">
            <w:pPr>
              <w:spacing w:before="60"/>
              <w:jc w:val="both"/>
            </w:pPr>
            <w:r>
              <w:t>3) pastāvot minētajam normatīvo aktu regulējumam, licencēšanas process ne tikai zaudē jēgu, bet ir kļuvis par neadekvātu administratīvo slogu elektroenerģijas ražotājiem. Neskatoties uz to, regulatora izsniegtā licence  ir noteikta kā būtisks priekšnosacījums lai saskaņā ar Noteikumiem Nr.262 iegūtu tiesības saražoto elektroenerģiju pārdot obligātā iepirkuma ietvaros (skat. Noteikumu Nr.262 2.pielikumu), bet praksē, piemēram, – lai saskaņotu elektrostacijas būvniecības projektu ar sistēmas operatoru vai saņemtu kredītu bankā.</w:t>
            </w:r>
          </w:p>
          <w:p w:rsidR="00F27252" w:rsidRPr="004D409D" w:rsidRDefault="00F27252" w:rsidP="00F27252">
            <w:pPr>
              <w:spacing w:before="120" w:after="120"/>
              <w:ind w:right="101"/>
              <w:jc w:val="both"/>
            </w:pPr>
            <w:r>
              <w:t>Valsts pārvaldes iekārtas likuma 10.panta piektā daļa paredz, ka valsts pārvalde savā darbībā ievēro labas pārvaldības principu. Tas cita starpā ietver taisnīgu procedūru īstenošanu saprātīgā laikā un citus noteikumus, kuru mērķis ir panākt, lai valsts pārvalde ievērotu privātpersonas tiesības un tiesiskās intereses. Turklāt minētā likuma 10.pants paredz valsts pārvaldes pienākumu vienkāršot un uzlabot procedūras privātpersonas labā. Līdz ar to konstatējot, ka elektroenerģijas ražošanas un elektroenerģijas tirdzniecības pakalpojuma atrašanās to regulējamo sabiedrisko pakalpojumu vidū, kuru sniegšanai ir nepieciešama licence, vairs nav lietderīga un pamatota, ir nepieciešams grozīt normatīvo aktu regulējumu, Elektroenerģijas tirgus likumā paredzot elektroenerģijas ražotāju un elektroenerģijas tirgotāju reģistra ieviešanu un atsakoties no minēto pakalpojumu licencēšanas.</w:t>
            </w:r>
          </w:p>
        </w:tc>
      </w:tr>
      <w:tr w:rsidR="00262E2B" w:rsidRPr="005C777A" w:rsidTr="002A4920">
        <w:trPr>
          <w:trHeight w:val="655"/>
        </w:trPr>
        <w:tc>
          <w:tcPr>
            <w:tcW w:w="425" w:type="dxa"/>
          </w:tcPr>
          <w:p w:rsidR="00262E2B" w:rsidRPr="005C777A" w:rsidRDefault="00262E2B" w:rsidP="006C4607">
            <w:pPr>
              <w:pStyle w:val="naiskr"/>
              <w:spacing w:before="0" w:after="0"/>
            </w:pPr>
            <w:r w:rsidRPr="005C777A">
              <w:lastRenderedPageBreak/>
              <w:t>3.</w:t>
            </w:r>
          </w:p>
        </w:tc>
        <w:tc>
          <w:tcPr>
            <w:tcW w:w="2820" w:type="dxa"/>
          </w:tcPr>
          <w:p w:rsidR="00262E2B" w:rsidRPr="005C777A" w:rsidRDefault="00420870" w:rsidP="006C4607">
            <w:pPr>
              <w:pStyle w:val="naiskr"/>
              <w:spacing w:before="0" w:after="0"/>
            </w:pPr>
            <w:r w:rsidRPr="005C777A">
              <w:t>S</w:t>
            </w:r>
            <w:r w:rsidR="000B69CF" w:rsidRPr="005C777A">
              <w:t xml:space="preserve">aistītie </w:t>
            </w:r>
            <w:r w:rsidR="001A6AE4" w:rsidRPr="005C777A">
              <w:t>politikas ietekmes novērtējumi</w:t>
            </w:r>
            <w:r w:rsidR="00CB0247" w:rsidRPr="005C777A">
              <w:t xml:space="preserve"> un</w:t>
            </w:r>
            <w:r w:rsidR="001A6AE4" w:rsidRPr="005C777A">
              <w:t xml:space="preserve"> </w:t>
            </w:r>
            <w:r w:rsidR="000B69CF" w:rsidRPr="005C777A">
              <w:t>pētījumi</w:t>
            </w:r>
          </w:p>
        </w:tc>
        <w:tc>
          <w:tcPr>
            <w:tcW w:w="5912" w:type="dxa"/>
          </w:tcPr>
          <w:p w:rsidR="00D20FF4" w:rsidRPr="004D409D" w:rsidRDefault="00841550" w:rsidP="00841FBD">
            <w:pPr>
              <w:pStyle w:val="FootnoteText"/>
              <w:rPr>
                <w:sz w:val="24"/>
                <w:szCs w:val="24"/>
              </w:rPr>
            </w:pPr>
            <w:r w:rsidRPr="004D409D">
              <w:rPr>
                <w:sz w:val="24"/>
                <w:szCs w:val="24"/>
              </w:rPr>
              <w:t>Nav attiecināms.</w:t>
            </w:r>
          </w:p>
        </w:tc>
      </w:tr>
      <w:tr w:rsidR="00262E2B" w:rsidRPr="005C777A" w:rsidTr="002A4920">
        <w:trPr>
          <w:trHeight w:val="384"/>
        </w:trPr>
        <w:tc>
          <w:tcPr>
            <w:tcW w:w="425" w:type="dxa"/>
          </w:tcPr>
          <w:p w:rsidR="00262E2B" w:rsidRPr="005C777A" w:rsidRDefault="00262E2B" w:rsidP="006C4607">
            <w:pPr>
              <w:pStyle w:val="naiskr"/>
              <w:spacing w:before="0" w:after="0"/>
            </w:pPr>
            <w:r w:rsidRPr="005C777A">
              <w:t>4.</w:t>
            </w:r>
          </w:p>
        </w:tc>
        <w:tc>
          <w:tcPr>
            <w:tcW w:w="2820" w:type="dxa"/>
          </w:tcPr>
          <w:p w:rsidR="00262E2B" w:rsidRPr="005C777A" w:rsidRDefault="000C790C" w:rsidP="006C4607">
            <w:pPr>
              <w:pStyle w:val="naiskr"/>
              <w:spacing w:before="0" w:after="0"/>
            </w:pPr>
            <w:r w:rsidRPr="005C777A">
              <w:t>Tiesiskā r</w:t>
            </w:r>
            <w:r w:rsidR="00400032" w:rsidRPr="005C777A">
              <w:t xml:space="preserve">egulējuma </w:t>
            </w:r>
            <w:r w:rsidR="00262E2B" w:rsidRPr="005C777A">
              <w:t>mērķis un būtība</w:t>
            </w:r>
          </w:p>
        </w:tc>
        <w:tc>
          <w:tcPr>
            <w:tcW w:w="5912" w:type="dxa"/>
          </w:tcPr>
          <w:p w:rsidR="00371374" w:rsidRPr="001E6333" w:rsidRDefault="00371374" w:rsidP="004D409D">
            <w:pPr>
              <w:spacing w:before="120" w:after="120"/>
              <w:ind w:right="101"/>
              <w:jc w:val="both"/>
              <w:rPr>
                <w:b/>
              </w:rPr>
            </w:pPr>
            <w:r w:rsidRPr="001E6333">
              <w:rPr>
                <w:b/>
              </w:rPr>
              <w:t>Elektroenerģijas birža</w:t>
            </w:r>
          </w:p>
          <w:p w:rsidR="00371374" w:rsidRPr="00BE4081" w:rsidRDefault="00371374" w:rsidP="004D409D">
            <w:pPr>
              <w:spacing w:before="60"/>
              <w:ind w:right="102"/>
              <w:jc w:val="both"/>
            </w:pPr>
            <w:r w:rsidRPr="001E6333">
              <w:t xml:space="preserve">Likumprojekta mērķis ir definēt būtiskākos elementus elektroenerģijas biržas statusam un darbībai, attiecināt Tīkla kodeksu arī uz galalietotājiem, ja tie pērk elektroenerģiju biržā, izskaidrot tirdzniecības apgabala jēdzienu, noteikt darījumu veidus, kuri veicami tikai biržā, uzlikt biržai </w:t>
            </w:r>
            <w:r w:rsidR="00E00AFE">
              <w:lastRenderedPageBreak/>
              <w:t>pien</w:t>
            </w:r>
            <w:r w:rsidRPr="001E6333">
              <w:t xml:space="preserve">ākumus uzraudzīt elektroenerģijas tirdzniecību biržā, </w:t>
            </w:r>
            <w:r w:rsidRPr="00BE4081">
              <w:t>kā arī noteikt par pienākumu biržas dalībniekiem, līdzīgi kā citās ES valstīs, noslēgt balansēšanas līgumus tirdzniecības veikšanai biržā. Likumprojekts vienlaikus papildina pārvades sistēmas operatora tiesības un pienākumus atbilstoši no 2011.gada 3.marta aktuālajai EK regulai Nr.714/2009 par nosacījumiem attiecībā uz piekļuvi tīklam pārrobežu tirdzniecībā un par Regulas Nr.1228/2003 atcelšanu. Likumprojekta grozījumi atspoguļo pārvades sistēmas operatora tiesības rīkot tiešās izsoles vai arī pieejamo jaudu uz atsevišķu līgumu pamata nodot biržai organizētai un publiskai elektroenerģijas tirdzniecības rīkošanai netiešas izsoles veikšanai. Bez tam likumprojekts satur normu, kas nosaka, ka elektroenerģijas tirgus dalībniekiem ir pienākums, segt attaisnotos pārvades sistēmas operatora izdevumus, ja tie deklarē elektroenerģijas importu vai eksportu no un uz Eiropas Ekonomiskajā zonas sastāvā neietilpstošajām valstīm.</w:t>
            </w:r>
          </w:p>
          <w:p w:rsidR="00A62D7A" w:rsidRDefault="00A62D7A" w:rsidP="00A62D7A">
            <w:pPr>
              <w:jc w:val="both"/>
            </w:pPr>
          </w:p>
          <w:p w:rsidR="00A62D7A" w:rsidRPr="002F052A" w:rsidRDefault="00A62D7A" w:rsidP="00A62D7A">
            <w:pPr>
              <w:jc w:val="both"/>
            </w:pPr>
            <w:r w:rsidRPr="00A62D7A">
              <w:t xml:space="preserve">Elektroenerģijas birža </w:t>
            </w:r>
            <w:r>
              <w:t>ir veidota, ka</w:t>
            </w:r>
            <w:r w:rsidRPr="00A62D7A">
              <w:t xml:space="preserve"> tā ir publiska, organizēta elektroenerģijas tirdzniecības vieta un vide (virtuāla), kurā tirdzniecības apgabala ietvaros vai starp atsevišķiem tirdzniecības apgabaliem ar piedāvājumu starpniecību tirgus dalībnieki pērk un pārdod elektroenerģiju. Elektroenerģijas birža nodrošinās patiesu un pārskatāmu elektroenerģijas cenas veidošanās procesu. </w:t>
            </w:r>
            <w:r>
              <w:t>Visi</w:t>
            </w:r>
            <w:r w:rsidRPr="00A62D7A">
              <w:rPr>
                <w:bCs/>
              </w:rPr>
              <w:t xml:space="preserve"> </w:t>
            </w:r>
            <w:r>
              <w:rPr>
                <w:bCs/>
              </w:rPr>
              <w:t>e</w:t>
            </w:r>
            <w:r w:rsidRPr="00A62D7A">
              <w:rPr>
                <w:bCs/>
              </w:rPr>
              <w:t>lektrības ražotāji un patērētāji</w:t>
            </w:r>
            <w:r>
              <w:rPr>
                <w:bCs/>
              </w:rPr>
              <w:t>, kas noslēgs līgumu ar biržu un ievēros tirdzniecības noteikumus,</w:t>
            </w:r>
            <w:r w:rsidRPr="00A62D7A">
              <w:rPr>
                <w:bCs/>
              </w:rPr>
              <w:t xml:space="preserve"> varēs pievienoties elektrības tirdzniecībai biržā, kas palielinās iespējas gan izjust konkurences spiedienu, gan izvēles priekšrocības.</w:t>
            </w:r>
          </w:p>
          <w:p w:rsidR="00371374" w:rsidRPr="00BE4081" w:rsidRDefault="00371374" w:rsidP="00E26C13">
            <w:pPr>
              <w:spacing w:before="60"/>
              <w:ind w:right="102"/>
              <w:jc w:val="both"/>
            </w:pPr>
          </w:p>
          <w:p w:rsidR="00371374" w:rsidRPr="00BE4081" w:rsidRDefault="00841FBD" w:rsidP="00841FBD">
            <w:pPr>
              <w:spacing w:before="60"/>
              <w:ind w:right="102"/>
              <w:jc w:val="both"/>
              <w:rPr>
                <w:b/>
              </w:rPr>
            </w:pPr>
            <w:r w:rsidRPr="00BE4081">
              <w:rPr>
                <w:b/>
              </w:rPr>
              <w:t>AER direktīva</w:t>
            </w:r>
          </w:p>
          <w:p w:rsidR="00BE4081" w:rsidRPr="00BE4081" w:rsidRDefault="00BE4081" w:rsidP="00BE4081">
            <w:pPr>
              <w:spacing w:before="60"/>
              <w:ind w:left="142" w:right="102"/>
              <w:jc w:val="both"/>
            </w:pPr>
            <w:r w:rsidRPr="00BE4081">
              <w:t>Likumprojekts „Grozījumi Elektroenerģijas tirgus likumā” kā pavadošais likumprojekts likumprojektam „Atjaunojamās enerģijas likums” (VSS-1111), kas 2010.gada 16.septembrī</w:t>
            </w:r>
            <w:r w:rsidR="00A62D7A">
              <w:t>,</w:t>
            </w:r>
            <w:r w:rsidRPr="00BE4081">
              <w:t xml:space="preserve"> izsludināts Valsts sekretāru sanāksmē, ir izstrādāts ar mērķi noteikt vienotu, skaidru un ilgtermiņā paredzamu regulējumu elektroenerģijas, kas ražota no atjaunojamiem energoresursiem, izmantošanas un ražošanas veicināšanai.</w:t>
            </w:r>
          </w:p>
          <w:p w:rsidR="00BE4081" w:rsidRPr="00BE4081" w:rsidRDefault="00BE4081" w:rsidP="00BE4081">
            <w:pPr>
              <w:spacing w:before="60"/>
              <w:ind w:left="142" w:right="102"/>
              <w:jc w:val="both"/>
            </w:pPr>
            <w:r w:rsidRPr="00BE4081">
              <w:t>Nolūkā mazināt administratīvo slogu komersantiem, likumprojekts paredz svītrot ETL VI nodaļas 22.pantu.</w:t>
            </w:r>
          </w:p>
          <w:p w:rsidR="00BE4081" w:rsidRPr="00BE4081" w:rsidRDefault="00BE4081" w:rsidP="00BE4081">
            <w:pPr>
              <w:spacing w:before="60"/>
              <w:ind w:left="142" w:right="102"/>
              <w:jc w:val="both"/>
            </w:pPr>
            <w:r w:rsidRPr="00BE4081">
              <w:t>ETL 22.pants regulē ražošanas jaudu palielināšanu un jaunas ražošanas iekārtas ieviešanu. Atbilstoši ETL 22.panta pirmajai daļai ražošanas jaudu palielināšanai un jaunas ražošanas iekārtas ieviešanai šobrīd nepieciešama Ekonomikas ministrijas atļauja. Prasības, kas jāizpilda, lai atļauju saņemtu, kā arī atļaujas izsniegšanas, anulēšanas un derīguma termiņa pagarināšanas kārtību nosaka Ministru kabinets.</w:t>
            </w:r>
          </w:p>
          <w:p w:rsidR="00BE4081" w:rsidRPr="00BE4081" w:rsidRDefault="00BE4081" w:rsidP="00BE4081">
            <w:pPr>
              <w:spacing w:before="60"/>
              <w:ind w:left="142" w:right="102"/>
              <w:jc w:val="both"/>
            </w:pPr>
            <w:r w:rsidRPr="00BE4081">
              <w:lastRenderedPageBreak/>
              <w:t>Ņemot vērā to, ka atbilstoši ETL 22.panta trešajai daļai atteikums ir pamatojams vienīgi ar iesnieguma neatbilstību noteiktajām prasībām, kas nereti pārklājas ar citos normatīvajos aktos noteiktajām prasībām,  Ekonomikas ministrijas atļaujas saņemšana tiek vērtēt</w:t>
            </w:r>
            <w:r w:rsidR="00A62D7A">
              <w:t>a</w:t>
            </w:r>
            <w:r w:rsidRPr="00BE4081">
              <w:t xml:space="preserve"> kā papildu administratīvs šķērslis. Ekonomikas ministr</w:t>
            </w:r>
            <w:r w:rsidR="00A62D7A">
              <w:t>ija</w:t>
            </w:r>
            <w:r w:rsidRPr="00BE4081">
              <w:t xml:space="preserve"> uzskata minēto atļauju izsniegšanu par nelietderīgu.</w:t>
            </w:r>
          </w:p>
          <w:p w:rsidR="00BE4081" w:rsidRPr="00BE4081" w:rsidRDefault="00BE4081" w:rsidP="00BE4081">
            <w:pPr>
              <w:spacing w:before="60"/>
              <w:ind w:left="142" w:right="102"/>
              <w:jc w:val="both"/>
            </w:pPr>
            <w:r w:rsidRPr="00BE4081">
              <w:t xml:space="preserve">Ņemot vērā ar Ministru kabineta 2009.gada 26.maija sēdes </w:t>
            </w:r>
            <w:proofErr w:type="spellStart"/>
            <w:r w:rsidRPr="00BE4081">
              <w:rPr>
                <w:rFonts w:eastAsia="Calibri"/>
              </w:rPr>
              <w:t>protokollēmuma</w:t>
            </w:r>
            <w:proofErr w:type="spellEnd"/>
            <w:r w:rsidRPr="00BE4081">
              <w:rPr>
                <w:rFonts w:eastAsia="Calibri"/>
              </w:rPr>
              <w:t xml:space="preserve"> Nr.</w:t>
            </w:r>
            <w:r w:rsidRPr="00BE4081">
              <w:t>33</w:t>
            </w:r>
            <w:r w:rsidRPr="00BE4081">
              <w:rPr>
                <w:rFonts w:eastAsia="Calibri"/>
              </w:rPr>
              <w:t xml:space="preserve"> </w:t>
            </w:r>
            <w:r w:rsidRPr="00BE4081">
              <w:t xml:space="preserve">54. </w:t>
            </w:r>
            <w:r w:rsidRPr="00BE4081">
              <w:rPr>
                <w:rFonts w:eastAsia="Calibri"/>
              </w:rPr>
              <w:t xml:space="preserve">§ </w:t>
            </w:r>
            <w:r w:rsidRPr="00BE4081">
              <w:t>2</w:t>
            </w:r>
            <w:r w:rsidRPr="00BE4081">
              <w:rPr>
                <w:rFonts w:eastAsia="Calibri"/>
              </w:rPr>
              <w:t xml:space="preserve">.punktu un  ar </w:t>
            </w:r>
            <w:r w:rsidRPr="00BE4081">
              <w:t xml:space="preserve">Ministru kabineta 2009. gada 10. novembra sēdes </w:t>
            </w:r>
            <w:proofErr w:type="spellStart"/>
            <w:r w:rsidRPr="00BE4081">
              <w:t>protokollēmuma</w:t>
            </w:r>
            <w:proofErr w:type="spellEnd"/>
            <w:r w:rsidRPr="00BE4081">
              <w:t xml:space="preserve"> Nr.79 45. </w:t>
            </w:r>
            <w:r w:rsidRPr="00BE4081">
              <w:rPr>
                <w:rFonts w:eastAsia="Calibri"/>
              </w:rPr>
              <w:t>§ 3.punktu ekonomikas ministram uzdoto, kā arī nepieciešamību nodrošināt Latvijas tiesību aktu atbilstību Direktīvai 2009/28/EK, ir novērtēta nepieciešamība ierosināt grozījumu veikšanu ETL, svītrojot ETL VI nodaļas 22.pantu, VII nodaļas 29.</w:t>
            </w:r>
            <w:r w:rsidRPr="00BE4081">
              <w:t>pantu un 29.</w:t>
            </w:r>
            <w:r w:rsidRPr="00BE4081">
              <w:rPr>
                <w:vertAlign w:val="superscript"/>
              </w:rPr>
              <w:t>1</w:t>
            </w:r>
            <w:r w:rsidRPr="00BE4081">
              <w:t xml:space="preserve">, kā arī svītrot VII nodaļas </w:t>
            </w:r>
            <w:r w:rsidRPr="00BE4081">
              <w:rPr>
                <w:bCs/>
              </w:rPr>
              <w:t xml:space="preserve">30.panta </w:t>
            </w:r>
            <w:r w:rsidRPr="00BE4081">
              <w:t>1.</w:t>
            </w:r>
            <w:r w:rsidRPr="00BE4081">
              <w:rPr>
                <w:vertAlign w:val="superscript"/>
              </w:rPr>
              <w:t xml:space="preserve">1 </w:t>
            </w:r>
            <w:r w:rsidRPr="00BE4081">
              <w:t xml:space="preserve"> un otro daļu. Vienlaikus, lai nodrošinātu publiskajam tirgotājam radīto obligātā iepirkuma izmaksu kompensēšanas mehānisma saglabāšanu, samazinātu elektroenerģijas tarifā galalietotājiem dažādu komponenšu skaitu, likumprojekts paredz izteikt jaunā redakcijā 30.panta trešo daļu.</w:t>
            </w:r>
          </w:p>
          <w:p w:rsidR="00BE4081" w:rsidRPr="00BE4081" w:rsidRDefault="00BE4081" w:rsidP="00BE4081">
            <w:pPr>
              <w:spacing w:before="60"/>
              <w:ind w:left="142" w:right="102"/>
              <w:jc w:val="both"/>
            </w:pPr>
            <w:r w:rsidRPr="00BE4081">
              <w:t>Ņemot vērā to, ka ir nepieciešams saglabāt tiesisko regulējumu, kādā veidā publiskajam tirgotājam tiek kompensētas obligātā iepirkuma papildus izmaksas, lai tā rezultātā publiskais tirgotājs necietu zaudējumus, ņemot vērā iegūto tiesību pārdot elektroenerģiju obligātā iepirkuma ietvaros  ilgtermiņa raksturu, ir precizējama ETL 30.panta trešā daļa, nosakot, ka:</w:t>
            </w:r>
          </w:p>
          <w:p w:rsidR="00BE4081" w:rsidRPr="00BE4081" w:rsidRDefault="00BE4081" w:rsidP="00BE4081">
            <w:pPr>
              <w:spacing w:before="60"/>
              <w:ind w:left="142" w:right="102"/>
              <w:jc w:val="both"/>
            </w:pPr>
            <w:r w:rsidRPr="00BE4081">
              <w:t>1) publiskais tirgotājs atsevišķi uzskaita šā panta pirmajā daļā noteiktajā kārtībā, obligātā iepirkuma ietvaros un pēc ekonomiskā pakāpeniskuma principa saskaņā ar līgumu, kurā ražotājs un publiskais tirgotājs ir vienojušies par elektroenerģijas ražošanas režīmu, elektroenerģijas cenu un līguma darbības termiņu, iepirktās elektroenerģijas apjomu un izmaksas. Šo iepirkumu izmaksas tiek iekļautas pārvades tarifos. Pārvades sistēmas operatoram radītās izmaksas sedz visi Latvijas elektroenerģijas galalietotāji regulatora metodikā noteiktajā kārtībā.</w:t>
            </w:r>
          </w:p>
          <w:p w:rsidR="00841FBD" w:rsidRPr="00BE4081" w:rsidRDefault="00BE4081" w:rsidP="00BE4081">
            <w:pPr>
              <w:spacing w:before="60"/>
              <w:ind w:left="142" w:right="102"/>
              <w:jc w:val="both"/>
            </w:pPr>
            <w:r w:rsidRPr="00BE4081">
              <w:t xml:space="preserve">2) likumprojekts nav attiecināms uz atbalsta mehānismu, ko  paredz izveidot ar likumprojektu „Atjaunojamās enerģijas likums” (VSS-1111), tajā pašā laikā kompensācijas mehānismi, ko paredz gan likumprojekts, gan likumprojekts „Atjaunojamās enerģijas likums” tiek harmonizēti. Likumprojektā „Atjaunojamās enerģijas likums” (VSS-1111) paredzētais atbalstu kompensācijas mehānisms ir attiecināms ne tikai uz publisko tirgotāju, bet uz jebkuru elektroenerģijas tirgotāju, kurš iepirks elektroenerģiju, kas ražota, izmantojot atjaunojamos energoresursus, paredzot elektroenerģijas tirgotāja </w:t>
            </w:r>
            <w:r w:rsidRPr="00BE4081">
              <w:lastRenderedPageBreak/>
              <w:t>pienākumu atsevišķi uzskaitīt likumprojekta „Atjaunojamās enerģijas likums” (VSS-1111 (turpmāk - AEL) noteiktajā kārtībā iepirktās elektroenerģijas apjomu, par ko informē publisko tirgotāju. Pārvades sistēmas operators atsevišķi uzskaita likumprojekta „Atjaunojamās enerģijas likums” noteiktajā kārtībā veikto piemaksu apjomus un izmaksas. Izmaksas, kas radušās pārvades sistēmas operatoram saskaņā ar likumprojektu un saskaņā ar likumprojektu „Atjaunojamās enerģijas likums”  tiek iekļautas pārvades tarifos. Šo izmaksu aprēķināšanas metodiku nosaka regulators.</w:t>
            </w:r>
          </w:p>
          <w:p w:rsidR="00BE4081" w:rsidRDefault="00BE4081" w:rsidP="00841FBD">
            <w:pPr>
              <w:pStyle w:val="Default"/>
              <w:jc w:val="both"/>
              <w:rPr>
                <w:rFonts w:ascii="Times New Roman" w:hAnsi="Times New Roman" w:cs="Times New Roman"/>
                <w:b/>
                <w:bCs/>
              </w:rPr>
            </w:pPr>
          </w:p>
          <w:p w:rsidR="00841FBD" w:rsidRPr="001E6333" w:rsidRDefault="00841FBD" w:rsidP="00841FBD">
            <w:pPr>
              <w:pStyle w:val="Default"/>
              <w:jc w:val="both"/>
              <w:rPr>
                <w:rFonts w:ascii="Times New Roman" w:hAnsi="Times New Roman" w:cs="Times New Roman"/>
                <w:b/>
                <w:bCs/>
              </w:rPr>
            </w:pPr>
            <w:r w:rsidRPr="001E6333">
              <w:rPr>
                <w:rFonts w:ascii="Times New Roman" w:hAnsi="Times New Roman" w:cs="Times New Roman"/>
                <w:b/>
                <w:bCs/>
              </w:rPr>
              <w:t>PSO nodalīšana</w:t>
            </w:r>
          </w:p>
          <w:p w:rsidR="00841FBD" w:rsidRPr="001E6333" w:rsidRDefault="00841FBD" w:rsidP="008F2E23">
            <w:pPr>
              <w:spacing w:before="60"/>
              <w:ind w:right="102"/>
              <w:jc w:val="both"/>
            </w:pPr>
            <w:r w:rsidRPr="001E6333">
              <w:t>Likumprojektā iekļaut</w:t>
            </w:r>
            <w:r w:rsidR="004627E4" w:rsidRPr="001E6333">
              <w:t>o</w:t>
            </w:r>
            <w:r w:rsidRPr="001E6333">
              <w:t xml:space="preserve"> grozījum</w:t>
            </w:r>
            <w:r w:rsidR="004627E4" w:rsidRPr="001E6333">
              <w:t xml:space="preserve">u mērķis, </w:t>
            </w:r>
            <w:r w:rsidR="008F2E23" w:rsidRPr="001E6333">
              <w:t>ir radīt tiesisko vidi, lai no 2012.gada 3.marta Latvijā tiku izveidots Direktīvas/72/EK prasībām atbilstošs PSO. Likumprojektā iekļautas normas, kas nosaka prasības attiecībā uz pārvades sistēmas īpašnieka neatkarības nodrošināšanu, kā arī pārvades sistēmas īpašnieka juridiskais statuss, tā uzraudzība un attiecības ar PSO. Vienlaikus likumprojekts nosaka, kārtību un nosacījumus kurus izvērtējot regulators sertificē PSO. Likumprojekt</w:t>
            </w:r>
            <w:r w:rsidR="001B4D85" w:rsidRPr="001E6333">
              <w:t>ā iekļauti virkne grozījumu, kas precizē vai nosaka jaunus pienākumus regulatoram ( apstiprināt un uzraudzīt PSO tīklu attīstības daudzgadu plānu, pārraudzīt PSO un pārvades sistēmas īpašnieka attiecības, vienlaikus būt domstarpību izšķiršanas iestādei starp šiem komersantiem, pārraudzīt kā tiek izlietotas PSO ieņemtā maksa par pārslodzes vadību u.c.)</w:t>
            </w:r>
            <w:r w:rsidR="00F27252" w:rsidRPr="001E6333">
              <w:t>.</w:t>
            </w:r>
          </w:p>
          <w:p w:rsidR="00F27252" w:rsidRPr="001E6333" w:rsidRDefault="00F27252" w:rsidP="00F27252">
            <w:pPr>
              <w:pStyle w:val="naiskr"/>
              <w:snapToGrid w:val="0"/>
              <w:spacing w:before="0" w:after="0"/>
              <w:ind w:right="48"/>
              <w:jc w:val="both"/>
              <w:rPr>
                <w:b/>
                <w:color w:val="000000"/>
              </w:rPr>
            </w:pPr>
          </w:p>
          <w:p w:rsidR="00F27252" w:rsidRPr="001E6333" w:rsidRDefault="00F27252" w:rsidP="00F27252">
            <w:pPr>
              <w:pStyle w:val="naiskr"/>
              <w:snapToGrid w:val="0"/>
              <w:spacing w:before="0" w:after="0"/>
              <w:ind w:right="48"/>
              <w:jc w:val="both"/>
              <w:rPr>
                <w:b/>
                <w:color w:val="000000"/>
              </w:rPr>
            </w:pPr>
            <w:r w:rsidRPr="001E6333">
              <w:rPr>
                <w:b/>
                <w:color w:val="000000"/>
              </w:rPr>
              <w:t>Licencēšanas grozījumi</w:t>
            </w:r>
          </w:p>
          <w:p w:rsidR="00F27252" w:rsidRPr="001E6333" w:rsidRDefault="00F27252" w:rsidP="00F27252">
            <w:pPr>
              <w:spacing w:before="60"/>
              <w:jc w:val="both"/>
            </w:pPr>
            <w:r w:rsidRPr="001E6333">
              <w:t>Projekta mērķis ir izslēgt elektroenerģijas ražošanu un elektroenerģijas tirdzniecību no to regulējamo sabiedrisko pakalpojumu vidus, kuru sniegšanai ir nepieciešama licence, un paredzēt šo pakalpojumu sniedzēju reģistra izveidi, lai:</w:t>
            </w:r>
          </w:p>
          <w:p w:rsidR="00F27252" w:rsidRPr="001E6333" w:rsidRDefault="001E6333" w:rsidP="001E6333">
            <w:pPr>
              <w:spacing w:before="60"/>
              <w:jc w:val="both"/>
            </w:pPr>
            <w:r>
              <w:t>1)</w:t>
            </w:r>
            <w:r w:rsidR="00F27252" w:rsidRPr="001E6333">
              <w:t>mazinātu elektroenerģijas ražotājiem un elektroenerģijas tirgotājiem uzlikto administratīvo slogu, vienkāršojot, paātrinot un uzlabojot administratīvo procesu;</w:t>
            </w:r>
          </w:p>
          <w:p w:rsidR="00F27252" w:rsidRPr="001E6333" w:rsidRDefault="001E6333" w:rsidP="001E6333">
            <w:pPr>
              <w:spacing w:before="60"/>
              <w:jc w:val="both"/>
            </w:pPr>
            <w:r>
              <w:t>2)</w:t>
            </w:r>
            <w:r w:rsidR="00F27252" w:rsidRPr="001E6333">
              <w:t>veicinātu elektroenerģijas tirgus attīstību;</w:t>
            </w:r>
          </w:p>
          <w:p w:rsidR="00F27252" w:rsidRPr="001E6333" w:rsidRDefault="00A62D7A" w:rsidP="00A62D7A">
            <w:pPr>
              <w:spacing w:before="60"/>
              <w:ind w:right="102"/>
              <w:jc w:val="both"/>
            </w:pPr>
            <w:r>
              <w:t>3)</w:t>
            </w:r>
            <w:r w:rsidR="00F27252" w:rsidRPr="001E6333">
              <w:t>novērstu Ekonomikas ministrijas un regulatora funkciju pārklāšanos.</w:t>
            </w:r>
          </w:p>
        </w:tc>
      </w:tr>
      <w:tr w:rsidR="00262E2B" w:rsidRPr="005C777A" w:rsidTr="002A4920">
        <w:trPr>
          <w:trHeight w:val="476"/>
        </w:trPr>
        <w:tc>
          <w:tcPr>
            <w:tcW w:w="425" w:type="dxa"/>
          </w:tcPr>
          <w:p w:rsidR="00262E2B" w:rsidRPr="005C777A" w:rsidRDefault="00262E2B" w:rsidP="006C4607">
            <w:pPr>
              <w:pStyle w:val="naiskr"/>
              <w:spacing w:before="0" w:after="0"/>
            </w:pPr>
            <w:r w:rsidRPr="005C777A">
              <w:lastRenderedPageBreak/>
              <w:t>5.</w:t>
            </w:r>
          </w:p>
        </w:tc>
        <w:tc>
          <w:tcPr>
            <w:tcW w:w="2820" w:type="dxa"/>
          </w:tcPr>
          <w:p w:rsidR="00262E2B" w:rsidRPr="005C777A" w:rsidRDefault="001A4066" w:rsidP="00442C0F">
            <w:pPr>
              <w:pStyle w:val="naiskr"/>
              <w:spacing w:before="0" w:after="0"/>
              <w:jc w:val="both"/>
            </w:pPr>
            <w:r w:rsidRPr="005C777A">
              <w:t>Projekta i</w:t>
            </w:r>
            <w:r w:rsidR="00262E2B" w:rsidRPr="005C777A">
              <w:t>zstrād</w:t>
            </w:r>
            <w:r w:rsidR="00420870" w:rsidRPr="005C777A">
              <w:t xml:space="preserve">ē </w:t>
            </w:r>
            <w:r w:rsidR="00262E2B" w:rsidRPr="005C777A">
              <w:t>iesaistītās institūcijas</w:t>
            </w:r>
          </w:p>
        </w:tc>
        <w:tc>
          <w:tcPr>
            <w:tcW w:w="5912" w:type="dxa"/>
          </w:tcPr>
          <w:p w:rsidR="00027613" w:rsidRPr="001E6333" w:rsidRDefault="00027613" w:rsidP="00027613">
            <w:pPr>
              <w:spacing w:before="60"/>
              <w:ind w:right="102"/>
              <w:jc w:val="both"/>
              <w:rPr>
                <w:b/>
              </w:rPr>
            </w:pPr>
            <w:r w:rsidRPr="001E6333">
              <w:rPr>
                <w:b/>
              </w:rPr>
              <w:t>AER direktīva</w:t>
            </w:r>
          </w:p>
          <w:p w:rsidR="003F7055" w:rsidRPr="001E6333" w:rsidRDefault="005D0EF5" w:rsidP="00027613">
            <w:pPr>
              <w:jc w:val="both"/>
            </w:pPr>
            <w:r w:rsidRPr="001E6333">
              <w:t xml:space="preserve">Sabiedrisko pakalpojumu regulēšanas komisijas 2010.gada </w:t>
            </w:r>
            <w:r w:rsidR="00AE1AA4" w:rsidRPr="001E6333">
              <w:t>1</w:t>
            </w:r>
            <w:r w:rsidRPr="001E6333">
              <w:t>.</w:t>
            </w:r>
            <w:r w:rsidR="00AE1AA4" w:rsidRPr="001E6333">
              <w:t xml:space="preserve">decembra </w:t>
            </w:r>
            <w:r w:rsidRPr="001E6333">
              <w:t>atzinums Nr.1-2.81/4567, AS „Latvenergo” 2010.gada 30.septembra atzinums Nr.01VL00-11/4273 un AS „Latvenergo” 2010.gada 2</w:t>
            </w:r>
            <w:r w:rsidR="00AE1AA4" w:rsidRPr="001E6333">
              <w:t>9</w:t>
            </w:r>
            <w:r w:rsidRPr="001E6333">
              <w:t>.novembra atzinums Nr.01VL00-11/</w:t>
            </w:r>
            <w:r w:rsidR="00AE1AA4" w:rsidRPr="001E6333">
              <w:t>5563</w:t>
            </w:r>
            <w:r w:rsidR="00225AD8" w:rsidRPr="001E6333">
              <w:t>.</w:t>
            </w:r>
          </w:p>
          <w:p w:rsidR="003F7055" w:rsidRPr="001E6333" w:rsidRDefault="00027613" w:rsidP="00027613">
            <w:pPr>
              <w:spacing w:before="120" w:after="120"/>
              <w:ind w:right="101"/>
              <w:jc w:val="both"/>
              <w:rPr>
                <w:b/>
              </w:rPr>
            </w:pPr>
            <w:r w:rsidRPr="001E6333">
              <w:rPr>
                <w:b/>
              </w:rPr>
              <w:t>El</w:t>
            </w:r>
            <w:r w:rsidR="003F7055" w:rsidRPr="001E6333">
              <w:rPr>
                <w:b/>
              </w:rPr>
              <w:t>ektroenerģijas birža</w:t>
            </w:r>
          </w:p>
          <w:p w:rsidR="003F7055" w:rsidRPr="001E6333" w:rsidRDefault="003F7055" w:rsidP="00027613">
            <w:pPr>
              <w:jc w:val="both"/>
            </w:pPr>
            <w:r w:rsidRPr="001E6333">
              <w:t xml:space="preserve">Likumprojektā izveidei ir ņemts vērā Latvijas pārvades sistēmas operatora AS „Augstsprieguma tīkls” viedoklis un </w:t>
            </w:r>
            <w:r w:rsidRPr="001E6333">
              <w:lastRenderedPageBreak/>
              <w:t xml:space="preserve">priekšlikumi, kā arī BEMIP </w:t>
            </w:r>
            <w:r w:rsidR="00C5426B">
              <w:t xml:space="preserve">ietvaros esošās NPS </w:t>
            </w:r>
            <w:proofErr w:type="spellStart"/>
            <w:r w:rsidR="00C5426B">
              <w:t>Baltic</w:t>
            </w:r>
            <w:proofErr w:type="spellEnd"/>
            <w:r w:rsidR="00C5426B">
              <w:t xml:space="preserve"> </w:t>
            </w:r>
            <w:r w:rsidRPr="001E6333">
              <w:t>darba grupas rekomendācijas</w:t>
            </w:r>
          </w:p>
          <w:p w:rsidR="00027613" w:rsidRPr="001E6333" w:rsidRDefault="00027613" w:rsidP="00027613">
            <w:pPr>
              <w:jc w:val="both"/>
              <w:rPr>
                <w:b/>
              </w:rPr>
            </w:pPr>
            <w:r w:rsidRPr="001E6333">
              <w:rPr>
                <w:b/>
              </w:rPr>
              <w:t>PSO nodalīšana</w:t>
            </w:r>
          </w:p>
          <w:p w:rsidR="00027613" w:rsidRPr="001E6333" w:rsidRDefault="00027613" w:rsidP="00027613">
            <w:pPr>
              <w:jc w:val="both"/>
            </w:pPr>
            <w:r w:rsidRPr="001E6333">
              <w:t xml:space="preserve">Likumprojekta izstrādes gaitā ņemts vērā Sabiedrisko pakalpojumu regulēšanas komisijas, AS „Latvenergo”, </w:t>
            </w:r>
            <w:r w:rsidRPr="001E6333">
              <w:rPr>
                <w:color w:val="000000"/>
              </w:rPr>
              <w:t xml:space="preserve"> Latvijas arodbiedrība</w:t>
            </w:r>
            <w:r w:rsidR="00A62D7A">
              <w:rPr>
                <w:color w:val="000000"/>
              </w:rPr>
              <w:t>s</w:t>
            </w:r>
            <w:r w:rsidRPr="001E6333">
              <w:rPr>
                <w:color w:val="000000"/>
              </w:rPr>
              <w:t xml:space="preserve"> "Enerģija" viedoklis un priekšlikumi.</w:t>
            </w:r>
          </w:p>
        </w:tc>
      </w:tr>
      <w:tr w:rsidR="00262E2B" w:rsidRPr="005C777A" w:rsidTr="002A4920">
        <w:trPr>
          <w:trHeight w:val="700"/>
        </w:trPr>
        <w:tc>
          <w:tcPr>
            <w:tcW w:w="425" w:type="dxa"/>
          </w:tcPr>
          <w:p w:rsidR="00262E2B" w:rsidRPr="005C777A" w:rsidRDefault="00262E2B" w:rsidP="006C4607">
            <w:pPr>
              <w:pStyle w:val="naiskr"/>
              <w:spacing w:before="0" w:after="0"/>
            </w:pPr>
            <w:r w:rsidRPr="005C777A">
              <w:lastRenderedPageBreak/>
              <w:t>6.</w:t>
            </w:r>
          </w:p>
        </w:tc>
        <w:tc>
          <w:tcPr>
            <w:tcW w:w="2820" w:type="dxa"/>
          </w:tcPr>
          <w:p w:rsidR="00262E2B" w:rsidRPr="005C777A" w:rsidRDefault="00BB7C94" w:rsidP="006C4607">
            <w:pPr>
              <w:pStyle w:val="naiskr"/>
              <w:spacing w:before="0" w:after="0"/>
              <w:rPr>
                <w:i/>
                <w:highlight w:val="yellow"/>
              </w:rPr>
            </w:pPr>
            <w:r w:rsidRPr="005C777A">
              <w:t xml:space="preserve">Iemesli, kādēļ netika nodrošināta </w:t>
            </w:r>
            <w:r w:rsidR="00262E2B" w:rsidRPr="005C777A">
              <w:t xml:space="preserve">sabiedrības </w:t>
            </w:r>
            <w:r w:rsidRPr="005C777A">
              <w:t>līdzdalība</w:t>
            </w:r>
          </w:p>
        </w:tc>
        <w:tc>
          <w:tcPr>
            <w:tcW w:w="5912" w:type="dxa"/>
          </w:tcPr>
          <w:p w:rsidR="00D20FF4" w:rsidRPr="005C777A" w:rsidRDefault="00280ECB" w:rsidP="00225AD8">
            <w:pPr>
              <w:pStyle w:val="FootnoteText"/>
              <w:ind w:left="141"/>
              <w:jc w:val="both"/>
              <w:rPr>
                <w:sz w:val="24"/>
                <w:szCs w:val="24"/>
              </w:rPr>
            </w:pPr>
            <w:r>
              <w:rPr>
                <w:color w:val="000000"/>
                <w:sz w:val="24"/>
                <w:szCs w:val="24"/>
              </w:rPr>
              <w:t>Nav attiecināms.</w:t>
            </w:r>
          </w:p>
        </w:tc>
      </w:tr>
      <w:tr w:rsidR="00262E2B" w:rsidRPr="005C777A" w:rsidTr="002A4920">
        <w:tc>
          <w:tcPr>
            <w:tcW w:w="425" w:type="dxa"/>
          </w:tcPr>
          <w:p w:rsidR="00262E2B" w:rsidRPr="005C777A" w:rsidRDefault="00262E2B" w:rsidP="006C4607">
            <w:pPr>
              <w:pStyle w:val="naiskr"/>
              <w:spacing w:before="0" w:after="0"/>
            </w:pPr>
            <w:r w:rsidRPr="005C777A">
              <w:t>7.</w:t>
            </w:r>
          </w:p>
        </w:tc>
        <w:tc>
          <w:tcPr>
            <w:tcW w:w="2820" w:type="dxa"/>
          </w:tcPr>
          <w:p w:rsidR="00262E2B" w:rsidRPr="005C777A" w:rsidRDefault="00262E2B" w:rsidP="006C4607">
            <w:pPr>
              <w:pStyle w:val="naiskr"/>
              <w:spacing w:before="0" w:after="0"/>
            </w:pPr>
            <w:r w:rsidRPr="005C777A">
              <w:t>Cita informācija</w:t>
            </w:r>
          </w:p>
        </w:tc>
        <w:tc>
          <w:tcPr>
            <w:tcW w:w="5912" w:type="dxa"/>
          </w:tcPr>
          <w:p w:rsidR="003F7055" w:rsidRPr="00E044BC" w:rsidRDefault="003F7055" w:rsidP="00027613">
            <w:pPr>
              <w:spacing w:before="120" w:after="120"/>
              <w:ind w:right="101"/>
              <w:jc w:val="both"/>
              <w:rPr>
                <w:b/>
              </w:rPr>
            </w:pPr>
            <w:r w:rsidRPr="00E044BC">
              <w:rPr>
                <w:b/>
              </w:rPr>
              <w:t>Elektroenerģijas birža</w:t>
            </w:r>
          </w:p>
          <w:p w:rsidR="003F7055" w:rsidRDefault="003F7055" w:rsidP="00027613">
            <w:pPr>
              <w:pStyle w:val="naiskr"/>
              <w:spacing w:before="0" w:after="0"/>
              <w:ind w:right="101"/>
              <w:jc w:val="both"/>
            </w:pPr>
            <w:r>
              <w:t xml:space="preserve">Igaunijā ar 2010.gada sākumā pieņemtajiem grozījumiem „Elektroenerģijas tirgus likumā” tika ieviesti tiesiski nosacījumi elektroenerģijas biržas funkcionēšanai. Igaunijas Republikā kopš 2010.gada oktobra </w:t>
            </w:r>
            <w:proofErr w:type="spellStart"/>
            <w:r>
              <w:t>Nord</w:t>
            </w:r>
            <w:proofErr w:type="spellEnd"/>
            <w:r>
              <w:t xml:space="preserve"> </w:t>
            </w:r>
            <w:proofErr w:type="spellStart"/>
            <w:r>
              <w:t>Pool</w:t>
            </w:r>
            <w:proofErr w:type="spellEnd"/>
            <w:r>
              <w:t xml:space="preserve"> </w:t>
            </w:r>
            <w:proofErr w:type="spellStart"/>
            <w:r>
              <w:t>Spot</w:t>
            </w:r>
            <w:proofErr w:type="spellEnd"/>
            <w:r>
              <w:t xml:space="preserve"> tika paplašināts ar cenu zonu „Igaunija”, līdz tam cenu zonas apgabals tika noteikts tikai uz </w:t>
            </w:r>
            <w:proofErr w:type="spellStart"/>
            <w:r>
              <w:t>Estlink</w:t>
            </w:r>
            <w:proofErr w:type="spellEnd"/>
            <w:r>
              <w:t xml:space="preserve"> kabeļa savienojuma Igaunijas pusē. Kopš 2010.gada 19.oktobra Igaunijā  darbojas tekošās dienas (</w:t>
            </w:r>
            <w:proofErr w:type="spellStart"/>
            <w:r>
              <w:t>intra-day</w:t>
            </w:r>
            <w:proofErr w:type="spellEnd"/>
            <w:r>
              <w:t xml:space="preserve">) elektroenerģijas birža uz </w:t>
            </w:r>
            <w:proofErr w:type="spellStart"/>
            <w:r>
              <w:t>Nord</w:t>
            </w:r>
            <w:proofErr w:type="spellEnd"/>
            <w:r>
              <w:t xml:space="preserve"> </w:t>
            </w:r>
            <w:proofErr w:type="spellStart"/>
            <w:r>
              <w:t>Pool</w:t>
            </w:r>
            <w:proofErr w:type="spellEnd"/>
            <w:r>
              <w:t xml:space="preserve"> </w:t>
            </w:r>
            <w:proofErr w:type="spellStart"/>
            <w:r>
              <w:t>Spot</w:t>
            </w:r>
            <w:proofErr w:type="spellEnd"/>
            <w:r>
              <w:t xml:space="preserve"> tirdzniecības platformas.</w:t>
            </w:r>
          </w:p>
          <w:p w:rsidR="003F7055" w:rsidRDefault="003F7055" w:rsidP="003F7055">
            <w:pPr>
              <w:pStyle w:val="naiskr"/>
              <w:spacing w:before="0" w:after="0"/>
              <w:ind w:left="141"/>
              <w:jc w:val="both"/>
            </w:pPr>
          </w:p>
          <w:p w:rsidR="003F7055" w:rsidRDefault="003F7055" w:rsidP="00027613">
            <w:pPr>
              <w:pStyle w:val="naiskr"/>
              <w:spacing w:before="0" w:after="0"/>
              <w:ind w:right="101"/>
              <w:jc w:val="both"/>
            </w:pPr>
            <w:r>
              <w:t>Lietuvā no 2010.gada sākuma darbojas nacionālais tirgus operators „</w:t>
            </w:r>
            <w:proofErr w:type="spellStart"/>
            <w:r>
              <w:t>Baltpool</w:t>
            </w:r>
            <w:proofErr w:type="spellEnd"/>
            <w:r>
              <w:t>”, kas veic elektroenerģijas biržas funkcijas un tajā ir reģistrējušies 24 biržas dalībnieki.</w:t>
            </w:r>
          </w:p>
          <w:p w:rsidR="003F7055" w:rsidRDefault="003F7055" w:rsidP="003F7055">
            <w:pPr>
              <w:pStyle w:val="naiskr"/>
              <w:spacing w:before="0" w:after="0"/>
              <w:ind w:left="141"/>
              <w:jc w:val="both"/>
            </w:pPr>
          </w:p>
          <w:p w:rsidR="00262E2B" w:rsidRPr="005C777A" w:rsidRDefault="00027613" w:rsidP="00027613">
            <w:pPr>
              <w:pStyle w:val="naiskr"/>
              <w:spacing w:before="0" w:after="0"/>
              <w:jc w:val="both"/>
            </w:pPr>
            <w:r>
              <w:t>2</w:t>
            </w:r>
            <w:r w:rsidR="003F7055">
              <w:t xml:space="preserve">011.gada laikā saskaņā ar BEMIP plānu Baltijas valstīs tiek izveidots kopēja elektroenerģijas birža uz </w:t>
            </w:r>
            <w:proofErr w:type="spellStart"/>
            <w:r w:rsidR="003F7055">
              <w:t>Nord</w:t>
            </w:r>
            <w:proofErr w:type="spellEnd"/>
            <w:r w:rsidR="003F7055">
              <w:t xml:space="preserve"> </w:t>
            </w:r>
            <w:proofErr w:type="spellStart"/>
            <w:r w:rsidR="003F7055">
              <w:t>Pool</w:t>
            </w:r>
            <w:proofErr w:type="spellEnd"/>
            <w:r w:rsidR="003F7055">
              <w:t xml:space="preserve"> </w:t>
            </w:r>
            <w:proofErr w:type="spellStart"/>
            <w:r w:rsidR="003F7055">
              <w:t>Spot</w:t>
            </w:r>
            <w:proofErr w:type="spellEnd"/>
            <w:r w:rsidR="003F7055">
              <w:t xml:space="preserve"> tirdzniecības platformas.</w:t>
            </w:r>
          </w:p>
        </w:tc>
      </w:tr>
    </w:tbl>
    <w:p w:rsidR="00D36F8F" w:rsidRPr="005C777A" w:rsidRDefault="00D36F8F" w:rsidP="00301212">
      <w:pPr>
        <w:pStyle w:val="naisf"/>
        <w:spacing w:before="0" w:after="0"/>
        <w:ind w:firstLine="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3713"/>
        <w:gridCol w:w="5642"/>
      </w:tblGrid>
      <w:tr w:rsidR="0062298A" w:rsidRPr="005C777A" w:rsidTr="00CC41AB">
        <w:tc>
          <w:tcPr>
            <w:tcW w:w="9758" w:type="dxa"/>
            <w:gridSpan w:val="3"/>
            <w:vAlign w:val="center"/>
          </w:tcPr>
          <w:p w:rsidR="0062298A" w:rsidRPr="005C777A" w:rsidRDefault="0062298A" w:rsidP="006C4607">
            <w:pPr>
              <w:pStyle w:val="naisnod"/>
              <w:spacing w:before="0" w:after="0"/>
            </w:pPr>
            <w:r w:rsidRPr="005C777A">
              <w:t>II</w:t>
            </w:r>
            <w:r w:rsidR="000941C5" w:rsidRPr="005C777A">
              <w:t>.</w:t>
            </w:r>
            <w:r w:rsidRPr="005C777A">
              <w:t xml:space="preserve"> Tiesību akta projekta ietekme uz sabiedrību</w:t>
            </w:r>
          </w:p>
        </w:tc>
      </w:tr>
      <w:tr w:rsidR="0062298A" w:rsidRPr="005C777A" w:rsidTr="00367A4D">
        <w:trPr>
          <w:trHeight w:val="467"/>
        </w:trPr>
        <w:tc>
          <w:tcPr>
            <w:tcW w:w="403" w:type="dxa"/>
          </w:tcPr>
          <w:p w:rsidR="0062298A" w:rsidRPr="005C777A" w:rsidRDefault="0062298A" w:rsidP="006C4607">
            <w:pPr>
              <w:pStyle w:val="naiskr"/>
              <w:spacing w:before="0" w:after="0"/>
            </w:pPr>
            <w:r w:rsidRPr="005C777A">
              <w:t>1.</w:t>
            </w:r>
          </w:p>
        </w:tc>
        <w:tc>
          <w:tcPr>
            <w:tcW w:w="3713" w:type="dxa"/>
          </w:tcPr>
          <w:p w:rsidR="0062298A" w:rsidRPr="005C777A" w:rsidRDefault="00C27A08" w:rsidP="006C4607">
            <w:pPr>
              <w:pStyle w:val="naiskr"/>
              <w:spacing w:before="0" w:after="0"/>
            </w:pPr>
            <w:r w:rsidRPr="005C777A">
              <w:t>Sabiedrības mērķgrupa</w:t>
            </w:r>
          </w:p>
        </w:tc>
        <w:tc>
          <w:tcPr>
            <w:tcW w:w="5642" w:type="dxa"/>
          </w:tcPr>
          <w:p w:rsidR="00CC2142" w:rsidRPr="00CC2142" w:rsidRDefault="00CC2142" w:rsidP="00027613">
            <w:pPr>
              <w:spacing w:before="120" w:after="120"/>
              <w:ind w:right="101"/>
              <w:jc w:val="both"/>
              <w:rPr>
                <w:b/>
              </w:rPr>
            </w:pPr>
            <w:r w:rsidRPr="00E044BC">
              <w:rPr>
                <w:b/>
              </w:rPr>
              <w:t>Elektroenerģijas birža</w:t>
            </w:r>
          </w:p>
          <w:p w:rsidR="00CC2142" w:rsidRPr="00225AD8" w:rsidRDefault="00CC2142" w:rsidP="00027613">
            <w:pPr>
              <w:ind w:right="114"/>
              <w:jc w:val="both"/>
            </w:pPr>
            <w:r w:rsidRPr="00225AD8">
              <w:t xml:space="preserve">Likumprojekts attieksies uz </w:t>
            </w:r>
            <w:r>
              <w:t>potenciālo tirgus operatoru, pārvades sistēmas operatoru un elekt</w:t>
            </w:r>
            <w:r w:rsidR="00720999">
              <w:t>roenerģijas biržas dalībniekiem (elektroenerģijas ražotājiem, lietotājiem).</w:t>
            </w:r>
          </w:p>
          <w:p w:rsidR="00CC2142" w:rsidRDefault="00CC2142" w:rsidP="00225AD8">
            <w:pPr>
              <w:ind w:left="141" w:right="114"/>
              <w:jc w:val="both"/>
            </w:pPr>
          </w:p>
          <w:p w:rsidR="00CC2142" w:rsidRPr="00027613" w:rsidRDefault="00027613" w:rsidP="00027613">
            <w:pPr>
              <w:ind w:right="114"/>
              <w:jc w:val="both"/>
              <w:rPr>
                <w:b/>
              </w:rPr>
            </w:pPr>
            <w:r w:rsidRPr="00027613">
              <w:rPr>
                <w:b/>
              </w:rPr>
              <w:t>AER direktīva</w:t>
            </w:r>
          </w:p>
          <w:p w:rsidR="00027613" w:rsidRDefault="00225AD8" w:rsidP="00027613">
            <w:pPr>
              <w:ind w:right="114"/>
              <w:jc w:val="both"/>
            </w:pPr>
            <w:r w:rsidRPr="00225AD8">
              <w:t>Likumprojekts attieksies uz publisko tirgotāju, paredzot saglabāt kompensācijas mehānismu, kas tam  rodas</w:t>
            </w:r>
            <w:r w:rsidR="008C67C4">
              <w:t>,</w:t>
            </w:r>
            <w:r w:rsidRPr="00225AD8">
              <w:t xml:space="preserve"> īstenojot obligāto iepirkumu, neskarot tos elektroenerģijas ražotājus, kas ir saņēmušas obligātā iepirkuma tiesības vai no tiem publiskais tirgotājs pēc ekonomiskā pakāpeniskuma principa iepērk elektroenerģiju saskaņā ar noslēgtu līgumu, kurā ražotājs un publiskais tirgotājs ir vienojušies par elektroenerģijas ražošanas režīmu, elektroenerģijas cenu un līguma darbības termiņu, kas atbilstoši ETL 30.panta otrajai daļai nevar būt mazāks par pieciem un lielāks par 10 gadiem.</w:t>
            </w:r>
          </w:p>
          <w:p w:rsidR="00442C0F" w:rsidRPr="00442C0F" w:rsidRDefault="00442C0F" w:rsidP="00027613">
            <w:pPr>
              <w:ind w:right="114"/>
              <w:jc w:val="both"/>
            </w:pPr>
          </w:p>
        </w:tc>
      </w:tr>
      <w:tr w:rsidR="0062298A" w:rsidRPr="005C777A" w:rsidTr="00367A4D">
        <w:trPr>
          <w:trHeight w:val="523"/>
        </w:trPr>
        <w:tc>
          <w:tcPr>
            <w:tcW w:w="403" w:type="dxa"/>
          </w:tcPr>
          <w:p w:rsidR="0062298A" w:rsidRPr="005C777A" w:rsidRDefault="0062298A" w:rsidP="006C4607">
            <w:pPr>
              <w:pStyle w:val="naiskr"/>
              <w:spacing w:before="0" w:after="0"/>
            </w:pPr>
            <w:r w:rsidRPr="005C777A">
              <w:lastRenderedPageBreak/>
              <w:t>2.</w:t>
            </w:r>
          </w:p>
        </w:tc>
        <w:tc>
          <w:tcPr>
            <w:tcW w:w="3713" w:type="dxa"/>
          </w:tcPr>
          <w:p w:rsidR="00C1133D" w:rsidRPr="005C777A" w:rsidRDefault="00C27A08" w:rsidP="00367A4D">
            <w:pPr>
              <w:pStyle w:val="naiskr"/>
              <w:spacing w:before="0" w:after="0"/>
              <w:jc w:val="both"/>
            </w:pPr>
            <w:r w:rsidRPr="005C777A">
              <w:t>Citas sabiedrības grupas (bez mērķgrupas), kuras tiesiskais regulējums arī ietekmē vai varētu ietekmēt</w:t>
            </w:r>
          </w:p>
        </w:tc>
        <w:tc>
          <w:tcPr>
            <w:tcW w:w="5642" w:type="dxa"/>
          </w:tcPr>
          <w:p w:rsidR="0062298A" w:rsidRPr="005C777A" w:rsidRDefault="00254157" w:rsidP="00225AD8">
            <w:pPr>
              <w:pStyle w:val="naiskr"/>
              <w:spacing w:before="0" w:after="0"/>
              <w:ind w:left="141"/>
              <w:jc w:val="both"/>
            </w:pPr>
            <w:r w:rsidRPr="005C777A">
              <w:t>Nav attiecināms.</w:t>
            </w:r>
          </w:p>
        </w:tc>
      </w:tr>
      <w:tr w:rsidR="0062298A" w:rsidRPr="005C777A" w:rsidTr="00367A4D">
        <w:trPr>
          <w:trHeight w:val="517"/>
        </w:trPr>
        <w:tc>
          <w:tcPr>
            <w:tcW w:w="403" w:type="dxa"/>
          </w:tcPr>
          <w:p w:rsidR="0062298A" w:rsidRPr="005C777A" w:rsidRDefault="0062298A" w:rsidP="006C4607">
            <w:pPr>
              <w:pStyle w:val="naiskr"/>
              <w:spacing w:before="0" w:after="0"/>
            </w:pPr>
            <w:r w:rsidRPr="005C777A">
              <w:t>3.</w:t>
            </w:r>
          </w:p>
        </w:tc>
        <w:tc>
          <w:tcPr>
            <w:tcW w:w="3713" w:type="dxa"/>
          </w:tcPr>
          <w:p w:rsidR="00C1133D" w:rsidRPr="005C777A" w:rsidRDefault="000C790C" w:rsidP="006C4607">
            <w:pPr>
              <w:pStyle w:val="naiskr"/>
              <w:spacing w:before="0" w:after="0"/>
            </w:pPr>
            <w:r w:rsidRPr="005C777A">
              <w:t>Tiesiskā r</w:t>
            </w:r>
            <w:r w:rsidR="003D21FF" w:rsidRPr="005C777A">
              <w:t>egulējuma</w:t>
            </w:r>
            <w:r w:rsidR="00C27A08" w:rsidRPr="005C777A">
              <w:t xml:space="preserve"> finansiālā ietekme</w:t>
            </w:r>
          </w:p>
        </w:tc>
        <w:tc>
          <w:tcPr>
            <w:tcW w:w="5642" w:type="dxa"/>
          </w:tcPr>
          <w:p w:rsidR="0062298A" w:rsidRPr="005C777A" w:rsidRDefault="00B37CDE" w:rsidP="00225AD8">
            <w:pPr>
              <w:pStyle w:val="naiskr"/>
              <w:spacing w:before="0" w:after="0"/>
              <w:ind w:left="141"/>
            </w:pPr>
            <w:r w:rsidRPr="005C777A">
              <w:t>Nav attiecināms.</w:t>
            </w:r>
          </w:p>
        </w:tc>
      </w:tr>
      <w:tr w:rsidR="00C27A08" w:rsidRPr="005C777A" w:rsidTr="00367A4D">
        <w:trPr>
          <w:trHeight w:val="517"/>
        </w:trPr>
        <w:tc>
          <w:tcPr>
            <w:tcW w:w="403" w:type="dxa"/>
          </w:tcPr>
          <w:p w:rsidR="00C27A08" w:rsidRPr="005C777A" w:rsidRDefault="00C27A08" w:rsidP="006C4607">
            <w:pPr>
              <w:pStyle w:val="naiskr"/>
              <w:spacing w:before="0" w:after="0"/>
            </w:pPr>
            <w:r w:rsidRPr="005C777A">
              <w:t>4.</w:t>
            </w:r>
          </w:p>
        </w:tc>
        <w:tc>
          <w:tcPr>
            <w:tcW w:w="3713" w:type="dxa"/>
          </w:tcPr>
          <w:p w:rsidR="00C27A08" w:rsidRPr="005C777A" w:rsidRDefault="00C27A08" w:rsidP="006C4607">
            <w:pPr>
              <w:pStyle w:val="naiskr"/>
              <w:spacing w:before="0" w:after="0"/>
            </w:pPr>
            <w:r w:rsidRPr="005C777A">
              <w:t>Tiesiskā regulējuma nefinansiālā ietekme</w:t>
            </w:r>
          </w:p>
        </w:tc>
        <w:tc>
          <w:tcPr>
            <w:tcW w:w="5642" w:type="dxa"/>
          </w:tcPr>
          <w:p w:rsidR="00C27A08" w:rsidRDefault="00225AD8" w:rsidP="001851CB">
            <w:pPr>
              <w:ind w:left="141" w:right="114"/>
              <w:jc w:val="both"/>
            </w:pPr>
            <w:r>
              <w:t>Izslēdzot iespēju elektroenerģijas ražotājam turpmāk pretendē</w:t>
            </w:r>
            <w:r w:rsidRPr="003F78F0">
              <w:t>t uz jaunu tiesību iegūšanu pārdot elektroenerģiju, kas ražota, izmantojot atjaunojamos energoresursus, obligātā iepirkuma ietvaros</w:t>
            </w:r>
            <w:r w:rsidR="003F78F0" w:rsidRPr="003F78F0">
              <w:t xml:space="preserve">, </w:t>
            </w:r>
            <w:r w:rsidR="001851CB">
              <w:t xml:space="preserve">(neskarot </w:t>
            </w:r>
            <w:r w:rsidR="003F78F0" w:rsidRPr="003F78F0">
              <w:t>ETL 28. un 28.</w:t>
            </w:r>
            <w:r w:rsidR="003F78F0" w:rsidRPr="003F78F0">
              <w:rPr>
                <w:vertAlign w:val="superscript"/>
              </w:rPr>
              <w:t xml:space="preserve">1 </w:t>
            </w:r>
            <w:r w:rsidR="003F78F0" w:rsidRPr="003F78F0">
              <w:t>noteikto regulējumu, ņemot vērā, ka ar attiecīgajām normām un pakārotajiem noteikumiem ir ieviesta Eiropas Parlamenta un Padomes 2004.gada 11.februāra direktīvas</w:t>
            </w:r>
            <w:r w:rsidR="003F78F0">
              <w:t xml:space="preserve"> 2004/8/EK</w:t>
            </w:r>
            <w:r w:rsidR="003F78F0" w:rsidRPr="003F78F0">
              <w:t xml:space="preserve"> par koģenerācijas, kas balstīta uz lietderīgā siltuma pieprasījumu, veicināšanu iekšējā enerģijas tirgū un grozījumu direktīvā</w:t>
            </w:r>
            <w:r w:rsidR="001851CB">
              <w:t xml:space="preserve"> 92/42/EEK)</w:t>
            </w:r>
            <w:r w:rsidR="003F78F0">
              <w:t xml:space="preserve"> t</w:t>
            </w:r>
            <w:r w:rsidRPr="003F78F0">
              <w:t>iks samazināts administratīvais slogs elektroenerģijas ražotājiem</w:t>
            </w:r>
            <w:r w:rsidR="003F78F0">
              <w:t xml:space="preserve"> un</w:t>
            </w:r>
            <w:r w:rsidRPr="003F78F0">
              <w:t xml:space="preserve"> publiskajam tirgotājam</w:t>
            </w:r>
            <w:r w:rsidR="003F78F0">
              <w:t xml:space="preserve">, </w:t>
            </w:r>
            <w:r w:rsidR="001851CB">
              <w:t>vienlaikus</w:t>
            </w:r>
            <w:r w:rsidR="008C67C4">
              <w:t>,</w:t>
            </w:r>
            <w:r w:rsidR="001851CB">
              <w:t xml:space="preserve"> </w:t>
            </w:r>
            <w:r w:rsidR="003F78F0">
              <w:t>ve</w:t>
            </w:r>
            <w:r w:rsidR="008C67C4">
              <w:t>i</w:t>
            </w:r>
            <w:r w:rsidR="003F78F0">
              <w:t>cinot brīva elektroenerģijas tirgus attīstību.</w:t>
            </w:r>
          </w:p>
          <w:p w:rsidR="00F71E41" w:rsidRPr="005C777A" w:rsidRDefault="00F71E41" w:rsidP="00C5426B">
            <w:pPr>
              <w:ind w:left="141" w:right="114"/>
              <w:jc w:val="both"/>
              <w:rPr>
                <w:highlight w:val="yellow"/>
              </w:rPr>
            </w:pPr>
            <w:r w:rsidRPr="00F9177B">
              <w:t xml:space="preserve">Likumprojekts tieši neietekmēs tos komersantus, kas lēmumus par tiesībām pārdot elektroenerģiju obligātā iepirkuma ietvaros ir saņēmuši saskaņā ar tiem Ministru kabineta noteikumiem, kas izdoti, pamatojoties uz </w:t>
            </w:r>
            <w:r w:rsidR="00345E4F">
              <w:t>ETL</w:t>
            </w:r>
            <w:r w:rsidRPr="00F9177B">
              <w:t xml:space="preserve"> 29. panta otro, ceturto un piekto daļu un 29.</w:t>
            </w:r>
            <w:r w:rsidRPr="00F9177B">
              <w:rPr>
                <w:vertAlign w:val="superscript"/>
              </w:rPr>
              <w:t xml:space="preserve">1 </w:t>
            </w:r>
            <w:r w:rsidRPr="00F9177B">
              <w:t xml:space="preserve">otro un piekto daļu, kā arī pamatojoties uz </w:t>
            </w:r>
            <w:r w:rsidR="00345E4F">
              <w:t>ETL</w:t>
            </w:r>
            <w:r w:rsidRPr="00F9177B">
              <w:t xml:space="preserve"> </w:t>
            </w:r>
            <w:r w:rsidRPr="00F9177B">
              <w:rPr>
                <w:iCs/>
              </w:rPr>
              <w:t>28. panta otro un septīto daļu un 28.</w:t>
            </w:r>
            <w:r w:rsidRPr="00F9177B">
              <w:rPr>
                <w:iCs/>
                <w:vertAlign w:val="superscript"/>
              </w:rPr>
              <w:t xml:space="preserve">1 </w:t>
            </w:r>
            <w:r w:rsidRPr="00F9177B">
              <w:rPr>
                <w:iCs/>
              </w:rPr>
              <w:t>panta otro un piekto daļu. Šiem komersantiem,</w:t>
            </w:r>
            <w:r w:rsidRPr="00F9177B">
              <w:t xml:space="preserve"> ievērojot Administratīvā procesa likuma 10. pantā noteiktais tiesiskās paļāvības princip</w:t>
            </w:r>
            <w:r w:rsidR="00C5426B">
              <w:t>s</w:t>
            </w:r>
            <w:r w:rsidRPr="00F9177B">
              <w:t>,</w:t>
            </w:r>
            <w:r w:rsidRPr="00F9177B">
              <w:rPr>
                <w:iCs/>
              </w:rPr>
              <w:t xml:space="preserve"> tiks nodrošināts, ka tie varēs </w:t>
            </w:r>
            <w:r w:rsidRPr="00F9177B">
              <w:rPr>
                <w:bCs/>
              </w:rPr>
              <w:t xml:space="preserve">turpinās </w:t>
            </w:r>
            <w:r w:rsidRPr="00F9177B">
              <w:t>pārdo</w:t>
            </w:r>
            <w:r w:rsidR="00C5426B">
              <w:t>t</w:t>
            </w:r>
            <w:r w:rsidRPr="00F9177B">
              <w:t xml:space="preserve"> elektroenerģiju publiskajam tirgotājam atbilstoši tiem nosacījumiem par darbības režīmu, iepirkuma termiņiem un cenas noteikšanas mehānismiem, kas uz tiem attieksies likumprojekta spēkā stāšanās brīdī</w:t>
            </w:r>
            <w:r w:rsidR="00C5426B">
              <w:t>. T</w:t>
            </w:r>
            <w:r w:rsidR="00345E4F">
              <w:t>o paredz nodrošināt ar likumprojektu „Atjaunojamās enerģijas likums” (VSS-1111).</w:t>
            </w:r>
          </w:p>
        </w:tc>
      </w:tr>
      <w:tr w:rsidR="0062298A" w:rsidRPr="005C777A" w:rsidTr="00367A4D">
        <w:trPr>
          <w:trHeight w:val="531"/>
        </w:trPr>
        <w:tc>
          <w:tcPr>
            <w:tcW w:w="403" w:type="dxa"/>
          </w:tcPr>
          <w:p w:rsidR="0062298A" w:rsidRPr="005C777A" w:rsidRDefault="00C27A08" w:rsidP="006C4607">
            <w:pPr>
              <w:pStyle w:val="naiskr"/>
              <w:spacing w:before="0" w:after="0"/>
            </w:pPr>
            <w:r w:rsidRPr="005C777A">
              <w:t>5</w:t>
            </w:r>
            <w:r w:rsidR="0062298A" w:rsidRPr="005C777A">
              <w:t>.</w:t>
            </w:r>
          </w:p>
        </w:tc>
        <w:tc>
          <w:tcPr>
            <w:tcW w:w="3713" w:type="dxa"/>
          </w:tcPr>
          <w:p w:rsidR="00C1133D" w:rsidRPr="005C777A" w:rsidRDefault="00C1133D" w:rsidP="006C4607">
            <w:pPr>
              <w:pStyle w:val="naiskr"/>
              <w:spacing w:before="0" w:after="0"/>
            </w:pPr>
            <w:r w:rsidRPr="005C777A">
              <w:t>Administratīv</w:t>
            </w:r>
            <w:r w:rsidR="00C27A08" w:rsidRPr="005C777A">
              <w:t>ās</w:t>
            </w:r>
            <w:r w:rsidRPr="005C777A">
              <w:t xml:space="preserve"> procedūr</w:t>
            </w:r>
            <w:r w:rsidR="00965897" w:rsidRPr="005C777A">
              <w:t>a</w:t>
            </w:r>
            <w:r w:rsidRPr="005C777A">
              <w:t xml:space="preserve">s </w:t>
            </w:r>
            <w:r w:rsidR="00C27A08" w:rsidRPr="005C777A">
              <w:t>raksturojums</w:t>
            </w:r>
          </w:p>
        </w:tc>
        <w:tc>
          <w:tcPr>
            <w:tcW w:w="5642" w:type="dxa"/>
          </w:tcPr>
          <w:p w:rsidR="002A0346" w:rsidRPr="005C777A" w:rsidRDefault="00F71E41" w:rsidP="00F71E41">
            <w:pPr>
              <w:spacing w:after="120"/>
              <w:ind w:left="141"/>
              <w:jc w:val="both"/>
            </w:pPr>
            <w:r w:rsidRPr="00B87078">
              <w:t xml:space="preserve">Likumprojekts paredz </w:t>
            </w:r>
            <w:r>
              <w:t>vienkāršot administratīvās procedūras.</w:t>
            </w:r>
          </w:p>
        </w:tc>
      </w:tr>
      <w:tr w:rsidR="0062298A" w:rsidRPr="005C777A" w:rsidTr="00367A4D">
        <w:trPr>
          <w:trHeight w:val="357"/>
        </w:trPr>
        <w:tc>
          <w:tcPr>
            <w:tcW w:w="403" w:type="dxa"/>
          </w:tcPr>
          <w:p w:rsidR="0062298A" w:rsidRPr="005C777A" w:rsidRDefault="00C27A08" w:rsidP="006C4607">
            <w:pPr>
              <w:pStyle w:val="naiskr"/>
              <w:spacing w:before="0" w:after="0"/>
            </w:pPr>
            <w:r w:rsidRPr="005C777A">
              <w:t>6</w:t>
            </w:r>
            <w:r w:rsidR="0062298A" w:rsidRPr="005C777A">
              <w:t>.</w:t>
            </w:r>
          </w:p>
        </w:tc>
        <w:tc>
          <w:tcPr>
            <w:tcW w:w="3713" w:type="dxa"/>
          </w:tcPr>
          <w:p w:rsidR="00AE5066" w:rsidRPr="005C777A" w:rsidRDefault="00C27A08" w:rsidP="006C4607">
            <w:pPr>
              <w:pStyle w:val="naiskr"/>
              <w:spacing w:before="0" w:after="0"/>
            </w:pPr>
            <w:r w:rsidRPr="005C777A">
              <w:t xml:space="preserve">Administratīvo izmaksu </w:t>
            </w:r>
            <w:r w:rsidR="00502374" w:rsidRPr="005C777A">
              <w:t xml:space="preserve">monetārs </w:t>
            </w:r>
            <w:r w:rsidRPr="005C777A">
              <w:t>novērtējums</w:t>
            </w:r>
          </w:p>
        </w:tc>
        <w:tc>
          <w:tcPr>
            <w:tcW w:w="5642" w:type="dxa"/>
          </w:tcPr>
          <w:p w:rsidR="0062298A" w:rsidRPr="005C777A" w:rsidRDefault="00B37CDE" w:rsidP="00225AD8">
            <w:pPr>
              <w:pStyle w:val="naiskr"/>
              <w:spacing w:before="0" w:after="0"/>
              <w:ind w:left="141"/>
            </w:pPr>
            <w:r w:rsidRPr="005C777A">
              <w:t>Nav attiecināms.</w:t>
            </w:r>
          </w:p>
        </w:tc>
      </w:tr>
      <w:tr w:rsidR="0062298A" w:rsidRPr="005C777A" w:rsidTr="00367A4D">
        <w:tc>
          <w:tcPr>
            <w:tcW w:w="403" w:type="dxa"/>
          </w:tcPr>
          <w:p w:rsidR="0062298A" w:rsidRPr="005C777A" w:rsidRDefault="00C27A08" w:rsidP="006C4607">
            <w:pPr>
              <w:pStyle w:val="naiskr"/>
              <w:spacing w:before="0" w:after="0"/>
            </w:pPr>
            <w:r w:rsidRPr="005C777A">
              <w:t>7</w:t>
            </w:r>
            <w:r w:rsidR="0062298A" w:rsidRPr="005C777A">
              <w:t>.</w:t>
            </w:r>
          </w:p>
        </w:tc>
        <w:tc>
          <w:tcPr>
            <w:tcW w:w="3713" w:type="dxa"/>
          </w:tcPr>
          <w:p w:rsidR="0062298A" w:rsidRPr="005C777A" w:rsidRDefault="009E12D7" w:rsidP="006C4607">
            <w:pPr>
              <w:pStyle w:val="naiskr"/>
              <w:spacing w:before="0" w:after="0"/>
            </w:pPr>
            <w:r w:rsidRPr="005C777A">
              <w:t>Cita informācija</w:t>
            </w:r>
          </w:p>
        </w:tc>
        <w:tc>
          <w:tcPr>
            <w:tcW w:w="5642" w:type="dxa"/>
          </w:tcPr>
          <w:p w:rsidR="0062298A" w:rsidRPr="005C777A" w:rsidRDefault="00B37CDE" w:rsidP="00225AD8">
            <w:pPr>
              <w:pStyle w:val="naiskr"/>
              <w:spacing w:before="0" w:after="0"/>
              <w:ind w:left="141"/>
            </w:pPr>
            <w:r w:rsidRPr="005C777A">
              <w:t>Nav.</w:t>
            </w:r>
          </w:p>
        </w:tc>
      </w:tr>
    </w:tbl>
    <w:p w:rsidR="00301212" w:rsidRDefault="00301212" w:rsidP="006E58FB">
      <w:pPr>
        <w:pStyle w:val="naisf"/>
        <w:tabs>
          <w:tab w:val="left" w:pos="5760"/>
        </w:tabs>
        <w:spacing w:before="0" w:after="0"/>
        <w:ind w:firstLine="0"/>
      </w:pPr>
    </w:p>
    <w:tbl>
      <w:tblPr>
        <w:tblW w:w="9760"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0"/>
      </w:tblGrid>
      <w:tr w:rsidR="00301212" w:rsidRPr="007C0F2C" w:rsidTr="007B5281">
        <w:trPr>
          <w:trHeight w:val="377"/>
          <w:jc w:val="center"/>
        </w:trPr>
        <w:tc>
          <w:tcPr>
            <w:tcW w:w="9760" w:type="dxa"/>
          </w:tcPr>
          <w:p w:rsidR="00301212" w:rsidRPr="007C0F2C" w:rsidRDefault="00301212" w:rsidP="00D3250A">
            <w:pPr>
              <w:pStyle w:val="naisnod"/>
              <w:spacing w:before="0" w:after="0"/>
              <w:rPr>
                <w:i/>
                <w:sz w:val="22"/>
                <w:szCs w:val="22"/>
              </w:rPr>
            </w:pPr>
            <w:r w:rsidRPr="007C0F2C">
              <w:rPr>
                <w:sz w:val="22"/>
                <w:szCs w:val="22"/>
              </w:rPr>
              <w:br w:type="page"/>
            </w:r>
            <w:r w:rsidRPr="007C0F2C">
              <w:t>III. Tiesību akta projekta ietekme uz valsts budžetu un pašvaldību budžetiem</w:t>
            </w:r>
          </w:p>
        </w:tc>
      </w:tr>
      <w:tr w:rsidR="007B5281" w:rsidRPr="007C0F2C" w:rsidTr="007B5281">
        <w:trPr>
          <w:trHeight w:val="287"/>
          <w:jc w:val="center"/>
        </w:trPr>
        <w:tc>
          <w:tcPr>
            <w:tcW w:w="9760" w:type="dxa"/>
          </w:tcPr>
          <w:p w:rsidR="007B5281" w:rsidRPr="007B5281" w:rsidRDefault="007B5281" w:rsidP="00D3250A">
            <w:pPr>
              <w:pStyle w:val="naisnod"/>
              <w:spacing w:before="0" w:after="0"/>
              <w:rPr>
                <w:b w:val="0"/>
                <w:i/>
              </w:rPr>
            </w:pPr>
            <w:r w:rsidRPr="007B5281">
              <w:rPr>
                <w:b w:val="0"/>
                <w:i/>
              </w:rPr>
              <w:t>Nav attiecināms</w:t>
            </w:r>
          </w:p>
        </w:tc>
      </w:tr>
    </w:tbl>
    <w:p w:rsidR="00301212" w:rsidRDefault="00301212" w:rsidP="006E58FB">
      <w:pPr>
        <w:pStyle w:val="naisf"/>
        <w:tabs>
          <w:tab w:val="left" w:pos="5760"/>
        </w:tabs>
        <w:spacing w:before="0" w:after="0"/>
        <w:ind w:firstLine="0"/>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
        <w:gridCol w:w="3965"/>
        <w:gridCol w:w="5336"/>
      </w:tblGrid>
      <w:tr w:rsidR="00D77C45" w:rsidRPr="005C777A" w:rsidTr="00B22D19">
        <w:trPr>
          <w:trHeight w:val="282"/>
        </w:trPr>
        <w:tc>
          <w:tcPr>
            <w:tcW w:w="9731" w:type="dxa"/>
            <w:gridSpan w:val="3"/>
            <w:tcBorders>
              <w:top w:val="outset" w:sz="6" w:space="0" w:color="auto"/>
              <w:left w:val="outset" w:sz="6" w:space="0" w:color="auto"/>
              <w:bottom w:val="outset" w:sz="6" w:space="0" w:color="auto"/>
              <w:right w:val="outset" w:sz="6" w:space="0" w:color="auto"/>
            </w:tcBorders>
          </w:tcPr>
          <w:p w:rsidR="00D77C45" w:rsidRPr="005C777A" w:rsidRDefault="00D77C45" w:rsidP="0088001B">
            <w:pPr>
              <w:spacing w:before="100" w:beforeAutospacing="1" w:after="100" w:afterAutospacing="1"/>
              <w:jc w:val="center"/>
              <w:rPr>
                <w:b/>
                <w:bCs/>
                <w:color w:val="000000"/>
              </w:rPr>
            </w:pPr>
            <w:r w:rsidRPr="005C777A">
              <w:rPr>
                <w:b/>
                <w:bCs/>
                <w:color w:val="000000"/>
              </w:rPr>
              <w:t> IV. Tiesību akta projekta ietekme uz spēkā esošo tiesību normu sistēmu</w:t>
            </w:r>
          </w:p>
        </w:tc>
      </w:tr>
      <w:tr w:rsidR="00D77C45" w:rsidRPr="005C777A" w:rsidTr="00B22D19">
        <w:trPr>
          <w:trHeight w:val="1240"/>
        </w:trPr>
        <w:tc>
          <w:tcPr>
            <w:tcW w:w="430" w:type="dxa"/>
            <w:tcBorders>
              <w:top w:val="outset" w:sz="6" w:space="0" w:color="auto"/>
              <w:left w:val="outset" w:sz="6" w:space="0" w:color="auto"/>
              <w:bottom w:val="outset" w:sz="6" w:space="0" w:color="auto"/>
              <w:right w:val="outset" w:sz="6" w:space="0" w:color="auto"/>
            </w:tcBorders>
          </w:tcPr>
          <w:p w:rsidR="00D77C45" w:rsidRPr="005C777A" w:rsidRDefault="00D77C45" w:rsidP="0088001B">
            <w:pPr>
              <w:spacing w:before="100" w:beforeAutospacing="1" w:after="100" w:afterAutospacing="1"/>
              <w:rPr>
                <w:color w:val="000000"/>
              </w:rPr>
            </w:pPr>
            <w:r w:rsidRPr="005C777A">
              <w:rPr>
                <w:color w:val="000000"/>
              </w:rPr>
              <w:lastRenderedPageBreak/>
              <w:t> 1.</w:t>
            </w:r>
          </w:p>
        </w:tc>
        <w:tc>
          <w:tcPr>
            <w:tcW w:w="3965" w:type="dxa"/>
            <w:tcBorders>
              <w:top w:val="outset" w:sz="6" w:space="0" w:color="auto"/>
              <w:left w:val="outset" w:sz="6" w:space="0" w:color="auto"/>
              <w:bottom w:val="outset" w:sz="6" w:space="0" w:color="auto"/>
              <w:right w:val="outset" w:sz="6" w:space="0" w:color="auto"/>
            </w:tcBorders>
          </w:tcPr>
          <w:p w:rsidR="00D77C45" w:rsidRPr="005C777A" w:rsidRDefault="00D77C45" w:rsidP="0088001B">
            <w:pPr>
              <w:spacing w:before="100" w:beforeAutospacing="1" w:after="100" w:afterAutospacing="1"/>
              <w:rPr>
                <w:color w:val="000000"/>
              </w:rPr>
            </w:pPr>
            <w:r w:rsidRPr="005C777A">
              <w:rPr>
                <w:color w:val="000000"/>
              </w:rPr>
              <w:t> Nepieciešamie saistītie tiesību aktu projekti</w:t>
            </w:r>
          </w:p>
        </w:tc>
        <w:tc>
          <w:tcPr>
            <w:tcW w:w="5336" w:type="dxa"/>
            <w:tcBorders>
              <w:top w:val="outset" w:sz="6" w:space="0" w:color="auto"/>
              <w:left w:val="outset" w:sz="6" w:space="0" w:color="auto"/>
              <w:bottom w:val="outset" w:sz="6" w:space="0" w:color="auto"/>
              <w:right w:val="outset" w:sz="6" w:space="0" w:color="auto"/>
            </w:tcBorders>
          </w:tcPr>
          <w:p w:rsidR="00F06011" w:rsidRPr="001851CB" w:rsidRDefault="003F78F0" w:rsidP="001851CB">
            <w:pPr>
              <w:jc w:val="both"/>
            </w:pPr>
            <w:r w:rsidRPr="001851CB">
              <w:t>Svītrojot ETL attiecīgās normas, spēku zaudēs uz tā pamata izdotie MK noteikumi</w:t>
            </w:r>
            <w:r w:rsidR="001851CB" w:rsidRPr="001851CB">
              <w:t>:</w:t>
            </w:r>
          </w:p>
          <w:p w:rsidR="001851CB" w:rsidRDefault="00BE4081" w:rsidP="00F06011">
            <w:pPr>
              <w:jc w:val="both"/>
            </w:pPr>
            <w:r>
              <w:t>1)</w:t>
            </w:r>
            <w:r w:rsidR="0095517C">
              <w:t>svītrojot ETL 29. un 29.</w:t>
            </w:r>
            <w:r w:rsidR="0095517C" w:rsidRPr="00F06011">
              <w:rPr>
                <w:vertAlign w:val="superscript"/>
              </w:rPr>
              <w:t xml:space="preserve">1 </w:t>
            </w:r>
            <w:r w:rsidR="0095517C">
              <w:t xml:space="preserve">pantu, spēku zaudēs </w:t>
            </w:r>
            <w:r w:rsidR="001851CB" w:rsidRPr="001851CB">
              <w:t>Ministru kabineta 2010.gada 16.marta noteikumi Nr.262 „</w:t>
            </w:r>
            <w:r w:rsidR="001851CB" w:rsidRPr="00F06011">
              <w:rPr>
                <w:bCs/>
              </w:rPr>
              <w:t>Noteikumi par elektroenerģijas ražošanu, izmantojot atjaunojamos energoresursus, un cenu noteikšanas kārtību</w:t>
            </w:r>
            <w:r w:rsidR="00442C0F">
              <w:t>”</w:t>
            </w:r>
            <w:r>
              <w:t>;</w:t>
            </w:r>
          </w:p>
          <w:p w:rsidR="00F06011" w:rsidRPr="00824FC5" w:rsidRDefault="00BE4081" w:rsidP="00F06011">
            <w:pPr>
              <w:jc w:val="both"/>
            </w:pPr>
            <w:r w:rsidRPr="001851CB">
              <w:t xml:space="preserve">2) </w:t>
            </w:r>
            <w:r>
              <w:t xml:space="preserve">svītrojot ETL 22.pantu, spēku zaudēs </w:t>
            </w:r>
            <w:r w:rsidRPr="001851CB">
              <w:t>2009.gada 11.augusta Ministru kabineta noteikumiem Nr.883 "Noteikumi par atļaujām elektroenerģijas ražošanas jaudu palielināšanai vai jaunu ražošanas iekārtu ieviešanai"</w:t>
            </w:r>
            <w:r>
              <w:t>.</w:t>
            </w:r>
          </w:p>
        </w:tc>
      </w:tr>
      <w:tr w:rsidR="00D77C45" w:rsidRPr="0082102B" w:rsidTr="00B22D19">
        <w:trPr>
          <w:trHeight w:val="282"/>
        </w:trPr>
        <w:tc>
          <w:tcPr>
            <w:tcW w:w="430" w:type="dxa"/>
            <w:tcBorders>
              <w:top w:val="outset" w:sz="6" w:space="0" w:color="auto"/>
              <w:left w:val="outset" w:sz="6" w:space="0" w:color="auto"/>
              <w:bottom w:val="outset" w:sz="6" w:space="0" w:color="auto"/>
              <w:right w:val="outset" w:sz="6" w:space="0" w:color="auto"/>
            </w:tcBorders>
          </w:tcPr>
          <w:p w:rsidR="00D77C45" w:rsidRPr="0082102B" w:rsidRDefault="00D77C45" w:rsidP="0088001B">
            <w:pPr>
              <w:spacing w:before="100" w:beforeAutospacing="1" w:after="100" w:afterAutospacing="1"/>
            </w:pPr>
            <w:r w:rsidRPr="0082102B">
              <w:t> 2.</w:t>
            </w:r>
          </w:p>
        </w:tc>
        <w:tc>
          <w:tcPr>
            <w:tcW w:w="3965" w:type="dxa"/>
            <w:tcBorders>
              <w:top w:val="outset" w:sz="6" w:space="0" w:color="auto"/>
              <w:left w:val="outset" w:sz="6" w:space="0" w:color="auto"/>
              <w:bottom w:val="outset" w:sz="6" w:space="0" w:color="auto"/>
              <w:right w:val="outset" w:sz="6" w:space="0" w:color="auto"/>
            </w:tcBorders>
          </w:tcPr>
          <w:p w:rsidR="00D77C45" w:rsidRPr="0082102B" w:rsidRDefault="00D77C45" w:rsidP="0088001B">
            <w:pPr>
              <w:spacing w:before="100" w:beforeAutospacing="1" w:after="100" w:afterAutospacing="1"/>
            </w:pPr>
            <w:r w:rsidRPr="0082102B">
              <w:t> Cita informācija</w:t>
            </w:r>
          </w:p>
        </w:tc>
        <w:tc>
          <w:tcPr>
            <w:tcW w:w="5336" w:type="dxa"/>
            <w:tcBorders>
              <w:top w:val="outset" w:sz="6" w:space="0" w:color="auto"/>
              <w:left w:val="outset" w:sz="6" w:space="0" w:color="auto"/>
              <w:bottom w:val="outset" w:sz="6" w:space="0" w:color="auto"/>
              <w:right w:val="outset" w:sz="6" w:space="0" w:color="auto"/>
            </w:tcBorders>
          </w:tcPr>
          <w:p w:rsidR="00D77C45" w:rsidRPr="0082102B" w:rsidRDefault="00F06011" w:rsidP="00F06011">
            <w:pPr>
              <w:spacing w:before="100" w:beforeAutospacing="1" w:after="100" w:afterAutospacing="1"/>
              <w:jc w:val="both"/>
            </w:pPr>
            <w:r>
              <w:t xml:space="preserve">Lai nodrošinātu Direktīvas 2009/72/EK pilnīgu un pareizu ieviešanu Latvijas nacionālajos tiesību aktos līdz 2011.gada 3.martam jāveic arī nepieciešamie grozījumi likumā „Par sabiedrisko pakalpojumu regulatoriem” un Enerģētikas likumā. Vienlaikus Likumprojekts </w:t>
            </w:r>
            <w:r w:rsidR="00BE4081">
              <w:t>tālākai apspriešanai un pieņemšanai jāvirza kopā ar Atjaunojamās enerģijas likumu un Enerģētikas likuma grozījumiem.</w:t>
            </w:r>
          </w:p>
        </w:tc>
      </w:tr>
    </w:tbl>
    <w:p w:rsidR="00D77C45" w:rsidRPr="0082102B" w:rsidRDefault="00D77C45" w:rsidP="006E58FB">
      <w:pPr>
        <w:pStyle w:val="naisf"/>
        <w:tabs>
          <w:tab w:val="left" w:pos="5760"/>
        </w:tabs>
        <w:spacing w:before="0" w:after="0"/>
        <w:ind w:firstLine="0"/>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832"/>
        <w:gridCol w:w="1360"/>
        <w:gridCol w:w="1110"/>
        <w:gridCol w:w="3537"/>
        <w:gridCol w:w="2017"/>
      </w:tblGrid>
      <w:tr w:rsidR="00AC1263" w:rsidRPr="0082102B" w:rsidTr="00692513">
        <w:trPr>
          <w:jc w:val="center"/>
        </w:trPr>
        <w:tc>
          <w:tcPr>
            <w:tcW w:w="9813" w:type="dxa"/>
            <w:gridSpan w:val="6"/>
          </w:tcPr>
          <w:p w:rsidR="00AC1263" w:rsidRPr="0082102B" w:rsidRDefault="00AC1263" w:rsidP="00AC1263">
            <w:pPr>
              <w:pStyle w:val="naisnod"/>
              <w:spacing w:before="0" w:after="0"/>
            </w:pPr>
            <w:r w:rsidRPr="0082102B">
              <w:t>V. Tiesību akta projekta atbilstība Latvijas Republikas starptautiskajām saistībām</w:t>
            </w:r>
          </w:p>
        </w:tc>
      </w:tr>
      <w:tr w:rsidR="00AC1263" w:rsidRPr="0082102B" w:rsidTr="00EE0211">
        <w:trPr>
          <w:jc w:val="center"/>
        </w:trPr>
        <w:tc>
          <w:tcPr>
            <w:tcW w:w="957" w:type="dxa"/>
          </w:tcPr>
          <w:p w:rsidR="00AC1263" w:rsidRPr="00BE4081" w:rsidRDefault="00AC1263" w:rsidP="00D3250A">
            <w:pPr>
              <w:pStyle w:val="naiskr"/>
              <w:tabs>
                <w:tab w:val="left" w:pos="2628"/>
              </w:tabs>
              <w:spacing w:before="0" w:after="0"/>
              <w:jc w:val="both"/>
              <w:rPr>
                <w:iCs/>
              </w:rPr>
            </w:pPr>
            <w:r w:rsidRPr="00BE4081">
              <w:rPr>
                <w:iCs/>
              </w:rPr>
              <w:t>1.</w:t>
            </w:r>
          </w:p>
        </w:tc>
        <w:tc>
          <w:tcPr>
            <w:tcW w:w="3302" w:type="dxa"/>
            <w:gridSpan w:val="3"/>
          </w:tcPr>
          <w:p w:rsidR="00AC1263" w:rsidRPr="00BE4081" w:rsidRDefault="00AC1263" w:rsidP="00D3250A">
            <w:pPr>
              <w:pStyle w:val="naiskr"/>
              <w:tabs>
                <w:tab w:val="left" w:pos="2628"/>
              </w:tabs>
              <w:spacing w:before="0" w:after="0"/>
              <w:jc w:val="both"/>
              <w:rPr>
                <w:iCs/>
              </w:rPr>
            </w:pPr>
            <w:r w:rsidRPr="00BE4081">
              <w:t>Saistības pret Eiropas Savienību</w:t>
            </w:r>
          </w:p>
        </w:tc>
        <w:tc>
          <w:tcPr>
            <w:tcW w:w="5554" w:type="dxa"/>
            <w:gridSpan w:val="2"/>
          </w:tcPr>
          <w:p w:rsidR="007C27A0" w:rsidRPr="00BE4081" w:rsidRDefault="007C27A0" w:rsidP="001D64DB">
            <w:pPr>
              <w:pStyle w:val="Default"/>
              <w:jc w:val="both"/>
              <w:rPr>
                <w:rFonts w:ascii="Times New Roman" w:hAnsi="Times New Roman" w:cs="Times New Roman"/>
                <w:color w:val="auto"/>
              </w:rPr>
            </w:pPr>
            <w:r w:rsidRPr="00BE4081">
              <w:rPr>
                <w:rFonts w:ascii="Times New Roman" w:hAnsi="Times New Roman" w:cs="Times New Roman"/>
                <w:color w:val="auto"/>
              </w:rPr>
              <w:t>Direktīvā 2009/72/EK iekļautās normas nacionālajos tiesību aktos ir jāpārņem līdz 2011.gada 3.martam.</w:t>
            </w:r>
          </w:p>
          <w:p w:rsidR="007C27A0" w:rsidRPr="00BE4081" w:rsidRDefault="007C27A0" w:rsidP="001D64DB">
            <w:pPr>
              <w:pStyle w:val="Default"/>
              <w:jc w:val="both"/>
              <w:rPr>
                <w:rFonts w:ascii="Times New Roman" w:hAnsi="Times New Roman" w:cs="Times New Roman"/>
                <w:color w:val="auto"/>
              </w:rPr>
            </w:pPr>
          </w:p>
          <w:p w:rsidR="00F71E41" w:rsidRPr="00BE4081" w:rsidRDefault="00F71E41" w:rsidP="001D64DB">
            <w:pPr>
              <w:pStyle w:val="Default"/>
              <w:jc w:val="both"/>
              <w:rPr>
                <w:rFonts w:ascii="Times New Roman" w:hAnsi="Times New Roman" w:cs="Times New Roman"/>
                <w:color w:val="auto"/>
              </w:rPr>
            </w:pPr>
            <w:r w:rsidRPr="00BE4081">
              <w:rPr>
                <w:rFonts w:ascii="Times New Roman" w:hAnsi="Times New Roman" w:cs="Times New Roman"/>
                <w:color w:val="auto"/>
              </w:rPr>
              <w:t xml:space="preserve">Līdz 2012.gada 1.janvārim ir spēkā </w:t>
            </w:r>
            <w:r w:rsidR="00345E4F" w:rsidRPr="00BE4081">
              <w:rPr>
                <w:rFonts w:ascii="Times New Roman" w:hAnsi="Times New Roman" w:cs="Times New Roman"/>
                <w:color w:val="auto"/>
              </w:rPr>
              <w:t>D</w:t>
            </w:r>
            <w:r w:rsidRPr="00BE4081">
              <w:rPr>
                <w:rFonts w:ascii="Times New Roman" w:hAnsi="Times New Roman" w:cs="Times New Roman"/>
                <w:color w:val="auto"/>
              </w:rPr>
              <w:t>irektīv</w:t>
            </w:r>
            <w:r w:rsidR="00345E4F" w:rsidRPr="00BE4081">
              <w:rPr>
                <w:rFonts w:ascii="Times New Roman" w:hAnsi="Times New Roman" w:cs="Times New Roman"/>
                <w:color w:val="auto"/>
              </w:rPr>
              <w:t>as</w:t>
            </w:r>
            <w:r w:rsidRPr="00BE4081">
              <w:rPr>
                <w:rFonts w:ascii="Times New Roman" w:hAnsi="Times New Roman" w:cs="Times New Roman"/>
                <w:color w:val="auto"/>
              </w:rPr>
              <w:t xml:space="preserve"> </w:t>
            </w:r>
            <w:r w:rsidRPr="00BE4081">
              <w:rPr>
                <w:rFonts w:ascii="Times New Roman" w:hAnsi="Times New Roman" w:cs="Times New Roman"/>
                <w:color w:val="auto"/>
                <w:lang w:eastAsia="en-US"/>
              </w:rPr>
              <w:t>2001/77/EK</w:t>
            </w:r>
            <w:r w:rsidRPr="00BE4081">
              <w:rPr>
                <w:rFonts w:ascii="Times New Roman" w:hAnsi="Times New Roman" w:cs="Times New Roman"/>
                <w:color w:val="auto"/>
              </w:rPr>
              <w:t xml:space="preserve"> sekojoši panti, kas attiecas uz dalībvalstīm: 1.pants, 3.panta 1.punkts, </w:t>
            </w:r>
            <w:r w:rsidR="005F6C02" w:rsidRPr="00BE4081">
              <w:rPr>
                <w:rFonts w:ascii="Times New Roman" w:hAnsi="Times New Roman" w:cs="Times New Roman"/>
                <w:color w:val="auto"/>
              </w:rPr>
              <w:t>3.panta 3.punkts, 9.pants un Pielikums.</w:t>
            </w:r>
          </w:p>
          <w:p w:rsidR="00F71E41" w:rsidRPr="00BE4081" w:rsidRDefault="00F71E41" w:rsidP="001D64DB">
            <w:pPr>
              <w:pStyle w:val="Default"/>
              <w:jc w:val="both"/>
              <w:rPr>
                <w:rFonts w:ascii="Times New Roman" w:hAnsi="Times New Roman" w:cs="Times New Roman"/>
                <w:bCs/>
                <w:color w:val="auto"/>
              </w:rPr>
            </w:pPr>
            <w:r w:rsidRPr="00BE4081">
              <w:rPr>
                <w:rFonts w:ascii="Times New Roman" w:hAnsi="Times New Roman" w:cs="Times New Roman"/>
                <w:color w:val="auto"/>
              </w:rPr>
              <w:t>Eiropas Parlamenta un Padomes 2009. gada 23. aprīļa direktīva 2009/28/EK par atjaunojamo energoresursu izmantošanas veicināšanu un ar ko groza un sekojoši atceļ Direktīvas 2001/77/EK un 2003/30/EK</w:t>
            </w:r>
            <w:r w:rsidR="005F6C02" w:rsidRPr="00BE4081">
              <w:rPr>
                <w:rFonts w:ascii="Times New Roman" w:hAnsi="Times New Roman" w:cs="Times New Roman"/>
                <w:color w:val="auto"/>
              </w:rPr>
              <w:t xml:space="preserve"> (turpmāk – Direktīva 2009/28/EK)</w:t>
            </w:r>
            <w:r w:rsidRPr="00BE4081">
              <w:rPr>
                <w:rFonts w:ascii="Times New Roman" w:hAnsi="Times New Roman" w:cs="Times New Roman"/>
                <w:color w:val="auto"/>
              </w:rPr>
              <w:t>.</w:t>
            </w:r>
          </w:p>
          <w:p w:rsidR="00AC1263" w:rsidRPr="00BE4081" w:rsidRDefault="00013ACB" w:rsidP="001D64DB">
            <w:pPr>
              <w:pStyle w:val="Default"/>
              <w:jc w:val="both"/>
              <w:rPr>
                <w:rFonts w:ascii="Times New Roman" w:hAnsi="Times New Roman" w:cs="Times New Roman"/>
                <w:color w:val="auto"/>
              </w:rPr>
            </w:pPr>
            <w:r w:rsidRPr="00BE4081">
              <w:rPr>
                <w:rFonts w:ascii="Times New Roman" w:hAnsi="Times New Roman" w:cs="Times New Roman"/>
                <w:bCs/>
                <w:color w:val="auto"/>
              </w:rPr>
              <w:t>Direktīva 2009/28/EK</w:t>
            </w:r>
            <w:r w:rsidRPr="00BE4081">
              <w:rPr>
                <w:rFonts w:ascii="Times New Roman" w:hAnsi="Times New Roman" w:cs="Times New Roman"/>
                <w:color w:val="auto"/>
              </w:rPr>
              <w:t xml:space="preserve"> jāpārņem līdz 2010.gada 5.decembrim.</w:t>
            </w:r>
          </w:p>
        </w:tc>
      </w:tr>
      <w:tr w:rsidR="00AC1263" w:rsidRPr="0082102B" w:rsidTr="00EE0211">
        <w:trPr>
          <w:jc w:val="center"/>
        </w:trPr>
        <w:tc>
          <w:tcPr>
            <w:tcW w:w="957" w:type="dxa"/>
          </w:tcPr>
          <w:p w:rsidR="00AC1263" w:rsidRPr="00BE4081" w:rsidRDefault="00AC1263" w:rsidP="00D3250A">
            <w:pPr>
              <w:pStyle w:val="naiskr"/>
              <w:tabs>
                <w:tab w:val="left" w:pos="2628"/>
              </w:tabs>
              <w:spacing w:before="0" w:after="0"/>
              <w:jc w:val="both"/>
              <w:rPr>
                <w:iCs/>
              </w:rPr>
            </w:pPr>
            <w:r w:rsidRPr="00BE4081">
              <w:rPr>
                <w:iCs/>
              </w:rPr>
              <w:t>2.</w:t>
            </w:r>
          </w:p>
        </w:tc>
        <w:tc>
          <w:tcPr>
            <w:tcW w:w="3302" w:type="dxa"/>
            <w:gridSpan w:val="3"/>
          </w:tcPr>
          <w:p w:rsidR="00AC1263" w:rsidRPr="00BE4081" w:rsidRDefault="00AC1263" w:rsidP="00D3250A">
            <w:pPr>
              <w:pStyle w:val="naiskr"/>
              <w:tabs>
                <w:tab w:val="left" w:pos="2628"/>
              </w:tabs>
              <w:spacing w:before="0" w:after="0"/>
              <w:jc w:val="both"/>
              <w:rPr>
                <w:iCs/>
              </w:rPr>
            </w:pPr>
            <w:r w:rsidRPr="00BE4081">
              <w:t>Citas starptautiskās saistības</w:t>
            </w:r>
          </w:p>
        </w:tc>
        <w:tc>
          <w:tcPr>
            <w:tcW w:w="5554" w:type="dxa"/>
            <w:gridSpan w:val="2"/>
          </w:tcPr>
          <w:p w:rsidR="00AC1263" w:rsidRPr="00BE4081" w:rsidRDefault="007C27A0" w:rsidP="00D3250A">
            <w:pPr>
              <w:pStyle w:val="naiskr"/>
              <w:tabs>
                <w:tab w:val="left" w:pos="2628"/>
              </w:tabs>
              <w:spacing w:before="0" w:after="0"/>
              <w:jc w:val="both"/>
              <w:rPr>
                <w:iCs/>
              </w:rPr>
            </w:pPr>
            <w:r w:rsidRPr="00BE4081">
              <w:t>BEMIP  rīcības plāna 2.1.punkts</w:t>
            </w:r>
          </w:p>
        </w:tc>
      </w:tr>
      <w:tr w:rsidR="00AC1263" w:rsidRPr="0082102B" w:rsidTr="00EE0211">
        <w:trPr>
          <w:jc w:val="center"/>
        </w:trPr>
        <w:tc>
          <w:tcPr>
            <w:tcW w:w="957" w:type="dxa"/>
          </w:tcPr>
          <w:p w:rsidR="00AC1263" w:rsidRPr="00BE4081" w:rsidRDefault="00AC1263" w:rsidP="00D3250A">
            <w:pPr>
              <w:pStyle w:val="naiskr"/>
              <w:tabs>
                <w:tab w:val="left" w:pos="2628"/>
              </w:tabs>
              <w:spacing w:before="0" w:after="0"/>
              <w:jc w:val="both"/>
              <w:rPr>
                <w:iCs/>
              </w:rPr>
            </w:pPr>
            <w:r w:rsidRPr="00BE4081">
              <w:rPr>
                <w:iCs/>
              </w:rPr>
              <w:t>3.</w:t>
            </w:r>
          </w:p>
        </w:tc>
        <w:tc>
          <w:tcPr>
            <w:tcW w:w="3302" w:type="dxa"/>
            <w:gridSpan w:val="3"/>
          </w:tcPr>
          <w:p w:rsidR="00AC1263" w:rsidRPr="00BE4081" w:rsidRDefault="00AC1263" w:rsidP="00D3250A">
            <w:pPr>
              <w:pStyle w:val="naiskr"/>
              <w:tabs>
                <w:tab w:val="left" w:pos="2628"/>
              </w:tabs>
              <w:spacing w:before="0" w:after="0"/>
              <w:jc w:val="both"/>
            </w:pPr>
            <w:r w:rsidRPr="00BE4081">
              <w:t>Cita informācija</w:t>
            </w:r>
          </w:p>
        </w:tc>
        <w:tc>
          <w:tcPr>
            <w:tcW w:w="5554" w:type="dxa"/>
            <w:gridSpan w:val="2"/>
          </w:tcPr>
          <w:p w:rsidR="00AC1263" w:rsidRPr="00BE4081" w:rsidRDefault="00AC1263" w:rsidP="00D3250A">
            <w:pPr>
              <w:pStyle w:val="naiskr"/>
              <w:tabs>
                <w:tab w:val="left" w:pos="2628"/>
              </w:tabs>
              <w:spacing w:before="0" w:after="0"/>
              <w:jc w:val="both"/>
              <w:rPr>
                <w:iCs/>
              </w:rPr>
            </w:pPr>
            <w:r w:rsidRPr="00BE4081">
              <w:t>Nav</w:t>
            </w:r>
            <w:r w:rsidR="00BD1E40" w:rsidRPr="00BE4081">
              <w:t>.</w:t>
            </w:r>
          </w:p>
        </w:tc>
      </w:tr>
      <w:tr w:rsidR="00AC1263" w:rsidRPr="0082102B" w:rsidTr="00692513">
        <w:tblPrEx>
          <w:tblCellMar>
            <w:top w:w="28" w:type="dxa"/>
            <w:left w:w="28" w:type="dxa"/>
            <w:bottom w:w="28" w:type="dxa"/>
            <w:right w:w="28" w:type="dxa"/>
          </w:tblCellMar>
          <w:tblLook w:val="0000"/>
        </w:tblPrEx>
        <w:trPr>
          <w:trHeight w:val="523"/>
          <w:jc w:val="center"/>
        </w:trPr>
        <w:tc>
          <w:tcPr>
            <w:tcW w:w="9813" w:type="dxa"/>
            <w:gridSpan w:val="6"/>
            <w:vAlign w:val="center"/>
          </w:tcPr>
          <w:p w:rsidR="00AC1263" w:rsidRPr="00BE4081" w:rsidRDefault="00AC1263" w:rsidP="00D3250A">
            <w:pPr>
              <w:pStyle w:val="naisnod"/>
              <w:spacing w:before="0" w:after="0"/>
            </w:pPr>
            <w:r w:rsidRPr="00BE4081">
              <w:t xml:space="preserve">1.tabula </w:t>
            </w:r>
          </w:p>
          <w:p w:rsidR="00AC1263" w:rsidRPr="00BE4081" w:rsidRDefault="00AC1263" w:rsidP="00D3250A">
            <w:pPr>
              <w:pStyle w:val="naisnod"/>
              <w:spacing w:before="0" w:after="0"/>
              <w:rPr>
                <w:i/>
              </w:rPr>
            </w:pPr>
            <w:r w:rsidRPr="00BE4081">
              <w:t>Tiesību akta projekta atbilstība ES tiesību aktiem</w:t>
            </w:r>
          </w:p>
        </w:tc>
      </w:tr>
      <w:tr w:rsidR="00AC1263" w:rsidRPr="0082102B" w:rsidTr="00D14B4E">
        <w:tblPrEx>
          <w:tblCellMar>
            <w:top w:w="28" w:type="dxa"/>
            <w:left w:w="28" w:type="dxa"/>
            <w:bottom w:w="28" w:type="dxa"/>
            <w:right w:w="28" w:type="dxa"/>
          </w:tblCellMar>
          <w:tblLook w:val="0000"/>
        </w:tblPrEx>
        <w:trPr>
          <w:trHeight w:val="1252"/>
          <w:jc w:val="center"/>
        </w:trPr>
        <w:tc>
          <w:tcPr>
            <w:tcW w:w="1789" w:type="dxa"/>
            <w:gridSpan w:val="2"/>
            <w:vAlign w:val="center"/>
          </w:tcPr>
          <w:p w:rsidR="00AC1263" w:rsidRPr="00BE4081" w:rsidRDefault="00AC1263" w:rsidP="00D3250A">
            <w:pPr>
              <w:pStyle w:val="naiskr"/>
              <w:spacing w:before="0" w:after="0"/>
              <w:ind w:hanging="10"/>
              <w:jc w:val="center"/>
            </w:pPr>
            <w:r w:rsidRPr="00BE4081">
              <w:t>Attiecīgā ES tiesību akta datums, numurs un nosaukums</w:t>
            </w:r>
          </w:p>
        </w:tc>
        <w:tc>
          <w:tcPr>
            <w:tcW w:w="8024" w:type="dxa"/>
            <w:gridSpan w:val="4"/>
            <w:vAlign w:val="center"/>
          </w:tcPr>
          <w:p w:rsidR="007C27A0" w:rsidRPr="00BE4081" w:rsidRDefault="007C27A0" w:rsidP="007C27A0">
            <w:pPr>
              <w:pStyle w:val="Default"/>
              <w:jc w:val="both"/>
              <w:rPr>
                <w:rFonts w:ascii="Times New Roman" w:hAnsi="Times New Roman" w:cs="Times New Roman"/>
                <w:color w:val="auto"/>
              </w:rPr>
            </w:pPr>
            <w:r w:rsidRPr="00BE4081">
              <w:rPr>
                <w:rFonts w:ascii="Times New Roman" w:hAnsi="Times New Roman" w:cs="Times New Roman"/>
                <w:color w:val="auto"/>
              </w:rPr>
              <w:t>Direktīvā 2009/72/EK iekļautās normas nacionālajos tiesību aktos ir jāpārņem līdz 2011.gada 3.martam.</w:t>
            </w:r>
          </w:p>
          <w:p w:rsidR="007C27A0" w:rsidRPr="00BE4081" w:rsidRDefault="007C27A0" w:rsidP="0095517C">
            <w:pPr>
              <w:pStyle w:val="naiskr"/>
              <w:spacing w:before="0" w:after="0"/>
              <w:jc w:val="both"/>
            </w:pPr>
          </w:p>
          <w:p w:rsidR="005F6C02" w:rsidRPr="00BE4081" w:rsidRDefault="005F6C02" w:rsidP="0095517C">
            <w:pPr>
              <w:pStyle w:val="naiskr"/>
              <w:spacing w:before="0" w:after="0"/>
              <w:jc w:val="both"/>
            </w:pPr>
            <w:r w:rsidRPr="00BE4081">
              <w:t xml:space="preserve">Parlamenta un Padomes 2001. gada 27. septembra direktīva </w:t>
            </w:r>
            <w:r w:rsidRPr="00BE4081">
              <w:rPr>
                <w:lang w:eastAsia="en-US"/>
              </w:rPr>
              <w:t>2001/77/EK</w:t>
            </w:r>
            <w:r w:rsidRPr="00BE4081">
              <w:t xml:space="preserve"> par tādas elektroenerģijas izmantošanas veicināšanu iekšējā tirgū, kas saražota, izmantojot atjaunojamos enerģijas avotus ir spēkā līdz 2012.gada 1.janvārim.</w:t>
            </w:r>
          </w:p>
          <w:p w:rsidR="005F6C02" w:rsidRPr="00BE4081" w:rsidRDefault="005F6C02" w:rsidP="0095517C">
            <w:pPr>
              <w:pStyle w:val="naiskr"/>
              <w:spacing w:before="0" w:after="0"/>
              <w:jc w:val="both"/>
              <w:rPr>
                <w:bCs/>
              </w:rPr>
            </w:pPr>
          </w:p>
          <w:p w:rsidR="00BA1867" w:rsidRPr="00BE4081" w:rsidRDefault="00BA1867" w:rsidP="0095517C">
            <w:pPr>
              <w:pStyle w:val="naiskr"/>
              <w:spacing w:before="0" w:after="0"/>
              <w:jc w:val="both"/>
            </w:pPr>
            <w:r w:rsidRPr="00BE4081">
              <w:rPr>
                <w:bCs/>
              </w:rPr>
              <w:t>Eiropas Parlamenta un Padomes Direktīva 2009/28/EK</w:t>
            </w:r>
            <w:r w:rsidRPr="00BE4081">
              <w:t xml:space="preserve"> </w:t>
            </w:r>
            <w:r w:rsidRPr="00BE4081">
              <w:rPr>
                <w:bCs/>
              </w:rPr>
              <w:t xml:space="preserve">(2009. gada 23. aprīlis) par atjaunojamo energoresursu izmantošanas veicināšanu un ar ko groza un sekojoši atceļ Direktīvas 2001/77/EK un 2003/30/EK </w:t>
            </w:r>
            <w:r w:rsidRPr="00BE4081">
              <w:t xml:space="preserve">jāpārņem līdz 2010.gada </w:t>
            </w:r>
            <w:r w:rsidRPr="00BE4081">
              <w:lastRenderedPageBreak/>
              <w:t>5.decembrim.</w:t>
            </w:r>
          </w:p>
        </w:tc>
      </w:tr>
      <w:tr w:rsidR="00AC1263" w:rsidRPr="0082102B" w:rsidTr="00692513">
        <w:tblPrEx>
          <w:tblCellMar>
            <w:top w:w="28" w:type="dxa"/>
            <w:left w:w="28" w:type="dxa"/>
            <w:bottom w:w="28" w:type="dxa"/>
            <w:right w:w="28" w:type="dxa"/>
          </w:tblCellMar>
          <w:tblLook w:val="0000"/>
        </w:tblPrEx>
        <w:trPr>
          <w:trHeight w:val="163"/>
          <w:jc w:val="center"/>
        </w:trPr>
        <w:tc>
          <w:tcPr>
            <w:tcW w:w="9813" w:type="dxa"/>
            <w:gridSpan w:val="6"/>
            <w:vAlign w:val="center"/>
          </w:tcPr>
          <w:p w:rsidR="00AC1263" w:rsidRPr="00BE4081" w:rsidRDefault="00AC1263" w:rsidP="00D3250A">
            <w:pPr>
              <w:pStyle w:val="naiskr"/>
              <w:spacing w:before="0" w:after="0"/>
              <w:rPr>
                <w:i/>
              </w:rPr>
            </w:pPr>
          </w:p>
        </w:tc>
      </w:tr>
      <w:tr w:rsidR="00AC1263" w:rsidRPr="0082102B" w:rsidTr="00D14B4E">
        <w:tblPrEx>
          <w:tblCellMar>
            <w:top w:w="28" w:type="dxa"/>
            <w:left w:w="28" w:type="dxa"/>
            <w:bottom w:w="28" w:type="dxa"/>
            <w:right w:w="28" w:type="dxa"/>
          </w:tblCellMar>
          <w:tblLook w:val="0000"/>
        </w:tblPrEx>
        <w:trPr>
          <w:trHeight w:val="165"/>
          <w:jc w:val="center"/>
        </w:trPr>
        <w:tc>
          <w:tcPr>
            <w:tcW w:w="1789" w:type="dxa"/>
            <w:gridSpan w:val="2"/>
            <w:vAlign w:val="center"/>
          </w:tcPr>
          <w:p w:rsidR="00AC1263" w:rsidRPr="00BE4081" w:rsidRDefault="00AC1263" w:rsidP="00D3250A">
            <w:pPr>
              <w:pStyle w:val="naiskr"/>
              <w:spacing w:before="0" w:after="0"/>
              <w:jc w:val="center"/>
            </w:pPr>
            <w:r w:rsidRPr="00BE4081">
              <w:t>A</w:t>
            </w:r>
          </w:p>
        </w:tc>
        <w:tc>
          <w:tcPr>
            <w:tcW w:w="1360" w:type="dxa"/>
            <w:vAlign w:val="center"/>
          </w:tcPr>
          <w:p w:rsidR="00AC1263" w:rsidRPr="00BE4081" w:rsidRDefault="00AC1263" w:rsidP="00D3250A">
            <w:pPr>
              <w:pStyle w:val="naiskr"/>
              <w:spacing w:before="0" w:after="0"/>
              <w:jc w:val="center"/>
            </w:pPr>
            <w:r w:rsidRPr="00BE4081">
              <w:t>B</w:t>
            </w:r>
          </w:p>
        </w:tc>
        <w:tc>
          <w:tcPr>
            <w:tcW w:w="4647" w:type="dxa"/>
            <w:gridSpan w:val="2"/>
            <w:vAlign w:val="center"/>
          </w:tcPr>
          <w:p w:rsidR="00AC1263" w:rsidRPr="00BE4081" w:rsidRDefault="00AC1263" w:rsidP="00D3250A">
            <w:pPr>
              <w:pStyle w:val="naiskr"/>
              <w:spacing w:before="0" w:after="0"/>
              <w:jc w:val="center"/>
            </w:pPr>
            <w:r w:rsidRPr="00BE4081">
              <w:t>C</w:t>
            </w:r>
          </w:p>
        </w:tc>
        <w:tc>
          <w:tcPr>
            <w:tcW w:w="2017" w:type="dxa"/>
            <w:vAlign w:val="center"/>
          </w:tcPr>
          <w:p w:rsidR="00AC1263" w:rsidRPr="0082102B" w:rsidRDefault="00AC1263" w:rsidP="00D3250A">
            <w:pPr>
              <w:pStyle w:val="naiskr"/>
              <w:spacing w:before="0" w:after="0"/>
              <w:jc w:val="center"/>
            </w:pPr>
            <w:r w:rsidRPr="0082102B">
              <w:t>D</w:t>
            </w:r>
          </w:p>
        </w:tc>
      </w:tr>
      <w:tr w:rsidR="00AC1263" w:rsidRPr="0082102B" w:rsidTr="00D14B4E">
        <w:tblPrEx>
          <w:tblCellMar>
            <w:top w:w="28" w:type="dxa"/>
            <w:left w:w="28" w:type="dxa"/>
            <w:bottom w:w="28" w:type="dxa"/>
            <w:right w:w="28" w:type="dxa"/>
          </w:tblCellMar>
          <w:tblLook w:val="0000"/>
        </w:tblPrEx>
        <w:trPr>
          <w:trHeight w:val="3866"/>
          <w:jc w:val="center"/>
        </w:trPr>
        <w:tc>
          <w:tcPr>
            <w:tcW w:w="1789" w:type="dxa"/>
            <w:gridSpan w:val="2"/>
          </w:tcPr>
          <w:p w:rsidR="00AC1263" w:rsidRPr="00BE4081" w:rsidRDefault="00AC1263" w:rsidP="00403C12">
            <w:pPr>
              <w:pStyle w:val="naiskr"/>
              <w:spacing w:before="0" w:after="0"/>
              <w:jc w:val="both"/>
            </w:pPr>
            <w:r w:rsidRPr="00BE4081">
              <w:t xml:space="preserve">Attiecīgā ES tiesību akta panta numurs </w:t>
            </w:r>
          </w:p>
        </w:tc>
        <w:tc>
          <w:tcPr>
            <w:tcW w:w="1360" w:type="dxa"/>
          </w:tcPr>
          <w:p w:rsidR="00AC1263" w:rsidRPr="00BE4081" w:rsidRDefault="00AC1263" w:rsidP="00403C12">
            <w:pPr>
              <w:pStyle w:val="naiskr"/>
              <w:spacing w:before="0" w:after="0"/>
              <w:jc w:val="both"/>
            </w:pPr>
            <w:r w:rsidRPr="00BE4081">
              <w:t>Projekta vienība, kas pārņem vai ievieš katru šīs tabulas A ailē minēto ES tiesību akta vienību</w:t>
            </w:r>
          </w:p>
        </w:tc>
        <w:tc>
          <w:tcPr>
            <w:tcW w:w="4647" w:type="dxa"/>
            <w:gridSpan w:val="2"/>
          </w:tcPr>
          <w:p w:rsidR="00AC1263" w:rsidRPr="00BE4081" w:rsidRDefault="00AC1263" w:rsidP="00D3250A">
            <w:pPr>
              <w:pStyle w:val="naiskr"/>
              <w:spacing w:before="0" w:after="0"/>
            </w:pPr>
            <w:r w:rsidRPr="00BE4081">
              <w:t>Informācija par to, vai šīs tabulas A ailē minētās ES tiesību akta vienības tiek pārņemtas vai ieviestas pilnībā vai daļēji.</w:t>
            </w:r>
          </w:p>
          <w:p w:rsidR="00AC1263" w:rsidRPr="00BE4081" w:rsidRDefault="00AC1263" w:rsidP="00D3250A">
            <w:pPr>
              <w:pStyle w:val="naiskr"/>
              <w:spacing w:before="0" w:after="0"/>
            </w:pPr>
          </w:p>
          <w:p w:rsidR="00AC1263" w:rsidRPr="00BE4081" w:rsidRDefault="00AC1263" w:rsidP="00D3250A">
            <w:pPr>
              <w:pStyle w:val="naiskr"/>
              <w:spacing w:before="0" w:after="0"/>
            </w:pPr>
            <w:r w:rsidRPr="00BE4081">
              <w:t>Ja attiecīgā ES tiesību akta vienība tiek pārņemta vai ieviesta daļēji, – sniedz attiecīgu skaidrojumu, kā arī precīzi norāda, kad un kādā veidā ES tiesību akta vienība tiks pārņemta vai ieviesta pilnībā.</w:t>
            </w:r>
          </w:p>
          <w:p w:rsidR="00AC1263" w:rsidRPr="00BE4081" w:rsidRDefault="00AC1263" w:rsidP="00D3250A">
            <w:pPr>
              <w:pStyle w:val="naiskr"/>
              <w:spacing w:before="0" w:after="0"/>
            </w:pPr>
          </w:p>
          <w:p w:rsidR="00AC1263" w:rsidRPr="00BE4081" w:rsidRDefault="00AC1263" w:rsidP="00D3250A">
            <w:pPr>
              <w:pStyle w:val="naiskr"/>
              <w:spacing w:before="0" w:after="0"/>
            </w:pPr>
            <w:r w:rsidRPr="00BE4081">
              <w:t>Norāda institūciju, kas ir atbildīga par šo saistību izpildi pilnībā</w:t>
            </w:r>
          </w:p>
        </w:tc>
        <w:tc>
          <w:tcPr>
            <w:tcW w:w="2017" w:type="dxa"/>
          </w:tcPr>
          <w:p w:rsidR="00AC1263" w:rsidRPr="0082102B" w:rsidRDefault="00AC1263" w:rsidP="00403C12">
            <w:pPr>
              <w:pStyle w:val="naiskr"/>
              <w:spacing w:before="0" w:after="0"/>
              <w:jc w:val="both"/>
            </w:pPr>
            <w:r w:rsidRPr="0082102B">
              <w:t>Informācija par to, vai šīs tabulas B ailē minētās projekta vienības paredz stingrākas prasības nekā šīs tabulas A ailē minētās ES tiesību akta vienības.</w:t>
            </w:r>
          </w:p>
          <w:p w:rsidR="00AC1263" w:rsidRPr="0082102B" w:rsidRDefault="00AC1263" w:rsidP="00D3250A">
            <w:pPr>
              <w:pStyle w:val="naiskr"/>
              <w:spacing w:before="0" w:after="0"/>
            </w:pPr>
          </w:p>
          <w:p w:rsidR="00AC1263" w:rsidRPr="0082102B" w:rsidRDefault="00AC1263" w:rsidP="00403C12">
            <w:pPr>
              <w:pStyle w:val="naiskr"/>
              <w:spacing w:before="0" w:after="0"/>
              <w:jc w:val="both"/>
            </w:pPr>
            <w:r w:rsidRPr="0082102B">
              <w:t xml:space="preserve">Ja projekts satur stingrākas prasības nekā attiecīgais ES tiesību </w:t>
            </w:r>
            <w:smartTag w:uri="schemas-tilde-lv/tildestengine" w:element="veidnes">
              <w:smartTagPr>
                <w:attr w:name="text" w:val="akts"/>
                <w:attr w:name="baseform" w:val="akts"/>
                <w:attr w:name="id" w:val="-1"/>
              </w:smartTagPr>
              <w:r w:rsidRPr="0082102B">
                <w:t>akts</w:t>
              </w:r>
            </w:smartTag>
            <w:r w:rsidRPr="0082102B">
              <w:t>, – norāda pamatojumu un samērīgumu.</w:t>
            </w:r>
          </w:p>
          <w:p w:rsidR="00AC1263" w:rsidRPr="0082102B" w:rsidRDefault="00AC1263" w:rsidP="00D3250A">
            <w:pPr>
              <w:pStyle w:val="naiskr"/>
              <w:spacing w:before="0" w:after="0"/>
            </w:pPr>
          </w:p>
          <w:p w:rsidR="00AC1263" w:rsidRPr="0082102B" w:rsidRDefault="00AC1263" w:rsidP="00403C12">
            <w:pPr>
              <w:pStyle w:val="naiskr"/>
              <w:spacing w:before="0" w:after="0"/>
              <w:jc w:val="both"/>
            </w:pPr>
            <w:r w:rsidRPr="0082102B">
              <w:t>Norāda iespējamās alternatīvas (t.sk. alternatīvas, kas neparedz tiesiskā regulējuma izstrādi) – kādos gadījumos būtu iespējams izvairīties no stingrāku prasību noteikšanas, nekā paredzēts attiecīgajos ES tiesību aktos</w:t>
            </w: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Direktīvas 2009/72/EK 1.pants</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C5426B" w:rsidP="00C5426B">
            <w:pPr>
              <w:pStyle w:val="naiskr"/>
              <w:spacing w:before="0" w:after="0"/>
              <w:jc w:val="both"/>
            </w:pPr>
            <w:r>
              <w:t xml:space="preserve">Elektroenerģijas tirgus likuma (turpmāk – </w:t>
            </w:r>
            <w:r w:rsidR="00D14B4E" w:rsidRPr="00BE4081">
              <w:t>ETL</w:t>
            </w:r>
            <w:r>
              <w:t>)</w:t>
            </w:r>
            <w:r w:rsidR="00D14B4E" w:rsidRPr="00BE4081">
              <w:t xml:space="preserve"> – 3.pants</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 xml:space="preserve">Direktīvas 2009/72/EK 2.pants „Definīcijas” </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D14B4E" w:rsidP="00E220BA">
            <w:pPr>
              <w:pStyle w:val="naiskr"/>
              <w:spacing w:before="0" w:after="0"/>
            </w:pPr>
            <w:r w:rsidRPr="00BE4081">
              <w:t xml:space="preserve">ETL – 1.panta otrā daļas punkti, Enerģētikas likuma </w:t>
            </w:r>
            <w:r w:rsidR="00C5426B">
              <w:t xml:space="preserve">( turpmāk – EN) </w:t>
            </w:r>
            <w:r w:rsidRPr="00BE4081">
              <w:t>– 1.panta punkti</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 xml:space="preserve">Direktīvas 2009/72/EK 3.panta pirmā daļa </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D14B4E" w:rsidP="00D3250A">
            <w:pPr>
              <w:pStyle w:val="naiskr"/>
              <w:spacing w:before="0" w:after="0"/>
            </w:pPr>
            <w:r w:rsidRPr="00BE4081">
              <w:t>ETL – 2.pants</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lastRenderedPageBreak/>
              <w:t>Direktīvas 2009/72/EK 3.panta otrā daļa</w:t>
            </w:r>
          </w:p>
        </w:tc>
        <w:tc>
          <w:tcPr>
            <w:tcW w:w="1360" w:type="dxa"/>
          </w:tcPr>
          <w:p w:rsidR="00D14B4E" w:rsidRPr="00BE4081" w:rsidRDefault="00D14B4E" w:rsidP="00D14B4E">
            <w:pPr>
              <w:pStyle w:val="naiskr"/>
              <w:spacing w:before="0" w:after="0"/>
              <w:jc w:val="center"/>
            </w:pPr>
            <w:r w:rsidRPr="00BE4081">
              <w:t>-</w:t>
            </w:r>
          </w:p>
        </w:tc>
        <w:tc>
          <w:tcPr>
            <w:tcW w:w="4647" w:type="dxa"/>
            <w:gridSpan w:val="2"/>
          </w:tcPr>
          <w:p w:rsidR="00D14B4E" w:rsidRPr="00BE4081" w:rsidRDefault="00D14B4E" w:rsidP="00D3250A">
            <w:pPr>
              <w:pStyle w:val="naiskr"/>
              <w:spacing w:before="0" w:after="0"/>
            </w:pPr>
            <w:r w:rsidRPr="00BE4081">
              <w:t>ETL  - 9.panta pirmā otrā daļa</w:t>
            </w:r>
          </w:p>
        </w:tc>
        <w:tc>
          <w:tcPr>
            <w:tcW w:w="2017" w:type="dxa"/>
          </w:tcPr>
          <w:p w:rsidR="00D14B4E" w:rsidRPr="0082102B" w:rsidRDefault="00D14B4E" w:rsidP="00D14B4E">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D14B4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14B4E" w:rsidRPr="00BE4081" w:rsidRDefault="00D14B4E" w:rsidP="00D14B4E">
            <w:pPr>
              <w:pStyle w:val="naiskr"/>
              <w:spacing w:before="0" w:after="0"/>
              <w:jc w:val="both"/>
            </w:pPr>
            <w:r w:rsidRPr="00BE4081">
              <w:t>Direktīvas 2009/72/EK 3.panta trešā daļa</w:t>
            </w:r>
          </w:p>
        </w:tc>
        <w:tc>
          <w:tcPr>
            <w:tcW w:w="1360" w:type="dxa"/>
          </w:tcPr>
          <w:p w:rsidR="00D14B4E" w:rsidRPr="00BE4081" w:rsidRDefault="00C5426B" w:rsidP="00D14B4E">
            <w:pPr>
              <w:pStyle w:val="naiskr"/>
              <w:spacing w:before="0" w:after="0"/>
              <w:jc w:val="center"/>
            </w:pPr>
            <w:r>
              <w:t>30., 31. panti</w:t>
            </w:r>
          </w:p>
        </w:tc>
        <w:tc>
          <w:tcPr>
            <w:tcW w:w="4647" w:type="dxa"/>
            <w:gridSpan w:val="2"/>
          </w:tcPr>
          <w:p w:rsidR="009414E3" w:rsidRPr="00BE4081" w:rsidRDefault="009414E3" w:rsidP="009414E3">
            <w:r w:rsidRPr="00BE4081">
              <w:t>ETL  - 9.panta  otrā daļas 6.punkts, 34.pants</w:t>
            </w:r>
          </w:p>
          <w:p w:rsidR="009414E3" w:rsidRPr="00BE4081" w:rsidRDefault="009414E3" w:rsidP="009414E3"/>
          <w:p w:rsidR="00D14B4E" w:rsidRPr="00BE4081" w:rsidRDefault="009414E3" w:rsidP="009414E3">
            <w:pPr>
              <w:pStyle w:val="naiskr"/>
              <w:spacing w:before="0" w:after="0"/>
              <w:jc w:val="both"/>
            </w:pPr>
            <w:r w:rsidRPr="00BE4081">
              <w:t xml:space="preserve">Ministru kabineta </w:t>
            </w:r>
            <w:r w:rsidR="00C5426B">
              <w:t xml:space="preserve">2009.gada 21.jūlija </w:t>
            </w:r>
            <w:r w:rsidRPr="00BE4081">
              <w:t>noteikumu Nr. 793</w:t>
            </w:r>
            <w:r w:rsidR="00C5426B">
              <w:t xml:space="preserve"> Elektroenerģijas tirdzniecības un lietošanas noteikumu (turpmāk Not.793)</w:t>
            </w:r>
            <w:r w:rsidRPr="00BE4081">
              <w:t xml:space="preserve"> – 18.punkts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D14B4E" w:rsidRPr="0082102B" w:rsidRDefault="00D14B4E"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9414E3" w:rsidP="009414E3">
            <w:pPr>
              <w:pStyle w:val="naiskr"/>
              <w:spacing w:before="0" w:after="0"/>
              <w:jc w:val="both"/>
            </w:pPr>
            <w:r w:rsidRPr="00BE4081">
              <w:t>Direktīvas 2009/72/EK 3.panta piektās daļas a) b) punkti</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C5426B" w:rsidP="009414E3">
            <w:r>
              <w:t xml:space="preserve"> N</w:t>
            </w:r>
            <w:r w:rsidR="009414E3" w:rsidRPr="00BE4081">
              <w:t>ot</w:t>
            </w:r>
            <w:r>
              <w:t>.</w:t>
            </w:r>
            <w:r w:rsidR="009414E3" w:rsidRPr="00BE4081">
              <w:t xml:space="preserve"> 793 – 100.punkts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9414E3" w:rsidP="009414E3">
            <w:pPr>
              <w:pStyle w:val="naiskr"/>
              <w:spacing w:before="0" w:after="0"/>
              <w:jc w:val="both"/>
            </w:pPr>
            <w:r w:rsidRPr="00BE4081">
              <w:t>Direktīvas 2009/72/EK 3.panta septītā  daļa</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9414E3" w:rsidP="009414E3">
            <w:r w:rsidRPr="00BE4081">
              <w:t>ETL – 35.pants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9414E3" w:rsidP="009414E3">
            <w:pPr>
              <w:pStyle w:val="naiskr"/>
              <w:spacing w:before="0" w:after="0"/>
              <w:jc w:val="both"/>
            </w:pPr>
            <w:r w:rsidRPr="00BE4081">
              <w:t>Direktīvas 2009/72/EK 3.panta devītās  daļas a) b) c) punkti</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C5426B" w:rsidP="009414E3">
            <w:r>
              <w:t>N</w:t>
            </w:r>
            <w:r w:rsidR="009414E3" w:rsidRPr="00BE4081">
              <w:t>ot.793 – 83.punkts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9414E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414E3" w:rsidRPr="00BE4081" w:rsidRDefault="002252CD" w:rsidP="002252CD">
            <w:pPr>
              <w:pStyle w:val="naiskr"/>
              <w:spacing w:before="0" w:after="0"/>
              <w:jc w:val="both"/>
            </w:pPr>
            <w:r w:rsidRPr="00BE4081">
              <w:t>Direktīvas 2009/72/EK 3.panta trīspadsmitā daļa</w:t>
            </w:r>
          </w:p>
        </w:tc>
        <w:tc>
          <w:tcPr>
            <w:tcW w:w="1360" w:type="dxa"/>
          </w:tcPr>
          <w:p w:rsidR="009414E3" w:rsidRPr="00BE4081" w:rsidRDefault="009414E3" w:rsidP="00D14B4E">
            <w:pPr>
              <w:pStyle w:val="naiskr"/>
              <w:spacing w:before="0" w:after="0"/>
              <w:jc w:val="center"/>
            </w:pPr>
          </w:p>
        </w:tc>
        <w:tc>
          <w:tcPr>
            <w:tcW w:w="4647" w:type="dxa"/>
            <w:gridSpan w:val="2"/>
          </w:tcPr>
          <w:p w:rsidR="009414E3" w:rsidRPr="00BE4081" w:rsidRDefault="00C5426B" w:rsidP="00C5426B">
            <w:pPr>
              <w:jc w:val="both"/>
            </w:pPr>
            <w:r>
              <w:t xml:space="preserve">Likuma „Par sabiedrisko pakalpojumu regulatoriem” (turpmāk  - </w:t>
            </w:r>
            <w:r w:rsidR="002252CD" w:rsidRPr="00BE4081">
              <w:t>Regulatoru likums</w:t>
            </w:r>
            <w:r>
              <w:t>)</w:t>
            </w:r>
            <w:r w:rsidR="002252CD" w:rsidRPr="00BE4081">
              <w:t xml:space="preserve"> – 9.panta pirmās daļas 5.punkts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9414E3" w:rsidRPr="0082102B" w:rsidRDefault="009414E3"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Direktīvas 2009/72/EK 4.pants</w:t>
            </w:r>
          </w:p>
        </w:tc>
        <w:tc>
          <w:tcPr>
            <w:tcW w:w="1360" w:type="dxa"/>
          </w:tcPr>
          <w:p w:rsidR="002252CD" w:rsidRPr="00BE4081" w:rsidRDefault="002252CD" w:rsidP="00D14B4E">
            <w:pPr>
              <w:pStyle w:val="naiskr"/>
              <w:spacing w:before="0" w:after="0"/>
              <w:jc w:val="center"/>
            </w:pPr>
          </w:p>
        </w:tc>
        <w:tc>
          <w:tcPr>
            <w:tcW w:w="4647" w:type="dxa"/>
            <w:gridSpan w:val="2"/>
          </w:tcPr>
          <w:p w:rsidR="002252CD" w:rsidRPr="00BE4081" w:rsidRDefault="002252CD" w:rsidP="002252CD">
            <w:r w:rsidRPr="00BE4081">
              <w:t>ETL –  15.pants 22.pants, 23.pants, 36.pants, 37.pants</w:t>
            </w:r>
          </w:p>
          <w:p w:rsidR="002252CD" w:rsidRPr="00BE4081" w:rsidRDefault="002252CD" w:rsidP="002252CD"/>
          <w:p w:rsidR="00C5426B" w:rsidRPr="00C5426B" w:rsidRDefault="002252CD" w:rsidP="00C5426B">
            <w:pPr>
              <w:jc w:val="both"/>
            </w:pPr>
            <w:r w:rsidRPr="00C5426B">
              <w:t xml:space="preserve">Ministru kabineta </w:t>
            </w:r>
            <w:r w:rsidR="00C5426B" w:rsidRPr="00C5426B">
              <w:t xml:space="preserve">2006.gada 25.aprīļa  </w:t>
            </w:r>
            <w:r w:rsidRPr="00C5426B">
              <w:t>noteikumi Nr.322</w:t>
            </w:r>
            <w:r w:rsidR="00C5426B" w:rsidRPr="00C5426B">
              <w:t xml:space="preserve"> „</w:t>
            </w:r>
            <w:r w:rsidR="00C5426B" w:rsidRPr="00C5426B">
              <w:rPr>
                <w:bCs/>
              </w:rPr>
              <w:t>Noteikumi par pārvades sistēmas operatora ikgadējo novērtējuma ziņojumu</w:t>
            </w:r>
            <w:r w:rsidR="00C5426B">
              <w:rPr>
                <w:bCs/>
              </w:rPr>
              <w:t>”</w:t>
            </w:r>
          </w:p>
          <w:p w:rsidR="002252CD" w:rsidRPr="00BE4081" w:rsidRDefault="002252CD" w:rsidP="009414E3"/>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Direktīvas 2009/72/EK 5.pants</w:t>
            </w:r>
          </w:p>
        </w:tc>
        <w:tc>
          <w:tcPr>
            <w:tcW w:w="1360" w:type="dxa"/>
          </w:tcPr>
          <w:p w:rsidR="002252CD" w:rsidRPr="00BE4081" w:rsidRDefault="002252CD" w:rsidP="00D14B4E">
            <w:pPr>
              <w:pStyle w:val="naiskr"/>
              <w:spacing w:before="0" w:after="0"/>
              <w:jc w:val="center"/>
            </w:pPr>
          </w:p>
        </w:tc>
        <w:tc>
          <w:tcPr>
            <w:tcW w:w="4647" w:type="dxa"/>
            <w:gridSpan w:val="2"/>
          </w:tcPr>
          <w:p w:rsidR="00C5426B" w:rsidRDefault="00C5426B" w:rsidP="002252CD">
            <w:r>
              <w:t>ETL  - 4.panta otrā daļa</w:t>
            </w:r>
          </w:p>
          <w:p w:rsidR="002252CD" w:rsidRPr="00BE4081" w:rsidRDefault="002252CD" w:rsidP="002252CD">
            <w:r w:rsidRPr="00BE4081">
              <w:t>Tīkla kodekss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506A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506A7E" w:rsidRPr="00BE4081" w:rsidRDefault="00506A7E" w:rsidP="002252CD">
            <w:pPr>
              <w:pStyle w:val="naiskr"/>
              <w:spacing w:before="0" w:after="0"/>
              <w:jc w:val="both"/>
            </w:pPr>
            <w:r w:rsidRPr="00BE4081">
              <w:t>Direktīvas 2009/72/EK 6.pants</w:t>
            </w:r>
          </w:p>
        </w:tc>
        <w:tc>
          <w:tcPr>
            <w:tcW w:w="1360" w:type="dxa"/>
          </w:tcPr>
          <w:p w:rsidR="00506A7E" w:rsidRPr="00BE4081" w:rsidRDefault="00506A7E" w:rsidP="00D14B4E">
            <w:pPr>
              <w:pStyle w:val="naiskr"/>
              <w:spacing w:before="0" w:after="0"/>
              <w:jc w:val="center"/>
            </w:pPr>
            <w:r w:rsidRPr="00BE4081">
              <w:t>5.</w:t>
            </w:r>
            <w:r w:rsidR="00C5426B">
              <w:t>,</w:t>
            </w:r>
            <w:r w:rsidRPr="00BE4081">
              <w:t xml:space="preserve"> 11.</w:t>
            </w:r>
            <w:r w:rsidR="004D79A6" w:rsidRPr="00BE4081">
              <w:t>panti</w:t>
            </w:r>
          </w:p>
        </w:tc>
        <w:tc>
          <w:tcPr>
            <w:tcW w:w="4647" w:type="dxa"/>
            <w:gridSpan w:val="2"/>
          </w:tcPr>
          <w:p w:rsidR="00506A7E" w:rsidRPr="00BE4081" w:rsidRDefault="00506A7E"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506A7E" w:rsidRPr="0082102B" w:rsidRDefault="00506A7E"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Direktīvas 2009/72/EK 7.pants</w:t>
            </w:r>
          </w:p>
        </w:tc>
        <w:tc>
          <w:tcPr>
            <w:tcW w:w="1360" w:type="dxa"/>
          </w:tcPr>
          <w:p w:rsidR="002252CD" w:rsidRPr="00BE4081" w:rsidRDefault="002252CD" w:rsidP="00D14B4E">
            <w:pPr>
              <w:pStyle w:val="naiskr"/>
              <w:spacing w:before="0" w:after="0"/>
              <w:jc w:val="center"/>
            </w:pPr>
          </w:p>
        </w:tc>
        <w:tc>
          <w:tcPr>
            <w:tcW w:w="4647" w:type="dxa"/>
            <w:gridSpan w:val="2"/>
          </w:tcPr>
          <w:p w:rsidR="00C77F32" w:rsidRDefault="002252CD" w:rsidP="00C77F32">
            <w:pPr>
              <w:jc w:val="both"/>
            </w:pPr>
            <w:r w:rsidRPr="00BE4081">
              <w:t xml:space="preserve">ETL – 22.pants, </w:t>
            </w:r>
          </w:p>
          <w:p w:rsidR="002252CD" w:rsidRPr="00BE4081" w:rsidRDefault="00C77F32" w:rsidP="00C77F32">
            <w:pPr>
              <w:jc w:val="both"/>
            </w:pPr>
            <w:r w:rsidRPr="001851CB">
              <w:t>Ministru kabineta 2009.gada 11.augusta noteikumi Nr.883 "Noteikumi par atļaujām elektroenerģijas ražošanas jaudu palielināšanai vai jaunu ražošanas iekārtu ieviešanai"</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lastRenderedPageBreak/>
              <w:t>Direktīvas 2009/72/EK 8.pants pirmā otrā daļa</w:t>
            </w:r>
          </w:p>
        </w:tc>
        <w:tc>
          <w:tcPr>
            <w:tcW w:w="1360" w:type="dxa"/>
          </w:tcPr>
          <w:p w:rsidR="002252CD" w:rsidRPr="00BE4081" w:rsidRDefault="002252CD" w:rsidP="00D14B4E">
            <w:pPr>
              <w:pStyle w:val="naiskr"/>
              <w:spacing w:before="0" w:after="0"/>
              <w:jc w:val="center"/>
            </w:pPr>
          </w:p>
        </w:tc>
        <w:tc>
          <w:tcPr>
            <w:tcW w:w="4647" w:type="dxa"/>
            <w:gridSpan w:val="2"/>
          </w:tcPr>
          <w:p w:rsidR="002252CD" w:rsidRPr="00BE4081" w:rsidRDefault="002252CD" w:rsidP="002252CD">
            <w:r w:rsidRPr="00BE4081">
              <w:t>ETL – 23.pants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2252C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252CD" w:rsidRPr="00BE4081" w:rsidRDefault="002252CD" w:rsidP="002252CD">
            <w:pPr>
              <w:pStyle w:val="naiskr"/>
              <w:spacing w:before="0" w:after="0"/>
              <w:jc w:val="both"/>
            </w:pPr>
            <w:r w:rsidRPr="00BE4081">
              <w:t xml:space="preserve">Direktīvas 2009/72/EK 8.pants trešā </w:t>
            </w:r>
            <w:r w:rsidR="00CD13BC" w:rsidRPr="00BE4081">
              <w:t xml:space="preserve">piektā </w:t>
            </w:r>
            <w:r w:rsidRPr="00BE4081">
              <w:t>daļa</w:t>
            </w:r>
          </w:p>
        </w:tc>
        <w:tc>
          <w:tcPr>
            <w:tcW w:w="1360" w:type="dxa"/>
          </w:tcPr>
          <w:p w:rsidR="002252CD" w:rsidRPr="00BE4081" w:rsidRDefault="002252CD" w:rsidP="00D14B4E">
            <w:pPr>
              <w:pStyle w:val="naiskr"/>
              <w:spacing w:before="0" w:after="0"/>
              <w:jc w:val="center"/>
            </w:pPr>
          </w:p>
        </w:tc>
        <w:tc>
          <w:tcPr>
            <w:tcW w:w="4647" w:type="dxa"/>
            <w:gridSpan w:val="2"/>
          </w:tcPr>
          <w:p w:rsidR="002252CD" w:rsidRPr="00BE4081" w:rsidRDefault="00CD13BC" w:rsidP="002252CD">
            <w:r w:rsidRPr="00BE4081">
              <w:t>ETL – 23.panta piektā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2252CD" w:rsidRPr="0082102B" w:rsidRDefault="002252CD" w:rsidP="00D14B4E">
            <w:pPr>
              <w:pStyle w:val="naiskr"/>
              <w:spacing w:before="0" w:after="0"/>
              <w:jc w:val="both"/>
            </w:pPr>
          </w:p>
        </w:tc>
      </w:tr>
      <w:tr w:rsidR="00EC5A58"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EC5A58" w:rsidRPr="00BE4081" w:rsidRDefault="00506A7E" w:rsidP="00506A7E">
            <w:pPr>
              <w:pStyle w:val="naiskr"/>
              <w:spacing w:before="0" w:after="0"/>
              <w:jc w:val="both"/>
            </w:pPr>
            <w:r w:rsidRPr="00BE4081">
              <w:t>Direktīvas 2009/72/EK 9.pants 1.daļa</w:t>
            </w:r>
          </w:p>
        </w:tc>
        <w:tc>
          <w:tcPr>
            <w:tcW w:w="1360" w:type="dxa"/>
          </w:tcPr>
          <w:p w:rsidR="00EC5A58" w:rsidRPr="00BE4081" w:rsidRDefault="00506A7E" w:rsidP="00D14B4E">
            <w:pPr>
              <w:pStyle w:val="naiskr"/>
              <w:spacing w:before="0" w:after="0"/>
              <w:jc w:val="center"/>
            </w:pPr>
            <w:r w:rsidRPr="00BE4081">
              <w:t>8.</w:t>
            </w:r>
            <w:r w:rsidR="004D79A6" w:rsidRPr="00BE4081">
              <w:t>pants</w:t>
            </w:r>
          </w:p>
        </w:tc>
        <w:tc>
          <w:tcPr>
            <w:tcW w:w="4647" w:type="dxa"/>
            <w:gridSpan w:val="2"/>
          </w:tcPr>
          <w:p w:rsidR="00EC5A58" w:rsidRPr="00BE4081" w:rsidRDefault="00506A7E" w:rsidP="002252CD">
            <w:r w:rsidRPr="00BE4081">
              <w:t>ETL – 12.pants, 38.pants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EC5A58" w:rsidRPr="0082102B" w:rsidRDefault="00EC5A58" w:rsidP="00D14B4E">
            <w:pPr>
              <w:pStyle w:val="naiskr"/>
              <w:spacing w:before="0" w:after="0"/>
              <w:jc w:val="both"/>
            </w:pPr>
          </w:p>
        </w:tc>
      </w:tr>
      <w:tr w:rsidR="00506A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506A7E" w:rsidRPr="00BE4081" w:rsidRDefault="00506A7E" w:rsidP="00506A7E">
            <w:pPr>
              <w:pStyle w:val="naiskr"/>
              <w:spacing w:before="0" w:after="0"/>
              <w:jc w:val="both"/>
            </w:pPr>
            <w:r w:rsidRPr="00BE4081">
              <w:t>Direktīvas 2009/72/EK 9.pants sestā daļa</w:t>
            </w:r>
          </w:p>
        </w:tc>
        <w:tc>
          <w:tcPr>
            <w:tcW w:w="1360" w:type="dxa"/>
          </w:tcPr>
          <w:p w:rsidR="00506A7E" w:rsidRPr="00BE4081" w:rsidRDefault="00506A7E" w:rsidP="00D14B4E">
            <w:pPr>
              <w:pStyle w:val="naiskr"/>
              <w:spacing w:before="0" w:after="0"/>
              <w:jc w:val="center"/>
            </w:pPr>
          </w:p>
        </w:tc>
        <w:tc>
          <w:tcPr>
            <w:tcW w:w="4647" w:type="dxa"/>
            <w:gridSpan w:val="2"/>
          </w:tcPr>
          <w:p w:rsidR="00506A7E" w:rsidRPr="00BE4081" w:rsidRDefault="00506A7E" w:rsidP="00C77F32">
            <w:pPr>
              <w:jc w:val="both"/>
            </w:pPr>
            <w:r w:rsidRPr="00BE4081">
              <w:t>AST un Latvenergo kapitāla daļu turētājiem jābūt 2 dažādām ministrijām. Grozījumi attiecīgajos ministr</w:t>
            </w:r>
            <w:r w:rsidR="00C77F32">
              <w:t>iju</w:t>
            </w:r>
            <w:r w:rsidRPr="00BE4081">
              <w:t xml:space="preserve"> nolikumos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506A7E" w:rsidRPr="0082102B" w:rsidRDefault="00506A7E" w:rsidP="00D14B4E">
            <w:pPr>
              <w:pStyle w:val="naiskr"/>
              <w:spacing w:before="0" w:after="0"/>
              <w:jc w:val="both"/>
            </w:pPr>
          </w:p>
        </w:tc>
      </w:tr>
      <w:tr w:rsidR="00506A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506A7E" w:rsidRPr="00BE4081" w:rsidRDefault="00BD053D" w:rsidP="00BD053D">
            <w:pPr>
              <w:pStyle w:val="naiskr"/>
              <w:spacing w:before="0" w:after="0"/>
              <w:jc w:val="both"/>
            </w:pPr>
            <w:r w:rsidRPr="00BE4081">
              <w:t>Direktīvas 2009/72/EK 9.pants septītā daļa</w:t>
            </w:r>
          </w:p>
        </w:tc>
        <w:tc>
          <w:tcPr>
            <w:tcW w:w="1360" w:type="dxa"/>
          </w:tcPr>
          <w:p w:rsidR="00506A7E" w:rsidRPr="00BE4081" w:rsidRDefault="00506A7E" w:rsidP="00D14B4E">
            <w:pPr>
              <w:pStyle w:val="naiskr"/>
              <w:spacing w:before="0" w:after="0"/>
              <w:jc w:val="center"/>
            </w:pPr>
          </w:p>
        </w:tc>
        <w:tc>
          <w:tcPr>
            <w:tcW w:w="4647" w:type="dxa"/>
            <w:gridSpan w:val="2"/>
          </w:tcPr>
          <w:p w:rsidR="00506A7E" w:rsidRPr="00BE4081" w:rsidRDefault="00BD053D" w:rsidP="002252CD">
            <w:r w:rsidRPr="00BE4081">
              <w:t>ETL – 11.panta trešā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506A7E" w:rsidRPr="0082102B" w:rsidRDefault="00506A7E" w:rsidP="00D14B4E">
            <w:pPr>
              <w:pStyle w:val="naiskr"/>
              <w:spacing w:before="0" w:after="0"/>
              <w:jc w:val="both"/>
            </w:pPr>
          </w:p>
        </w:tc>
      </w:tr>
      <w:tr w:rsidR="00403C12"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403C12" w:rsidRPr="00BE4081" w:rsidRDefault="00403C12" w:rsidP="00403C12">
            <w:pPr>
              <w:pStyle w:val="naiskr"/>
              <w:spacing w:before="0" w:after="0"/>
              <w:jc w:val="both"/>
            </w:pPr>
            <w:r w:rsidRPr="00BE4081">
              <w:t>Direktīvas 2009/72/EK 10.pants</w:t>
            </w:r>
          </w:p>
        </w:tc>
        <w:tc>
          <w:tcPr>
            <w:tcW w:w="1360" w:type="dxa"/>
          </w:tcPr>
          <w:p w:rsidR="00403C12" w:rsidRPr="00BE4081" w:rsidRDefault="00403C12" w:rsidP="00D14B4E">
            <w:pPr>
              <w:pStyle w:val="naiskr"/>
              <w:spacing w:before="0" w:after="0"/>
              <w:jc w:val="center"/>
            </w:pPr>
            <w:r w:rsidRPr="00BE4081">
              <w:t>7.</w:t>
            </w:r>
            <w:r w:rsidR="004D79A6" w:rsidRPr="00BE4081">
              <w:t>pants</w:t>
            </w:r>
          </w:p>
        </w:tc>
        <w:tc>
          <w:tcPr>
            <w:tcW w:w="4647" w:type="dxa"/>
            <w:gridSpan w:val="2"/>
          </w:tcPr>
          <w:p w:rsidR="00403C12" w:rsidRPr="00BE4081" w:rsidRDefault="00403C12"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403C12" w:rsidRPr="0082102B" w:rsidRDefault="00403C12" w:rsidP="00D14B4E">
            <w:pPr>
              <w:pStyle w:val="naiskr"/>
              <w:spacing w:before="0" w:after="0"/>
              <w:jc w:val="both"/>
            </w:pPr>
          </w:p>
        </w:tc>
      </w:tr>
      <w:tr w:rsidR="004D79A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4D79A6" w:rsidRPr="00BE4081" w:rsidRDefault="004D79A6" w:rsidP="00403C12">
            <w:pPr>
              <w:pStyle w:val="naiskr"/>
              <w:spacing w:before="0" w:after="0"/>
              <w:jc w:val="both"/>
            </w:pPr>
            <w:r w:rsidRPr="00BE4081">
              <w:t>Direktīvas 2009/72/EK 12.pants</w:t>
            </w:r>
          </w:p>
        </w:tc>
        <w:tc>
          <w:tcPr>
            <w:tcW w:w="1360" w:type="dxa"/>
          </w:tcPr>
          <w:p w:rsidR="004D79A6" w:rsidRPr="00BE4081" w:rsidRDefault="004D79A6" w:rsidP="00D14B4E">
            <w:pPr>
              <w:pStyle w:val="naiskr"/>
              <w:spacing w:before="0" w:after="0"/>
              <w:jc w:val="center"/>
            </w:pPr>
            <w:r w:rsidRPr="00BE4081">
              <w:t>11.pants</w:t>
            </w:r>
          </w:p>
        </w:tc>
        <w:tc>
          <w:tcPr>
            <w:tcW w:w="4647" w:type="dxa"/>
            <w:gridSpan w:val="2"/>
          </w:tcPr>
          <w:p w:rsidR="004D79A6" w:rsidRPr="00BE4081" w:rsidRDefault="004D79A6" w:rsidP="004D79A6">
            <w:r w:rsidRPr="00BE4081">
              <w:t>ETL – 9.panta ceturtā, piektā daļa 13.pants, 36.pants</w:t>
            </w:r>
          </w:p>
          <w:p w:rsidR="004D79A6" w:rsidRPr="00BE4081" w:rsidRDefault="004D79A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4D79A6" w:rsidRPr="0082102B" w:rsidRDefault="004D79A6" w:rsidP="00D14B4E">
            <w:pPr>
              <w:pStyle w:val="naiskr"/>
              <w:spacing w:before="0" w:after="0"/>
              <w:jc w:val="both"/>
            </w:pPr>
          </w:p>
        </w:tc>
      </w:tr>
      <w:tr w:rsidR="00403C12"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403C12" w:rsidRPr="00BE4081" w:rsidRDefault="004D79A6" w:rsidP="00403C12">
            <w:pPr>
              <w:pStyle w:val="naiskr"/>
              <w:spacing w:before="0" w:after="0"/>
              <w:jc w:val="both"/>
            </w:pPr>
            <w:r w:rsidRPr="00BE4081">
              <w:t>Direktīvas 2009/72/EK 13.pants pirmā</w:t>
            </w:r>
            <w:r w:rsidR="00340C46" w:rsidRPr="00BE4081">
              <w:t>,</w:t>
            </w:r>
            <w:r w:rsidRPr="00BE4081">
              <w:t xml:space="preserve"> </w:t>
            </w:r>
            <w:r w:rsidR="00340C46" w:rsidRPr="00BE4081">
              <w:t xml:space="preserve">otrā, trešā </w:t>
            </w:r>
            <w:r w:rsidRPr="00BE4081">
              <w:t>daļa</w:t>
            </w:r>
          </w:p>
        </w:tc>
        <w:tc>
          <w:tcPr>
            <w:tcW w:w="1360" w:type="dxa"/>
          </w:tcPr>
          <w:p w:rsidR="00403C12" w:rsidRPr="00BE4081" w:rsidRDefault="00340C46" w:rsidP="00D14B4E">
            <w:pPr>
              <w:pStyle w:val="naiskr"/>
              <w:spacing w:before="0" w:after="0"/>
              <w:jc w:val="center"/>
            </w:pPr>
            <w:r w:rsidRPr="00BE4081">
              <w:t>7.pants</w:t>
            </w:r>
          </w:p>
        </w:tc>
        <w:tc>
          <w:tcPr>
            <w:tcW w:w="4647" w:type="dxa"/>
            <w:gridSpan w:val="2"/>
          </w:tcPr>
          <w:p w:rsidR="00403C12" w:rsidRPr="00BE4081" w:rsidRDefault="00403C12"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403C12" w:rsidRPr="0082102B" w:rsidRDefault="00403C12" w:rsidP="00D14B4E">
            <w:pPr>
              <w:pStyle w:val="naiskr"/>
              <w:spacing w:before="0" w:after="0"/>
              <w:jc w:val="both"/>
            </w:pPr>
          </w:p>
        </w:tc>
      </w:tr>
      <w:tr w:rsidR="00340C4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40C46" w:rsidRPr="00BE4081" w:rsidRDefault="00340C46" w:rsidP="00340C46">
            <w:pPr>
              <w:pStyle w:val="naiskr"/>
              <w:spacing w:before="0" w:after="0"/>
              <w:jc w:val="both"/>
            </w:pPr>
            <w:r w:rsidRPr="00BE4081">
              <w:t>Direktīvas 2009/72/EK 13.pants ceturtā daļa</w:t>
            </w:r>
          </w:p>
        </w:tc>
        <w:tc>
          <w:tcPr>
            <w:tcW w:w="1360" w:type="dxa"/>
          </w:tcPr>
          <w:p w:rsidR="00340C46" w:rsidRPr="00BE4081" w:rsidRDefault="00340C46" w:rsidP="00D14B4E">
            <w:pPr>
              <w:pStyle w:val="naiskr"/>
              <w:spacing w:before="0" w:after="0"/>
              <w:jc w:val="center"/>
            </w:pPr>
            <w:r w:rsidRPr="00BE4081">
              <w:t>11.pants</w:t>
            </w:r>
          </w:p>
        </w:tc>
        <w:tc>
          <w:tcPr>
            <w:tcW w:w="4647" w:type="dxa"/>
            <w:gridSpan w:val="2"/>
          </w:tcPr>
          <w:p w:rsidR="00340C46" w:rsidRPr="00BE4081" w:rsidRDefault="00340C4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340C46" w:rsidRPr="0082102B" w:rsidRDefault="00340C46" w:rsidP="00D14B4E">
            <w:pPr>
              <w:pStyle w:val="naiskr"/>
              <w:spacing w:before="0" w:after="0"/>
              <w:jc w:val="both"/>
            </w:pPr>
          </w:p>
        </w:tc>
      </w:tr>
      <w:tr w:rsidR="00340C4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40C46" w:rsidRPr="00BE4081" w:rsidRDefault="00340C46" w:rsidP="00340C46">
            <w:pPr>
              <w:pStyle w:val="naiskr"/>
              <w:spacing w:before="0" w:after="0"/>
              <w:jc w:val="both"/>
            </w:pPr>
            <w:r w:rsidRPr="00BE4081">
              <w:t>Direktīvas 2009/72/EK 13.pants piektā daļa</w:t>
            </w:r>
          </w:p>
        </w:tc>
        <w:tc>
          <w:tcPr>
            <w:tcW w:w="1360" w:type="dxa"/>
          </w:tcPr>
          <w:p w:rsidR="00340C46" w:rsidRPr="00BE4081" w:rsidRDefault="00340C46" w:rsidP="00D14B4E">
            <w:pPr>
              <w:pStyle w:val="naiskr"/>
              <w:spacing w:before="0" w:after="0"/>
              <w:jc w:val="center"/>
            </w:pPr>
            <w:r w:rsidRPr="00BE4081">
              <w:t>16.pants</w:t>
            </w:r>
          </w:p>
        </w:tc>
        <w:tc>
          <w:tcPr>
            <w:tcW w:w="4647" w:type="dxa"/>
            <w:gridSpan w:val="2"/>
          </w:tcPr>
          <w:p w:rsidR="00340C46" w:rsidRPr="00BE4081" w:rsidRDefault="00340C4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340C46" w:rsidRPr="0082102B" w:rsidRDefault="00340C46" w:rsidP="00D14B4E">
            <w:pPr>
              <w:pStyle w:val="naiskr"/>
              <w:spacing w:before="0" w:after="0"/>
              <w:jc w:val="both"/>
            </w:pPr>
          </w:p>
        </w:tc>
      </w:tr>
      <w:tr w:rsidR="00340C46"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40C46" w:rsidRPr="00BE4081" w:rsidRDefault="00340C46" w:rsidP="00340C46">
            <w:pPr>
              <w:pStyle w:val="naiskr"/>
              <w:spacing w:before="0" w:after="0"/>
              <w:jc w:val="both"/>
            </w:pPr>
            <w:r w:rsidRPr="00BE4081">
              <w:t>Direktīvas 2009/72/EK 13.pants sestā daļa</w:t>
            </w:r>
          </w:p>
        </w:tc>
        <w:tc>
          <w:tcPr>
            <w:tcW w:w="1360" w:type="dxa"/>
          </w:tcPr>
          <w:p w:rsidR="00340C46" w:rsidRPr="00BE4081" w:rsidRDefault="00D03CED" w:rsidP="00D14B4E">
            <w:pPr>
              <w:pStyle w:val="naiskr"/>
              <w:spacing w:before="0" w:after="0"/>
              <w:jc w:val="center"/>
            </w:pPr>
            <w:r w:rsidRPr="00BE4081">
              <w:t>5.pants</w:t>
            </w:r>
          </w:p>
        </w:tc>
        <w:tc>
          <w:tcPr>
            <w:tcW w:w="4647" w:type="dxa"/>
            <w:gridSpan w:val="2"/>
          </w:tcPr>
          <w:p w:rsidR="00340C46" w:rsidRPr="00BE4081" w:rsidRDefault="00340C46"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340C46" w:rsidRPr="0082102B" w:rsidRDefault="00340C46" w:rsidP="00D14B4E">
            <w:pPr>
              <w:pStyle w:val="naiskr"/>
              <w:spacing w:before="0" w:after="0"/>
              <w:jc w:val="both"/>
            </w:pPr>
          </w:p>
        </w:tc>
      </w:tr>
      <w:tr w:rsidR="00D03CE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03CED" w:rsidRPr="00BE4081" w:rsidRDefault="00D03CED" w:rsidP="00340C46">
            <w:pPr>
              <w:pStyle w:val="naiskr"/>
              <w:spacing w:before="0" w:after="0"/>
              <w:jc w:val="both"/>
            </w:pPr>
            <w:r w:rsidRPr="00BE4081">
              <w:t>Direktīvas 2009/72/EK 14.panta pirmā, otrā daļa</w:t>
            </w:r>
          </w:p>
        </w:tc>
        <w:tc>
          <w:tcPr>
            <w:tcW w:w="1360" w:type="dxa"/>
          </w:tcPr>
          <w:p w:rsidR="00D03CED" w:rsidRPr="00BE4081" w:rsidRDefault="00D03CED" w:rsidP="00D14B4E">
            <w:pPr>
              <w:pStyle w:val="naiskr"/>
              <w:spacing w:before="0" w:after="0"/>
              <w:jc w:val="center"/>
            </w:pPr>
            <w:r w:rsidRPr="00BE4081">
              <w:t>8.pants</w:t>
            </w:r>
          </w:p>
        </w:tc>
        <w:tc>
          <w:tcPr>
            <w:tcW w:w="4647" w:type="dxa"/>
            <w:gridSpan w:val="2"/>
          </w:tcPr>
          <w:p w:rsidR="00D03CED" w:rsidRPr="00BE4081" w:rsidRDefault="00D03CED"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D03CED" w:rsidRPr="0082102B" w:rsidRDefault="00D03CED" w:rsidP="00D14B4E">
            <w:pPr>
              <w:pStyle w:val="naiskr"/>
              <w:spacing w:before="0" w:after="0"/>
              <w:jc w:val="both"/>
            </w:pPr>
          </w:p>
        </w:tc>
      </w:tr>
      <w:tr w:rsidR="00D03CE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D03CED" w:rsidRPr="00BE4081" w:rsidRDefault="00D03CED" w:rsidP="00D03CED">
            <w:pPr>
              <w:pStyle w:val="naiskr"/>
              <w:spacing w:before="0" w:after="0"/>
              <w:jc w:val="both"/>
            </w:pPr>
            <w:r w:rsidRPr="00BE4081">
              <w:lastRenderedPageBreak/>
              <w:t>Direktīvas 2009/72/EK 14.panta trešā daļa</w:t>
            </w:r>
          </w:p>
        </w:tc>
        <w:tc>
          <w:tcPr>
            <w:tcW w:w="1360" w:type="dxa"/>
          </w:tcPr>
          <w:p w:rsidR="00D03CED" w:rsidRPr="00BE4081" w:rsidRDefault="001E6333" w:rsidP="00D14B4E">
            <w:pPr>
              <w:pStyle w:val="naiskr"/>
              <w:spacing w:before="0" w:after="0"/>
              <w:jc w:val="center"/>
            </w:pPr>
            <w:r w:rsidRPr="00BE4081">
              <w:t>16.pants</w:t>
            </w:r>
          </w:p>
        </w:tc>
        <w:tc>
          <w:tcPr>
            <w:tcW w:w="4647" w:type="dxa"/>
            <w:gridSpan w:val="2"/>
          </w:tcPr>
          <w:p w:rsidR="00D03CED" w:rsidRPr="00BE4081" w:rsidRDefault="00D03CED"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D03CED" w:rsidRPr="0082102B" w:rsidRDefault="00D03CED"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15.pants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2252CD">
            <w:r w:rsidRPr="00BE4081">
              <w:t>ETL – 13., 14.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D03CED">
            <w:pPr>
              <w:pStyle w:val="naiskr"/>
              <w:spacing w:before="0" w:after="0"/>
              <w:jc w:val="both"/>
            </w:pPr>
            <w:r w:rsidRPr="00BE4081">
              <w:t>Direktīvas 2009/72/EK 16.pants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2252CD">
            <w:r w:rsidRPr="00BE4081">
              <w:t>ETL - 11.panta trešā daļa, 38.pants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D03CED">
            <w:pPr>
              <w:pStyle w:val="naiskr"/>
              <w:spacing w:before="0" w:after="0"/>
              <w:jc w:val="both"/>
            </w:pPr>
            <w:r w:rsidRPr="00BE4081">
              <w:t>Direktīvas 2009/72/EK 17. – 21. panti</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C77F32" w:rsidP="00C77F32">
            <w:pPr>
              <w:jc w:val="both"/>
            </w:pPr>
            <w:r>
              <w:t>Nav attiecināms, n</w:t>
            </w:r>
            <w:r w:rsidR="001E6333" w:rsidRPr="00BE4081">
              <w:t>ormas nosaka PSO trešā nodalīšanas modeļa nosacījumus.</w:t>
            </w:r>
          </w:p>
        </w:tc>
        <w:tc>
          <w:tcPr>
            <w:tcW w:w="2017" w:type="dxa"/>
          </w:tcPr>
          <w:p w:rsidR="00526AC2" w:rsidRPr="0082102B" w:rsidRDefault="00526AC2" w:rsidP="00526AC2">
            <w:pPr>
              <w:pStyle w:val="naiskr"/>
              <w:spacing w:before="0" w:after="0"/>
              <w:jc w:val="both"/>
            </w:pPr>
            <w:r>
              <w:t>Neattiecās</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22.pants</w:t>
            </w:r>
          </w:p>
        </w:tc>
        <w:tc>
          <w:tcPr>
            <w:tcW w:w="1360" w:type="dxa"/>
          </w:tcPr>
          <w:p w:rsidR="001E6333" w:rsidRPr="00BE4081" w:rsidRDefault="001E6333" w:rsidP="00D14B4E">
            <w:pPr>
              <w:pStyle w:val="naiskr"/>
              <w:spacing w:before="0" w:after="0"/>
              <w:jc w:val="center"/>
            </w:pPr>
            <w:r w:rsidRPr="00BE4081">
              <w:t>12.pants</w:t>
            </w:r>
          </w:p>
        </w:tc>
        <w:tc>
          <w:tcPr>
            <w:tcW w:w="4647" w:type="dxa"/>
            <w:gridSpan w:val="2"/>
          </w:tcPr>
          <w:p w:rsidR="001E6333" w:rsidRPr="00BE4081" w:rsidRDefault="001E6333" w:rsidP="002252CD"/>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23.pants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2252CD">
            <w:r w:rsidRPr="00BE4081">
              <w:t>ETL – 9.panta otrā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24.pants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1E6333" w:rsidP="00C77F32">
            <w:r w:rsidRPr="00BE4081">
              <w:t xml:space="preserve">ETL – </w:t>
            </w:r>
            <w:r w:rsidR="00CD0773" w:rsidRPr="00BE4081">
              <w:t>9</w:t>
            </w:r>
            <w:r w:rsidRPr="00BE4081">
              <w:t>.</w:t>
            </w:r>
            <w:r w:rsidR="00CD0773" w:rsidRPr="00BE4081">
              <w:t>pants</w:t>
            </w:r>
            <w:r w:rsidRPr="00BE4081">
              <w:t xml:space="preserve">, </w:t>
            </w:r>
            <w:r w:rsidR="00C77F32">
              <w:t xml:space="preserve">EN - </w:t>
            </w:r>
            <w:r w:rsidRPr="00BE4081">
              <w:t xml:space="preserve"> 15.panta pirmā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1E633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1E6333" w:rsidRPr="00BE4081" w:rsidRDefault="001E6333" w:rsidP="001E6333">
            <w:pPr>
              <w:pStyle w:val="naiskr"/>
              <w:spacing w:before="0" w:after="0"/>
              <w:jc w:val="both"/>
            </w:pPr>
            <w:r w:rsidRPr="00BE4081">
              <w:t>Direktīvas 2009/72/EK  25.pants</w:t>
            </w:r>
          </w:p>
        </w:tc>
        <w:tc>
          <w:tcPr>
            <w:tcW w:w="1360" w:type="dxa"/>
          </w:tcPr>
          <w:p w:rsidR="001E6333" w:rsidRPr="00BE4081" w:rsidRDefault="001E6333" w:rsidP="00D14B4E">
            <w:pPr>
              <w:pStyle w:val="naiskr"/>
              <w:spacing w:before="0" w:after="0"/>
              <w:jc w:val="center"/>
            </w:pPr>
          </w:p>
        </w:tc>
        <w:tc>
          <w:tcPr>
            <w:tcW w:w="4647" w:type="dxa"/>
            <w:gridSpan w:val="2"/>
          </w:tcPr>
          <w:p w:rsidR="001E6333" w:rsidRPr="00BE4081" w:rsidRDefault="00CD0773" w:rsidP="002252CD">
            <w:r w:rsidRPr="00BE4081">
              <w:t>ETL – 9., 19.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1E6333" w:rsidRPr="0082102B" w:rsidRDefault="001E633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1E6333">
            <w:pPr>
              <w:pStyle w:val="naiskr"/>
              <w:spacing w:before="0" w:after="0"/>
              <w:jc w:val="both"/>
            </w:pPr>
            <w:r w:rsidRPr="00BE4081">
              <w:t>Direktīvas 2009/72/EK  26.pants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19.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30.pants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39.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31.pants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38., 40. 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32.pants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5.panta otrā daļa, 9.panta otrā, trešā, ceturtā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lastRenderedPageBreak/>
              <w:t>Direktīvas 2009/72/EK  33.pants</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2.panta otrā daļa, Pārejas noteikumu 2.punkts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34.pants</w:t>
            </w:r>
          </w:p>
        </w:tc>
        <w:tc>
          <w:tcPr>
            <w:tcW w:w="1360" w:type="dxa"/>
          </w:tcPr>
          <w:p w:rsidR="00CD0773" w:rsidRPr="00BE4081" w:rsidRDefault="00CD0773" w:rsidP="00D14B4E">
            <w:pPr>
              <w:pStyle w:val="naiskr"/>
              <w:spacing w:before="0" w:after="0"/>
              <w:jc w:val="center"/>
            </w:pPr>
          </w:p>
        </w:tc>
        <w:tc>
          <w:tcPr>
            <w:tcW w:w="4647" w:type="dxa"/>
            <w:gridSpan w:val="2"/>
          </w:tcPr>
          <w:p w:rsidR="00C77F32" w:rsidRDefault="00CD0773" w:rsidP="008C72A4">
            <w:pPr>
              <w:jc w:val="both"/>
            </w:pPr>
            <w:r w:rsidRPr="00BE4081">
              <w:t>ETL – 26.pants</w:t>
            </w:r>
            <w:r w:rsidR="008C72A4" w:rsidRPr="00BE4081">
              <w:t xml:space="preserve"> </w:t>
            </w:r>
          </w:p>
          <w:p w:rsidR="00CD0773" w:rsidRPr="00BE4081" w:rsidRDefault="008C72A4" w:rsidP="008C72A4">
            <w:pPr>
              <w:jc w:val="both"/>
            </w:pPr>
            <w:r w:rsidRPr="00BE4081">
              <w:t>Regulatora noteikumi „Noteikumi par atļaujas izsniegšanu elektroenerģijas tiešās līnijas pieslēguma ierīkošanai”</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35.panta pirmā daļa</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D0773" w:rsidP="00CD0773">
            <w:r w:rsidRPr="00BE4081">
              <w:t>ETL – 3.panta trešā daļa, 8.panta pirmā daļa</w:t>
            </w:r>
          </w:p>
          <w:p w:rsidR="00BC7941" w:rsidRPr="00BE4081" w:rsidRDefault="00BC7941" w:rsidP="00CD0773"/>
          <w:p w:rsidR="00BC7941" w:rsidRPr="00BE4081" w:rsidRDefault="00BC7941" w:rsidP="00C77F32">
            <w:pPr>
              <w:jc w:val="both"/>
            </w:pPr>
            <w:r w:rsidRPr="00BE4081">
              <w:t>Reg</w:t>
            </w:r>
            <w:r w:rsidR="00C77F32">
              <w:t xml:space="preserve">ulatoru likuma </w:t>
            </w:r>
            <w:r w:rsidRPr="00BE4081">
              <w:t>– 6.panta pirmā daļa, 7.panta otrā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35.panta ceturtā daļa</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77F32" w:rsidP="00BC7941">
            <w:r w:rsidRPr="00BE4081">
              <w:t>Reg</w:t>
            </w:r>
            <w:r>
              <w:t>ulatoru likuma</w:t>
            </w:r>
            <w:r w:rsidR="0082102B" w:rsidRPr="00BE4081">
              <w:t>.</w:t>
            </w:r>
            <w:r w:rsidR="00CD0773" w:rsidRPr="00BE4081">
              <w:t>–</w:t>
            </w:r>
            <w:r w:rsidR="00BC7941" w:rsidRPr="00BE4081">
              <w:t xml:space="preserve"> 5.pants, </w:t>
            </w:r>
            <w:r w:rsidR="00CD0773" w:rsidRPr="00BE4081">
              <w:t xml:space="preserve"> </w:t>
            </w:r>
            <w:r w:rsidR="00BC7941" w:rsidRPr="00BE4081">
              <w:t xml:space="preserve">6.panta otrā daļa, 9.panta otrā daļa,  </w:t>
            </w:r>
            <w:r w:rsidR="00CD0773" w:rsidRPr="00BE4081">
              <w:t>11.pants</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BC7941"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BC7941" w:rsidRPr="00BE4081" w:rsidRDefault="00BC7941" w:rsidP="00CD0773">
            <w:pPr>
              <w:pStyle w:val="naiskr"/>
              <w:spacing w:before="0" w:after="0"/>
              <w:jc w:val="both"/>
            </w:pPr>
            <w:r w:rsidRPr="00BE4081">
              <w:t>Direktīvas 2009/72/EK  35.panta ceturtās daļas b) i) apakšpunkts</w:t>
            </w:r>
          </w:p>
        </w:tc>
        <w:tc>
          <w:tcPr>
            <w:tcW w:w="1360" w:type="dxa"/>
          </w:tcPr>
          <w:p w:rsidR="00BC7941" w:rsidRPr="00BE4081" w:rsidRDefault="00BC7941" w:rsidP="00D14B4E">
            <w:pPr>
              <w:pStyle w:val="naiskr"/>
              <w:spacing w:before="0" w:after="0"/>
              <w:jc w:val="center"/>
            </w:pPr>
          </w:p>
        </w:tc>
        <w:tc>
          <w:tcPr>
            <w:tcW w:w="4647" w:type="dxa"/>
            <w:gridSpan w:val="2"/>
          </w:tcPr>
          <w:p w:rsidR="00BC7941" w:rsidRPr="00BE4081" w:rsidRDefault="00C77F32" w:rsidP="000A4D7C">
            <w:pPr>
              <w:jc w:val="both"/>
            </w:pPr>
            <w:r w:rsidRPr="00BE4081">
              <w:t>Reg</w:t>
            </w:r>
            <w:r>
              <w:t xml:space="preserve">ulatoru likuma </w:t>
            </w:r>
            <w:r w:rsidR="00BC7941" w:rsidRPr="00BE4081">
              <w:t>– 11.panta pirmā, otrā daļa, 38.panta otrā, ceturtā daļa</w:t>
            </w:r>
          </w:p>
          <w:p w:rsidR="00BC7941" w:rsidRPr="00BE4081" w:rsidRDefault="00BC7941" w:rsidP="00BC7941"/>
          <w:p w:rsidR="00BC7941" w:rsidRPr="00BE4081" w:rsidRDefault="00BC7941" w:rsidP="00C77F32">
            <w:pPr>
              <w:jc w:val="both"/>
            </w:pPr>
            <w:r w:rsidRPr="00BE4081">
              <w:t xml:space="preserve">+ papildus grozījumi </w:t>
            </w:r>
            <w:r w:rsidR="00C77F32" w:rsidRPr="00BE4081">
              <w:t>Reg</w:t>
            </w:r>
            <w:r w:rsidR="00C77F32">
              <w:t>ulatoru likuma 11.panta otrajā daļā</w:t>
            </w:r>
            <w:r w:rsidRPr="00BE4081">
              <w:t xml:space="preserve"> un </w:t>
            </w:r>
            <w:r w:rsidR="000A4D7C" w:rsidRPr="00BE4081">
              <w:t xml:space="preserve">papildināt </w:t>
            </w:r>
            <w:r w:rsidRPr="00BE4081">
              <w:t>44.pant</w:t>
            </w:r>
            <w:r w:rsidR="000A4D7C" w:rsidRPr="00BE4081">
              <w:t xml:space="preserve">u </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BC7941" w:rsidRPr="0082102B" w:rsidRDefault="00BC7941" w:rsidP="00526AC2">
            <w:pPr>
              <w:pStyle w:val="naiskr"/>
              <w:spacing w:before="0" w:after="0"/>
              <w:jc w:val="both"/>
            </w:pPr>
          </w:p>
        </w:tc>
      </w:tr>
      <w:tr w:rsidR="000A4D7C"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0A4D7C" w:rsidRPr="00BE4081" w:rsidRDefault="000A4D7C" w:rsidP="00CD0773">
            <w:pPr>
              <w:pStyle w:val="naiskr"/>
              <w:spacing w:before="0" w:after="0"/>
              <w:jc w:val="both"/>
            </w:pPr>
            <w:r w:rsidRPr="00BE4081">
              <w:t xml:space="preserve">Direktīvas 2009/72/EK  35.panta ceturtās daļas b) </w:t>
            </w:r>
            <w:proofErr w:type="spellStart"/>
            <w:r w:rsidRPr="00BE4081">
              <w:t>ii</w:t>
            </w:r>
            <w:proofErr w:type="spellEnd"/>
            <w:r w:rsidRPr="00BE4081">
              <w:t>) apakšpunkts</w:t>
            </w:r>
          </w:p>
        </w:tc>
        <w:tc>
          <w:tcPr>
            <w:tcW w:w="1360" w:type="dxa"/>
          </w:tcPr>
          <w:p w:rsidR="000A4D7C" w:rsidRPr="00BE4081" w:rsidRDefault="000A4D7C" w:rsidP="00D14B4E">
            <w:pPr>
              <w:pStyle w:val="naiskr"/>
              <w:spacing w:before="0" w:after="0"/>
              <w:jc w:val="center"/>
            </w:pPr>
          </w:p>
        </w:tc>
        <w:tc>
          <w:tcPr>
            <w:tcW w:w="4647" w:type="dxa"/>
            <w:gridSpan w:val="2"/>
          </w:tcPr>
          <w:p w:rsidR="000A4D7C" w:rsidRPr="00BE4081" w:rsidRDefault="000A4D7C" w:rsidP="000A4D7C">
            <w:pPr>
              <w:jc w:val="both"/>
            </w:pPr>
            <w:r w:rsidRPr="00BE4081">
              <w:t xml:space="preserve">Nepieciešami grozījumi </w:t>
            </w:r>
            <w:r w:rsidR="00C77F32" w:rsidRPr="00BE4081">
              <w:t>Reg</w:t>
            </w:r>
            <w:r w:rsidR="00C77F32">
              <w:t xml:space="preserve">ulatoru likuma </w:t>
            </w:r>
            <w:r w:rsidRPr="00BE4081">
              <w:t>7.pantā, 11.panta otrajā daļā</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0A4D7C" w:rsidRPr="0082102B" w:rsidRDefault="000A4D7C" w:rsidP="00526AC2">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35.panta piektā daļa</w:t>
            </w:r>
            <w:r w:rsidR="000A4D7C" w:rsidRPr="00BE4081">
              <w:t xml:space="preserve">s a) apakšpunkts </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77F32" w:rsidP="00BC7941">
            <w:r w:rsidRPr="00BE4081">
              <w:t>Reg</w:t>
            </w:r>
            <w:r>
              <w:t xml:space="preserve">ulatoru likuma </w:t>
            </w:r>
            <w:r w:rsidR="000A4D7C" w:rsidRPr="00BE4081">
              <w:t>11.panta pirmā, otrā daļa, 30.panta otrā daļa, 38.panta trešā daļa</w:t>
            </w:r>
          </w:p>
          <w:p w:rsidR="000A4D7C" w:rsidRPr="00BE4081" w:rsidRDefault="000A4D7C" w:rsidP="00BC7941"/>
          <w:p w:rsidR="000A4D7C" w:rsidRPr="00BE4081" w:rsidRDefault="000A4D7C" w:rsidP="00C77F32">
            <w:pPr>
              <w:jc w:val="both"/>
            </w:pPr>
            <w:r w:rsidRPr="00BE4081">
              <w:t xml:space="preserve">+ Saeimā iesniegti grozījumi </w:t>
            </w:r>
            <w:r w:rsidR="00C77F32" w:rsidRPr="00BE4081">
              <w:t>Reg</w:t>
            </w:r>
            <w:r w:rsidR="00C77F32">
              <w:t xml:space="preserve">ulatoru likuma </w:t>
            </w:r>
            <w:r w:rsidRPr="00BE4081">
              <w:t>38.panta trešajā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36655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6655E" w:rsidRPr="00BE4081" w:rsidRDefault="0036655E" w:rsidP="00CD0773">
            <w:pPr>
              <w:pStyle w:val="naiskr"/>
              <w:spacing w:before="0" w:after="0"/>
              <w:jc w:val="both"/>
            </w:pPr>
            <w:r w:rsidRPr="00BE4081">
              <w:t>Direktīvas 2009/72/EK  35.panta piektā daļas b) apakšpunkts</w:t>
            </w:r>
          </w:p>
        </w:tc>
        <w:tc>
          <w:tcPr>
            <w:tcW w:w="1360" w:type="dxa"/>
          </w:tcPr>
          <w:p w:rsidR="0036655E" w:rsidRPr="00BE4081" w:rsidRDefault="0036655E" w:rsidP="00D14B4E">
            <w:pPr>
              <w:pStyle w:val="naiskr"/>
              <w:spacing w:before="0" w:after="0"/>
              <w:jc w:val="center"/>
            </w:pPr>
          </w:p>
        </w:tc>
        <w:tc>
          <w:tcPr>
            <w:tcW w:w="4647" w:type="dxa"/>
            <w:gridSpan w:val="2"/>
          </w:tcPr>
          <w:p w:rsidR="0036655E" w:rsidRPr="00BE4081" w:rsidRDefault="00C77F32" w:rsidP="00C77F32">
            <w:pPr>
              <w:jc w:val="both"/>
            </w:pPr>
            <w:r w:rsidRPr="00BE4081">
              <w:t>Reg</w:t>
            </w:r>
            <w:r>
              <w:t xml:space="preserve">ulatoru likuma </w:t>
            </w:r>
            <w:r w:rsidR="0036655E" w:rsidRPr="00BE4081">
              <w:t>7.panta ceturtā daļa, 40.panta pirmā, otrā daļa</w:t>
            </w:r>
          </w:p>
          <w:p w:rsidR="0036655E" w:rsidRPr="00BE4081" w:rsidRDefault="0036655E" w:rsidP="0036655E">
            <w:pPr>
              <w:jc w:val="both"/>
            </w:pPr>
          </w:p>
          <w:p w:rsidR="0036655E" w:rsidRPr="00BE4081" w:rsidRDefault="0036655E" w:rsidP="00C77F32">
            <w:pPr>
              <w:jc w:val="both"/>
            </w:pPr>
            <w:r w:rsidRPr="00BE4081">
              <w:t>+</w:t>
            </w:r>
            <w:r w:rsidR="00C77F32">
              <w:t xml:space="preserve"> </w:t>
            </w:r>
            <w:r w:rsidRPr="00BE4081">
              <w:t xml:space="preserve">Saeimā iesniegti grozījumi </w:t>
            </w:r>
            <w:r w:rsidR="00C77F32" w:rsidRPr="00BE4081">
              <w:t>Reg</w:t>
            </w:r>
            <w:r w:rsidR="00C77F32">
              <w:t>ulatoru likuma 7.panta ceturtajā daļā</w:t>
            </w:r>
          </w:p>
          <w:p w:rsidR="0036655E" w:rsidRPr="00BE4081" w:rsidRDefault="0036655E" w:rsidP="0036655E"/>
          <w:p w:rsidR="0036655E" w:rsidRPr="00BE4081" w:rsidRDefault="0036655E" w:rsidP="00C77F32">
            <w:pPr>
              <w:jc w:val="both"/>
            </w:pPr>
            <w:r w:rsidRPr="00BE4081">
              <w:t xml:space="preserve">+ Nepieciešami grozījumi </w:t>
            </w:r>
            <w:r w:rsidR="00C77F32" w:rsidRPr="00BE4081">
              <w:t>Reg</w:t>
            </w:r>
            <w:r w:rsidR="00C77F32">
              <w:t xml:space="preserve">ulatoru likuma </w:t>
            </w:r>
            <w:r w:rsidRPr="00BE4081">
              <w:t>40.pantā</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36655E" w:rsidRPr="0082102B" w:rsidRDefault="0036655E" w:rsidP="00526AC2">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36.pants</w:t>
            </w:r>
          </w:p>
        </w:tc>
        <w:tc>
          <w:tcPr>
            <w:tcW w:w="1360" w:type="dxa"/>
          </w:tcPr>
          <w:p w:rsidR="00CD0773" w:rsidRPr="00BE4081" w:rsidRDefault="00CD0773" w:rsidP="00D14B4E">
            <w:pPr>
              <w:pStyle w:val="naiskr"/>
              <w:spacing w:before="0" w:after="0"/>
              <w:jc w:val="center"/>
            </w:pPr>
            <w:r w:rsidRPr="00BE4081">
              <w:t>11.pants</w:t>
            </w:r>
          </w:p>
        </w:tc>
        <w:tc>
          <w:tcPr>
            <w:tcW w:w="4647" w:type="dxa"/>
            <w:gridSpan w:val="2"/>
          </w:tcPr>
          <w:p w:rsidR="00CD0773" w:rsidRPr="00BE4081" w:rsidRDefault="00CD0773" w:rsidP="00CD0773"/>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630300"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630300" w:rsidRPr="00BE4081" w:rsidRDefault="00630300" w:rsidP="00CD0773">
            <w:pPr>
              <w:pStyle w:val="naiskr"/>
              <w:spacing w:before="0" w:after="0"/>
              <w:jc w:val="both"/>
            </w:pPr>
            <w:r w:rsidRPr="00BE4081">
              <w:t>Direktīvas 2009/72/EK  37.panta pirmās daļas a)apakšpunkts</w:t>
            </w:r>
          </w:p>
        </w:tc>
        <w:tc>
          <w:tcPr>
            <w:tcW w:w="1360" w:type="dxa"/>
          </w:tcPr>
          <w:p w:rsidR="00630300" w:rsidRPr="00BE4081" w:rsidRDefault="00630300" w:rsidP="00D14B4E">
            <w:pPr>
              <w:pStyle w:val="naiskr"/>
              <w:spacing w:before="0" w:after="0"/>
              <w:jc w:val="center"/>
            </w:pPr>
          </w:p>
        </w:tc>
        <w:tc>
          <w:tcPr>
            <w:tcW w:w="4647" w:type="dxa"/>
            <w:gridSpan w:val="2"/>
          </w:tcPr>
          <w:p w:rsidR="00630300" w:rsidRPr="00BE4081" w:rsidRDefault="00630300" w:rsidP="00CD0773">
            <w:r w:rsidRPr="00BE4081">
              <w:t>ETL - 16.panta pirmā daļa, 20.panta pirmā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630300" w:rsidRPr="0082102B" w:rsidRDefault="00630300" w:rsidP="00526AC2">
            <w:pPr>
              <w:pStyle w:val="naiskr"/>
              <w:spacing w:before="0" w:after="0"/>
              <w:jc w:val="both"/>
            </w:pPr>
          </w:p>
        </w:tc>
      </w:tr>
      <w:tr w:rsidR="00630300"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630300" w:rsidRPr="00BE4081" w:rsidRDefault="00630300" w:rsidP="00CD0773">
            <w:pPr>
              <w:pStyle w:val="naiskr"/>
              <w:spacing w:before="0" w:after="0"/>
              <w:jc w:val="both"/>
            </w:pPr>
            <w:r w:rsidRPr="00BE4081">
              <w:lastRenderedPageBreak/>
              <w:t>Direktīvas 2009/72/EK  37.panta pirmās daļas b) apakšpunkts</w:t>
            </w:r>
          </w:p>
        </w:tc>
        <w:tc>
          <w:tcPr>
            <w:tcW w:w="1360" w:type="dxa"/>
          </w:tcPr>
          <w:p w:rsidR="00630300" w:rsidRPr="00BE4081" w:rsidRDefault="00630300" w:rsidP="00D14B4E">
            <w:pPr>
              <w:pStyle w:val="naiskr"/>
              <w:spacing w:before="0" w:after="0"/>
              <w:jc w:val="center"/>
            </w:pPr>
            <w:r w:rsidRPr="00BE4081">
              <w:t>8.panta pirmā daļa un trešās daļas 1.punkts</w:t>
            </w:r>
          </w:p>
        </w:tc>
        <w:tc>
          <w:tcPr>
            <w:tcW w:w="4647" w:type="dxa"/>
            <w:gridSpan w:val="2"/>
          </w:tcPr>
          <w:p w:rsidR="00630300" w:rsidRPr="00BE4081" w:rsidRDefault="00630300"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630300" w:rsidRPr="0082102B" w:rsidRDefault="00630300" w:rsidP="00526AC2">
            <w:pPr>
              <w:pStyle w:val="naiskr"/>
              <w:spacing w:before="0" w:after="0"/>
              <w:jc w:val="both"/>
            </w:pPr>
          </w:p>
        </w:tc>
      </w:tr>
      <w:tr w:rsidR="00630300"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630300" w:rsidRPr="00BE4081" w:rsidRDefault="00630300" w:rsidP="00630300">
            <w:pPr>
              <w:pStyle w:val="naiskr"/>
              <w:spacing w:before="0" w:after="0"/>
              <w:jc w:val="both"/>
            </w:pPr>
            <w:r w:rsidRPr="00BE4081">
              <w:t>Direktīvas 2009/72/EK  37.panta pirmās daļas c) apakšpunkts</w:t>
            </w:r>
          </w:p>
        </w:tc>
        <w:tc>
          <w:tcPr>
            <w:tcW w:w="1360" w:type="dxa"/>
          </w:tcPr>
          <w:p w:rsidR="00630300" w:rsidRPr="00BE4081" w:rsidRDefault="00630300" w:rsidP="00D14B4E">
            <w:pPr>
              <w:pStyle w:val="naiskr"/>
              <w:spacing w:before="0" w:after="0"/>
              <w:jc w:val="center"/>
            </w:pPr>
          </w:p>
        </w:tc>
        <w:tc>
          <w:tcPr>
            <w:tcW w:w="4647" w:type="dxa"/>
            <w:gridSpan w:val="2"/>
          </w:tcPr>
          <w:p w:rsidR="00630300" w:rsidRPr="00BE4081" w:rsidRDefault="00630300" w:rsidP="00A8017E">
            <w:pPr>
              <w:jc w:val="both"/>
            </w:pPr>
            <w:r w:rsidRPr="00BE4081">
              <w:t>+ Nepieciešami grozījumi</w:t>
            </w:r>
            <w:r w:rsidR="00A8017E" w:rsidRPr="00BE4081">
              <w:t xml:space="preserve"> </w:t>
            </w:r>
            <w:r w:rsidR="00C77F32" w:rsidRPr="00BE4081">
              <w:t>Reg</w:t>
            </w:r>
            <w:r w:rsidR="00C77F32">
              <w:t xml:space="preserve">ulatoru likuma </w:t>
            </w:r>
            <w:r w:rsidR="00A8017E" w:rsidRPr="00BE4081">
              <w:t>9.panta papildinot regulatora funkcijas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630300" w:rsidRPr="0082102B" w:rsidRDefault="00630300"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d) apakšpunkts</w:t>
            </w:r>
          </w:p>
        </w:tc>
        <w:tc>
          <w:tcPr>
            <w:tcW w:w="1360" w:type="dxa"/>
          </w:tcPr>
          <w:p w:rsidR="00A8017E" w:rsidRPr="00BE4081" w:rsidRDefault="00A8017E" w:rsidP="00D14B4E">
            <w:pPr>
              <w:pStyle w:val="naiskr"/>
              <w:spacing w:before="0" w:after="0"/>
              <w:jc w:val="center"/>
            </w:pPr>
          </w:p>
        </w:tc>
        <w:tc>
          <w:tcPr>
            <w:tcW w:w="4647" w:type="dxa"/>
            <w:gridSpan w:val="2"/>
          </w:tcPr>
          <w:p w:rsidR="00A8017E" w:rsidRPr="00BE4081" w:rsidRDefault="00A8017E" w:rsidP="00A8017E">
            <w:pPr>
              <w:jc w:val="both"/>
            </w:pPr>
            <w:r w:rsidRPr="00BE4081">
              <w:t xml:space="preserve">+ Nepieciešami grozījumi </w:t>
            </w:r>
            <w:r w:rsidR="00C77F32" w:rsidRPr="00BE4081">
              <w:t>Reg</w:t>
            </w:r>
            <w:r w:rsidR="00C77F32">
              <w:t xml:space="preserve">ulatoru likuma </w:t>
            </w:r>
            <w:r w:rsidRPr="00BE4081">
              <w:t>9.panta papildinot regulatora funkcijas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e) apakšpunkts</w:t>
            </w:r>
          </w:p>
        </w:tc>
        <w:tc>
          <w:tcPr>
            <w:tcW w:w="1360" w:type="dxa"/>
          </w:tcPr>
          <w:p w:rsidR="00A8017E" w:rsidRPr="00BE4081" w:rsidRDefault="00A8017E" w:rsidP="00A8017E">
            <w:pPr>
              <w:pStyle w:val="naiskr"/>
              <w:spacing w:before="0" w:after="0"/>
              <w:jc w:val="center"/>
            </w:pPr>
            <w:r w:rsidRPr="00BE4081">
              <w:t xml:space="preserve">8.panta septītā daļa </w:t>
            </w:r>
          </w:p>
        </w:tc>
        <w:tc>
          <w:tcPr>
            <w:tcW w:w="4647" w:type="dxa"/>
            <w:gridSpan w:val="2"/>
          </w:tcPr>
          <w:p w:rsidR="00A8017E" w:rsidRPr="00BE4081" w:rsidRDefault="00A8017E" w:rsidP="00A8017E">
            <w:pPr>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f) apakšpunkts</w:t>
            </w:r>
          </w:p>
        </w:tc>
        <w:tc>
          <w:tcPr>
            <w:tcW w:w="1360" w:type="dxa"/>
          </w:tcPr>
          <w:p w:rsidR="00A8017E" w:rsidRPr="00BE4081" w:rsidRDefault="00A8017E" w:rsidP="00A8017E">
            <w:pPr>
              <w:pStyle w:val="naiskr"/>
              <w:spacing w:before="0" w:after="0"/>
              <w:jc w:val="center"/>
            </w:pPr>
          </w:p>
        </w:tc>
        <w:tc>
          <w:tcPr>
            <w:tcW w:w="4647" w:type="dxa"/>
            <w:gridSpan w:val="2"/>
          </w:tcPr>
          <w:p w:rsidR="00A8017E" w:rsidRPr="00BE4081" w:rsidRDefault="00A8017E" w:rsidP="00A8017E">
            <w:pPr>
              <w:jc w:val="both"/>
            </w:pPr>
            <w:r w:rsidRPr="00BE4081">
              <w:t xml:space="preserve">ETL – 40.pants. </w:t>
            </w:r>
            <w:r w:rsidR="00C77F32" w:rsidRPr="00BE4081">
              <w:t>Reg</w:t>
            </w:r>
            <w:r w:rsidR="00C77F32">
              <w:t xml:space="preserve">ulatoru likuma </w:t>
            </w:r>
            <w:r w:rsidRPr="00BE4081">
              <w:t>26.panta otrā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A8017E"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A8017E" w:rsidRPr="00BE4081" w:rsidRDefault="00A8017E" w:rsidP="00A8017E">
            <w:pPr>
              <w:pStyle w:val="naiskr"/>
              <w:spacing w:before="0" w:after="0"/>
              <w:jc w:val="both"/>
            </w:pPr>
            <w:r w:rsidRPr="00BE4081">
              <w:t>Direktīvas 2009/72/EK  37.panta pirmās daļas g) apakšpunkts</w:t>
            </w:r>
          </w:p>
        </w:tc>
        <w:tc>
          <w:tcPr>
            <w:tcW w:w="1360" w:type="dxa"/>
          </w:tcPr>
          <w:p w:rsidR="00A8017E" w:rsidRPr="00BE4081" w:rsidRDefault="0086040A" w:rsidP="00A8017E">
            <w:pPr>
              <w:pStyle w:val="naiskr"/>
              <w:spacing w:before="0" w:after="0"/>
              <w:jc w:val="center"/>
            </w:pPr>
            <w:r w:rsidRPr="00BE4081">
              <w:t>15.</w:t>
            </w:r>
            <w:r w:rsidRPr="00BE4081">
              <w:rPr>
                <w:vertAlign w:val="superscript"/>
              </w:rPr>
              <w:t>1</w:t>
            </w:r>
            <w:r w:rsidRPr="00BE4081">
              <w:t>pants pirmā daļa</w:t>
            </w:r>
          </w:p>
        </w:tc>
        <w:tc>
          <w:tcPr>
            <w:tcW w:w="4647" w:type="dxa"/>
            <w:gridSpan w:val="2"/>
          </w:tcPr>
          <w:p w:rsidR="00A8017E" w:rsidRPr="00BE4081" w:rsidRDefault="00A8017E" w:rsidP="00A8017E">
            <w:pPr>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A8017E" w:rsidRPr="0082102B" w:rsidRDefault="00A8017E" w:rsidP="00526AC2">
            <w:pPr>
              <w:pStyle w:val="naiskr"/>
              <w:spacing w:before="0" w:after="0"/>
              <w:jc w:val="both"/>
            </w:pPr>
          </w:p>
        </w:tc>
      </w:tr>
      <w:tr w:rsidR="002C50F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C50FD" w:rsidRPr="00BE4081" w:rsidRDefault="002C50FD" w:rsidP="00A8017E">
            <w:pPr>
              <w:pStyle w:val="naiskr"/>
              <w:spacing w:before="0" w:after="0"/>
              <w:jc w:val="both"/>
            </w:pPr>
            <w:r w:rsidRPr="00BE4081">
              <w:t>Direktīvas 2009/72/EK  37.panta pirmās daļas h) apakšpunkts</w:t>
            </w:r>
          </w:p>
        </w:tc>
        <w:tc>
          <w:tcPr>
            <w:tcW w:w="1360" w:type="dxa"/>
          </w:tcPr>
          <w:p w:rsidR="002C50FD" w:rsidRPr="00BE4081" w:rsidRDefault="002C50FD" w:rsidP="00A8017E">
            <w:pPr>
              <w:pStyle w:val="naiskr"/>
              <w:spacing w:before="0" w:after="0"/>
              <w:jc w:val="center"/>
            </w:pPr>
          </w:p>
        </w:tc>
        <w:tc>
          <w:tcPr>
            <w:tcW w:w="4647" w:type="dxa"/>
            <w:gridSpan w:val="2"/>
          </w:tcPr>
          <w:p w:rsidR="002C50FD" w:rsidRPr="00BE4081" w:rsidRDefault="00C77F32" w:rsidP="002C50FD">
            <w:pPr>
              <w:pStyle w:val="NormalWeb"/>
              <w:shd w:val="clear" w:color="auto" w:fill="FEFAEB"/>
              <w:jc w:val="both"/>
            </w:pPr>
            <w:r>
              <w:t>EN</w:t>
            </w:r>
            <w:r w:rsidR="002C50FD" w:rsidRPr="00BE4081">
              <w:t xml:space="preserve"> – 9.panta pirmā daļa. </w:t>
            </w:r>
            <w:r w:rsidRPr="00BE4081">
              <w:t>Reg</w:t>
            </w:r>
            <w:r>
              <w:t xml:space="preserve">ulatoru likuma </w:t>
            </w:r>
            <w:r w:rsidR="002C50FD" w:rsidRPr="00BE4081">
              <w:t>10.panta septītā daļa, ETL – 4.panta otrā daļa (Tīkla Kodekss)</w:t>
            </w:r>
          </w:p>
          <w:p w:rsidR="002C50FD" w:rsidRPr="00BE4081" w:rsidRDefault="002C50FD" w:rsidP="00A8017E">
            <w:pPr>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2C50FD" w:rsidRPr="0082102B" w:rsidRDefault="002C50FD" w:rsidP="00526AC2">
            <w:pPr>
              <w:pStyle w:val="naiskr"/>
              <w:spacing w:before="0" w:after="0"/>
              <w:jc w:val="both"/>
            </w:pPr>
          </w:p>
        </w:tc>
      </w:tr>
      <w:tr w:rsidR="002C50F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C50FD" w:rsidRPr="00BE4081" w:rsidRDefault="002C50FD" w:rsidP="00A8017E">
            <w:pPr>
              <w:pStyle w:val="naiskr"/>
              <w:spacing w:before="0" w:after="0"/>
              <w:jc w:val="both"/>
            </w:pPr>
            <w:r w:rsidRPr="00BE4081">
              <w:t>Direktīvas 2009/72/EK  37.panta pirmās daļas i) apakšpunkts</w:t>
            </w:r>
          </w:p>
        </w:tc>
        <w:tc>
          <w:tcPr>
            <w:tcW w:w="1360" w:type="dxa"/>
          </w:tcPr>
          <w:p w:rsidR="002C50FD" w:rsidRPr="00BE4081" w:rsidRDefault="002C50FD" w:rsidP="002C50FD">
            <w:pPr>
              <w:pStyle w:val="naiskr"/>
              <w:spacing w:before="0" w:after="0"/>
              <w:jc w:val="center"/>
            </w:pPr>
            <w:r w:rsidRPr="00BE4081">
              <w:t>8.panta trešās daļas 5.punkts</w:t>
            </w:r>
          </w:p>
        </w:tc>
        <w:tc>
          <w:tcPr>
            <w:tcW w:w="4647" w:type="dxa"/>
            <w:gridSpan w:val="2"/>
          </w:tcPr>
          <w:p w:rsidR="002C50FD" w:rsidRPr="00BE4081" w:rsidRDefault="002C50FD" w:rsidP="002C50FD">
            <w:pPr>
              <w:pStyle w:val="NormalWeb"/>
              <w:shd w:val="clear" w:color="auto" w:fill="FEFAEB"/>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2C50FD" w:rsidRPr="0082102B" w:rsidRDefault="002C50FD" w:rsidP="00526AC2">
            <w:pPr>
              <w:pStyle w:val="naiskr"/>
              <w:spacing w:before="0" w:after="0"/>
              <w:jc w:val="both"/>
            </w:pPr>
          </w:p>
        </w:tc>
      </w:tr>
      <w:tr w:rsidR="002C50FD"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2C50FD" w:rsidRPr="00BE4081" w:rsidRDefault="002C50FD" w:rsidP="00A8017E">
            <w:pPr>
              <w:pStyle w:val="naiskr"/>
              <w:spacing w:before="0" w:after="0"/>
              <w:jc w:val="both"/>
            </w:pPr>
            <w:r w:rsidRPr="00BE4081">
              <w:t>Direktīvas 2009/72/EK  37.panta pirmās daļas m) apakšpunkts</w:t>
            </w:r>
          </w:p>
        </w:tc>
        <w:tc>
          <w:tcPr>
            <w:tcW w:w="1360" w:type="dxa"/>
          </w:tcPr>
          <w:p w:rsidR="002C50FD" w:rsidRPr="00BE4081" w:rsidRDefault="002C50FD" w:rsidP="002C50FD">
            <w:pPr>
              <w:pStyle w:val="naiskr"/>
              <w:spacing w:before="0" w:after="0"/>
              <w:jc w:val="center"/>
            </w:pPr>
            <w:r w:rsidRPr="00BE4081">
              <w:t>8.panta trešās daļas 2.punkts</w:t>
            </w:r>
          </w:p>
        </w:tc>
        <w:tc>
          <w:tcPr>
            <w:tcW w:w="4647" w:type="dxa"/>
            <w:gridSpan w:val="2"/>
          </w:tcPr>
          <w:p w:rsidR="002C50FD" w:rsidRPr="00BE4081" w:rsidRDefault="002C50FD" w:rsidP="002C50FD">
            <w:pPr>
              <w:pStyle w:val="NormalWeb"/>
              <w:shd w:val="clear" w:color="auto" w:fill="FEFAEB"/>
              <w:jc w:val="both"/>
            </w:pP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2C50FD" w:rsidRPr="0082102B" w:rsidRDefault="002C50FD" w:rsidP="00526AC2">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t>Direktīvas 2009/72/EK  37.pant</w:t>
            </w:r>
            <w:r w:rsidR="004750F1" w:rsidRPr="00BE4081">
              <w:t>a otrā daļa</w:t>
            </w:r>
          </w:p>
        </w:tc>
        <w:tc>
          <w:tcPr>
            <w:tcW w:w="1360" w:type="dxa"/>
          </w:tcPr>
          <w:p w:rsidR="00CD0773" w:rsidRPr="00BE4081" w:rsidRDefault="00CD0773" w:rsidP="00D14B4E">
            <w:pPr>
              <w:pStyle w:val="naiskr"/>
              <w:spacing w:before="0" w:after="0"/>
              <w:jc w:val="center"/>
            </w:pPr>
          </w:p>
        </w:tc>
        <w:tc>
          <w:tcPr>
            <w:tcW w:w="4647" w:type="dxa"/>
            <w:gridSpan w:val="2"/>
          </w:tcPr>
          <w:p w:rsidR="00CD0773" w:rsidRPr="00BE4081" w:rsidRDefault="00C77F32" w:rsidP="00C77F32">
            <w:pPr>
              <w:jc w:val="both"/>
            </w:pPr>
            <w:r w:rsidRPr="00BE4081">
              <w:t>Reg</w:t>
            </w:r>
            <w:r>
              <w:t xml:space="preserve">ulatoru likuma </w:t>
            </w:r>
            <w:r w:rsidR="004750F1" w:rsidRPr="00BE4081">
              <w:t>– 13.panta otrā daļa, 15.panta pirmā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CD0773"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CD0773" w:rsidRPr="00BE4081" w:rsidRDefault="00CD0773" w:rsidP="00CD0773">
            <w:pPr>
              <w:pStyle w:val="naiskr"/>
              <w:spacing w:before="0" w:after="0"/>
              <w:jc w:val="both"/>
            </w:pPr>
            <w:r w:rsidRPr="00BE4081">
              <w:lastRenderedPageBreak/>
              <w:t>Direktīvas 2009/72/EK  37.pant</w:t>
            </w:r>
            <w:r w:rsidR="0082102B" w:rsidRPr="00BE4081">
              <w:t>a</w:t>
            </w:r>
            <w:r w:rsidRPr="00BE4081">
              <w:t xml:space="preserve"> trešā daļa</w:t>
            </w:r>
            <w:r w:rsidR="00986514" w:rsidRPr="00BE4081">
              <w:t>s a)apakšpunkts</w:t>
            </w:r>
          </w:p>
        </w:tc>
        <w:tc>
          <w:tcPr>
            <w:tcW w:w="1360" w:type="dxa"/>
          </w:tcPr>
          <w:p w:rsidR="00CD0773" w:rsidRPr="00BE4081" w:rsidRDefault="00986514" w:rsidP="00D14B4E">
            <w:pPr>
              <w:pStyle w:val="naiskr"/>
              <w:spacing w:before="0" w:after="0"/>
              <w:jc w:val="center"/>
            </w:pPr>
            <w:r w:rsidRPr="00BE4081">
              <w:t>8.panta pirmā daļa</w:t>
            </w:r>
          </w:p>
        </w:tc>
        <w:tc>
          <w:tcPr>
            <w:tcW w:w="4647" w:type="dxa"/>
            <w:gridSpan w:val="2"/>
          </w:tcPr>
          <w:p w:rsidR="00CD0773" w:rsidRPr="00BE4081" w:rsidRDefault="00CD0773" w:rsidP="00CD0773"/>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CD0773" w:rsidRPr="0082102B" w:rsidRDefault="00CD0773" w:rsidP="00D14B4E">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b)apakšpunkts</w:t>
            </w:r>
          </w:p>
        </w:tc>
        <w:tc>
          <w:tcPr>
            <w:tcW w:w="1360" w:type="dxa"/>
          </w:tcPr>
          <w:p w:rsidR="00986514" w:rsidRPr="00BE4081" w:rsidRDefault="00986514" w:rsidP="00986514">
            <w:pPr>
              <w:pStyle w:val="naiskr"/>
              <w:spacing w:before="0" w:after="0"/>
              <w:jc w:val="center"/>
            </w:pPr>
            <w:r w:rsidRPr="00BE4081">
              <w:t>8.panta ceturtā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c)apakšpunkts</w:t>
            </w:r>
          </w:p>
        </w:tc>
        <w:tc>
          <w:tcPr>
            <w:tcW w:w="1360" w:type="dxa"/>
          </w:tcPr>
          <w:p w:rsidR="00986514" w:rsidRPr="00BE4081" w:rsidRDefault="00986514" w:rsidP="00986514">
            <w:pPr>
              <w:pStyle w:val="naiskr"/>
              <w:spacing w:before="0" w:after="0"/>
              <w:jc w:val="center"/>
            </w:pPr>
            <w:r w:rsidRPr="00BE4081">
              <w:t>15.</w:t>
            </w:r>
            <w:r w:rsidRPr="00BE4081">
              <w:rPr>
                <w:vertAlign w:val="superscript"/>
              </w:rPr>
              <w:t>1</w:t>
            </w:r>
            <w:r w:rsidRPr="00BE4081">
              <w:t>panta pirmā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d)apakšpunkts</w:t>
            </w:r>
          </w:p>
        </w:tc>
        <w:tc>
          <w:tcPr>
            <w:tcW w:w="1360" w:type="dxa"/>
          </w:tcPr>
          <w:p w:rsidR="00986514" w:rsidRPr="00BE4081" w:rsidRDefault="00986514" w:rsidP="00986514">
            <w:pPr>
              <w:pStyle w:val="naiskr"/>
              <w:spacing w:before="0" w:after="0"/>
              <w:jc w:val="center"/>
            </w:pPr>
            <w:r w:rsidRPr="00BE4081">
              <w:t>16.panta trešā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t>Direktīvas 2009/72/EK  37.panta trešā daļas e)apakšpunkts</w:t>
            </w:r>
          </w:p>
        </w:tc>
        <w:tc>
          <w:tcPr>
            <w:tcW w:w="1360" w:type="dxa"/>
          </w:tcPr>
          <w:p w:rsidR="00986514" w:rsidRPr="00BE4081" w:rsidRDefault="00986514" w:rsidP="00986514">
            <w:pPr>
              <w:pStyle w:val="naiskr"/>
              <w:spacing w:before="0" w:after="0"/>
              <w:jc w:val="center"/>
            </w:pPr>
            <w:r w:rsidRPr="00BE4081">
              <w:t>8.panta piektā daļa</w:t>
            </w:r>
          </w:p>
        </w:tc>
        <w:tc>
          <w:tcPr>
            <w:tcW w:w="4647" w:type="dxa"/>
            <w:gridSpan w:val="2"/>
          </w:tcPr>
          <w:p w:rsidR="00986514" w:rsidRPr="00BE4081" w:rsidRDefault="00986514" w:rsidP="00CD0773"/>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pPr>
            <w:r w:rsidRPr="00BE4081">
              <w:rPr>
                <w:sz w:val="22"/>
                <w:szCs w:val="22"/>
              </w:rPr>
              <w:t>Direktīvas 2009/72/EK  37.panta ceturtā daļas a)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C77F32" w:rsidP="00986514">
            <w:r w:rsidRPr="00BE4081">
              <w:t>Reg</w:t>
            </w:r>
            <w:r>
              <w:t xml:space="preserve">ulatoru likuma </w:t>
            </w:r>
            <w:r w:rsidR="00986514" w:rsidRPr="00BE4081">
              <w:t>– 6.panta otrā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rPr>
                <w:sz w:val="22"/>
                <w:szCs w:val="22"/>
              </w:rPr>
            </w:pPr>
            <w:r w:rsidRPr="00BE4081">
              <w:rPr>
                <w:sz w:val="22"/>
                <w:szCs w:val="22"/>
              </w:rPr>
              <w:t>Direktīvas 2009/72/EK  37.panta ceturtā daļas b)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C77F32" w:rsidP="00C77F32">
            <w:pPr>
              <w:jc w:val="both"/>
            </w:pPr>
            <w:r w:rsidRPr="00BE4081">
              <w:t>Reg</w:t>
            </w:r>
            <w:r>
              <w:t xml:space="preserve">ulatoru likuma </w:t>
            </w:r>
            <w:r w:rsidR="00986514" w:rsidRPr="00BE4081">
              <w:t>– 9.panta pirmās daļas 6.punkts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rPr>
                <w:sz w:val="22"/>
                <w:szCs w:val="22"/>
              </w:rPr>
            </w:pPr>
            <w:r w:rsidRPr="00BE4081">
              <w:rPr>
                <w:sz w:val="22"/>
                <w:szCs w:val="22"/>
              </w:rPr>
              <w:t>Direktīvas 2009/72/EK  37.panta ceturtā daļas c)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C77F32" w:rsidP="00986514">
            <w:r w:rsidRPr="00BE4081">
              <w:t>Reg</w:t>
            </w:r>
            <w:r>
              <w:t xml:space="preserve">ulatoru likuma </w:t>
            </w:r>
            <w:r w:rsidR="00986514" w:rsidRPr="00BE4081">
              <w:t>– 10.panta pirmā daļa</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Pr="00BE4081" w:rsidRDefault="00986514" w:rsidP="00CD0773">
            <w:pPr>
              <w:pStyle w:val="naiskr"/>
              <w:spacing w:before="0" w:after="0"/>
              <w:jc w:val="both"/>
              <w:rPr>
                <w:sz w:val="22"/>
                <w:szCs w:val="22"/>
              </w:rPr>
            </w:pPr>
            <w:r w:rsidRPr="00BE4081">
              <w:rPr>
                <w:sz w:val="22"/>
                <w:szCs w:val="22"/>
              </w:rPr>
              <w:t>Direktīvas 2009/72/EK  37.panta ceturtā daļas d) apakšpunkts</w:t>
            </w:r>
          </w:p>
        </w:tc>
        <w:tc>
          <w:tcPr>
            <w:tcW w:w="1360" w:type="dxa"/>
          </w:tcPr>
          <w:p w:rsidR="00986514" w:rsidRPr="00BE4081" w:rsidRDefault="00986514" w:rsidP="00986514">
            <w:pPr>
              <w:pStyle w:val="naiskr"/>
              <w:spacing w:before="0" w:after="0"/>
              <w:jc w:val="center"/>
            </w:pPr>
          </w:p>
        </w:tc>
        <w:tc>
          <w:tcPr>
            <w:tcW w:w="4647" w:type="dxa"/>
            <w:gridSpan w:val="2"/>
          </w:tcPr>
          <w:p w:rsidR="00986514" w:rsidRPr="00BE4081" w:rsidRDefault="00986514" w:rsidP="00C77F32">
            <w:r w:rsidRPr="00BE4081">
              <w:t>L</w:t>
            </w:r>
            <w:r w:rsidR="00C77F32">
              <w:t>atvijas administratīvo pārkāpumu kodekss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986514"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986514" w:rsidRDefault="00986514" w:rsidP="00CD0773">
            <w:pPr>
              <w:pStyle w:val="naiskr"/>
              <w:spacing w:before="0" w:after="0"/>
              <w:jc w:val="both"/>
              <w:rPr>
                <w:sz w:val="22"/>
                <w:szCs w:val="22"/>
              </w:rPr>
            </w:pPr>
            <w:r>
              <w:rPr>
                <w:sz w:val="22"/>
                <w:szCs w:val="22"/>
              </w:rPr>
              <w:t>Direktīvas 2009/72/EK  37.panta ceturtā daļas e) apakšpunkts</w:t>
            </w:r>
          </w:p>
        </w:tc>
        <w:tc>
          <w:tcPr>
            <w:tcW w:w="1360" w:type="dxa"/>
          </w:tcPr>
          <w:p w:rsidR="00986514" w:rsidRDefault="00986514" w:rsidP="00986514">
            <w:pPr>
              <w:pStyle w:val="naiskr"/>
              <w:spacing w:before="0" w:after="0"/>
              <w:jc w:val="center"/>
            </w:pPr>
          </w:p>
        </w:tc>
        <w:tc>
          <w:tcPr>
            <w:tcW w:w="4647" w:type="dxa"/>
            <w:gridSpan w:val="2"/>
          </w:tcPr>
          <w:p w:rsidR="00986514" w:rsidRPr="00986514" w:rsidRDefault="00C77F32" w:rsidP="00C77F32">
            <w:pPr>
              <w:jc w:val="both"/>
            </w:pPr>
            <w:r w:rsidRPr="00BE4081">
              <w:t>Reg</w:t>
            </w:r>
            <w:r>
              <w:t xml:space="preserve">ulatoru likuma </w:t>
            </w:r>
            <w:r w:rsidR="00986514" w:rsidRPr="00986514">
              <w:t xml:space="preserve">– </w:t>
            </w:r>
            <w:r w:rsidR="00986514">
              <w:t>9</w:t>
            </w:r>
            <w:r w:rsidR="00986514" w:rsidRPr="00986514">
              <w:t>.panta pirmā</w:t>
            </w:r>
            <w:r w:rsidR="00986514">
              <w:t>s</w:t>
            </w:r>
            <w:r w:rsidR="00986514" w:rsidRPr="00986514">
              <w:t xml:space="preserve"> daļa</w:t>
            </w:r>
            <w:r w:rsidR="00986514">
              <w:t>s 5.punkts</w:t>
            </w:r>
          </w:p>
        </w:tc>
        <w:tc>
          <w:tcPr>
            <w:tcW w:w="2017" w:type="dxa"/>
          </w:tcPr>
          <w:p w:rsidR="00BE4081" w:rsidRPr="0082102B" w:rsidRDefault="00BE4081" w:rsidP="00BE4081">
            <w:pPr>
              <w:pStyle w:val="naiskr"/>
              <w:spacing w:before="0" w:after="0"/>
              <w:jc w:val="both"/>
            </w:pPr>
            <w:r w:rsidRPr="0082102B">
              <w:t xml:space="preserve">Nacionālais tiesību akts neparedz stingrākas prasības </w:t>
            </w:r>
          </w:p>
          <w:p w:rsidR="00986514" w:rsidRPr="0082102B" w:rsidRDefault="00986514" w:rsidP="00526AC2">
            <w:pPr>
              <w:pStyle w:val="naiskr"/>
              <w:spacing w:before="0" w:after="0"/>
              <w:jc w:val="both"/>
            </w:pPr>
          </w:p>
        </w:tc>
      </w:tr>
      <w:tr w:rsidR="00375755" w:rsidRPr="0082102B" w:rsidTr="00D14B4E">
        <w:tblPrEx>
          <w:tblCellMar>
            <w:top w:w="28" w:type="dxa"/>
            <w:left w:w="28" w:type="dxa"/>
            <w:bottom w:w="28" w:type="dxa"/>
            <w:right w:w="28" w:type="dxa"/>
          </w:tblCellMar>
          <w:tblLook w:val="0000"/>
        </w:tblPrEx>
        <w:trPr>
          <w:trHeight w:val="848"/>
          <w:jc w:val="center"/>
        </w:trPr>
        <w:tc>
          <w:tcPr>
            <w:tcW w:w="1789" w:type="dxa"/>
            <w:gridSpan w:val="2"/>
          </w:tcPr>
          <w:p w:rsidR="00375755" w:rsidRDefault="00375755" w:rsidP="00375755">
            <w:pPr>
              <w:pStyle w:val="naiskr"/>
              <w:spacing w:before="0" w:after="0"/>
              <w:jc w:val="both"/>
              <w:rPr>
                <w:sz w:val="22"/>
                <w:szCs w:val="22"/>
              </w:rPr>
            </w:pPr>
            <w:r>
              <w:rPr>
                <w:sz w:val="22"/>
                <w:szCs w:val="22"/>
              </w:rPr>
              <w:lastRenderedPageBreak/>
              <w:t>Direktīvas 2009/72/EK  37.panta piektā daļa</w:t>
            </w:r>
          </w:p>
        </w:tc>
        <w:tc>
          <w:tcPr>
            <w:tcW w:w="1360" w:type="dxa"/>
          </w:tcPr>
          <w:p w:rsidR="00375755" w:rsidRDefault="00375755" w:rsidP="00986514">
            <w:pPr>
              <w:pStyle w:val="naiskr"/>
              <w:spacing w:before="0" w:after="0"/>
              <w:jc w:val="center"/>
            </w:pPr>
          </w:p>
        </w:tc>
        <w:tc>
          <w:tcPr>
            <w:tcW w:w="4647" w:type="dxa"/>
            <w:gridSpan w:val="2"/>
          </w:tcPr>
          <w:p w:rsidR="00375755" w:rsidRPr="00986514" w:rsidRDefault="00375755" w:rsidP="00986514">
            <w:r>
              <w:t xml:space="preserve">Neattiecās, nosaka </w:t>
            </w:r>
            <w:r w:rsidR="00B426F0">
              <w:t>PSO nodalīšanas 3.modeli.</w:t>
            </w:r>
          </w:p>
        </w:tc>
        <w:tc>
          <w:tcPr>
            <w:tcW w:w="2017" w:type="dxa"/>
          </w:tcPr>
          <w:p w:rsidR="00375755" w:rsidRPr="0082102B" w:rsidRDefault="00C77F32" w:rsidP="00BE4081">
            <w:pPr>
              <w:pStyle w:val="naiskr"/>
              <w:spacing w:before="0" w:after="0"/>
              <w:jc w:val="both"/>
            </w:pPr>
            <w:r>
              <w:t>Nav attiecināms</w:t>
            </w:r>
          </w:p>
        </w:tc>
      </w:tr>
      <w:tr w:rsidR="0082102B"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82102B" w:rsidRDefault="0082102B" w:rsidP="00CD7BBE">
            <w:pPr>
              <w:pStyle w:val="naiskr"/>
              <w:spacing w:before="0" w:after="0"/>
              <w:jc w:val="both"/>
              <w:rPr>
                <w:sz w:val="22"/>
                <w:szCs w:val="22"/>
              </w:rPr>
            </w:pPr>
            <w:r>
              <w:rPr>
                <w:sz w:val="22"/>
                <w:szCs w:val="22"/>
              </w:rPr>
              <w:t>Direktī</w:t>
            </w:r>
            <w:r w:rsidR="00CD7BBE">
              <w:rPr>
                <w:sz w:val="22"/>
                <w:szCs w:val="22"/>
              </w:rPr>
              <w:t xml:space="preserve">vas 2009/72/EK  37.panta sestā </w:t>
            </w:r>
            <w:r>
              <w:rPr>
                <w:sz w:val="22"/>
                <w:szCs w:val="22"/>
              </w:rPr>
              <w:t>daļa</w:t>
            </w:r>
          </w:p>
        </w:tc>
        <w:tc>
          <w:tcPr>
            <w:tcW w:w="1360" w:type="dxa"/>
          </w:tcPr>
          <w:p w:rsidR="0082102B" w:rsidRPr="0082102B" w:rsidRDefault="0082102B" w:rsidP="00D14B4E">
            <w:pPr>
              <w:pStyle w:val="naiskr"/>
              <w:spacing w:before="0" w:after="0"/>
              <w:jc w:val="center"/>
              <w:rPr>
                <w:sz w:val="22"/>
                <w:szCs w:val="22"/>
              </w:rPr>
            </w:pPr>
            <w:r w:rsidRPr="0082102B">
              <w:rPr>
                <w:sz w:val="22"/>
                <w:szCs w:val="22"/>
              </w:rPr>
              <w:t>8.pants</w:t>
            </w:r>
          </w:p>
        </w:tc>
        <w:tc>
          <w:tcPr>
            <w:tcW w:w="4647" w:type="dxa"/>
            <w:gridSpan w:val="2"/>
          </w:tcPr>
          <w:p w:rsidR="0082102B" w:rsidRDefault="0082102B" w:rsidP="0082102B">
            <w:r>
              <w:t>ETL –25.panta ceturtā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82102B" w:rsidRDefault="0082102B" w:rsidP="00D14B4E">
            <w:pPr>
              <w:pStyle w:val="naiskr"/>
              <w:spacing w:before="0" w:after="0"/>
              <w:jc w:val="both"/>
            </w:pPr>
          </w:p>
        </w:tc>
      </w:tr>
      <w:tr w:rsidR="0082102B"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82102B" w:rsidRDefault="0082102B" w:rsidP="0082102B">
            <w:pPr>
              <w:pStyle w:val="naiskr"/>
              <w:spacing w:before="0" w:after="0"/>
              <w:jc w:val="both"/>
              <w:rPr>
                <w:sz w:val="22"/>
                <w:szCs w:val="22"/>
              </w:rPr>
            </w:pPr>
            <w:r>
              <w:rPr>
                <w:sz w:val="22"/>
                <w:szCs w:val="22"/>
              </w:rPr>
              <w:t>Direktīvas 2009/72/EK  37.panta septītā daļa</w:t>
            </w:r>
          </w:p>
        </w:tc>
        <w:tc>
          <w:tcPr>
            <w:tcW w:w="1360" w:type="dxa"/>
          </w:tcPr>
          <w:p w:rsidR="0082102B" w:rsidRDefault="0082102B" w:rsidP="00D14B4E">
            <w:pPr>
              <w:pStyle w:val="naiskr"/>
              <w:spacing w:before="0" w:after="0"/>
              <w:jc w:val="center"/>
              <w:rPr>
                <w:color w:val="FF0000"/>
                <w:sz w:val="22"/>
                <w:szCs w:val="22"/>
              </w:rPr>
            </w:pPr>
          </w:p>
        </w:tc>
        <w:tc>
          <w:tcPr>
            <w:tcW w:w="4647" w:type="dxa"/>
            <w:gridSpan w:val="2"/>
          </w:tcPr>
          <w:p w:rsidR="0082102B" w:rsidRDefault="00C77F32" w:rsidP="00C77F32">
            <w:pPr>
              <w:jc w:val="both"/>
            </w:pPr>
            <w:r w:rsidRPr="00BE4081">
              <w:t>Reg</w:t>
            </w:r>
            <w:r>
              <w:t>ulatoru likuma.</w:t>
            </w:r>
            <w:r w:rsidR="0082102B">
              <w:t>– 13.panta pirmā daļa</w:t>
            </w:r>
            <w:r w:rsidR="00CD7BBE">
              <w:t>, 21.panta pirmā daļa.</w:t>
            </w:r>
          </w:p>
        </w:tc>
        <w:tc>
          <w:tcPr>
            <w:tcW w:w="2017" w:type="dxa"/>
          </w:tcPr>
          <w:p w:rsidR="00526AC2" w:rsidRPr="0082102B" w:rsidRDefault="00526AC2" w:rsidP="00526AC2">
            <w:pPr>
              <w:pStyle w:val="naiskr"/>
              <w:spacing w:before="0" w:after="0"/>
              <w:jc w:val="both"/>
            </w:pPr>
            <w:r w:rsidRPr="0082102B">
              <w:t xml:space="preserve">Nacionālais tiesību akts neparedz stingrākas prasības </w:t>
            </w:r>
          </w:p>
          <w:p w:rsidR="0082102B" w:rsidRDefault="0082102B" w:rsidP="00D14B4E">
            <w:pPr>
              <w:pStyle w:val="naiskr"/>
              <w:spacing w:before="0" w:after="0"/>
              <w:jc w:val="both"/>
            </w:pPr>
          </w:p>
        </w:tc>
      </w:tr>
      <w:tr w:rsidR="00CD7BBE"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CD7BBE" w:rsidRDefault="00CD7BBE" w:rsidP="00CD7BBE">
            <w:pPr>
              <w:pStyle w:val="naiskr"/>
              <w:spacing w:before="0" w:after="0"/>
              <w:jc w:val="both"/>
              <w:rPr>
                <w:sz w:val="22"/>
                <w:szCs w:val="22"/>
              </w:rPr>
            </w:pPr>
            <w:r>
              <w:rPr>
                <w:sz w:val="22"/>
                <w:szCs w:val="22"/>
              </w:rPr>
              <w:t>Direktīvas 2009/72/EK  37.panta vienpadsmitā  daļa</w:t>
            </w:r>
          </w:p>
        </w:tc>
        <w:tc>
          <w:tcPr>
            <w:tcW w:w="1360" w:type="dxa"/>
          </w:tcPr>
          <w:p w:rsidR="00CD7BBE" w:rsidRDefault="00CD7BBE" w:rsidP="00D14B4E">
            <w:pPr>
              <w:pStyle w:val="naiskr"/>
              <w:spacing w:before="0" w:after="0"/>
              <w:jc w:val="center"/>
              <w:rPr>
                <w:color w:val="FF0000"/>
                <w:sz w:val="22"/>
                <w:szCs w:val="22"/>
              </w:rPr>
            </w:pPr>
          </w:p>
        </w:tc>
        <w:tc>
          <w:tcPr>
            <w:tcW w:w="4647" w:type="dxa"/>
            <w:gridSpan w:val="2"/>
          </w:tcPr>
          <w:p w:rsidR="00CD7BBE" w:rsidRPr="00CD7BBE" w:rsidRDefault="00CD7BBE" w:rsidP="00C77F32">
            <w:r w:rsidRPr="00CD7BBE">
              <w:t xml:space="preserve">Saeimā iesniegti grozījumi </w:t>
            </w:r>
            <w:r w:rsidR="00C77F32" w:rsidRPr="00BE4081">
              <w:t>Reg</w:t>
            </w:r>
            <w:r w:rsidR="00C77F32">
              <w:t xml:space="preserve">ulatoru likumu papildināt ar  </w:t>
            </w:r>
            <w:r w:rsidRPr="00CD7BBE">
              <w:t>35.</w:t>
            </w:r>
            <w:r w:rsidRPr="00CD7BBE">
              <w:rPr>
                <w:vertAlign w:val="superscript"/>
              </w:rPr>
              <w:t>1</w:t>
            </w:r>
            <w:r w:rsidR="00C77F32">
              <w:t> pantu</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CD7BBE" w:rsidRPr="0082102B" w:rsidRDefault="00CD7BBE" w:rsidP="00526AC2">
            <w:pPr>
              <w:pStyle w:val="naiskr"/>
              <w:spacing w:before="0" w:after="0"/>
              <w:jc w:val="both"/>
            </w:pPr>
          </w:p>
        </w:tc>
      </w:tr>
      <w:tr w:rsidR="00CD7BBE"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CD7BBE" w:rsidRDefault="00CD7BBE" w:rsidP="00CD7BBE">
            <w:pPr>
              <w:pStyle w:val="naiskr"/>
              <w:spacing w:before="0" w:after="0"/>
              <w:jc w:val="both"/>
              <w:rPr>
                <w:sz w:val="22"/>
                <w:szCs w:val="22"/>
              </w:rPr>
            </w:pPr>
            <w:r>
              <w:rPr>
                <w:sz w:val="22"/>
                <w:szCs w:val="22"/>
              </w:rPr>
              <w:t>Direktīvas 2009/72/EK  37.panta divpadsmitā  daļa</w:t>
            </w:r>
          </w:p>
        </w:tc>
        <w:tc>
          <w:tcPr>
            <w:tcW w:w="1360" w:type="dxa"/>
          </w:tcPr>
          <w:p w:rsidR="00CD7BBE" w:rsidRDefault="00CD7BBE" w:rsidP="00D14B4E">
            <w:pPr>
              <w:pStyle w:val="naiskr"/>
              <w:spacing w:before="0" w:after="0"/>
              <w:jc w:val="center"/>
              <w:rPr>
                <w:color w:val="FF0000"/>
                <w:sz w:val="22"/>
                <w:szCs w:val="22"/>
              </w:rPr>
            </w:pPr>
          </w:p>
        </w:tc>
        <w:tc>
          <w:tcPr>
            <w:tcW w:w="4647" w:type="dxa"/>
            <w:gridSpan w:val="2"/>
          </w:tcPr>
          <w:p w:rsidR="00CD7BBE" w:rsidRDefault="00C77F32" w:rsidP="00CD7BBE">
            <w:pPr>
              <w:outlineLvl w:val="2"/>
            </w:pPr>
            <w:r w:rsidRPr="00BE4081">
              <w:t>Reg</w:t>
            </w:r>
            <w:r>
              <w:t xml:space="preserve">ulatoru likuma </w:t>
            </w:r>
            <w:r w:rsidR="00CD7BBE">
              <w:t xml:space="preserve">- 21.panta pirmā daļa.  </w:t>
            </w:r>
          </w:p>
          <w:p w:rsidR="00CD7BBE" w:rsidRDefault="00CD7BBE" w:rsidP="00CD7BBE">
            <w:pPr>
              <w:outlineLvl w:val="2"/>
            </w:pPr>
          </w:p>
          <w:p w:rsidR="00CD7BBE" w:rsidRDefault="00CD7BBE" w:rsidP="00CD7BBE">
            <w:pPr>
              <w:jc w:val="both"/>
              <w:outlineLvl w:val="2"/>
              <w:rPr>
                <w:b/>
                <w:bCs/>
              </w:rPr>
            </w:pPr>
            <w:r w:rsidRPr="00CD7BBE">
              <w:rPr>
                <w:b/>
                <w:bCs/>
              </w:rPr>
              <w:t>Noteikumi par iepazīšanos ar tarifa projektu</w:t>
            </w:r>
          </w:p>
          <w:p w:rsidR="00CD7BBE" w:rsidRPr="00CD7BBE" w:rsidRDefault="00CD7BBE" w:rsidP="00CD7BBE">
            <w:pPr>
              <w:jc w:val="both"/>
              <w:outlineLvl w:val="2"/>
              <w:rPr>
                <w:b/>
                <w:bCs/>
              </w:rPr>
            </w:pPr>
            <w:r w:rsidRPr="00CD7BBE">
              <w:t>6. Priekšlikumus un ieteikumus par tarifa projektu lietotājs var iesniegt Regulatoram un sabiedrisko pakalpojumu sniedzējam 20 dienu laikā pēc informācijas par aprēķināto tarifa projektu publicēšanas normatīvajos aktos noteiktajā kārtībā.</w:t>
            </w:r>
          </w:p>
          <w:p w:rsidR="00CD7BBE" w:rsidRPr="00CD7BBE" w:rsidRDefault="00CD7BBE" w:rsidP="0082102B"/>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CD7BBE" w:rsidRPr="0082102B" w:rsidRDefault="00CD7BBE"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trīspadsmitā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Default="003E3642" w:rsidP="00CD7BBE">
            <w:pPr>
              <w:outlineLvl w:val="2"/>
            </w:pPr>
            <w:r>
              <w:t>Konkurences likums</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četrpadsmitā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Default="00C77F32" w:rsidP="00CD7BBE">
            <w:pPr>
              <w:outlineLvl w:val="2"/>
            </w:pPr>
            <w:r w:rsidRPr="00BE4081">
              <w:t>L</w:t>
            </w:r>
            <w:r>
              <w:t>atvijas administratīvo pārkāpumu kodekss</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piecpadsmitā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Default="003E3642" w:rsidP="003E3642">
            <w:pPr>
              <w:outlineLvl w:val="2"/>
            </w:pPr>
            <w:r w:rsidRPr="00CD7BBE">
              <w:t xml:space="preserve">Saeimā iesniegti grozījumi </w:t>
            </w:r>
            <w:proofErr w:type="spellStart"/>
            <w:r w:rsidRPr="00CD7BBE">
              <w:t>Reg</w:t>
            </w:r>
            <w:proofErr w:type="spellEnd"/>
            <w:r w:rsidRPr="00CD7BBE">
              <w:t xml:space="preserve"> </w:t>
            </w:r>
            <w:proofErr w:type="spellStart"/>
            <w:r w:rsidRPr="00CD7BBE">
              <w:t>lik</w:t>
            </w:r>
            <w:proofErr w:type="spellEnd"/>
            <w:r w:rsidRPr="00CD7BBE">
              <w:t xml:space="preserve"> </w:t>
            </w:r>
            <w:r>
              <w:t>32.</w:t>
            </w:r>
            <w:r w:rsidRPr="00CD7BBE">
              <w:t>pantu</w:t>
            </w:r>
            <w:r>
              <w:t xml:space="preserve"> trešajā daļā.</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3E3642" w:rsidRPr="00216027" w:rsidTr="00D14B4E">
        <w:tblPrEx>
          <w:tblCellMar>
            <w:top w:w="28" w:type="dxa"/>
            <w:left w:w="28" w:type="dxa"/>
            <w:bottom w:w="28" w:type="dxa"/>
            <w:right w:w="28" w:type="dxa"/>
          </w:tblCellMar>
          <w:tblLook w:val="0000"/>
        </w:tblPrEx>
        <w:trPr>
          <w:trHeight w:val="848"/>
          <w:jc w:val="center"/>
        </w:trPr>
        <w:tc>
          <w:tcPr>
            <w:tcW w:w="1789" w:type="dxa"/>
            <w:gridSpan w:val="2"/>
          </w:tcPr>
          <w:p w:rsidR="003E3642" w:rsidRDefault="003E3642" w:rsidP="003E3642">
            <w:pPr>
              <w:pStyle w:val="naiskr"/>
              <w:spacing w:before="0" w:after="0"/>
              <w:jc w:val="both"/>
              <w:rPr>
                <w:sz w:val="22"/>
                <w:szCs w:val="22"/>
              </w:rPr>
            </w:pPr>
            <w:r>
              <w:rPr>
                <w:sz w:val="22"/>
                <w:szCs w:val="22"/>
              </w:rPr>
              <w:t>Direktīvas 2009/72/EK  37.panta sešpadsmitā, septiņpadsmitā daļa</w:t>
            </w:r>
          </w:p>
        </w:tc>
        <w:tc>
          <w:tcPr>
            <w:tcW w:w="1360" w:type="dxa"/>
          </w:tcPr>
          <w:p w:rsidR="003E3642" w:rsidRDefault="003E3642" w:rsidP="00D14B4E">
            <w:pPr>
              <w:pStyle w:val="naiskr"/>
              <w:spacing w:before="0" w:after="0"/>
              <w:jc w:val="center"/>
              <w:rPr>
                <w:color w:val="FF0000"/>
                <w:sz w:val="22"/>
                <w:szCs w:val="22"/>
              </w:rPr>
            </w:pPr>
          </w:p>
        </w:tc>
        <w:tc>
          <w:tcPr>
            <w:tcW w:w="4647" w:type="dxa"/>
            <w:gridSpan w:val="2"/>
          </w:tcPr>
          <w:p w:rsidR="003E3642" w:rsidRPr="00CD7BBE" w:rsidRDefault="00C77F32" w:rsidP="003E3642">
            <w:pPr>
              <w:outlineLvl w:val="2"/>
            </w:pPr>
            <w:r w:rsidRPr="00BE4081">
              <w:t>Reg</w:t>
            </w:r>
            <w:r>
              <w:t xml:space="preserve">ulatoru likuma </w:t>
            </w:r>
            <w:r w:rsidR="003E3642">
              <w:t>– 11.panta ceturtā daļa</w:t>
            </w:r>
          </w:p>
        </w:tc>
        <w:tc>
          <w:tcPr>
            <w:tcW w:w="2017" w:type="dxa"/>
          </w:tcPr>
          <w:p w:rsidR="003E3642" w:rsidRPr="0082102B" w:rsidRDefault="003E3642" w:rsidP="003E3642">
            <w:pPr>
              <w:pStyle w:val="naiskr"/>
              <w:spacing w:before="0" w:after="0"/>
              <w:jc w:val="both"/>
            </w:pPr>
            <w:r w:rsidRPr="0082102B">
              <w:t xml:space="preserve">Nacionālais tiesību akts neparedz stingrākas prasības </w:t>
            </w:r>
          </w:p>
          <w:p w:rsidR="003E3642" w:rsidRPr="0082102B" w:rsidRDefault="003E3642" w:rsidP="00526AC2">
            <w:pPr>
              <w:pStyle w:val="naiskr"/>
              <w:spacing w:before="0" w:after="0"/>
              <w:jc w:val="both"/>
            </w:pPr>
          </w:p>
        </w:tc>
      </w:tr>
      <w:tr w:rsidR="00744188" w:rsidRPr="00216027" w:rsidTr="00D14B4E">
        <w:tblPrEx>
          <w:tblCellMar>
            <w:top w:w="28" w:type="dxa"/>
            <w:left w:w="28" w:type="dxa"/>
            <w:bottom w:w="28" w:type="dxa"/>
            <w:right w:w="28" w:type="dxa"/>
          </w:tblCellMar>
          <w:tblLook w:val="0000"/>
        </w:tblPrEx>
        <w:trPr>
          <w:trHeight w:val="949"/>
          <w:jc w:val="center"/>
        </w:trPr>
        <w:tc>
          <w:tcPr>
            <w:tcW w:w="1789" w:type="dxa"/>
            <w:gridSpan w:val="2"/>
          </w:tcPr>
          <w:p w:rsidR="00744188" w:rsidRDefault="00744188" w:rsidP="00744188">
            <w:pPr>
              <w:pStyle w:val="naiskr"/>
              <w:spacing w:before="0" w:after="0"/>
              <w:rPr>
                <w:sz w:val="22"/>
                <w:szCs w:val="22"/>
              </w:rPr>
            </w:pPr>
            <w:r>
              <w:rPr>
                <w:sz w:val="22"/>
                <w:szCs w:val="22"/>
              </w:rPr>
              <w:t>Direktīvas 2001/77/EK</w:t>
            </w:r>
          </w:p>
          <w:p w:rsidR="00744188" w:rsidRDefault="00744188" w:rsidP="00744188">
            <w:pPr>
              <w:pStyle w:val="naiskr"/>
              <w:spacing w:before="0" w:after="0"/>
              <w:rPr>
                <w:sz w:val="22"/>
                <w:szCs w:val="22"/>
              </w:rPr>
            </w:pPr>
            <w:r>
              <w:rPr>
                <w:sz w:val="22"/>
                <w:szCs w:val="22"/>
              </w:rPr>
              <w:t>1.pants, 3.panta 1.punkts, 9.pants, Pielikums</w:t>
            </w:r>
          </w:p>
        </w:tc>
        <w:tc>
          <w:tcPr>
            <w:tcW w:w="1360" w:type="dxa"/>
          </w:tcPr>
          <w:p w:rsidR="00744188" w:rsidRPr="00216027" w:rsidRDefault="00744188" w:rsidP="00C9381F">
            <w:pPr>
              <w:pStyle w:val="naiskr"/>
              <w:spacing w:before="0" w:after="0"/>
              <w:jc w:val="center"/>
              <w:rPr>
                <w:sz w:val="22"/>
                <w:szCs w:val="22"/>
              </w:rPr>
            </w:pPr>
          </w:p>
        </w:tc>
        <w:tc>
          <w:tcPr>
            <w:tcW w:w="4647" w:type="dxa"/>
            <w:gridSpan w:val="2"/>
          </w:tcPr>
          <w:p w:rsidR="00744188" w:rsidRDefault="00744188" w:rsidP="00D04D4C">
            <w:pPr>
              <w:pStyle w:val="naiskr"/>
              <w:spacing w:before="0" w:after="0"/>
              <w:jc w:val="both"/>
              <w:rPr>
                <w:sz w:val="22"/>
                <w:szCs w:val="22"/>
              </w:rPr>
            </w:pPr>
            <w:r>
              <w:rPr>
                <w:sz w:val="22"/>
                <w:szCs w:val="22"/>
              </w:rPr>
              <w:t>Norma satur tikai dalībvalstīm saistošus pienākumus, tāpēc nav nepieciešams ieviest normatīvajos aktos.</w:t>
            </w:r>
          </w:p>
          <w:p w:rsidR="00744188" w:rsidRDefault="00744188" w:rsidP="00D04D4C">
            <w:pPr>
              <w:pStyle w:val="naiskr"/>
              <w:spacing w:before="0" w:after="0"/>
              <w:jc w:val="both"/>
            </w:pPr>
            <w:r>
              <w:rPr>
                <w:sz w:val="22"/>
                <w:szCs w:val="22"/>
              </w:rPr>
              <w:t xml:space="preserve">Mērķis un pasākumi, lai izpildītu Direktīvas 2001/77/EK prasības, ietverts vidēja termiņa </w:t>
            </w:r>
            <w:r>
              <w:rPr>
                <w:sz w:val="22"/>
                <w:szCs w:val="22"/>
              </w:rPr>
              <w:lastRenderedPageBreak/>
              <w:t xml:space="preserve">plānošanas dokumentos: </w:t>
            </w:r>
            <w:r w:rsidRPr="000F3F45">
              <w:t>Enerģētikas attīstīb</w:t>
            </w:r>
            <w:r>
              <w:t>as pamatnostādnes 2007. – 2016.</w:t>
            </w:r>
            <w:r w:rsidRPr="000F3F45">
              <w:t>gadam, Latvijas Atjaunojamo energoresursu izmantošan</w:t>
            </w:r>
            <w:r>
              <w:t>as pamatnostādnes 2006. – 2013.</w:t>
            </w:r>
            <w:r w:rsidRPr="000F3F45">
              <w:t>gadam</w:t>
            </w:r>
            <w:r>
              <w:t>.</w:t>
            </w:r>
          </w:p>
          <w:p w:rsidR="00744188" w:rsidRDefault="00744188" w:rsidP="00D04D4C">
            <w:pPr>
              <w:pStyle w:val="naiskr"/>
              <w:spacing w:before="0" w:after="0"/>
              <w:jc w:val="both"/>
              <w:rPr>
                <w:sz w:val="22"/>
                <w:szCs w:val="22"/>
              </w:rPr>
            </w:pPr>
            <w:r>
              <w:rPr>
                <w:sz w:val="22"/>
                <w:szCs w:val="22"/>
              </w:rPr>
              <w:t>Direktīva 2001/77/EK ieviesta ar Elektroenerģijas tirgus likuma 29.pantu, 29.</w:t>
            </w:r>
            <w:r>
              <w:rPr>
                <w:sz w:val="22"/>
                <w:szCs w:val="22"/>
                <w:vertAlign w:val="superscript"/>
              </w:rPr>
              <w:t xml:space="preserve">1 </w:t>
            </w:r>
            <w:r>
              <w:rPr>
                <w:sz w:val="22"/>
                <w:szCs w:val="22"/>
              </w:rPr>
              <w:t>pantu, 30.pantu un 31.pantu, kā arī</w:t>
            </w:r>
          </w:p>
          <w:p w:rsidR="00744188" w:rsidRDefault="00744188" w:rsidP="00D04D4C">
            <w:pPr>
              <w:pStyle w:val="naiskr"/>
              <w:spacing w:before="0" w:after="0"/>
              <w:jc w:val="both"/>
              <w:rPr>
                <w:sz w:val="22"/>
                <w:szCs w:val="22"/>
              </w:rPr>
            </w:pPr>
            <w:r>
              <w:rPr>
                <w:sz w:val="22"/>
                <w:szCs w:val="22"/>
              </w:rPr>
              <w:t>MK 2010.16.03 noteikumiem Nr. 262 „Noteikumi par elektroenerģijas ražošanu, izmantojot atjaunojamos energoresursus, un cenu noteikšanas kārtību”.</w:t>
            </w:r>
          </w:p>
          <w:p w:rsidR="00744188" w:rsidRPr="00216027" w:rsidRDefault="00744188" w:rsidP="00D04D4C">
            <w:pPr>
              <w:pStyle w:val="naiskr"/>
              <w:spacing w:before="0" w:after="0"/>
              <w:jc w:val="both"/>
              <w:rPr>
                <w:sz w:val="22"/>
                <w:szCs w:val="22"/>
              </w:rPr>
            </w:pPr>
            <w:r>
              <w:t>Ekonomikas ministrija</w:t>
            </w:r>
          </w:p>
        </w:tc>
        <w:tc>
          <w:tcPr>
            <w:tcW w:w="2017" w:type="dxa"/>
          </w:tcPr>
          <w:p w:rsidR="00744188" w:rsidRDefault="00744188" w:rsidP="00D04D4C">
            <w:pPr>
              <w:pStyle w:val="naiskr"/>
              <w:spacing w:before="0" w:after="0"/>
              <w:jc w:val="both"/>
            </w:pPr>
            <w:r>
              <w:lastRenderedPageBreak/>
              <w:t xml:space="preserve">Nacionālais tiesību akts neparedz stingrākas prasības </w:t>
            </w:r>
          </w:p>
          <w:p w:rsidR="00744188" w:rsidRPr="00216027" w:rsidRDefault="00744188" w:rsidP="00D04D4C">
            <w:pPr>
              <w:pStyle w:val="naiskr"/>
              <w:spacing w:before="0" w:after="0"/>
              <w:rPr>
                <w:sz w:val="22"/>
                <w:szCs w:val="22"/>
              </w:rPr>
            </w:pPr>
          </w:p>
        </w:tc>
      </w:tr>
      <w:tr w:rsidR="00744188" w:rsidRPr="00216027" w:rsidTr="00D14B4E">
        <w:tblPrEx>
          <w:tblCellMar>
            <w:top w:w="28" w:type="dxa"/>
            <w:left w:w="28" w:type="dxa"/>
            <w:bottom w:w="28" w:type="dxa"/>
            <w:right w:w="28" w:type="dxa"/>
          </w:tblCellMar>
          <w:tblLook w:val="0000"/>
        </w:tblPrEx>
        <w:trPr>
          <w:trHeight w:val="949"/>
          <w:jc w:val="center"/>
        </w:trPr>
        <w:tc>
          <w:tcPr>
            <w:tcW w:w="1789" w:type="dxa"/>
            <w:gridSpan w:val="2"/>
          </w:tcPr>
          <w:p w:rsidR="00744188" w:rsidRDefault="00744188" w:rsidP="00D04D4C">
            <w:pPr>
              <w:pStyle w:val="naiskr"/>
              <w:spacing w:before="0" w:after="0"/>
              <w:rPr>
                <w:sz w:val="22"/>
                <w:szCs w:val="22"/>
              </w:rPr>
            </w:pPr>
            <w:r>
              <w:rPr>
                <w:sz w:val="22"/>
                <w:szCs w:val="22"/>
              </w:rPr>
              <w:lastRenderedPageBreak/>
              <w:t>Direktīvas 2001/77/EK</w:t>
            </w:r>
          </w:p>
          <w:p w:rsidR="00744188" w:rsidRDefault="00744188" w:rsidP="00D04D4C">
            <w:pPr>
              <w:pStyle w:val="naiskr"/>
              <w:spacing w:before="0" w:after="0"/>
              <w:rPr>
                <w:sz w:val="22"/>
                <w:szCs w:val="22"/>
              </w:rPr>
            </w:pPr>
            <w:r>
              <w:rPr>
                <w:sz w:val="22"/>
                <w:szCs w:val="22"/>
              </w:rPr>
              <w:t>3.panta 3.punkts</w:t>
            </w:r>
          </w:p>
        </w:tc>
        <w:tc>
          <w:tcPr>
            <w:tcW w:w="1360" w:type="dxa"/>
          </w:tcPr>
          <w:p w:rsidR="00744188" w:rsidRDefault="00744188" w:rsidP="00D04D4C">
            <w:pPr>
              <w:pStyle w:val="naiskr"/>
              <w:spacing w:before="0" w:after="0"/>
              <w:jc w:val="center"/>
              <w:rPr>
                <w:sz w:val="22"/>
                <w:szCs w:val="22"/>
              </w:rPr>
            </w:pPr>
            <w:r>
              <w:rPr>
                <w:sz w:val="22"/>
                <w:szCs w:val="22"/>
              </w:rPr>
              <w:t>-</w:t>
            </w:r>
          </w:p>
        </w:tc>
        <w:tc>
          <w:tcPr>
            <w:tcW w:w="4647" w:type="dxa"/>
            <w:gridSpan w:val="2"/>
          </w:tcPr>
          <w:p w:rsidR="00744188" w:rsidRDefault="00744188" w:rsidP="00C77F32">
            <w:pPr>
              <w:pStyle w:val="naiskr"/>
              <w:spacing w:before="0" w:after="0"/>
              <w:jc w:val="both"/>
              <w:rPr>
                <w:color w:val="000000"/>
              </w:rPr>
            </w:pPr>
            <w:r>
              <w:rPr>
                <w:color w:val="000000"/>
              </w:rPr>
              <w:t>Direktīvas 2001/77/EK 3.panta 3.daļa satur tikai dalībvalstij sasitošu pienākumu un tāpēc to nav nepieciešams pārņemt projektā</w:t>
            </w:r>
          </w:p>
          <w:p w:rsidR="00744188" w:rsidRDefault="00744188" w:rsidP="00D04D4C">
            <w:pPr>
              <w:pStyle w:val="naiskr"/>
              <w:spacing w:before="0" w:after="0"/>
              <w:rPr>
                <w:sz w:val="22"/>
                <w:szCs w:val="22"/>
              </w:rPr>
            </w:pPr>
            <w:r>
              <w:t>Ekonomikas ministrija</w:t>
            </w:r>
          </w:p>
        </w:tc>
        <w:tc>
          <w:tcPr>
            <w:tcW w:w="2017" w:type="dxa"/>
          </w:tcPr>
          <w:p w:rsidR="00744188" w:rsidRDefault="00744188" w:rsidP="00D04D4C">
            <w:pPr>
              <w:pStyle w:val="naiskr"/>
              <w:spacing w:before="0" w:after="0"/>
              <w:jc w:val="both"/>
            </w:pPr>
            <w:r>
              <w:t xml:space="preserve">Nacionālais tiesību akts neparedz stingrākas prasības </w:t>
            </w:r>
          </w:p>
          <w:p w:rsidR="00744188" w:rsidRPr="00216027" w:rsidRDefault="00744188" w:rsidP="00D04D4C">
            <w:pPr>
              <w:pStyle w:val="naiskr"/>
              <w:spacing w:before="0" w:after="0"/>
              <w:rPr>
                <w:sz w:val="22"/>
                <w:szCs w:val="22"/>
              </w:rPr>
            </w:pPr>
          </w:p>
        </w:tc>
      </w:tr>
      <w:tr w:rsidR="0020162E" w:rsidRPr="00216027" w:rsidTr="00D14B4E">
        <w:tblPrEx>
          <w:tblCellMar>
            <w:top w:w="28" w:type="dxa"/>
            <w:left w:w="28" w:type="dxa"/>
            <w:bottom w:w="28" w:type="dxa"/>
            <w:right w:w="28" w:type="dxa"/>
          </w:tblCellMar>
          <w:tblLook w:val="0000"/>
        </w:tblPrEx>
        <w:trPr>
          <w:trHeight w:val="949"/>
          <w:jc w:val="center"/>
        </w:trPr>
        <w:tc>
          <w:tcPr>
            <w:tcW w:w="1789" w:type="dxa"/>
            <w:gridSpan w:val="2"/>
          </w:tcPr>
          <w:p w:rsidR="0020162E" w:rsidRDefault="0020162E" w:rsidP="005F6C02">
            <w:pPr>
              <w:pStyle w:val="naiskr"/>
              <w:spacing w:before="0" w:after="0"/>
              <w:rPr>
                <w:sz w:val="22"/>
                <w:szCs w:val="22"/>
              </w:rPr>
            </w:pPr>
            <w:r>
              <w:rPr>
                <w:sz w:val="22"/>
                <w:szCs w:val="22"/>
              </w:rPr>
              <w:t>Direktīvas 2009/28/EK</w:t>
            </w:r>
          </w:p>
          <w:p w:rsidR="0020162E" w:rsidRDefault="0020162E" w:rsidP="005F6C02">
            <w:pPr>
              <w:pStyle w:val="naiskr"/>
              <w:spacing w:before="0" w:after="0"/>
              <w:rPr>
                <w:sz w:val="22"/>
                <w:szCs w:val="22"/>
              </w:rPr>
            </w:pPr>
            <w:r>
              <w:rPr>
                <w:sz w:val="22"/>
                <w:szCs w:val="22"/>
              </w:rPr>
              <w:t>1.pants</w:t>
            </w:r>
          </w:p>
        </w:tc>
        <w:tc>
          <w:tcPr>
            <w:tcW w:w="1360" w:type="dxa"/>
          </w:tcPr>
          <w:p w:rsidR="0020162E" w:rsidRDefault="0020162E" w:rsidP="0004420D">
            <w:pPr>
              <w:pStyle w:val="naiskr"/>
              <w:spacing w:before="0" w:after="0"/>
              <w:jc w:val="center"/>
              <w:rPr>
                <w:sz w:val="22"/>
                <w:szCs w:val="22"/>
              </w:rPr>
            </w:pPr>
            <w:r>
              <w:rPr>
                <w:sz w:val="22"/>
                <w:szCs w:val="22"/>
              </w:rPr>
              <w:t>-</w:t>
            </w:r>
          </w:p>
        </w:tc>
        <w:tc>
          <w:tcPr>
            <w:tcW w:w="4647" w:type="dxa"/>
            <w:gridSpan w:val="2"/>
          </w:tcPr>
          <w:p w:rsidR="0020162E" w:rsidRDefault="0020162E" w:rsidP="00506A7E">
            <w:pPr>
              <w:pStyle w:val="naiskr"/>
              <w:spacing w:before="0" w:after="0"/>
              <w:jc w:val="both"/>
              <w:rPr>
                <w:color w:val="000000"/>
              </w:rPr>
            </w:pPr>
            <w:r>
              <w:rPr>
                <w:color w:val="000000"/>
              </w:rPr>
              <w:t>Norma satur tikai dalībvalstij sa</w:t>
            </w:r>
            <w:r w:rsidR="00C77F32">
              <w:rPr>
                <w:color w:val="000000"/>
              </w:rPr>
              <w:t>is</w:t>
            </w:r>
            <w:r>
              <w:rPr>
                <w:color w:val="000000"/>
              </w:rPr>
              <w:t>tošu pienākumu un tāpēc to nav nepieciešams pārņemt</w:t>
            </w:r>
          </w:p>
        </w:tc>
        <w:tc>
          <w:tcPr>
            <w:tcW w:w="2017" w:type="dxa"/>
          </w:tcPr>
          <w:p w:rsidR="0020162E" w:rsidRDefault="0020162E" w:rsidP="0020162E">
            <w:pPr>
              <w:pStyle w:val="naiskr"/>
              <w:spacing w:before="0" w:after="0"/>
              <w:jc w:val="both"/>
            </w:pPr>
            <w:r>
              <w:t xml:space="preserve">Nacionālais tiesību akts neparedz stingrākas prasības </w:t>
            </w:r>
          </w:p>
          <w:p w:rsidR="0020162E" w:rsidRDefault="0020162E" w:rsidP="0020162E">
            <w:pPr>
              <w:pStyle w:val="naiskr"/>
              <w:spacing w:before="0" w:after="0"/>
              <w:jc w:val="both"/>
            </w:pPr>
          </w:p>
        </w:tc>
      </w:tr>
      <w:tr w:rsidR="005F6C02" w:rsidRPr="00216027" w:rsidTr="00D14B4E">
        <w:tblPrEx>
          <w:tblCellMar>
            <w:top w:w="28" w:type="dxa"/>
            <w:left w:w="28" w:type="dxa"/>
            <w:bottom w:w="28" w:type="dxa"/>
            <w:right w:w="28" w:type="dxa"/>
          </w:tblCellMar>
          <w:tblLook w:val="0000"/>
        </w:tblPrEx>
        <w:trPr>
          <w:trHeight w:val="812"/>
          <w:jc w:val="center"/>
        </w:trPr>
        <w:tc>
          <w:tcPr>
            <w:tcW w:w="1789" w:type="dxa"/>
            <w:gridSpan w:val="2"/>
          </w:tcPr>
          <w:p w:rsidR="005F6C02" w:rsidRPr="006C1949" w:rsidRDefault="005F6C02" w:rsidP="0004420D">
            <w:pPr>
              <w:pStyle w:val="naiskr"/>
              <w:spacing w:before="0" w:after="0"/>
              <w:jc w:val="both"/>
              <w:rPr>
                <w:iCs/>
              </w:rPr>
            </w:pPr>
            <w:r w:rsidRPr="002C0AC5">
              <w:rPr>
                <w:iCs/>
              </w:rPr>
              <w:t xml:space="preserve">Direktīvas </w:t>
            </w:r>
            <w:r w:rsidRPr="002C0AC5">
              <w:rPr>
                <w:bCs/>
              </w:rPr>
              <w:t>2009/28/EK</w:t>
            </w:r>
            <w:r>
              <w:rPr>
                <w:bCs/>
              </w:rPr>
              <w:t xml:space="preserve"> </w:t>
            </w:r>
            <w:r w:rsidRPr="00684A3A">
              <w:t>2.panta a), b), c), d), e), f), h)</w:t>
            </w:r>
          </w:p>
        </w:tc>
        <w:tc>
          <w:tcPr>
            <w:tcW w:w="1360" w:type="dxa"/>
          </w:tcPr>
          <w:p w:rsidR="005F6C02" w:rsidRPr="005A2614" w:rsidRDefault="005F6C02" w:rsidP="0004420D">
            <w:pPr>
              <w:ind w:left="32"/>
              <w:jc w:val="center"/>
            </w:pPr>
            <w:r>
              <w:t>-</w:t>
            </w:r>
          </w:p>
        </w:tc>
        <w:tc>
          <w:tcPr>
            <w:tcW w:w="4647" w:type="dxa"/>
            <w:gridSpan w:val="2"/>
          </w:tcPr>
          <w:p w:rsidR="008949D3" w:rsidRDefault="008949D3" w:rsidP="008949D3">
            <w:pPr>
              <w:ind w:left="67"/>
              <w:jc w:val="both"/>
            </w:pPr>
            <w:r>
              <w:t>Tiks ieviestas ar likumprojektu „A</w:t>
            </w:r>
            <w:r w:rsidRPr="00DF3ECD">
              <w:t>tjaunojamās enerģijas likum</w:t>
            </w:r>
            <w:r>
              <w:t>s”</w:t>
            </w:r>
            <w:r w:rsidR="00345E4F">
              <w:t>.</w:t>
            </w:r>
          </w:p>
          <w:p w:rsidR="008949D3" w:rsidRDefault="008949D3" w:rsidP="008949D3">
            <w:pPr>
              <w:ind w:left="67"/>
              <w:jc w:val="both"/>
            </w:pPr>
          </w:p>
          <w:p w:rsidR="005F6C02" w:rsidRPr="005A2614" w:rsidRDefault="008949D3" w:rsidP="008949D3">
            <w:pPr>
              <w:ind w:left="67"/>
              <w:jc w:val="both"/>
            </w:pPr>
            <w:r>
              <w:t>Ekonomikas ministrija</w:t>
            </w:r>
          </w:p>
        </w:tc>
        <w:tc>
          <w:tcPr>
            <w:tcW w:w="2017" w:type="dxa"/>
          </w:tcPr>
          <w:p w:rsidR="005F6C02" w:rsidRPr="005A2614" w:rsidRDefault="005F6C02" w:rsidP="00DE308B">
            <w:r>
              <w:t>Nav attiecināms</w:t>
            </w:r>
          </w:p>
        </w:tc>
      </w:tr>
      <w:tr w:rsidR="000A02EE" w:rsidRPr="00216027" w:rsidTr="00D14B4E">
        <w:tblPrEx>
          <w:tblCellMar>
            <w:top w:w="28" w:type="dxa"/>
            <w:left w:w="28" w:type="dxa"/>
            <w:bottom w:w="28" w:type="dxa"/>
            <w:right w:w="28" w:type="dxa"/>
          </w:tblCellMar>
          <w:tblLook w:val="0000"/>
        </w:tblPrEx>
        <w:trPr>
          <w:trHeight w:val="812"/>
          <w:jc w:val="center"/>
        </w:trPr>
        <w:tc>
          <w:tcPr>
            <w:tcW w:w="1789" w:type="dxa"/>
            <w:gridSpan w:val="2"/>
          </w:tcPr>
          <w:p w:rsidR="000A02EE" w:rsidRPr="002C0AC5" w:rsidRDefault="000A02EE" w:rsidP="006C1949">
            <w:pPr>
              <w:pStyle w:val="naiskr"/>
              <w:spacing w:before="0" w:after="0"/>
              <w:jc w:val="both"/>
              <w:rPr>
                <w:iCs/>
              </w:rPr>
            </w:pPr>
            <w:r w:rsidRPr="002C0AC5">
              <w:rPr>
                <w:iCs/>
              </w:rPr>
              <w:t xml:space="preserve">Direktīvas </w:t>
            </w:r>
            <w:r w:rsidRPr="002C0AC5">
              <w:rPr>
                <w:bCs/>
              </w:rPr>
              <w:t>2009/28/EK</w:t>
            </w:r>
            <w:r>
              <w:rPr>
                <w:bCs/>
              </w:rPr>
              <w:t xml:space="preserve"> </w:t>
            </w:r>
            <w:r w:rsidRPr="00684A3A">
              <w:t>2.panta g)</w:t>
            </w:r>
          </w:p>
        </w:tc>
        <w:tc>
          <w:tcPr>
            <w:tcW w:w="1360" w:type="dxa"/>
          </w:tcPr>
          <w:p w:rsidR="000A02EE" w:rsidRDefault="000A02EE" w:rsidP="0004420D">
            <w:pPr>
              <w:ind w:left="32"/>
              <w:jc w:val="center"/>
            </w:pPr>
            <w:r>
              <w:t>-</w:t>
            </w:r>
          </w:p>
        </w:tc>
        <w:tc>
          <w:tcPr>
            <w:tcW w:w="4647" w:type="dxa"/>
            <w:gridSpan w:val="2"/>
          </w:tcPr>
          <w:p w:rsidR="000A02EE" w:rsidRDefault="000A02EE" w:rsidP="000A02EE">
            <w:pPr>
              <w:ind w:left="67"/>
              <w:jc w:val="both"/>
            </w:pPr>
            <w:r>
              <w:t>Tiks ieviestas ar likumprojektu „A</w:t>
            </w:r>
            <w:r w:rsidRPr="00DF3ECD">
              <w:t>tjaunojamās enerģijas likum</w:t>
            </w:r>
            <w:r>
              <w:t>s”.</w:t>
            </w:r>
          </w:p>
          <w:p w:rsidR="000A02EE" w:rsidRDefault="000A02EE" w:rsidP="00506A7E">
            <w:pPr>
              <w:ind w:left="67"/>
              <w:jc w:val="both"/>
            </w:pPr>
            <w:r>
              <w:t>Enerģētikas likuma 1 IX nodaļa. Siltumapgādes sistēma.</w:t>
            </w:r>
          </w:p>
          <w:p w:rsidR="000A02EE" w:rsidRPr="005A2614" w:rsidRDefault="000A02EE" w:rsidP="00D04D4C">
            <w:pPr>
              <w:ind w:left="67"/>
            </w:pPr>
            <w:r>
              <w:t>Ekonomikas ministrija</w:t>
            </w:r>
          </w:p>
        </w:tc>
        <w:tc>
          <w:tcPr>
            <w:tcW w:w="2017" w:type="dxa"/>
          </w:tcPr>
          <w:p w:rsidR="000A02EE" w:rsidRPr="005A2614" w:rsidRDefault="000A02EE" w:rsidP="00D04D4C">
            <w:pPr>
              <w:ind w:left="131"/>
            </w:pPr>
            <w:r>
              <w:t>Nacionālais tiesību akts neparedz stingrākas prasības</w:t>
            </w:r>
          </w:p>
        </w:tc>
      </w:tr>
      <w:tr w:rsidR="000A02EE"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A02EE" w:rsidRPr="006C1949" w:rsidRDefault="000A02EE" w:rsidP="006C1949">
            <w:pPr>
              <w:pStyle w:val="naiskr"/>
              <w:spacing w:before="0" w:after="0"/>
              <w:jc w:val="both"/>
              <w:rPr>
                <w:iCs/>
              </w:rPr>
            </w:pPr>
            <w:r w:rsidRPr="002C0AC5">
              <w:rPr>
                <w:iCs/>
              </w:rPr>
              <w:t xml:space="preserve">Direktīvas </w:t>
            </w:r>
            <w:r w:rsidRPr="002C0AC5">
              <w:rPr>
                <w:bCs/>
              </w:rPr>
              <w:t>2009/28/EK</w:t>
            </w:r>
            <w:r>
              <w:rPr>
                <w:bCs/>
              </w:rPr>
              <w:t xml:space="preserve"> </w:t>
            </w:r>
            <w:r w:rsidRPr="006C1949">
              <w:t>2.panta i)</w:t>
            </w:r>
          </w:p>
        </w:tc>
        <w:tc>
          <w:tcPr>
            <w:tcW w:w="1360" w:type="dxa"/>
          </w:tcPr>
          <w:p w:rsidR="000A02EE" w:rsidRDefault="000A02EE" w:rsidP="0004420D">
            <w:pPr>
              <w:pStyle w:val="naiskr"/>
              <w:spacing w:before="0" w:after="0"/>
              <w:jc w:val="center"/>
            </w:pPr>
            <w:r>
              <w:t>-</w:t>
            </w:r>
          </w:p>
          <w:p w:rsidR="000A02EE" w:rsidRPr="00216027" w:rsidRDefault="000A02EE" w:rsidP="0004420D">
            <w:pPr>
              <w:pStyle w:val="naiskr"/>
              <w:spacing w:before="0" w:after="0"/>
              <w:jc w:val="center"/>
              <w:rPr>
                <w:sz w:val="22"/>
                <w:szCs w:val="22"/>
              </w:rPr>
            </w:pPr>
          </w:p>
        </w:tc>
        <w:tc>
          <w:tcPr>
            <w:tcW w:w="4647" w:type="dxa"/>
            <w:gridSpan w:val="2"/>
          </w:tcPr>
          <w:p w:rsidR="000A02EE" w:rsidRDefault="000A02EE" w:rsidP="00D04D4C">
            <w:pPr>
              <w:pStyle w:val="naiskr"/>
              <w:spacing w:before="0" w:after="0"/>
              <w:jc w:val="both"/>
            </w:pPr>
            <w:r>
              <w:t>Biodegvielas</w:t>
            </w:r>
            <w:r w:rsidR="00744188">
              <w:t xml:space="preserve"> likuma</w:t>
            </w:r>
            <w:r>
              <w:t xml:space="preserve"> 1.panta 1.punkts.</w:t>
            </w:r>
          </w:p>
          <w:p w:rsidR="000A02EE" w:rsidRPr="00216027" w:rsidRDefault="000A02EE" w:rsidP="00D04D4C">
            <w:pPr>
              <w:pStyle w:val="naiskr"/>
              <w:spacing w:before="0" w:after="0"/>
              <w:jc w:val="both"/>
              <w:rPr>
                <w:sz w:val="22"/>
                <w:szCs w:val="22"/>
              </w:rPr>
            </w:pPr>
          </w:p>
        </w:tc>
        <w:tc>
          <w:tcPr>
            <w:tcW w:w="2017" w:type="dxa"/>
          </w:tcPr>
          <w:p w:rsidR="000A02EE" w:rsidRDefault="000A02EE" w:rsidP="00D04D4C">
            <w:pPr>
              <w:pStyle w:val="naiskr"/>
              <w:spacing w:before="0" w:after="0"/>
              <w:jc w:val="both"/>
            </w:pPr>
            <w:r>
              <w:t xml:space="preserve">Nacionālais tiesību akts neparedz stingrākas prasības </w:t>
            </w:r>
          </w:p>
          <w:p w:rsidR="000A02EE" w:rsidRPr="00216027" w:rsidRDefault="000A02EE" w:rsidP="00D04D4C">
            <w:pPr>
              <w:pStyle w:val="naiskr"/>
              <w:spacing w:before="0" w:after="0"/>
              <w:rPr>
                <w:sz w:val="22"/>
                <w:szCs w:val="22"/>
              </w:rPr>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6C1949" w:rsidRDefault="0004420D" w:rsidP="006C1949">
            <w:pPr>
              <w:pStyle w:val="naiskr"/>
              <w:spacing w:before="0" w:after="0"/>
              <w:jc w:val="both"/>
              <w:rPr>
                <w:iCs/>
              </w:rPr>
            </w:pPr>
            <w:r w:rsidRPr="002C0AC5">
              <w:rPr>
                <w:iCs/>
              </w:rPr>
              <w:t xml:space="preserve">Direktīvas </w:t>
            </w:r>
            <w:r w:rsidRPr="002C0AC5">
              <w:rPr>
                <w:bCs/>
              </w:rPr>
              <w:t>2009/28/EK</w:t>
            </w:r>
            <w:r>
              <w:rPr>
                <w:bCs/>
              </w:rPr>
              <w:t xml:space="preserve"> </w:t>
            </w:r>
            <w:r w:rsidRPr="00DE308B">
              <w:t>2.panta j)</w:t>
            </w:r>
          </w:p>
        </w:tc>
        <w:tc>
          <w:tcPr>
            <w:tcW w:w="1360" w:type="dxa"/>
          </w:tcPr>
          <w:p w:rsidR="0004420D" w:rsidRPr="00DE308B" w:rsidRDefault="0004420D" w:rsidP="0004420D">
            <w:pPr>
              <w:ind w:left="32"/>
              <w:jc w:val="center"/>
            </w:pPr>
            <w:r>
              <w:t>-</w:t>
            </w:r>
          </w:p>
        </w:tc>
        <w:tc>
          <w:tcPr>
            <w:tcW w:w="4647" w:type="dxa"/>
            <w:gridSpan w:val="2"/>
          </w:tcPr>
          <w:p w:rsidR="000A02EE" w:rsidRDefault="000A02EE" w:rsidP="00506A7E">
            <w:pPr>
              <w:spacing w:before="100" w:beforeAutospacing="1" w:after="100" w:afterAutospacing="1" w:line="191" w:lineRule="atLeast"/>
              <w:ind w:left="71"/>
              <w:jc w:val="both"/>
            </w:pPr>
            <w:r>
              <w:t xml:space="preserve">Tiks ieviests daļēji ar </w:t>
            </w:r>
            <w:r w:rsidR="0004420D">
              <w:t>likumprojektu „A</w:t>
            </w:r>
            <w:r w:rsidR="0004420D" w:rsidRPr="00DF3ECD">
              <w:t>tjaunojamās enerģijas likum</w:t>
            </w:r>
            <w:r w:rsidR="0004420D">
              <w:t>s”.</w:t>
            </w:r>
            <w:r>
              <w:t xml:space="preserve"> Pilnīga ieviešana paredzēta ar tam pakārotiem Ministru kabineta noteikumiem </w:t>
            </w:r>
          </w:p>
          <w:p w:rsidR="0004420D" w:rsidRPr="005A2614" w:rsidRDefault="0004420D" w:rsidP="008949D3">
            <w:pPr>
              <w:ind w:left="67"/>
              <w:jc w:val="both"/>
            </w:pPr>
            <w:r>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822"/>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r>
              <w:rPr>
                <w:bCs/>
              </w:rPr>
              <w:t xml:space="preserve"> </w:t>
            </w:r>
            <w:r>
              <w:t>2.panta k)</w:t>
            </w:r>
            <w:r w:rsidR="000A02EE">
              <w:t>, l)</w:t>
            </w:r>
          </w:p>
        </w:tc>
        <w:tc>
          <w:tcPr>
            <w:tcW w:w="1360" w:type="dxa"/>
          </w:tcPr>
          <w:p w:rsidR="000A02EE" w:rsidRDefault="0082102B" w:rsidP="000A02EE">
            <w:pPr>
              <w:ind w:left="32"/>
              <w:jc w:val="center"/>
            </w:pPr>
            <w:r>
              <w:t>21</w:t>
            </w:r>
            <w:r w:rsidR="000A02EE">
              <w:t>.pants</w:t>
            </w:r>
          </w:p>
          <w:p w:rsidR="0004420D" w:rsidRDefault="0004420D" w:rsidP="0004420D">
            <w:pPr>
              <w:ind w:left="32"/>
              <w:jc w:val="center"/>
            </w:pPr>
          </w:p>
        </w:tc>
        <w:tc>
          <w:tcPr>
            <w:tcW w:w="4647" w:type="dxa"/>
            <w:gridSpan w:val="2"/>
          </w:tcPr>
          <w:p w:rsidR="0004420D" w:rsidRDefault="0004420D" w:rsidP="00C71C8A">
            <w:pPr>
              <w:ind w:left="67"/>
              <w:jc w:val="both"/>
              <w:rPr>
                <w:color w:val="000000"/>
              </w:rPr>
            </w:pPr>
            <w:r>
              <w:rPr>
                <w:color w:val="000000"/>
              </w:rPr>
              <w:t>Norma satur tikai dalībvalstij sa</w:t>
            </w:r>
            <w:r w:rsidR="00C77F32">
              <w:rPr>
                <w:color w:val="000000"/>
              </w:rPr>
              <w:t>is</w:t>
            </w:r>
            <w:r>
              <w:rPr>
                <w:color w:val="000000"/>
              </w:rPr>
              <w:t>tošu pienākumu un tāpēc to nav nepieciešams pārņemt</w:t>
            </w:r>
          </w:p>
          <w:p w:rsidR="000A02EE" w:rsidRDefault="000A02EE" w:rsidP="00506A7E">
            <w:pPr>
              <w:ind w:left="67"/>
              <w:jc w:val="both"/>
            </w:pPr>
            <w:r>
              <w:t>Ieviests pilnībā ar ETL 28., 28.</w:t>
            </w:r>
            <w:r>
              <w:rPr>
                <w:vertAlign w:val="superscript"/>
              </w:rPr>
              <w:t xml:space="preserve">1 </w:t>
            </w:r>
            <w:r>
              <w:t>29., 29.</w:t>
            </w:r>
            <w:r>
              <w:rPr>
                <w:vertAlign w:val="superscript"/>
              </w:rPr>
              <w:t xml:space="preserve">1 </w:t>
            </w:r>
            <w:r w:rsidRPr="008949D3">
              <w:t>un 30.</w:t>
            </w:r>
            <w:r>
              <w:t>pantu un tiem pakārotajiem, spēkā esošajiem MK noteikumiem</w:t>
            </w:r>
          </w:p>
          <w:p w:rsidR="000A02EE" w:rsidRPr="005A2614" w:rsidRDefault="000A02EE" w:rsidP="000A02EE">
            <w:pPr>
              <w:ind w:left="67"/>
              <w:jc w:val="both"/>
            </w:pPr>
            <w:r>
              <w:t>Tiks ieviestas ar likumprojektu „A</w:t>
            </w:r>
            <w:r w:rsidRPr="00DF3ECD">
              <w:t>tjaunojamās enerģijas likum</w:t>
            </w:r>
            <w:r>
              <w:t>s”.</w:t>
            </w:r>
          </w:p>
        </w:tc>
        <w:tc>
          <w:tcPr>
            <w:tcW w:w="2017" w:type="dxa"/>
          </w:tcPr>
          <w:p w:rsidR="0004420D" w:rsidRPr="005A2614" w:rsidRDefault="0004420D" w:rsidP="008949D3">
            <w:pPr>
              <w:pStyle w:val="naiskr"/>
              <w:spacing w:before="0" w:after="0"/>
              <w:jc w:val="both"/>
            </w:pPr>
            <w:r>
              <w:t xml:space="preserve">Nacionālais tiesību akts neparedz stingrākas prasības </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770BA7" w:rsidRDefault="0004420D" w:rsidP="006C1949">
            <w:r w:rsidRPr="00770BA7">
              <w:t>2.panta m)</w:t>
            </w:r>
            <w:r>
              <w:t>, n), o)</w:t>
            </w:r>
          </w:p>
        </w:tc>
        <w:tc>
          <w:tcPr>
            <w:tcW w:w="1360" w:type="dxa"/>
          </w:tcPr>
          <w:p w:rsidR="0004420D" w:rsidRPr="005A2614" w:rsidRDefault="0004420D" w:rsidP="0004420D">
            <w:pPr>
              <w:ind w:left="32"/>
              <w:jc w:val="center"/>
            </w:pPr>
            <w:r>
              <w:t>-</w:t>
            </w:r>
          </w:p>
        </w:tc>
        <w:tc>
          <w:tcPr>
            <w:tcW w:w="4647" w:type="dxa"/>
            <w:gridSpan w:val="2"/>
          </w:tcPr>
          <w:p w:rsidR="0004420D" w:rsidRDefault="0004420D" w:rsidP="0066057B">
            <w:pPr>
              <w:pStyle w:val="naiskr"/>
              <w:spacing w:before="0" w:after="0"/>
              <w:jc w:val="both"/>
              <w:rPr>
                <w:bCs/>
              </w:rPr>
            </w:pPr>
            <w:r>
              <w:t>T</w:t>
            </w:r>
            <w:r w:rsidRPr="009C3286">
              <w:t>iks ieviesta</w:t>
            </w:r>
            <w:r>
              <w:t>s,</w:t>
            </w:r>
            <w:r w:rsidRPr="009C3286">
              <w:t xml:space="preserve"> izstrādājot Ministru kabineta noteikumus, kas nosaka </w:t>
            </w:r>
            <w:r w:rsidRPr="009C3286">
              <w:rPr>
                <w:bCs/>
              </w:rPr>
              <w:t xml:space="preserve">biodegvielu ilgtspējības kritērijus un to ieviešanas </w:t>
            </w:r>
            <w:r w:rsidRPr="009C3286">
              <w:rPr>
                <w:bCs/>
              </w:rPr>
              <w:lastRenderedPageBreak/>
              <w:t>mehānismu, uzskaites un kontroles kārtību.</w:t>
            </w:r>
          </w:p>
          <w:p w:rsidR="0004420D" w:rsidRPr="005A2614" w:rsidRDefault="0004420D" w:rsidP="0066057B">
            <w:pPr>
              <w:pStyle w:val="naiskr"/>
              <w:spacing w:before="0" w:after="0"/>
              <w:jc w:val="both"/>
            </w:pPr>
            <w:r>
              <w:rPr>
                <w:bCs/>
              </w:rPr>
              <w:t>Ekonomikas ministrija</w:t>
            </w:r>
          </w:p>
        </w:tc>
        <w:tc>
          <w:tcPr>
            <w:tcW w:w="2017" w:type="dxa"/>
          </w:tcPr>
          <w:p w:rsidR="0004420D" w:rsidRPr="005A2614" w:rsidRDefault="0004420D" w:rsidP="00D07CA3">
            <w:r>
              <w:lastRenderedPageBreak/>
              <w:t>Nav attiecināms</w:t>
            </w:r>
          </w:p>
        </w:tc>
      </w:tr>
      <w:tr w:rsidR="000A02EE" w:rsidRPr="00216027" w:rsidTr="00D14B4E">
        <w:tblPrEx>
          <w:tblCellMar>
            <w:top w:w="28" w:type="dxa"/>
            <w:left w:w="28" w:type="dxa"/>
            <w:bottom w:w="28" w:type="dxa"/>
            <w:right w:w="28" w:type="dxa"/>
          </w:tblCellMar>
          <w:tblLook w:val="0000"/>
        </w:tblPrEx>
        <w:trPr>
          <w:trHeight w:val="382"/>
          <w:jc w:val="center"/>
        </w:trPr>
        <w:tc>
          <w:tcPr>
            <w:tcW w:w="1789" w:type="dxa"/>
            <w:gridSpan w:val="2"/>
          </w:tcPr>
          <w:p w:rsidR="000A02EE" w:rsidRDefault="000A02EE" w:rsidP="000A02EE">
            <w:pPr>
              <w:rPr>
                <w:bCs/>
              </w:rPr>
            </w:pPr>
            <w:r w:rsidRPr="002C0AC5">
              <w:rPr>
                <w:iCs/>
              </w:rPr>
              <w:lastRenderedPageBreak/>
              <w:t xml:space="preserve">Direktīvas </w:t>
            </w:r>
            <w:r w:rsidRPr="002C0AC5">
              <w:rPr>
                <w:bCs/>
              </w:rPr>
              <w:t>2009/28/EK</w:t>
            </w:r>
          </w:p>
          <w:p w:rsidR="000A02EE" w:rsidRPr="005A2614" w:rsidRDefault="000A02EE" w:rsidP="000A02EE">
            <w:r>
              <w:rPr>
                <w:bCs/>
              </w:rPr>
              <w:t>3.pants 1.-3.punkts</w:t>
            </w:r>
          </w:p>
        </w:tc>
        <w:tc>
          <w:tcPr>
            <w:tcW w:w="1360" w:type="dxa"/>
          </w:tcPr>
          <w:p w:rsidR="000A02EE" w:rsidRPr="005A2614" w:rsidRDefault="0082102B" w:rsidP="000A02EE">
            <w:pPr>
              <w:ind w:left="32"/>
              <w:jc w:val="center"/>
            </w:pPr>
            <w:r>
              <w:t xml:space="preserve">21.,22. </w:t>
            </w:r>
            <w:r w:rsidR="000A02EE">
              <w:t>pants</w:t>
            </w:r>
          </w:p>
        </w:tc>
        <w:tc>
          <w:tcPr>
            <w:tcW w:w="4647" w:type="dxa"/>
            <w:gridSpan w:val="2"/>
          </w:tcPr>
          <w:p w:rsidR="000A02EE" w:rsidRDefault="000A02EE" w:rsidP="008949D3">
            <w:pPr>
              <w:ind w:left="67"/>
              <w:jc w:val="both"/>
            </w:pPr>
            <w:r>
              <w:t>Tiks ieviestas ar likumprojektu „A</w:t>
            </w:r>
            <w:r w:rsidRPr="00DF3ECD">
              <w:t>tjaunojamās enerģijas likum</w:t>
            </w:r>
            <w:r>
              <w:t>s”.</w:t>
            </w:r>
          </w:p>
          <w:p w:rsidR="000A02EE" w:rsidRPr="00450931" w:rsidRDefault="000A02EE" w:rsidP="000A02EE">
            <w:pPr>
              <w:pStyle w:val="naiskr"/>
              <w:spacing w:before="0" w:after="0"/>
              <w:ind w:left="127"/>
              <w:jc w:val="both"/>
              <w:rPr>
                <w:color w:val="000000"/>
              </w:rPr>
            </w:pPr>
            <w:r>
              <w:t>Direktīvas 2009/28/EK 3.pantam  atbilsts spēkā esošais regulējums: ETL 28., 28.</w:t>
            </w:r>
            <w:r>
              <w:rPr>
                <w:vertAlign w:val="superscript"/>
              </w:rPr>
              <w:t xml:space="preserve">1 </w:t>
            </w:r>
            <w:r>
              <w:t>29., 29.</w:t>
            </w:r>
            <w:r>
              <w:rPr>
                <w:vertAlign w:val="superscript"/>
              </w:rPr>
              <w:t xml:space="preserve">1 </w:t>
            </w:r>
            <w:r w:rsidRPr="008949D3">
              <w:t>un 30.</w:t>
            </w:r>
            <w:r>
              <w:t xml:space="preserve">pantu un tiem pakārotajiem, spēkā esošajiem MK noteikumiem (MK 16.03.2010 noteikumi Nr.262, MK 10.03.2009 noteikumi Nr.221). </w:t>
            </w:r>
          </w:p>
          <w:p w:rsidR="000A02EE" w:rsidRDefault="000A02EE" w:rsidP="008949D3">
            <w:pPr>
              <w:ind w:left="67"/>
              <w:jc w:val="both"/>
            </w:pPr>
          </w:p>
          <w:p w:rsidR="000A02EE" w:rsidRPr="005A2614" w:rsidRDefault="000A02EE" w:rsidP="008949D3">
            <w:pPr>
              <w:ind w:left="71"/>
              <w:jc w:val="both"/>
            </w:pPr>
            <w:r>
              <w:t>Ekonomikas ministrija</w:t>
            </w:r>
          </w:p>
        </w:tc>
        <w:tc>
          <w:tcPr>
            <w:tcW w:w="2017" w:type="dxa"/>
          </w:tcPr>
          <w:p w:rsidR="000A02EE" w:rsidRDefault="000A02EE" w:rsidP="00D04D4C">
            <w:r>
              <w:t>Nacionālais tiesību akts neparedz stingrākas prasības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173BCA" w:rsidRDefault="0004420D" w:rsidP="00173BCA">
            <w:pPr>
              <w:pStyle w:val="naiskr"/>
              <w:spacing w:before="0" w:after="0"/>
              <w:jc w:val="both"/>
              <w:rPr>
                <w:iCs/>
              </w:rPr>
            </w:pPr>
            <w:r w:rsidRPr="00173BCA">
              <w:rPr>
                <w:iCs/>
              </w:rPr>
              <w:t xml:space="preserve">Direktīvas </w:t>
            </w:r>
            <w:r w:rsidRPr="00173BCA">
              <w:rPr>
                <w:bCs/>
              </w:rPr>
              <w:t>2009/28/EK</w:t>
            </w:r>
          </w:p>
          <w:p w:rsidR="0004420D" w:rsidRPr="00173BCA" w:rsidRDefault="0004420D" w:rsidP="00184E8D">
            <w:pPr>
              <w:pStyle w:val="naiskr"/>
              <w:spacing w:before="0" w:after="0"/>
              <w:jc w:val="both"/>
              <w:rPr>
                <w:iCs/>
              </w:rPr>
            </w:pPr>
            <w:r w:rsidRPr="00173BCA">
              <w:t>3.panta 4.punkt</w:t>
            </w:r>
            <w:r>
              <w:t>s</w:t>
            </w:r>
            <w:r w:rsidRPr="00173BCA">
              <w:t xml:space="preserve"> </w:t>
            </w:r>
          </w:p>
        </w:tc>
        <w:tc>
          <w:tcPr>
            <w:tcW w:w="1360" w:type="dxa"/>
          </w:tcPr>
          <w:p w:rsidR="0004420D" w:rsidRPr="00173BCA" w:rsidRDefault="0004420D" w:rsidP="000A02EE">
            <w:pPr>
              <w:pStyle w:val="naiskr"/>
              <w:spacing w:before="0" w:after="0"/>
              <w:jc w:val="center"/>
            </w:pPr>
            <w:r w:rsidRPr="00173BCA">
              <w:t>-</w:t>
            </w:r>
          </w:p>
        </w:tc>
        <w:tc>
          <w:tcPr>
            <w:tcW w:w="4647" w:type="dxa"/>
            <w:gridSpan w:val="2"/>
          </w:tcPr>
          <w:p w:rsidR="0004420D" w:rsidRDefault="0004420D" w:rsidP="00C71C8A">
            <w:pPr>
              <w:ind w:left="67"/>
              <w:jc w:val="both"/>
            </w:pPr>
            <w:r>
              <w:t>Tiks ievie</w:t>
            </w:r>
            <w:r w:rsidR="00C77F32">
              <w:t>stas ar likumprojektu „Grozījumi</w:t>
            </w:r>
            <w:r>
              <w:t xml:space="preserve"> Biodegvielas likumā”.</w:t>
            </w:r>
          </w:p>
          <w:p w:rsidR="0004420D" w:rsidRDefault="0004420D" w:rsidP="00C71C8A">
            <w:pPr>
              <w:ind w:left="67"/>
              <w:jc w:val="both"/>
            </w:pPr>
          </w:p>
          <w:p w:rsidR="0004420D" w:rsidRPr="005A2614" w:rsidRDefault="0004420D" w:rsidP="00C71C8A">
            <w:pPr>
              <w:ind w:left="71"/>
              <w:jc w:val="both"/>
            </w:pPr>
            <w:r>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6C1949" w:rsidRDefault="0004420D" w:rsidP="00EE0211">
            <w:pPr>
              <w:pStyle w:val="naiskr"/>
              <w:spacing w:before="0" w:after="0"/>
              <w:rPr>
                <w:iCs/>
              </w:rPr>
            </w:pPr>
            <w:r w:rsidRPr="002C0AC5">
              <w:rPr>
                <w:iCs/>
              </w:rPr>
              <w:t xml:space="preserve">Direktīvas </w:t>
            </w:r>
            <w:r w:rsidRPr="002C0AC5">
              <w:rPr>
                <w:bCs/>
              </w:rPr>
              <w:t>2009/28/EK</w:t>
            </w:r>
            <w:r>
              <w:rPr>
                <w:bCs/>
              </w:rPr>
              <w:t xml:space="preserve"> </w:t>
            </w:r>
            <w:r w:rsidRPr="00015AE5">
              <w:t>4. pants</w:t>
            </w:r>
          </w:p>
        </w:tc>
        <w:tc>
          <w:tcPr>
            <w:tcW w:w="1360" w:type="dxa"/>
          </w:tcPr>
          <w:p w:rsidR="0004420D" w:rsidRPr="00015AE5" w:rsidRDefault="0004420D" w:rsidP="000A02EE">
            <w:pPr>
              <w:ind w:left="32"/>
              <w:jc w:val="center"/>
            </w:pPr>
            <w:r w:rsidRPr="00015AE5">
              <w:t>-</w:t>
            </w:r>
          </w:p>
        </w:tc>
        <w:tc>
          <w:tcPr>
            <w:tcW w:w="4647" w:type="dxa"/>
            <w:gridSpan w:val="2"/>
          </w:tcPr>
          <w:p w:rsidR="0004420D" w:rsidRDefault="0004420D" w:rsidP="00D04D4C">
            <w:pPr>
              <w:ind w:left="32"/>
              <w:jc w:val="both"/>
            </w:pPr>
            <w:r w:rsidRPr="00015AE5">
              <w:t>Direktīvas 2009/28/EK 4.panta prasības ir izpildītas.</w:t>
            </w:r>
          </w:p>
          <w:p w:rsidR="0004420D" w:rsidRPr="00F33D90" w:rsidRDefault="0004420D" w:rsidP="00D04D4C">
            <w:pPr>
              <w:ind w:left="32"/>
              <w:jc w:val="both"/>
              <w:rPr>
                <w:color w:val="000000"/>
              </w:rPr>
            </w:pPr>
            <w:r>
              <w:rPr>
                <w:color w:val="000000"/>
              </w:rPr>
              <w:t>Norma satur tikai dalībvalstij sasitošu pienākumu un tāpēc to nav nepieciešams pārņemt.</w:t>
            </w:r>
          </w:p>
        </w:tc>
        <w:tc>
          <w:tcPr>
            <w:tcW w:w="2017" w:type="dxa"/>
          </w:tcPr>
          <w:p w:rsidR="0004420D" w:rsidRPr="006C71C8" w:rsidRDefault="0004420D" w:rsidP="00D04D4C">
            <w:pPr>
              <w:rPr>
                <w:color w:val="FF0000"/>
              </w:rPr>
            </w:pPr>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6C1949" w:rsidRDefault="0004420D" w:rsidP="00184E8D">
            <w:pPr>
              <w:pStyle w:val="naiskr"/>
              <w:spacing w:before="0" w:after="0"/>
              <w:jc w:val="both"/>
              <w:rPr>
                <w:iCs/>
              </w:rPr>
            </w:pPr>
            <w:r w:rsidRPr="002C0AC5">
              <w:rPr>
                <w:iCs/>
              </w:rPr>
              <w:t xml:space="preserve">Direktīvas </w:t>
            </w:r>
            <w:r w:rsidRPr="002C0AC5">
              <w:rPr>
                <w:bCs/>
              </w:rPr>
              <w:t>2009/28/EK</w:t>
            </w:r>
            <w:r>
              <w:rPr>
                <w:bCs/>
              </w:rPr>
              <w:t xml:space="preserve"> </w:t>
            </w:r>
            <w:r>
              <w:t>5.pants</w:t>
            </w:r>
          </w:p>
        </w:tc>
        <w:tc>
          <w:tcPr>
            <w:tcW w:w="1360" w:type="dxa"/>
          </w:tcPr>
          <w:p w:rsidR="0004420D" w:rsidRPr="009538E8" w:rsidRDefault="0004420D" w:rsidP="000A02EE">
            <w:pPr>
              <w:ind w:left="32"/>
              <w:jc w:val="center"/>
            </w:pPr>
            <w:r w:rsidRPr="009538E8">
              <w:t>-</w:t>
            </w:r>
          </w:p>
        </w:tc>
        <w:tc>
          <w:tcPr>
            <w:tcW w:w="4647" w:type="dxa"/>
            <w:gridSpan w:val="2"/>
          </w:tcPr>
          <w:p w:rsidR="0004420D" w:rsidRDefault="000A02EE" w:rsidP="00C71C8A">
            <w:pPr>
              <w:ind w:left="67"/>
              <w:jc w:val="both"/>
            </w:pPr>
            <w:r>
              <w:t xml:space="preserve">Tiks ieviests daļēji ar </w:t>
            </w:r>
            <w:r w:rsidR="0004420D">
              <w:t>likumprojektu „A</w:t>
            </w:r>
            <w:r w:rsidR="0004420D" w:rsidRPr="00DF3ECD">
              <w:t>tjaunojamās enerģijas likum</w:t>
            </w:r>
            <w:r w:rsidR="0004420D">
              <w:t>s”.</w:t>
            </w:r>
          </w:p>
          <w:p w:rsidR="000A02EE" w:rsidRPr="002F4216" w:rsidRDefault="000A02EE" w:rsidP="00506A7E">
            <w:pPr>
              <w:spacing w:before="100" w:beforeAutospacing="1" w:after="100" w:afterAutospacing="1" w:line="191" w:lineRule="atLeast"/>
              <w:ind w:left="71"/>
              <w:jc w:val="both"/>
            </w:pPr>
            <w:r w:rsidRPr="002F4216">
              <w:t>Pilnīga ieviešana paredzēta ar</w:t>
            </w:r>
            <w:r>
              <w:t xml:space="preserve"> grozījumiem Biodegvielas likumā un</w:t>
            </w:r>
            <w:r w:rsidRPr="002F4216">
              <w:t xml:space="preserve"> Ministru kabineta noteikumiem </w:t>
            </w:r>
          </w:p>
          <w:p w:rsidR="0004420D" w:rsidRPr="005A2614" w:rsidRDefault="000A02EE" w:rsidP="00506A7E">
            <w:pPr>
              <w:ind w:left="67"/>
              <w:jc w:val="both"/>
            </w:pPr>
            <w:r w:rsidRPr="002F4216">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9538E8" w:rsidRDefault="0004420D" w:rsidP="005E04C9">
            <w:r w:rsidRPr="009538E8">
              <w:t>12.pants</w:t>
            </w:r>
          </w:p>
        </w:tc>
        <w:tc>
          <w:tcPr>
            <w:tcW w:w="1360" w:type="dxa"/>
          </w:tcPr>
          <w:p w:rsidR="0004420D" w:rsidRPr="009538E8" w:rsidRDefault="0004420D" w:rsidP="000A02EE">
            <w:pPr>
              <w:ind w:left="32"/>
              <w:jc w:val="center"/>
            </w:pPr>
            <w:r w:rsidRPr="009538E8">
              <w:t>-</w:t>
            </w:r>
          </w:p>
        </w:tc>
        <w:tc>
          <w:tcPr>
            <w:tcW w:w="4647" w:type="dxa"/>
            <w:gridSpan w:val="2"/>
          </w:tcPr>
          <w:p w:rsidR="0004420D" w:rsidRDefault="0004420D" w:rsidP="00C71C8A">
            <w:pPr>
              <w:ind w:left="67"/>
              <w:jc w:val="both"/>
            </w:pPr>
            <w:r>
              <w:t>Tiks ieviestas ar likumprojektu „A</w:t>
            </w:r>
            <w:r w:rsidRPr="00DF3ECD">
              <w:t>tjaunojamās enerģijas likum</w:t>
            </w:r>
            <w:r>
              <w:t>s”.</w:t>
            </w:r>
          </w:p>
          <w:p w:rsidR="0004420D" w:rsidRDefault="0004420D" w:rsidP="00C71C8A">
            <w:pPr>
              <w:ind w:left="67"/>
              <w:jc w:val="both"/>
            </w:pPr>
          </w:p>
          <w:p w:rsidR="0004420D" w:rsidRPr="005A2614" w:rsidRDefault="0004420D" w:rsidP="00C71C8A">
            <w:pPr>
              <w:ind w:left="71"/>
              <w:jc w:val="both"/>
            </w:pPr>
            <w:r>
              <w:t>Ekonomikas ministrija</w:t>
            </w:r>
          </w:p>
        </w:tc>
        <w:tc>
          <w:tcPr>
            <w:tcW w:w="2017" w:type="dxa"/>
          </w:tcPr>
          <w:p w:rsidR="0004420D" w:rsidRPr="005A2614" w:rsidRDefault="0004420D" w:rsidP="00C71C8A">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2D25AB">
            <w:pPr>
              <w:pStyle w:val="naiskr"/>
              <w:spacing w:before="0" w:after="0"/>
              <w:jc w:val="both"/>
              <w:rPr>
                <w:iCs/>
              </w:rPr>
            </w:pPr>
            <w:r w:rsidRPr="002C0AC5">
              <w:rPr>
                <w:iCs/>
              </w:rPr>
              <w:t xml:space="preserve">Direktīvas </w:t>
            </w:r>
            <w:r w:rsidRPr="002C0AC5">
              <w:rPr>
                <w:bCs/>
              </w:rPr>
              <w:t>2009/28/EK</w:t>
            </w:r>
          </w:p>
          <w:p w:rsidR="0004420D" w:rsidRPr="002C0AC5" w:rsidRDefault="0004420D" w:rsidP="00E827A7">
            <w:pPr>
              <w:pStyle w:val="naiskr"/>
              <w:spacing w:before="0" w:after="0"/>
              <w:jc w:val="both"/>
              <w:rPr>
                <w:iCs/>
              </w:rPr>
            </w:pPr>
            <w:r w:rsidRPr="0066057B">
              <w:t>13.panta 1.</w:t>
            </w:r>
            <w:r>
              <w:t>punkts</w:t>
            </w:r>
          </w:p>
        </w:tc>
        <w:tc>
          <w:tcPr>
            <w:tcW w:w="1360" w:type="dxa"/>
          </w:tcPr>
          <w:p w:rsidR="0004420D" w:rsidRDefault="00442C0F" w:rsidP="000A02EE">
            <w:pPr>
              <w:jc w:val="center"/>
            </w:pPr>
            <w:r>
              <w:t>-</w:t>
            </w:r>
          </w:p>
          <w:p w:rsidR="0004420D" w:rsidRDefault="0004420D" w:rsidP="000A02EE">
            <w:pPr>
              <w:jc w:val="center"/>
            </w:pPr>
          </w:p>
        </w:tc>
        <w:tc>
          <w:tcPr>
            <w:tcW w:w="4647" w:type="dxa"/>
            <w:gridSpan w:val="2"/>
          </w:tcPr>
          <w:p w:rsidR="0004420D" w:rsidRDefault="0004420D" w:rsidP="002D25AB">
            <w:pPr>
              <w:ind w:left="67"/>
            </w:pPr>
            <w:r>
              <w:t>Ieviestas pilnībā ar Būvniecības likumu un Teritorijas plānošanas likumu, likumu „Par ietekmes uz vidi novērtējumu” 6., 7. un 8.pantu.</w:t>
            </w:r>
          </w:p>
          <w:p w:rsidR="0004420D" w:rsidRDefault="0004420D" w:rsidP="00184E8D">
            <w:pPr>
              <w:ind w:left="67"/>
              <w:jc w:val="both"/>
            </w:pPr>
          </w:p>
          <w:p w:rsidR="0004420D" w:rsidRDefault="0004420D" w:rsidP="00184E8D">
            <w:pPr>
              <w:ind w:left="67"/>
              <w:jc w:val="both"/>
            </w:pPr>
            <w:r>
              <w:t>Tiks ieviestas ar likumprojektu „A</w:t>
            </w:r>
            <w:r w:rsidRPr="00DF3ECD">
              <w:t>tjaunojamās enerģijas likum</w:t>
            </w:r>
            <w:r>
              <w:t>s”.</w:t>
            </w:r>
          </w:p>
          <w:p w:rsidR="0004420D" w:rsidRDefault="0004420D" w:rsidP="00184E8D">
            <w:pPr>
              <w:spacing w:line="191" w:lineRule="atLeast"/>
              <w:ind w:left="71"/>
            </w:pPr>
          </w:p>
          <w:p w:rsidR="0004420D" w:rsidRDefault="0004420D" w:rsidP="00184E8D">
            <w:pPr>
              <w:ind w:left="67"/>
            </w:pPr>
            <w:r>
              <w:t>Ekonomikas ministrija.</w:t>
            </w:r>
          </w:p>
        </w:tc>
        <w:tc>
          <w:tcPr>
            <w:tcW w:w="2017" w:type="dxa"/>
          </w:tcPr>
          <w:p w:rsidR="0004420D" w:rsidRPr="00173BCA" w:rsidRDefault="0004420D" w:rsidP="00184E8D">
            <w:pPr>
              <w:pStyle w:val="naiskr"/>
              <w:spacing w:before="0" w:after="0"/>
              <w:jc w:val="both"/>
            </w:pPr>
            <w:r w:rsidRPr="00173BCA">
              <w:t xml:space="preserve">Nacionālais tiesību akts neparedz stingrākas prasības </w:t>
            </w:r>
          </w:p>
          <w:p w:rsidR="0004420D" w:rsidRDefault="0004420D" w:rsidP="00D07CA3"/>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E827A7">
            <w:pPr>
              <w:pStyle w:val="naiskr"/>
              <w:spacing w:before="0" w:after="0"/>
              <w:jc w:val="both"/>
              <w:rPr>
                <w:iCs/>
              </w:rPr>
            </w:pPr>
            <w:r w:rsidRPr="002C0AC5">
              <w:rPr>
                <w:iCs/>
              </w:rPr>
              <w:t xml:space="preserve">Direktīvas </w:t>
            </w:r>
            <w:r w:rsidRPr="002C0AC5">
              <w:rPr>
                <w:bCs/>
              </w:rPr>
              <w:t>2009/28/EK</w:t>
            </w:r>
          </w:p>
          <w:p w:rsidR="0004420D" w:rsidRPr="002C0AC5" w:rsidRDefault="0004420D" w:rsidP="009F1571">
            <w:pPr>
              <w:pStyle w:val="naiskr"/>
              <w:spacing w:before="0" w:after="0"/>
              <w:jc w:val="both"/>
              <w:rPr>
                <w:iCs/>
              </w:rPr>
            </w:pPr>
            <w:r w:rsidRPr="0066057B">
              <w:t xml:space="preserve">13.panta </w:t>
            </w:r>
            <w:r>
              <w:t>2</w:t>
            </w:r>
            <w:r w:rsidRPr="0066057B">
              <w:t>.</w:t>
            </w:r>
            <w:r>
              <w:t>punkts</w:t>
            </w:r>
          </w:p>
        </w:tc>
        <w:tc>
          <w:tcPr>
            <w:tcW w:w="1360" w:type="dxa"/>
          </w:tcPr>
          <w:p w:rsidR="0004420D" w:rsidRDefault="0004420D" w:rsidP="000A02EE">
            <w:pPr>
              <w:jc w:val="center"/>
            </w:pPr>
            <w:r>
              <w:t>-</w:t>
            </w:r>
          </w:p>
          <w:p w:rsidR="0004420D" w:rsidRDefault="0004420D" w:rsidP="000A02EE">
            <w:pPr>
              <w:jc w:val="center"/>
            </w:pPr>
          </w:p>
        </w:tc>
        <w:tc>
          <w:tcPr>
            <w:tcW w:w="4647" w:type="dxa"/>
            <w:gridSpan w:val="2"/>
          </w:tcPr>
          <w:p w:rsidR="0004420D" w:rsidRDefault="0004420D" w:rsidP="00184E8D">
            <w:pPr>
              <w:ind w:left="67"/>
              <w:jc w:val="both"/>
            </w:pPr>
            <w:r>
              <w:t>Ieviests pilnībā</w:t>
            </w:r>
          </w:p>
          <w:p w:rsidR="0004420D" w:rsidRDefault="0004420D" w:rsidP="00184E8D">
            <w:pPr>
              <w:ind w:left="67"/>
              <w:jc w:val="both"/>
            </w:pPr>
            <w:r>
              <w:t>Tiks ieviestas ar likumprojektu „A</w:t>
            </w:r>
            <w:r w:rsidRPr="00DF3ECD">
              <w:t>tjaunojamās enerģijas likum</w:t>
            </w:r>
            <w:r>
              <w:t>s”.</w:t>
            </w:r>
          </w:p>
          <w:p w:rsidR="0004420D" w:rsidRDefault="0004420D" w:rsidP="00E827A7">
            <w:pPr>
              <w:ind w:left="67"/>
            </w:pPr>
          </w:p>
          <w:p w:rsidR="0004420D" w:rsidRDefault="0004420D" w:rsidP="00E827A7">
            <w:pPr>
              <w:ind w:left="67"/>
            </w:pPr>
            <w:r>
              <w:t>Ekonomikas ministrija.</w:t>
            </w:r>
          </w:p>
        </w:tc>
        <w:tc>
          <w:tcPr>
            <w:tcW w:w="2017" w:type="dxa"/>
          </w:tcPr>
          <w:p w:rsidR="0004420D" w:rsidRPr="00173BCA" w:rsidRDefault="0004420D" w:rsidP="00184E8D">
            <w:pPr>
              <w:pStyle w:val="naiskr"/>
              <w:spacing w:before="0" w:after="0"/>
              <w:jc w:val="both"/>
            </w:pPr>
            <w:r>
              <w:t>Nav attiecināms</w:t>
            </w:r>
          </w:p>
          <w:p w:rsidR="0004420D" w:rsidRDefault="0004420D" w:rsidP="00D07CA3"/>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Default="0004420D" w:rsidP="005E04C9">
            <w:r>
              <w:lastRenderedPageBreak/>
              <w:t>13.panta 3.punkts</w:t>
            </w:r>
          </w:p>
          <w:p w:rsidR="0004420D" w:rsidRDefault="0004420D" w:rsidP="005E04C9"/>
        </w:tc>
        <w:tc>
          <w:tcPr>
            <w:tcW w:w="1360" w:type="dxa"/>
          </w:tcPr>
          <w:p w:rsidR="0004420D" w:rsidRDefault="0004420D" w:rsidP="000A02EE">
            <w:pPr>
              <w:jc w:val="center"/>
            </w:pPr>
            <w:r>
              <w:lastRenderedPageBreak/>
              <w:t>-</w:t>
            </w:r>
          </w:p>
          <w:p w:rsidR="0004420D" w:rsidRDefault="0004420D" w:rsidP="000A02EE">
            <w:pPr>
              <w:jc w:val="center"/>
            </w:pPr>
          </w:p>
        </w:tc>
        <w:tc>
          <w:tcPr>
            <w:tcW w:w="4647" w:type="dxa"/>
            <w:gridSpan w:val="2"/>
          </w:tcPr>
          <w:p w:rsidR="0004420D" w:rsidRDefault="0004420D" w:rsidP="009F1571">
            <w:pPr>
              <w:jc w:val="both"/>
            </w:pPr>
            <w:r>
              <w:t xml:space="preserve">Ieviestas pilnībā. Likuma „Par Latvijas Republikas dalību Kioto protokola elastīgajos </w:t>
            </w:r>
            <w:r>
              <w:lastRenderedPageBreak/>
              <w:t>mehānismos” 8.panta pirmās daļas 1.apakšpunkta b) apakšpunkts.</w:t>
            </w:r>
          </w:p>
          <w:p w:rsidR="0004420D" w:rsidRDefault="0004420D" w:rsidP="007D5D5D">
            <w:r>
              <w:t>Enerģētikas likuma 51.pants, 8.pants.</w:t>
            </w:r>
          </w:p>
          <w:p w:rsidR="0004420D" w:rsidRPr="005A2614" w:rsidRDefault="0004420D" w:rsidP="007D5D5D">
            <w:r>
              <w:t>Ekonomikas ministrija</w:t>
            </w:r>
          </w:p>
        </w:tc>
        <w:tc>
          <w:tcPr>
            <w:tcW w:w="2017" w:type="dxa"/>
          </w:tcPr>
          <w:p w:rsidR="0004420D" w:rsidRPr="00173BCA" w:rsidRDefault="0004420D" w:rsidP="00081287">
            <w:pPr>
              <w:pStyle w:val="naiskr"/>
              <w:spacing w:before="0" w:after="0"/>
              <w:jc w:val="both"/>
            </w:pPr>
            <w:r w:rsidRPr="00173BCA">
              <w:lastRenderedPageBreak/>
              <w:t xml:space="preserve">Nacionālais tiesību akts neparedz </w:t>
            </w:r>
            <w:r w:rsidRPr="00173BCA">
              <w:lastRenderedPageBreak/>
              <w:t xml:space="preserve">stingrākas prasības </w:t>
            </w:r>
          </w:p>
          <w:p w:rsidR="0004420D" w:rsidRPr="005A2614" w:rsidRDefault="0004420D" w:rsidP="00D07CA3"/>
        </w:tc>
      </w:tr>
      <w:tr w:rsidR="0004420D" w:rsidRPr="007E2E0B"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lastRenderedPageBreak/>
              <w:t xml:space="preserve">Direktīvas </w:t>
            </w:r>
            <w:r w:rsidRPr="002C0AC5">
              <w:rPr>
                <w:bCs/>
              </w:rPr>
              <w:t>2009/28/EK</w:t>
            </w:r>
          </w:p>
          <w:p w:rsidR="0004420D" w:rsidRPr="004B6F71" w:rsidRDefault="0004420D" w:rsidP="005E04C9">
            <w:r w:rsidRPr="004B6F71">
              <w:t>13.panta 4.punkts</w:t>
            </w:r>
          </w:p>
        </w:tc>
        <w:tc>
          <w:tcPr>
            <w:tcW w:w="1360" w:type="dxa"/>
          </w:tcPr>
          <w:p w:rsidR="0004420D" w:rsidRPr="008C3E98" w:rsidRDefault="0004420D" w:rsidP="000A02EE">
            <w:pPr>
              <w:jc w:val="center"/>
            </w:pPr>
            <w:r w:rsidRPr="008C3E98">
              <w:t>-</w:t>
            </w:r>
          </w:p>
        </w:tc>
        <w:tc>
          <w:tcPr>
            <w:tcW w:w="4647" w:type="dxa"/>
            <w:gridSpan w:val="2"/>
          </w:tcPr>
          <w:p w:rsidR="0004420D" w:rsidRDefault="0004420D" w:rsidP="007C27A0">
            <w:pPr>
              <w:jc w:val="both"/>
            </w:pPr>
            <w:r w:rsidRPr="008C3E98">
              <w:t>Prasības ieviestas pilnībā ar Ēku energoefektivitātes likuma 7.pantu</w:t>
            </w:r>
            <w:r>
              <w:t>.</w:t>
            </w:r>
          </w:p>
          <w:p w:rsidR="0004420D" w:rsidRPr="008C3E98" w:rsidRDefault="0004420D" w:rsidP="005E04C9">
            <w:r>
              <w:t>Ekonomikas ministrija</w:t>
            </w:r>
          </w:p>
        </w:tc>
        <w:tc>
          <w:tcPr>
            <w:tcW w:w="2017" w:type="dxa"/>
          </w:tcPr>
          <w:p w:rsidR="0004420D" w:rsidRPr="008C3E98" w:rsidRDefault="0004420D" w:rsidP="00F33D90">
            <w:pPr>
              <w:pStyle w:val="naiskr"/>
              <w:spacing w:before="0" w:after="0"/>
              <w:jc w:val="both"/>
            </w:pPr>
            <w:r w:rsidRPr="00173BCA">
              <w:t xml:space="preserve">Nacionālais tiesību akts neparedz stingrākas prasības </w:t>
            </w:r>
          </w:p>
        </w:tc>
      </w:tr>
      <w:tr w:rsidR="0004420D" w:rsidRPr="007E2E0B"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4B6F71" w:rsidRDefault="0004420D" w:rsidP="00D04D4C">
            <w:r w:rsidRPr="004B6F71">
              <w:t>13.panta 5.punkts</w:t>
            </w:r>
          </w:p>
        </w:tc>
        <w:tc>
          <w:tcPr>
            <w:tcW w:w="1360" w:type="dxa"/>
          </w:tcPr>
          <w:p w:rsidR="0004420D" w:rsidRPr="004B6F71" w:rsidRDefault="0004420D" w:rsidP="00D04D4C">
            <w:pPr>
              <w:jc w:val="center"/>
            </w:pPr>
            <w:r w:rsidRPr="004B6F71">
              <w:t>-</w:t>
            </w:r>
          </w:p>
        </w:tc>
        <w:tc>
          <w:tcPr>
            <w:tcW w:w="4647" w:type="dxa"/>
            <w:gridSpan w:val="2"/>
          </w:tcPr>
          <w:p w:rsidR="0004420D" w:rsidRDefault="0004420D" w:rsidP="007C27A0">
            <w:pPr>
              <w:jc w:val="both"/>
            </w:pPr>
            <w:r>
              <w:t>Prasības tiks</w:t>
            </w:r>
            <w:r w:rsidRPr="008C3E98">
              <w:t xml:space="preserve"> ieviestas ar </w:t>
            </w:r>
            <w:r>
              <w:t>likumprojektu „Būvniecības likums.”</w:t>
            </w:r>
          </w:p>
          <w:p w:rsidR="0004420D" w:rsidRDefault="0004420D" w:rsidP="00D04D4C"/>
          <w:p w:rsidR="0004420D" w:rsidRPr="008C3E98" w:rsidRDefault="0004420D" w:rsidP="00D04D4C">
            <w:r>
              <w:t>Ekonomikas ministrija</w:t>
            </w:r>
          </w:p>
        </w:tc>
        <w:tc>
          <w:tcPr>
            <w:tcW w:w="2017" w:type="dxa"/>
          </w:tcPr>
          <w:p w:rsidR="0004420D" w:rsidRPr="008C3E98" w:rsidRDefault="0004420D" w:rsidP="00D04D4C">
            <w:r w:rsidRPr="008C3E98">
              <w:t>Nav attiecināms</w:t>
            </w:r>
          </w:p>
        </w:tc>
      </w:tr>
      <w:tr w:rsidR="0004420D" w:rsidRPr="007E2E0B"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4B6F71" w:rsidRDefault="0004420D" w:rsidP="00D04D4C">
            <w:r w:rsidRPr="004B6F71">
              <w:t>13.panta 6.punkts</w:t>
            </w:r>
          </w:p>
        </w:tc>
        <w:tc>
          <w:tcPr>
            <w:tcW w:w="1360" w:type="dxa"/>
          </w:tcPr>
          <w:p w:rsidR="0004420D" w:rsidRPr="004B6F71" w:rsidRDefault="0004420D" w:rsidP="00D04D4C">
            <w:pPr>
              <w:jc w:val="center"/>
            </w:pPr>
            <w:r w:rsidRPr="004B6F71">
              <w:t>-</w:t>
            </w:r>
          </w:p>
        </w:tc>
        <w:tc>
          <w:tcPr>
            <w:tcW w:w="4647" w:type="dxa"/>
            <w:gridSpan w:val="2"/>
          </w:tcPr>
          <w:p w:rsidR="0004420D" w:rsidRDefault="0004420D" w:rsidP="00D04D4C">
            <w:r>
              <w:t>Prasības tiks</w:t>
            </w:r>
            <w:r w:rsidRPr="008C3E98">
              <w:t xml:space="preserve"> ieviestas ar </w:t>
            </w:r>
            <w:r>
              <w:t>likumprojektu „Būvniecības likums.”</w:t>
            </w:r>
          </w:p>
          <w:p w:rsidR="0004420D" w:rsidRDefault="0004420D" w:rsidP="007C27A0">
            <w:pPr>
              <w:jc w:val="both"/>
            </w:pPr>
          </w:p>
          <w:p w:rsidR="0004420D" w:rsidRPr="004B6F71" w:rsidRDefault="0004420D" w:rsidP="00D04D4C">
            <w:r>
              <w:t>Ekonomikas ministrija</w:t>
            </w:r>
          </w:p>
        </w:tc>
        <w:tc>
          <w:tcPr>
            <w:tcW w:w="2017" w:type="dxa"/>
          </w:tcPr>
          <w:p w:rsidR="0004420D" w:rsidRPr="004B6F71" w:rsidRDefault="0004420D" w:rsidP="00D04D4C">
            <w:r w:rsidRPr="004B6F71">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2F4216" w:rsidRDefault="0004420D" w:rsidP="00D04D4C">
            <w:r w:rsidRPr="002F4216">
              <w:t>14.panta 1.punkts</w:t>
            </w:r>
          </w:p>
        </w:tc>
        <w:tc>
          <w:tcPr>
            <w:tcW w:w="1360" w:type="dxa"/>
          </w:tcPr>
          <w:p w:rsidR="0004420D" w:rsidRDefault="0004420D" w:rsidP="00EE0211">
            <w:pPr>
              <w:ind w:left="32"/>
              <w:jc w:val="center"/>
            </w:pPr>
            <w:r>
              <w:t>-</w:t>
            </w:r>
          </w:p>
          <w:p w:rsidR="0004420D" w:rsidRPr="007A2723" w:rsidRDefault="0004420D" w:rsidP="00D04D4C">
            <w:pPr>
              <w:ind w:left="32"/>
            </w:pPr>
          </w:p>
        </w:tc>
        <w:tc>
          <w:tcPr>
            <w:tcW w:w="4647" w:type="dxa"/>
            <w:gridSpan w:val="2"/>
          </w:tcPr>
          <w:p w:rsidR="0004420D" w:rsidRDefault="0004420D" w:rsidP="00D04D4C">
            <w:pPr>
              <w:jc w:val="both"/>
            </w:pPr>
            <w:r>
              <w:t>Ieviests pilnībā ar:</w:t>
            </w:r>
          </w:p>
          <w:p w:rsidR="0004420D" w:rsidRDefault="0004420D" w:rsidP="00D04D4C">
            <w:pPr>
              <w:jc w:val="both"/>
            </w:pPr>
            <w:r>
              <w:t>1) Eiropas Savienības struktūrfondu un Kohēzijas fonda vadības likuma 9. panta pirmās daļas 3. Apakšpunktu;</w:t>
            </w:r>
          </w:p>
          <w:p w:rsidR="0004420D" w:rsidRDefault="0004420D" w:rsidP="00D04D4C">
            <w:pPr>
              <w:jc w:val="both"/>
            </w:pPr>
            <w:r>
              <w:t xml:space="preserve">2) likuma „Par Latvijas Republikas dalību Kioto protokola elastīgajos mehānismos” 11.panta otro daļu, </w:t>
            </w:r>
            <w:r w:rsidRPr="007A2723">
              <w:t xml:space="preserve">7.panta </w:t>
            </w:r>
            <w:r>
              <w:t>pirmo daļu, 7.panta otro daļu, 7.panta trešo daļu, 8.panta trešo daļu.</w:t>
            </w:r>
          </w:p>
          <w:p w:rsidR="0004420D" w:rsidRDefault="0004420D" w:rsidP="00D04D4C">
            <w:pPr>
              <w:jc w:val="both"/>
            </w:pPr>
            <w:r>
              <w:t xml:space="preserve">3) </w:t>
            </w:r>
          </w:p>
          <w:p w:rsidR="0004420D" w:rsidRDefault="0004420D" w:rsidP="00D04D4C">
            <w:pPr>
              <w:jc w:val="both"/>
            </w:pPr>
          </w:p>
          <w:p w:rsidR="0004420D" w:rsidRPr="007A2723" w:rsidRDefault="0004420D" w:rsidP="00D04D4C">
            <w:pPr>
              <w:jc w:val="both"/>
            </w:pPr>
            <w:r>
              <w:t>Ekonomikas ministrija</w:t>
            </w:r>
          </w:p>
        </w:tc>
        <w:tc>
          <w:tcPr>
            <w:tcW w:w="2017" w:type="dxa"/>
          </w:tcPr>
          <w:p w:rsidR="0004420D" w:rsidRPr="00173BCA" w:rsidRDefault="0004420D" w:rsidP="00D04D4C">
            <w:pPr>
              <w:pStyle w:val="naiskr"/>
              <w:spacing w:before="0" w:after="0"/>
              <w:jc w:val="both"/>
            </w:pPr>
            <w:r w:rsidRPr="00173BCA">
              <w:t xml:space="preserve">Nacionālais tiesību akts neparedz stingrākas prasības </w:t>
            </w:r>
          </w:p>
          <w:p w:rsidR="0004420D" w:rsidRPr="007A2723"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B6F71" w:rsidRDefault="0004420D" w:rsidP="00D04D4C">
            <w:pPr>
              <w:pStyle w:val="naiskr"/>
              <w:spacing w:before="0" w:after="0"/>
              <w:jc w:val="both"/>
              <w:rPr>
                <w:iCs/>
              </w:rPr>
            </w:pPr>
            <w:r w:rsidRPr="004B6F71">
              <w:rPr>
                <w:iCs/>
              </w:rPr>
              <w:t xml:space="preserve">Direktīvas </w:t>
            </w:r>
            <w:r w:rsidRPr="004B6F71">
              <w:rPr>
                <w:bCs/>
              </w:rPr>
              <w:t>2009/28/EK</w:t>
            </w:r>
          </w:p>
          <w:p w:rsidR="0004420D" w:rsidRPr="001E0CD5" w:rsidRDefault="0004420D" w:rsidP="00D04D4C">
            <w:r w:rsidRPr="001E0CD5">
              <w:t>14.panta 2.punkts</w:t>
            </w:r>
          </w:p>
        </w:tc>
        <w:tc>
          <w:tcPr>
            <w:tcW w:w="1360" w:type="dxa"/>
          </w:tcPr>
          <w:p w:rsidR="0004420D" w:rsidRPr="001E0CD5" w:rsidRDefault="0004420D" w:rsidP="000A02EE">
            <w:pPr>
              <w:jc w:val="center"/>
            </w:pPr>
            <w:r>
              <w:t>-</w:t>
            </w:r>
          </w:p>
        </w:tc>
        <w:tc>
          <w:tcPr>
            <w:tcW w:w="4647" w:type="dxa"/>
            <w:gridSpan w:val="2"/>
          </w:tcPr>
          <w:p w:rsidR="0004420D" w:rsidRPr="001E0CD5" w:rsidRDefault="0004420D" w:rsidP="00D04D4C">
            <w:pPr>
              <w:ind w:left="71"/>
            </w:pPr>
            <w:r>
              <w:t>Tiks ieviests ar l</w:t>
            </w:r>
            <w:r w:rsidRPr="001E0CD5">
              <w:t>ikumprojekt</w:t>
            </w:r>
            <w:r>
              <w:t>u</w:t>
            </w:r>
            <w:r w:rsidRPr="001E0CD5">
              <w:t xml:space="preserve"> „Būvniecības likums”</w:t>
            </w:r>
          </w:p>
        </w:tc>
        <w:tc>
          <w:tcPr>
            <w:tcW w:w="2017" w:type="dxa"/>
          </w:tcPr>
          <w:p w:rsidR="0004420D" w:rsidRPr="001E0CD5" w:rsidRDefault="0004420D" w:rsidP="00D04D4C">
            <w:r w:rsidRPr="001E0CD5">
              <w:t>Nacionālais tiesību akts neparedz stingrākas prasības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7A4F01" w:rsidRDefault="0004420D" w:rsidP="00D04D4C">
            <w:pPr>
              <w:pStyle w:val="naiskr"/>
              <w:spacing w:before="0" w:after="0"/>
              <w:jc w:val="both"/>
              <w:rPr>
                <w:iCs/>
              </w:rPr>
            </w:pPr>
            <w:r w:rsidRPr="007A4F01">
              <w:rPr>
                <w:iCs/>
              </w:rPr>
              <w:t xml:space="preserve">Direktīvas </w:t>
            </w:r>
            <w:r w:rsidRPr="007A4F01">
              <w:rPr>
                <w:bCs/>
              </w:rPr>
              <w:t>2009/28/EK</w:t>
            </w:r>
          </w:p>
          <w:p w:rsidR="0004420D" w:rsidRPr="007A4F01" w:rsidRDefault="0004420D" w:rsidP="00D04D4C">
            <w:r w:rsidRPr="007A4F01">
              <w:t>14.panta 3.punkts</w:t>
            </w:r>
          </w:p>
        </w:tc>
        <w:tc>
          <w:tcPr>
            <w:tcW w:w="1360" w:type="dxa"/>
          </w:tcPr>
          <w:p w:rsidR="0004420D" w:rsidRPr="007A4F01" w:rsidRDefault="0004420D" w:rsidP="000A02EE">
            <w:pPr>
              <w:jc w:val="center"/>
            </w:pPr>
            <w:r w:rsidRPr="007A4F01">
              <w:t>-</w:t>
            </w:r>
          </w:p>
        </w:tc>
        <w:tc>
          <w:tcPr>
            <w:tcW w:w="4647" w:type="dxa"/>
            <w:gridSpan w:val="2"/>
          </w:tcPr>
          <w:p w:rsidR="0004420D" w:rsidRDefault="0004420D" w:rsidP="00D04D4C">
            <w:r>
              <w:t>Prasību izpilde tiks nodrošināta līdz 2012.gada 31.decembrim atbilstoši Direktīvas 2009/28/EK prasībām.</w:t>
            </w:r>
          </w:p>
          <w:p w:rsidR="0004420D" w:rsidRDefault="0004420D" w:rsidP="00D04D4C"/>
          <w:p w:rsidR="0004420D" w:rsidRPr="007A4F01" w:rsidRDefault="0004420D" w:rsidP="00D04D4C">
            <w:r w:rsidRPr="007A4F01">
              <w:t>Izglītības un zinātnes ministrija.</w:t>
            </w:r>
          </w:p>
        </w:tc>
        <w:tc>
          <w:tcPr>
            <w:tcW w:w="2017" w:type="dxa"/>
          </w:tcPr>
          <w:p w:rsidR="0004420D" w:rsidRPr="004B6F71" w:rsidRDefault="0004420D" w:rsidP="00D04D4C">
            <w:r w:rsidRPr="004B6F71">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7A4F01" w:rsidRDefault="0004420D" w:rsidP="00D04D4C">
            <w:pPr>
              <w:pStyle w:val="naiskr"/>
              <w:spacing w:before="0" w:after="0"/>
              <w:jc w:val="both"/>
              <w:rPr>
                <w:iCs/>
              </w:rPr>
            </w:pPr>
            <w:r w:rsidRPr="007A4F01">
              <w:rPr>
                <w:iCs/>
              </w:rPr>
              <w:t xml:space="preserve">Direktīvas </w:t>
            </w:r>
            <w:r w:rsidRPr="007A4F01">
              <w:rPr>
                <w:bCs/>
              </w:rPr>
              <w:t>2009/28/EK</w:t>
            </w:r>
          </w:p>
          <w:p w:rsidR="0004420D" w:rsidRPr="007A4F01" w:rsidRDefault="0004420D" w:rsidP="00D04D4C">
            <w:r w:rsidRPr="007A4F01">
              <w:t>14.panta 4.punkts</w:t>
            </w:r>
          </w:p>
        </w:tc>
        <w:tc>
          <w:tcPr>
            <w:tcW w:w="1360" w:type="dxa"/>
          </w:tcPr>
          <w:p w:rsidR="0004420D" w:rsidRPr="007A4F01" w:rsidRDefault="0004420D" w:rsidP="000A02EE">
            <w:pPr>
              <w:jc w:val="center"/>
            </w:pPr>
            <w:r w:rsidRPr="007A4F01">
              <w:t>-</w:t>
            </w:r>
          </w:p>
        </w:tc>
        <w:tc>
          <w:tcPr>
            <w:tcW w:w="4647" w:type="dxa"/>
            <w:gridSpan w:val="2"/>
          </w:tcPr>
          <w:p w:rsidR="0004420D" w:rsidRDefault="0004420D" w:rsidP="00D04D4C">
            <w:r>
              <w:t>Prasību izpilde tiks nodrošināta līdz 2012.gada 31.decembrim atbilstoši Direktīvas 2009/28/EK prasībām.</w:t>
            </w:r>
          </w:p>
          <w:p w:rsidR="0004420D" w:rsidRDefault="0004420D" w:rsidP="00D04D4C"/>
          <w:p w:rsidR="0004420D" w:rsidRPr="007A4F01" w:rsidRDefault="0004420D" w:rsidP="00D04D4C">
            <w:r w:rsidRPr="007A4F01">
              <w:t>Izglītības un zinātnes ministrija.</w:t>
            </w:r>
          </w:p>
        </w:tc>
        <w:tc>
          <w:tcPr>
            <w:tcW w:w="2017" w:type="dxa"/>
          </w:tcPr>
          <w:p w:rsidR="0004420D" w:rsidRPr="007A2723"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7E7C0C">
              <w:t xml:space="preserve"> </w:t>
            </w:r>
            <w:r w:rsidRPr="002C0AC5">
              <w:rPr>
                <w:iCs/>
              </w:rPr>
              <w:t xml:space="preserve">Direktīvas </w:t>
            </w:r>
            <w:r w:rsidRPr="002C0AC5">
              <w:rPr>
                <w:bCs/>
              </w:rPr>
              <w:t>2009/28/EK</w:t>
            </w:r>
          </w:p>
          <w:p w:rsidR="0004420D" w:rsidRPr="007E7C0C" w:rsidRDefault="0004420D" w:rsidP="00D04D4C">
            <w:r w:rsidRPr="007E7C0C">
              <w:t>14.panta 5.punkts</w:t>
            </w:r>
          </w:p>
        </w:tc>
        <w:tc>
          <w:tcPr>
            <w:tcW w:w="1360" w:type="dxa"/>
          </w:tcPr>
          <w:p w:rsidR="0004420D" w:rsidRPr="004B6F71" w:rsidRDefault="0004420D" w:rsidP="000A02EE">
            <w:pPr>
              <w:jc w:val="center"/>
            </w:pPr>
            <w:r w:rsidRPr="004B6F71">
              <w:t>-</w:t>
            </w:r>
          </w:p>
        </w:tc>
        <w:tc>
          <w:tcPr>
            <w:tcW w:w="4647" w:type="dxa"/>
            <w:gridSpan w:val="2"/>
          </w:tcPr>
          <w:p w:rsidR="0004420D" w:rsidRDefault="0004420D" w:rsidP="00D04D4C">
            <w:r>
              <w:t>Tiks ieviests pilnībā ar l</w:t>
            </w:r>
            <w:r w:rsidRPr="001E0CD5">
              <w:t>ikumprojekt</w:t>
            </w:r>
            <w:r>
              <w:t>u</w:t>
            </w:r>
            <w:r w:rsidRPr="001E0CD5">
              <w:t xml:space="preserve"> „Būvniecības likums”</w:t>
            </w:r>
            <w:r>
              <w:t xml:space="preserve"> </w:t>
            </w:r>
            <w:r w:rsidRPr="001E0CD5">
              <w:t>7.pant</w:t>
            </w:r>
            <w:r>
              <w:t>u.</w:t>
            </w:r>
          </w:p>
          <w:p w:rsidR="0004420D" w:rsidRDefault="0004420D" w:rsidP="00D04D4C"/>
          <w:p w:rsidR="0004420D" w:rsidRPr="001E0CD5" w:rsidRDefault="0004420D" w:rsidP="00D04D4C">
            <w:r>
              <w:t>Ekonomikas ministrija</w:t>
            </w:r>
          </w:p>
        </w:tc>
        <w:tc>
          <w:tcPr>
            <w:tcW w:w="2017" w:type="dxa"/>
          </w:tcPr>
          <w:p w:rsidR="0004420D" w:rsidRDefault="0004420D" w:rsidP="00D04D4C">
            <w:r>
              <w:t>Nav attiecināms</w:t>
            </w:r>
          </w:p>
        </w:tc>
      </w:tr>
      <w:tr w:rsidR="000A02EE"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A02EE" w:rsidRPr="002C0AC5" w:rsidRDefault="000A02EE" w:rsidP="00D04D4C">
            <w:pPr>
              <w:pStyle w:val="naiskr"/>
              <w:spacing w:before="0" w:after="0"/>
              <w:jc w:val="both"/>
              <w:rPr>
                <w:iCs/>
              </w:rPr>
            </w:pPr>
            <w:r w:rsidRPr="007E7C0C">
              <w:t xml:space="preserve"> </w:t>
            </w:r>
            <w:r w:rsidRPr="002C0AC5">
              <w:rPr>
                <w:iCs/>
              </w:rPr>
              <w:t xml:space="preserve">Direktīvas </w:t>
            </w:r>
            <w:r w:rsidRPr="002C0AC5">
              <w:rPr>
                <w:bCs/>
              </w:rPr>
              <w:t>2009/28/EK</w:t>
            </w:r>
          </w:p>
          <w:p w:rsidR="000A02EE" w:rsidRPr="007E7C0C" w:rsidRDefault="000A02EE" w:rsidP="00D04D4C">
            <w:r w:rsidRPr="007E7C0C">
              <w:t>14.panta 6.punkts</w:t>
            </w:r>
          </w:p>
        </w:tc>
        <w:tc>
          <w:tcPr>
            <w:tcW w:w="1360" w:type="dxa"/>
          </w:tcPr>
          <w:p w:rsidR="000A02EE" w:rsidRPr="004B6F71" w:rsidRDefault="000A02EE" w:rsidP="00D04D4C">
            <w:pPr>
              <w:jc w:val="center"/>
            </w:pPr>
            <w:r w:rsidRPr="004B6F71">
              <w:t>-</w:t>
            </w:r>
          </w:p>
        </w:tc>
        <w:tc>
          <w:tcPr>
            <w:tcW w:w="4647" w:type="dxa"/>
            <w:gridSpan w:val="2"/>
          </w:tcPr>
          <w:p w:rsidR="000A02EE" w:rsidRDefault="000A02EE" w:rsidP="00D04D4C">
            <w:r>
              <w:t>Tiks ieviests pilnībā ar l</w:t>
            </w:r>
            <w:r w:rsidRPr="001E0CD5">
              <w:t>ikumprojekt</w:t>
            </w:r>
            <w:r>
              <w:t xml:space="preserve">u </w:t>
            </w:r>
            <w:r w:rsidRPr="001E0CD5">
              <w:t>„Būvniecības likums”</w:t>
            </w:r>
            <w:r>
              <w:t xml:space="preserve"> </w:t>
            </w:r>
            <w:r w:rsidRPr="001E0CD5">
              <w:t>7.pant</w:t>
            </w:r>
            <w:r>
              <w:t>u.</w:t>
            </w:r>
          </w:p>
          <w:p w:rsidR="000A02EE" w:rsidRPr="001E0CD5" w:rsidRDefault="000A02EE" w:rsidP="00D04D4C">
            <w:r>
              <w:t>Ekonomikas ministrija</w:t>
            </w:r>
          </w:p>
        </w:tc>
        <w:tc>
          <w:tcPr>
            <w:tcW w:w="2017" w:type="dxa"/>
          </w:tcPr>
          <w:p w:rsidR="000A02EE" w:rsidRDefault="000A02EE"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577FDE" w:rsidRDefault="0004420D" w:rsidP="00D04D4C">
            <w:r w:rsidRPr="00577FDE">
              <w:lastRenderedPageBreak/>
              <w:t>15.</w:t>
            </w:r>
            <w:r>
              <w:t>panta 1.-9.punkts, 11.-12.punkts</w:t>
            </w:r>
          </w:p>
        </w:tc>
        <w:tc>
          <w:tcPr>
            <w:tcW w:w="1360" w:type="dxa"/>
          </w:tcPr>
          <w:p w:rsidR="0004420D" w:rsidRDefault="000A02EE" w:rsidP="000A02EE">
            <w:pPr>
              <w:ind w:left="32"/>
              <w:jc w:val="center"/>
            </w:pPr>
            <w:r>
              <w:lastRenderedPageBreak/>
              <w:t>-</w:t>
            </w:r>
          </w:p>
        </w:tc>
        <w:tc>
          <w:tcPr>
            <w:tcW w:w="4647" w:type="dxa"/>
            <w:gridSpan w:val="2"/>
          </w:tcPr>
          <w:p w:rsidR="0004420D" w:rsidRDefault="0004420D" w:rsidP="00D04D4C">
            <w:pPr>
              <w:ind w:left="44"/>
              <w:jc w:val="both"/>
            </w:pPr>
            <w:r>
              <w:t>Ieviests pilnībā</w:t>
            </w:r>
          </w:p>
          <w:p w:rsidR="0004420D" w:rsidRPr="001C4D28" w:rsidRDefault="0004420D" w:rsidP="00D04D4C">
            <w:pPr>
              <w:ind w:left="44" w:right="141"/>
              <w:jc w:val="both"/>
              <w:rPr>
                <w:sz w:val="22"/>
                <w:szCs w:val="22"/>
              </w:rPr>
            </w:pPr>
          </w:p>
          <w:p w:rsidR="0004420D" w:rsidRPr="001C4D28" w:rsidRDefault="0004420D" w:rsidP="00D04D4C">
            <w:pPr>
              <w:pStyle w:val="naiskr"/>
              <w:spacing w:before="0" w:after="0"/>
              <w:ind w:left="44" w:right="141"/>
              <w:jc w:val="both"/>
              <w:rPr>
                <w:sz w:val="22"/>
                <w:szCs w:val="22"/>
              </w:rPr>
            </w:pPr>
            <w:r w:rsidRPr="001C4D28">
              <w:rPr>
                <w:sz w:val="22"/>
                <w:szCs w:val="22"/>
                <w:u w:val="single"/>
              </w:rPr>
              <w:t>ETL 32.panta (4)</w:t>
            </w:r>
            <w:r w:rsidRPr="001C4D28">
              <w:rPr>
                <w:sz w:val="22"/>
                <w:szCs w:val="22"/>
              </w:rPr>
              <w:t xml:space="preserve"> Regulators nosaka, kādu </w:t>
            </w:r>
            <w:r w:rsidRPr="001C4D28">
              <w:rPr>
                <w:sz w:val="22"/>
                <w:szCs w:val="22"/>
              </w:rPr>
              <w:lastRenderedPageBreak/>
              <w:t>informāciju un cik lielā apjomā tirgotājs ietver galalietotājam izsniedzamajos rēķinos un informatīvajos materiālos.</w:t>
            </w:r>
          </w:p>
          <w:p w:rsidR="0004420D" w:rsidRPr="001C4D28" w:rsidRDefault="0004420D" w:rsidP="00D04D4C">
            <w:pPr>
              <w:pStyle w:val="naiskr"/>
              <w:spacing w:before="0" w:after="0"/>
              <w:ind w:left="44" w:right="141"/>
              <w:jc w:val="both"/>
              <w:rPr>
                <w:sz w:val="22"/>
                <w:szCs w:val="22"/>
              </w:rPr>
            </w:pPr>
            <w:r w:rsidRPr="001C4D28">
              <w:rPr>
                <w:sz w:val="22"/>
                <w:szCs w:val="22"/>
              </w:rPr>
              <w:t>Noteikumi par informāciju elektroenerģijas galalietotājiem apstiprināti                                                                                        ar Sabiedrisko pakalpojumu regulēšanas komisijas 22.03.2006. lēmumu Nr.77</w:t>
            </w:r>
          </w:p>
          <w:p w:rsidR="0004420D" w:rsidRPr="001C4D28" w:rsidRDefault="0004420D" w:rsidP="00D04D4C">
            <w:pPr>
              <w:ind w:left="44" w:right="141"/>
              <w:jc w:val="both"/>
              <w:rPr>
                <w:sz w:val="22"/>
                <w:szCs w:val="22"/>
              </w:rPr>
            </w:pPr>
          </w:p>
          <w:p w:rsidR="0004420D" w:rsidRPr="001C4D28" w:rsidRDefault="0004420D" w:rsidP="00D04D4C">
            <w:pPr>
              <w:ind w:left="44" w:right="141"/>
              <w:jc w:val="both"/>
              <w:rPr>
                <w:sz w:val="22"/>
                <w:szCs w:val="22"/>
              </w:rPr>
            </w:pPr>
            <w:r w:rsidRPr="001C4D28">
              <w:rPr>
                <w:sz w:val="22"/>
                <w:szCs w:val="22"/>
              </w:rPr>
              <w:t>Tiks ieviestas ar likumprojektu „Atjaunojamās enerģijas likums” un pakārtotajiem MK noteikumiem</w:t>
            </w:r>
          </w:p>
          <w:p w:rsidR="0004420D" w:rsidRPr="001C4D28" w:rsidRDefault="0004420D" w:rsidP="00D04D4C">
            <w:pPr>
              <w:ind w:left="44" w:right="141"/>
              <w:rPr>
                <w:sz w:val="22"/>
                <w:szCs w:val="22"/>
              </w:rPr>
            </w:pPr>
          </w:p>
          <w:p w:rsidR="0004420D" w:rsidRDefault="0004420D" w:rsidP="00D04D4C">
            <w:pPr>
              <w:ind w:left="44" w:right="141"/>
            </w:pPr>
            <w:r w:rsidRPr="001C4D28">
              <w:rPr>
                <w:sz w:val="22"/>
                <w:szCs w:val="22"/>
              </w:rPr>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w:t>
            </w:r>
            <w:r w:rsidRPr="00173BCA">
              <w:lastRenderedPageBreak/>
              <w:t xml:space="preserve">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pPr>
              <w:pStyle w:val="naiskr"/>
              <w:spacing w:before="0" w:after="0"/>
              <w:jc w:val="both"/>
              <w:rPr>
                <w:iCs/>
              </w:rPr>
            </w:pPr>
            <w:r w:rsidRPr="00577FDE">
              <w:t>15.</w:t>
            </w:r>
            <w:r>
              <w:t>panta 10.punkts</w:t>
            </w:r>
          </w:p>
        </w:tc>
        <w:tc>
          <w:tcPr>
            <w:tcW w:w="1360" w:type="dxa"/>
          </w:tcPr>
          <w:p w:rsidR="0004420D" w:rsidRDefault="0004420D" w:rsidP="000A02EE">
            <w:pPr>
              <w:ind w:left="32"/>
              <w:jc w:val="center"/>
            </w:pPr>
            <w:r>
              <w:t>-</w:t>
            </w:r>
          </w:p>
        </w:tc>
        <w:tc>
          <w:tcPr>
            <w:tcW w:w="4647" w:type="dxa"/>
            <w:gridSpan w:val="2"/>
          </w:tcPr>
          <w:p w:rsidR="0004420D" w:rsidRDefault="0004420D" w:rsidP="00D04D4C">
            <w:pPr>
              <w:ind w:left="71"/>
            </w:pPr>
            <w:r>
              <w:t>Ieviešana nav nepieciešama</w:t>
            </w:r>
          </w:p>
        </w:tc>
        <w:tc>
          <w:tcPr>
            <w:tcW w:w="2017" w:type="dxa"/>
          </w:tcPr>
          <w:p w:rsidR="0004420D" w:rsidRPr="00173BCA" w:rsidRDefault="0004420D" w:rsidP="00D04D4C">
            <w:pPr>
              <w:pStyle w:val="naiskr"/>
              <w:spacing w:before="0" w:after="0"/>
              <w:jc w:val="both"/>
            </w:pPr>
            <w:r>
              <w:t>Nav attiecināms</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577FDE" w:rsidRDefault="0004420D" w:rsidP="00D04D4C">
            <w:r w:rsidRPr="00577FDE">
              <w:t>16.panta 1.punkts</w:t>
            </w:r>
          </w:p>
        </w:tc>
        <w:tc>
          <w:tcPr>
            <w:tcW w:w="1360" w:type="dxa"/>
          </w:tcPr>
          <w:p w:rsidR="0004420D" w:rsidRDefault="000A02EE" w:rsidP="000A02EE">
            <w:pPr>
              <w:ind w:left="32"/>
              <w:jc w:val="center"/>
            </w:pPr>
            <w:r>
              <w:t>-</w:t>
            </w:r>
          </w:p>
        </w:tc>
        <w:tc>
          <w:tcPr>
            <w:tcW w:w="4647" w:type="dxa"/>
            <w:gridSpan w:val="2"/>
          </w:tcPr>
          <w:p w:rsidR="0004420D" w:rsidRDefault="0004420D" w:rsidP="00D04D4C">
            <w:pPr>
              <w:ind w:left="71"/>
              <w:jc w:val="both"/>
            </w:pPr>
            <w:r>
              <w:t>Ieviests pilnībā.</w:t>
            </w:r>
          </w:p>
          <w:p w:rsidR="0004420D" w:rsidRDefault="00CB37F2" w:rsidP="00D04D4C">
            <w:pPr>
              <w:pStyle w:val="naiskr"/>
              <w:jc w:val="both"/>
            </w:pPr>
            <w:r>
              <w:t>EN</w:t>
            </w:r>
            <w:r w:rsidR="0004420D">
              <w:t xml:space="preserve"> 6.pants (1) Sistēmas operatoram tā licences darbības zonā un licencē noteiktajā termiņā ir </w:t>
            </w:r>
            <w:r w:rsidR="0004420D">
              <w:rPr>
                <w:u w:val="single"/>
              </w:rPr>
              <w:t xml:space="preserve">pastāvīgas saistības nodrošināt sistēmas lietotājiem un pretendentiem pieeju enerģijas pārvades vai sadales sistēmām </w:t>
            </w:r>
            <w:r w:rsidR="0004420D">
              <w:t xml:space="preserve">vai dabasgāzes uzglabāšanas krātuvei, ja šī pieeja ir pastāvīgi savietojama ar </w:t>
            </w:r>
            <w:r w:rsidR="0004420D">
              <w:rPr>
                <w:u w:val="single"/>
              </w:rPr>
              <w:t>atbilstošiem tehniskajiem noteikumiem un drošības prasībām</w:t>
            </w:r>
            <w:r w:rsidR="0004420D">
              <w:t xml:space="preserve">. </w:t>
            </w:r>
          </w:p>
          <w:p w:rsidR="0004420D" w:rsidRDefault="00CB37F2" w:rsidP="00D04D4C">
            <w:pPr>
              <w:pStyle w:val="naiskr"/>
              <w:jc w:val="both"/>
            </w:pPr>
            <w:r>
              <w:t>EN</w:t>
            </w:r>
            <w:r w:rsidR="0004420D">
              <w:t xml:space="preserve"> 15.pants (6) Sistēmas operators ir atbildīgs par enerģijas pārvades vai sadales sistēmas vai dabasgāzes krātuves darbību, apkalpošanu un drošumu, sistēmas vadību un attīstību licences darbības zonā, savienojumu ar citām sistēmām, kā arī par sistēmas ilglaicīgu spēju nodrošināt enerģijas pārvadi vai sadali vai dabasgāzes uzglabāšanu atbilstoši pieprasījumam.</w:t>
            </w:r>
          </w:p>
          <w:p w:rsidR="0004420D" w:rsidRDefault="0004420D" w:rsidP="00D04D4C">
            <w:pPr>
              <w:pStyle w:val="naiskr"/>
              <w:jc w:val="both"/>
            </w:pPr>
            <w:r>
              <w:t xml:space="preserve">Elektroenerģijas pārvades sistēmas pakalpojumu  tarifu aprēķināšanas metodika apstiprināta ar Sabiedrisko pakalpojumu regulēšanas komisijas padomes 28.11.2007. lēmumu Nr.556 : </w:t>
            </w:r>
            <w:r>
              <w:rPr>
                <w:u w:val="single"/>
              </w:rPr>
              <w:t xml:space="preserve">Tarifu </w:t>
            </w:r>
            <w:r>
              <w:t xml:space="preserve">aprēķinā iekļauj tikai tās tehnoloģiski un </w:t>
            </w:r>
            <w:r>
              <w:rPr>
                <w:u w:val="single"/>
              </w:rPr>
              <w:t>ekonomiski pamatotās izmaksas, kas nepieciešamas efektīvai pārvades sistēmas pakalpojuma sniegšanai</w:t>
            </w:r>
            <w:r>
              <w:t xml:space="preserve">. </w:t>
            </w:r>
          </w:p>
          <w:p w:rsidR="0004420D" w:rsidRDefault="0004420D" w:rsidP="00D04D4C">
            <w:pPr>
              <w:pStyle w:val="naiskr"/>
              <w:jc w:val="both"/>
              <w:rPr>
                <w:u w:val="single"/>
              </w:rPr>
            </w:pPr>
            <w:r>
              <w:t xml:space="preserve">Elektroenerģijas sadales sistēmas pakalpojumu tarifu aprēķināšanas metodika apstiprināta ar Sabiedrisko pakalpojumu regulēšanas komisijas padomes 25.11.2009 lēmumu Nr.1/6: </w:t>
            </w:r>
            <w:r>
              <w:rPr>
                <w:u w:val="single"/>
              </w:rPr>
              <w:t>Tarifu</w:t>
            </w:r>
            <w:r>
              <w:t xml:space="preserve"> aprēķinā iekļaujamas tikai tās tehnoloģiski un ekonomiski pamatotās izmaksas, kas nepieciešamas </w:t>
            </w:r>
            <w:r>
              <w:rPr>
                <w:u w:val="single"/>
              </w:rPr>
              <w:t xml:space="preserve">efektīvai sadales </w:t>
            </w:r>
            <w:r>
              <w:rPr>
                <w:u w:val="single"/>
              </w:rPr>
              <w:lastRenderedPageBreak/>
              <w:t>sistēmas pakalpojumu sniegšanai.</w:t>
            </w:r>
          </w:p>
          <w:p w:rsidR="0004420D" w:rsidRDefault="0004420D" w:rsidP="00D04D4C">
            <w:pPr>
              <w:pStyle w:val="naiskr"/>
              <w:jc w:val="both"/>
            </w:pPr>
            <w:r>
              <w:t>ETL 8.panta (2) Regulators nosaka vienotus sistēmas pieslēguma noteikumus un pieslēguma maksas aprēķināšanas metodiku.</w:t>
            </w:r>
          </w:p>
          <w:p w:rsidR="0004420D" w:rsidRDefault="0004420D" w:rsidP="00D04D4C">
            <w:pPr>
              <w:pStyle w:val="naiskr"/>
              <w:jc w:val="both"/>
            </w:pPr>
            <w:r>
              <w:t>Sistēmas pieslēguma noteikumi elektroenerģijas ražotājiem apstiprināti ar Sabiedrisko pakalpojumu regulēšanas komisijas 03.09.2008. lēmumu Nr.280</w:t>
            </w:r>
          </w:p>
          <w:p w:rsidR="0004420D" w:rsidRDefault="0004420D" w:rsidP="00D04D4C">
            <w:pPr>
              <w:ind w:left="71"/>
              <w:jc w:val="both"/>
            </w:pPr>
            <w:r>
              <w:t>Līdz ar to Latvijas Republika veic atbilstīgu pasākumus, nodrošinot atbilstību Direktīvas 2009/28/EK 16.panta 1.daļai.</w:t>
            </w:r>
          </w:p>
          <w:p w:rsidR="0004420D" w:rsidRDefault="0004420D" w:rsidP="00D04D4C">
            <w:pPr>
              <w:ind w:left="71"/>
              <w:jc w:val="both"/>
            </w:pPr>
            <w:r>
              <w:t xml:space="preserve">Saskaņā ar ETL 2.panta pirmo punktu, ETL mērķis ir izveidot priekšnoteikumus efektīvi funkcionējoša elektroenerģijas tirgus darbībai. </w:t>
            </w:r>
          </w:p>
          <w:p w:rsidR="0004420D" w:rsidRDefault="0004420D" w:rsidP="00D04D4C">
            <w:pPr>
              <w:ind w:left="71"/>
              <w:jc w:val="both"/>
            </w:pPr>
            <w:r>
              <w:t xml:space="preserve">Vienlaikus Direktīvai 209/28/EK atbilst Enerģētikas likuma 9.pants. </w:t>
            </w:r>
          </w:p>
          <w:p w:rsidR="0004420D" w:rsidRDefault="0004420D" w:rsidP="00D04D4C">
            <w:pPr>
              <w:ind w:left="71"/>
              <w:jc w:val="both"/>
            </w:pPr>
            <w:r>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r w:rsidRPr="002C0AC5">
              <w:t>16.panta 2.punkta</w:t>
            </w:r>
          </w:p>
          <w:p w:rsidR="0004420D" w:rsidRPr="00516014" w:rsidRDefault="0004420D" w:rsidP="00D04D4C">
            <w:pPr>
              <w:rPr>
                <w:b/>
              </w:rPr>
            </w:pPr>
            <w:r w:rsidRPr="002C0AC5">
              <w:t>a)</w:t>
            </w:r>
            <w:r>
              <w:t>, b).</w:t>
            </w:r>
          </w:p>
        </w:tc>
        <w:tc>
          <w:tcPr>
            <w:tcW w:w="1360" w:type="dxa"/>
          </w:tcPr>
          <w:p w:rsidR="0004420D" w:rsidRDefault="0004420D" w:rsidP="000A02EE">
            <w:pPr>
              <w:jc w:val="center"/>
            </w:pPr>
            <w:r>
              <w:t>-</w:t>
            </w:r>
          </w:p>
        </w:tc>
        <w:tc>
          <w:tcPr>
            <w:tcW w:w="4647" w:type="dxa"/>
            <w:gridSpan w:val="2"/>
          </w:tcPr>
          <w:p w:rsidR="0004420D" w:rsidRDefault="0004420D" w:rsidP="00D04D4C">
            <w:r>
              <w:t>Ieviestas pilnībā.</w:t>
            </w:r>
          </w:p>
          <w:p w:rsidR="0004420D" w:rsidRDefault="0004420D" w:rsidP="00D04D4C">
            <w:r>
              <w:t>ETL.</w:t>
            </w:r>
          </w:p>
          <w:p w:rsidR="0004420D" w:rsidRDefault="0004420D" w:rsidP="00D04D4C">
            <w:r>
              <w:t>MK noteikumi Nr.262.</w:t>
            </w:r>
          </w:p>
          <w:p w:rsidR="0004420D" w:rsidRDefault="0004420D" w:rsidP="00D04D4C">
            <w:r>
              <w:t>MK noteikumi Nr.221.</w:t>
            </w:r>
          </w:p>
          <w:p w:rsidR="0004420D" w:rsidRDefault="0004420D" w:rsidP="00D04D4C"/>
          <w:p w:rsidR="0004420D" w:rsidRDefault="0004420D" w:rsidP="00D04D4C">
            <w:r>
              <w:t>Tīkla kodekss.</w:t>
            </w:r>
          </w:p>
          <w:p w:rsidR="0004420D" w:rsidRDefault="0004420D" w:rsidP="00D04D4C">
            <w:pPr>
              <w:pStyle w:val="naiskr"/>
              <w:jc w:val="both"/>
            </w:pPr>
            <w:r>
              <w:t xml:space="preserve">EL 6.pants (1) Sistēmas operatoram tā licences darbības zonā un licencē noteiktajā termiņā ir </w:t>
            </w:r>
            <w:r>
              <w:rPr>
                <w:u w:val="single"/>
              </w:rPr>
              <w:t xml:space="preserve">pastāvīgas saistības nodrošināt sistēmas lietotājiem un pretendentiem pieeju enerģijas pārvades vai sadales sistēmām </w:t>
            </w:r>
            <w:r>
              <w:t xml:space="preserve">vai dabasgāzes uzglabāšanas krātuvei, ja šī pieeja ir pastāvīgi savietojama ar </w:t>
            </w:r>
            <w:r>
              <w:rPr>
                <w:u w:val="single"/>
              </w:rPr>
              <w:t>atbilstošiem tehniskajiem noteikumiem un drošības prasībām</w:t>
            </w:r>
            <w:r>
              <w:t xml:space="preserve">. </w:t>
            </w:r>
          </w:p>
          <w:p w:rsidR="0004420D" w:rsidRDefault="0004420D" w:rsidP="00D04D4C">
            <w:pPr>
              <w:pStyle w:val="naiskr"/>
              <w:spacing w:before="0" w:after="0"/>
              <w:jc w:val="both"/>
              <w:rPr>
                <w:rFonts w:ascii="Calibri" w:hAnsi="Calibri"/>
                <w:color w:val="1F497D"/>
                <w:sz w:val="22"/>
                <w:szCs w:val="22"/>
              </w:rPr>
            </w:pPr>
          </w:p>
          <w:p w:rsidR="0004420D" w:rsidRDefault="0004420D" w:rsidP="00D04D4C">
            <w:pPr>
              <w:pStyle w:val="naiskr"/>
              <w:spacing w:before="0" w:after="0"/>
              <w:jc w:val="both"/>
            </w:pPr>
            <w:r>
              <w:t xml:space="preserve">ETL 9.pants. (2) Sistēmas operatoram tā licences darbības zonā un termiņā ir </w:t>
            </w:r>
            <w:r>
              <w:rPr>
                <w:u w:val="single"/>
              </w:rPr>
              <w:t>pastāvīgas saistības nodrošināt sistēmas dalībniekiem nepieciešamo pieslēgumu attiecīgai sistēmai</w:t>
            </w:r>
            <w:r>
              <w:t xml:space="preserve"> saskaņā ar regulatora izdotajiem sistēmas dalībnieku pieslēguma noteikumiem un par pieslēguma maksu, kuru nosaka sistēmas operators saskaņā ar regulatora noteikto pieslēguma maksas aprēķināšanas metodiku, ja sistēmas dalībnieks izpilda sistēmas operatora noteiktās tehniskās prasības.</w:t>
            </w:r>
          </w:p>
          <w:p w:rsidR="0004420D" w:rsidRDefault="0004420D" w:rsidP="00D04D4C">
            <w:pPr>
              <w:pStyle w:val="naiskr"/>
              <w:spacing w:before="0" w:after="0"/>
              <w:jc w:val="both"/>
              <w:rPr>
                <w:rFonts w:ascii="Calibri" w:hAnsi="Calibri"/>
                <w:color w:val="1F497D"/>
                <w:sz w:val="22"/>
                <w:szCs w:val="22"/>
              </w:rPr>
            </w:pPr>
          </w:p>
          <w:p w:rsidR="0004420D" w:rsidRDefault="0004420D" w:rsidP="00D04D4C">
            <w:pPr>
              <w:pStyle w:val="naiskr"/>
              <w:spacing w:before="0" w:after="0"/>
              <w:jc w:val="both"/>
            </w:pPr>
            <w:r>
              <w:t xml:space="preserve">EN 42.1 pants (3) Dabasgāzes sadales, pārvades un uzglabāšanas sistēmas operators nodrošina visiem sistēmas lietotājiem un pretendentiem, kuri to pieprasa, vienlīdzīgu un atklātu pieeju attiecīgajai sistēmai, sniedzot </w:t>
            </w:r>
            <w:r>
              <w:lastRenderedPageBreak/>
              <w:t>tiem dabasgāzes pārvades, sadales vai uzglabāšanas pakalpojumus.</w:t>
            </w:r>
          </w:p>
          <w:p w:rsidR="0004420D" w:rsidRDefault="0004420D" w:rsidP="00D04D4C">
            <w:pPr>
              <w:pStyle w:val="naiskr"/>
              <w:jc w:val="both"/>
            </w:pPr>
            <w:r>
              <w:t>ETL 8.panta (2) Regulators nosaka vienotus sistēmas pieslēguma noteikumus un pieslēguma maksas aprēķināšanas metodiku.</w:t>
            </w:r>
          </w:p>
          <w:p w:rsidR="0004420D" w:rsidRDefault="0004420D" w:rsidP="0082102B">
            <w:pPr>
              <w:jc w:val="both"/>
            </w:pPr>
            <w:r>
              <w:t>Sistēmas pieslēguma noteikumi elektroenerģijas ražotājiem apstiprināti ar Sabiedrisko pakalpojumu regulēšanas komisijas 03.09.2008. lēmumu Nr.280</w:t>
            </w:r>
          </w:p>
          <w:p w:rsidR="0004420D" w:rsidRDefault="0004420D" w:rsidP="00D04D4C"/>
          <w:p w:rsidR="0004420D" w:rsidRDefault="0004420D" w:rsidP="00D04D4C">
            <w:r>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D04D4C">
            <w:r w:rsidRPr="002C0AC5">
              <w:t>16.panta 2.punkta</w:t>
            </w:r>
          </w:p>
          <w:p w:rsidR="0004420D" w:rsidRPr="002C0AC5" w:rsidRDefault="0004420D" w:rsidP="00D04D4C">
            <w:pPr>
              <w:pStyle w:val="naiskr"/>
              <w:spacing w:before="0" w:after="0"/>
              <w:jc w:val="both"/>
              <w:rPr>
                <w:iCs/>
              </w:rPr>
            </w:pPr>
            <w:r>
              <w:t>c</w:t>
            </w:r>
            <w:r w:rsidRPr="002C0AC5">
              <w:t>)</w:t>
            </w:r>
            <w:r>
              <w:t>.</w:t>
            </w:r>
          </w:p>
        </w:tc>
        <w:tc>
          <w:tcPr>
            <w:tcW w:w="1360" w:type="dxa"/>
          </w:tcPr>
          <w:p w:rsidR="0004420D" w:rsidRDefault="0004420D" w:rsidP="00D04D4C">
            <w:pPr>
              <w:jc w:val="center"/>
            </w:pPr>
            <w:r>
              <w:t>-</w:t>
            </w:r>
          </w:p>
        </w:tc>
        <w:tc>
          <w:tcPr>
            <w:tcW w:w="4647" w:type="dxa"/>
            <w:gridSpan w:val="2"/>
          </w:tcPr>
          <w:p w:rsidR="0004420D" w:rsidRDefault="0004420D" w:rsidP="00D04D4C">
            <w:pPr>
              <w:ind w:left="67"/>
              <w:jc w:val="both"/>
            </w:pPr>
            <w:r>
              <w:t>Ieviests pilnībā</w:t>
            </w:r>
          </w:p>
          <w:p w:rsidR="0004420D" w:rsidRDefault="0004420D" w:rsidP="00D04D4C">
            <w:pPr>
              <w:ind w:left="67"/>
              <w:jc w:val="both"/>
            </w:pPr>
            <w:r>
              <w:t>Tiks ieviestas ar likumprojektu „A</w:t>
            </w:r>
            <w:r w:rsidRPr="00DF3ECD">
              <w:t>tjaunojamās enerģijas likum</w:t>
            </w:r>
            <w:r>
              <w:t>s”.</w:t>
            </w:r>
          </w:p>
          <w:p w:rsidR="0004420D" w:rsidRDefault="0004420D" w:rsidP="00D04D4C">
            <w:pPr>
              <w:ind w:left="67"/>
            </w:pPr>
          </w:p>
          <w:p w:rsidR="0004420D" w:rsidRPr="00EF7DD1" w:rsidRDefault="0004420D" w:rsidP="0082102B">
            <w:pPr>
              <w:ind w:left="67"/>
              <w:jc w:val="both"/>
            </w:pPr>
            <w:r>
              <w:t>Normu atbilstība tiek nodrošināts ar regulējumu par tiesību pārdod elektroenerģiju obligātā iepirkuma ietvaros. Publiskais tirgotājam noteikts pienākums iepirkt elektroenerģiju no komersanta, kas ieguvis tiesības pārdot elektroenerģiju obligātā iepirkuma ietvaros atbilstoši (MK noteikumiem Nr.262 un MK noteikumiem Nr.221).</w:t>
            </w:r>
          </w:p>
          <w:p w:rsidR="0004420D" w:rsidRPr="00EF7DD1" w:rsidRDefault="0004420D" w:rsidP="0082102B">
            <w:pPr>
              <w:ind w:left="67"/>
              <w:jc w:val="both"/>
            </w:pPr>
            <w:r w:rsidRPr="00EF7DD1">
              <w:t xml:space="preserve">Sistēmas operators nodrošina </w:t>
            </w:r>
            <w:r w:rsidRPr="00EF7DD1">
              <w:rPr>
                <w:bCs/>
              </w:rPr>
              <w:t>visiem</w:t>
            </w:r>
            <w:r w:rsidRPr="00EF7DD1">
              <w:t xml:space="preserve"> sistēmas lietotājiem un pretendentiem, kuri to pieprasa, vienlīdzīgu un atklātu pieeju attiecīgajai sistēmai</w:t>
            </w:r>
          </w:p>
          <w:p w:rsidR="0004420D" w:rsidRDefault="0004420D" w:rsidP="00D04D4C">
            <w:pPr>
              <w:ind w:left="67"/>
            </w:pPr>
            <w:r>
              <w:t>Ekonomikas ministrija.</w:t>
            </w:r>
          </w:p>
        </w:tc>
        <w:tc>
          <w:tcPr>
            <w:tcW w:w="2017" w:type="dxa"/>
          </w:tcPr>
          <w:p w:rsidR="0004420D" w:rsidRDefault="0004420D" w:rsidP="00D04D4C">
            <w:pPr>
              <w:pStyle w:val="naiskr"/>
              <w:spacing w:before="0" w:after="0"/>
              <w:jc w:val="both"/>
            </w:pPr>
            <w:r>
              <w:t xml:space="preserve">Nacionālais tiesību akts neparedz 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2A22B4" w:rsidRDefault="0004420D" w:rsidP="00D04D4C">
            <w:r w:rsidRPr="002A22B4">
              <w:t>16.panta 3.punkts</w:t>
            </w:r>
          </w:p>
        </w:tc>
        <w:tc>
          <w:tcPr>
            <w:tcW w:w="1360" w:type="dxa"/>
          </w:tcPr>
          <w:p w:rsidR="0004420D" w:rsidRDefault="0004420D" w:rsidP="000A02EE">
            <w:pPr>
              <w:jc w:val="center"/>
            </w:pPr>
            <w:r>
              <w:t>-</w:t>
            </w:r>
          </w:p>
        </w:tc>
        <w:tc>
          <w:tcPr>
            <w:tcW w:w="4647" w:type="dxa"/>
            <w:gridSpan w:val="2"/>
          </w:tcPr>
          <w:p w:rsidR="0004420D" w:rsidRDefault="0004420D" w:rsidP="00D04D4C">
            <w:pPr>
              <w:pStyle w:val="naiskr"/>
              <w:jc w:val="both"/>
            </w:pPr>
            <w:r>
              <w:t>Ieviest pilnībā</w:t>
            </w:r>
          </w:p>
          <w:p w:rsidR="0004420D" w:rsidRDefault="0004420D" w:rsidP="00D04D4C">
            <w:pPr>
              <w:pStyle w:val="naiskr"/>
              <w:jc w:val="both"/>
            </w:pPr>
            <w:r>
              <w:t>ETL 8.panta (2) Regulators nosaka vienotus sistēmas pieslēguma noteikumus un pieslēguma maksas aprēķināšanas metodiku.</w:t>
            </w:r>
          </w:p>
          <w:p w:rsidR="0004420D" w:rsidRDefault="0004420D" w:rsidP="00D04D4C">
            <w:pPr>
              <w:pStyle w:val="naiskr"/>
              <w:jc w:val="both"/>
            </w:pPr>
            <w:r>
              <w:t>Sistēmas pieslēguma noteikumi elektroenerģijas ražotājiem apstiprināti ar Sabiedrisko pakalpojumu regulēšanas komisijas 03.09.2008. lēmumu Nr.280</w:t>
            </w:r>
          </w:p>
          <w:p w:rsidR="0004420D" w:rsidRDefault="0004420D" w:rsidP="00D04D4C">
            <w:pPr>
              <w:pStyle w:val="naiskr"/>
              <w:spacing w:before="0" w:after="0"/>
              <w:jc w:val="both"/>
            </w:pPr>
            <w:r>
              <w:t>ETL 4.panta (2) Sistēmas vadības un lietošanas kārtību un tirgus dalībnieku, izņemot galalietotājus, darbības nosaka Tīkla kodekss. Tīkla kodeksu izstrādā pārvades sistēmas operators un apstiprina regulators. Tīkla kodeksā noteikto procedūru izpildi nodrošina pārvades sistēmas operators.</w:t>
            </w:r>
          </w:p>
          <w:p w:rsidR="0004420D" w:rsidRDefault="0004420D" w:rsidP="0082102B">
            <w:pPr>
              <w:jc w:val="both"/>
            </w:pPr>
            <w:r>
              <w:t xml:space="preserve">Tīkla kodeksa 2.daļa „ Pieslēgums elektroenerģijas sistēmai” , kurā viss aprakstīts, t.sk. 3.1. Sistēmas operatoram ir pienākums veikt savstarpējas pārrunas ar sistēmas dalībnieku par sistēmas pieslēguma </w:t>
            </w:r>
            <w:r>
              <w:lastRenderedPageBreak/>
              <w:t>nosacījumiem, kuru laikā sistēmas operators sniedz informāciju, kas dod iespēju sistēmas dalībniekam novērtēt sistēmas operatora piedāvāto tehnisko noteikumu būtību, bet sistēmas dalībnieks sistēmas operatoram sniedz vispusīgu informāciju par savu paredzēto darbību;</w:t>
            </w:r>
          </w:p>
          <w:p w:rsidR="0004420D" w:rsidRDefault="0004420D" w:rsidP="00D04D4C">
            <w:r>
              <w:t>Ekonomikas ministrija</w:t>
            </w:r>
          </w:p>
        </w:tc>
        <w:tc>
          <w:tcPr>
            <w:tcW w:w="2017" w:type="dxa"/>
          </w:tcPr>
          <w:p w:rsidR="0004420D" w:rsidRPr="00173BCA" w:rsidRDefault="0004420D" w:rsidP="00D04D4C">
            <w:pPr>
              <w:pStyle w:val="naiskr"/>
              <w:spacing w:before="0" w:after="0"/>
              <w:jc w:val="both"/>
            </w:pPr>
            <w:r w:rsidRPr="00173BCA">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lastRenderedPageBreak/>
              <w:t xml:space="preserve">Direktīvas </w:t>
            </w:r>
            <w:r w:rsidRPr="002C0AC5">
              <w:rPr>
                <w:bCs/>
              </w:rPr>
              <w:t>2009/28/EK</w:t>
            </w:r>
          </w:p>
          <w:p w:rsidR="0004420D" w:rsidRPr="002C0AC5" w:rsidRDefault="0004420D" w:rsidP="005E04C9">
            <w:r w:rsidRPr="002C0AC5">
              <w:t>16.panta 4.punkts</w:t>
            </w:r>
          </w:p>
        </w:tc>
        <w:tc>
          <w:tcPr>
            <w:tcW w:w="1360" w:type="dxa"/>
          </w:tcPr>
          <w:p w:rsidR="0004420D" w:rsidRDefault="0004420D" w:rsidP="000A02EE">
            <w:pPr>
              <w:jc w:val="center"/>
            </w:pPr>
            <w:r>
              <w:t>-</w:t>
            </w:r>
          </w:p>
        </w:tc>
        <w:tc>
          <w:tcPr>
            <w:tcW w:w="4647" w:type="dxa"/>
            <w:gridSpan w:val="2"/>
          </w:tcPr>
          <w:p w:rsidR="00DD1511" w:rsidRPr="002C0AC5" w:rsidRDefault="00DD1511" w:rsidP="00DD1511">
            <w:pPr>
              <w:pStyle w:val="naiskr"/>
              <w:spacing w:before="0" w:after="0"/>
              <w:jc w:val="both"/>
              <w:rPr>
                <w:iCs/>
              </w:rPr>
            </w:pPr>
            <w:r w:rsidRPr="002C0AC5">
              <w:rPr>
                <w:iCs/>
              </w:rPr>
              <w:t xml:space="preserve">Direktīvas </w:t>
            </w:r>
            <w:r w:rsidRPr="002C0AC5">
              <w:rPr>
                <w:bCs/>
              </w:rPr>
              <w:t>2009/28/EK</w:t>
            </w:r>
          </w:p>
          <w:p w:rsidR="00DD1511" w:rsidRDefault="00DD1511" w:rsidP="00DD1511">
            <w:r w:rsidRPr="002C0AC5">
              <w:t>16.panta 4.punkts</w:t>
            </w:r>
            <w:r>
              <w:t xml:space="preserve"> neparedz obligātas prasības dalībvalstīm.</w:t>
            </w:r>
          </w:p>
          <w:p w:rsidR="0004420D" w:rsidRDefault="0004420D" w:rsidP="00DD1511">
            <w:r>
              <w:t xml:space="preserve">Sistēmas pieslēguma noteikumi elektroenerģijas ražotājiem apstiprināti ar Sabiedrisko pakalpojumu regulēšanas komisijas padomes 03.09.2008. lēmumu Nr.280 </w:t>
            </w:r>
          </w:p>
          <w:p w:rsidR="0004420D" w:rsidRDefault="0004420D" w:rsidP="00D04D4C">
            <w:r>
              <w:t xml:space="preserve">8. </w:t>
            </w:r>
            <w:r>
              <w:rPr>
                <w:b/>
                <w:bCs/>
              </w:rPr>
              <w:t>Ražotājs par saviem līdzekļiem nodrošina sistēmas pieslēguma projektēšanu</w:t>
            </w:r>
            <w:r>
              <w:t xml:space="preserve"> saskaņā ar sistēmas operatora izsniegtajiem tehniskajiem noteikumiem, ievērojot spēkā esošo normatīvo aktu prasības.</w:t>
            </w:r>
          </w:p>
          <w:p w:rsidR="0004420D" w:rsidRDefault="0004420D" w:rsidP="00D04D4C">
            <w:pPr>
              <w:rPr>
                <w:b/>
                <w:bCs/>
              </w:rPr>
            </w:pPr>
            <w:r>
              <w:t xml:space="preserve">12. </w:t>
            </w:r>
            <w:r>
              <w:rPr>
                <w:b/>
                <w:bCs/>
              </w:rPr>
              <w:t>Visus ar sistēmas pieslēguma būvniecību saistītos izdevumus maksā ražotājs.</w:t>
            </w:r>
          </w:p>
          <w:p w:rsidR="0004420D" w:rsidRDefault="0004420D" w:rsidP="00D04D4C"/>
          <w:p w:rsidR="0004420D" w:rsidRDefault="0004420D" w:rsidP="00D04D4C">
            <w:r>
              <w:t>ETL, Tīkla kodekss</w:t>
            </w:r>
          </w:p>
          <w:p w:rsidR="0004420D" w:rsidRDefault="0004420D" w:rsidP="00D04D4C">
            <w:pPr>
              <w:jc w:val="both"/>
            </w:pPr>
          </w:p>
          <w:p w:rsidR="00DD1511" w:rsidRPr="004D2200" w:rsidRDefault="00DD1511" w:rsidP="00DD1511">
            <w:pPr>
              <w:ind w:left="67"/>
              <w:jc w:val="both"/>
            </w:pPr>
            <w:r>
              <w:t>Nepieciešamības gadījumā t</w:t>
            </w:r>
            <w:r w:rsidRPr="004D2200">
              <w:t>iks ieviestas ar likumprojektu „Atjaunojamās enerģijas likums”.</w:t>
            </w:r>
          </w:p>
          <w:p w:rsidR="0004420D" w:rsidRDefault="0004420D" w:rsidP="00D04D4C">
            <w:pPr>
              <w:ind w:left="67"/>
              <w:jc w:val="both"/>
            </w:pPr>
          </w:p>
          <w:p w:rsidR="0004420D" w:rsidRDefault="0004420D" w:rsidP="00D04D4C">
            <w:r>
              <w:t>Ekonomikas ministrija.</w:t>
            </w:r>
          </w:p>
        </w:tc>
        <w:tc>
          <w:tcPr>
            <w:tcW w:w="2017" w:type="dxa"/>
          </w:tcPr>
          <w:p w:rsidR="0004420D" w:rsidRPr="00173BCA" w:rsidRDefault="0004420D" w:rsidP="00D04D4C">
            <w:pPr>
              <w:pStyle w:val="naiskr"/>
              <w:spacing w:before="0" w:after="0"/>
              <w:jc w:val="both"/>
            </w:pPr>
            <w:r w:rsidRPr="00173BCA">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2C0AC5" w:rsidRDefault="0004420D" w:rsidP="00D04D4C">
            <w:r w:rsidRPr="002C0AC5">
              <w:t>16.panta 5.punkta</w:t>
            </w:r>
          </w:p>
          <w:p w:rsidR="0004420D" w:rsidRPr="002C0AC5" w:rsidRDefault="0004420D" w:rsidP="00D04D4C">
            <w:r w:rsidRPr="002C0AC5">
              <w:t>a)</w:t>
            </w:r>
            <w:r>
              <w:t>, b), c)</w:t>
            </w:r>
          </w:p>
        </w:tc>
        <w:tc>
          <w:tcPr>
            <w:tcW w:w="1360" w:type="dxa"/>
          </w:tcPr>
          <w:p w:rsidR="0004420D" w:rsidRDefault="0004420D" w:rsidP="000A02EE">
            <w:pPr>
              <w:jc w:val="center"/>
            </w:pPr>
            <w:r>
              <w:t>-</w:t>
            </w:r>
          </w:p>
        </w:tc>
        <w:tc>
          <w:tcPr>
            <w:tcW w:w="4647" w:type="dxa"/>
            <w:gridSpan w:val="2"/>
          </w:tcPr>
          <w:p w:rsidR="0004420D" w:rsidRDefault="0004420D" w:rsidP="00D04D4C">
            <w:r>
              <w:t>Ieviests pilnībā</w:t>
            </w:r>
          </w:p>
          <w:p w:rsidR="0004420D" w:rsidRDefault="0004420D" w:rsidP="00D04D4C"/>
          <w:p w:rsidR="0004420D" w:rsidRDefault="0004420D" w:rsidP="00D04D4C">
            <w:r>
              <w:t>ETL 8.panta otrā daļa</w:t>
            </w:r>
          </w:p>
          <w:p w:rsidR="0004420D" w:rsidRDefault="0004420D" w:rsidP="00D04D4C"/>
          <w:p w:rsidR="0004420D" w:rsidRDefault="0004420D" w:rsidP="00442C0F">
            <w:pPr>
              <w:jc w:val="both"/>
            </w:pPr>
            <w:r>
              <w:t xml:space="preserve">Sistēmas pieslēguma noteikumi elektroenerģijas ražotājiem apstiprināti ar Sabiedrisko pakalpojumu regulēšanas komisijas padomes 03.09.2008. lēmumu Nr.280 </w:t>
            </w:r>
          </w:p>
          <w:p w:rsidR="0004420D" w:rsidRDefault="0004420D" w:rsidP="00442C0F">
            <w:pPr>
              <w:jc w:val="both"/>
            </w:pPr>
            <w:r>
              <w:t>7. Pieslēguma vietu un nosacījumus nosaka sistēmas operators, sešdesmit dienu laikā pēc pieteikuma saņemšanas, izsniedzot ražotājam skaidrus un tehniski pamatotus tehniskos noteikumus, kuru derīguma termiņš ir divi gadi.</w:t>
            </w:r>
          </w:p>
          <w:p w:rsidR="0004420D" w:rsidRDefault="0004420D" w:rsidP="00D04D4C">
            <w:pPr>
              <w:pStyle w:val="naiskr"/>
              <w:jc w:val="both"/>
            </w:pPr>
            <w:r>
              <w:t xml:space="preserve">9. Pēc sistēmas pieslēguma būvprojekta apstiprināšanas sistēmas operators un ražotājs noslēdz </w:t>
            </w:r>
            <w:r>
              <w:rPr>
                <w:u w:val="single"/>
              </w:rPr>
              <w:t>pieslēguma līgumu, kurā nosaka</w:t>
            </w:r>
            <w:r>
              <w:t xml:space="preserve"> arī pieslēguma būvdarbu nosacījumus, </w:t>
            </w:r>
            <w:r>
              <w:rPr>
                <w:u w:val="single"/>
              </w:rPr>
              <w:t xml:space="preserve">pieslēguma </w:t>
            </w:r>
            <w:r>
              <w:rPr>
                <w:u w:val="single"/>
              </w:rPr>
              <w:lastRenderedPageBreak/>
              <w:t>maksu, pieslēguma samaksas termiņus un pieslēguma ierīkošanas termiņus</w:t>
            </w:r>
            <w:r>
              <w:t>, kā arī nosacījumus ražotāja elektrostacijas pieslēgšanai sistēmai.</w:t>
            </w:r>
          </w:p>
          <w:p w:rsidR="0004420D" w:rsidRDefault="0004420D" w:rsidP="00D04D4C">
            <w:pPr>
              <w:pStyle w:val="naiskr"/>
              <w:jc w:val="both"/>
            </w:pPr>
            <w:r>
              <w:t>10. Pieslēguma maksu nosaka atbilstoši pieslēguma ierīkošanas ekonomiski pamatotajām izmaksām.</w:t>
            </w:r>
          </w:p>
          <w:p w:rsidR="0004420D" w:rsidRDefault="0004420D" w:rsidP="00D04D4C">
            <w:pPr>
              <w:pStyle w:val="naiskr"/>
              <w:spacing w:before="0" w:after="0"/>
              <w:jc w:val="both"/>
            </w:pPr>
          </w:p>
          <w:p w:rsidR="0004420D" w:rsidRDefault="0004420D" w:rsidP="00442C0F">
            <w:pPr>
              <w:jc w:val="both"/>
            </w:pPr>
            <w:r>
              <w:t>Tīkla kodeksa 3.1. Sistēmas operatoram ir pienākums veikt savstarpējas pārrunas ar sistēmas dalībnieku par sistēmas pieslēguma nosacījumiem, kuru laikā sistēmas operators sniedz informāciju, kas dod iespēju sistēmas dalībniekam novērtēt sistēmas operatora piedāvāto tehnisko noteikumu būtību, bet sistēmas dalībnieks sistēmas operatoram sniedz vispusīgu informāciju par savu paredzēto darbību;</w:t>
            </w:r>
          </w:p>
          <w:p w:rsidR="0004420D" w:rsidRDefault="0004420D" w:rsidP="00D04D4C">
            <w:pPr>
              <w:ind w:left="71"/>
            </w:pPr>
            <w:r>
              <w:t xml:space="preserve">  </w:t>
            </w:r>
          </w:p>
          <w:p w:rsidR="0004420D" w:rsidRDefault="0004420D" w:rsidP="00D04D4C">
            <w:pPr>
              <w:ind w:left="71"/>
            </w:pPr>
            <w:r>
              <w:t>Ekonomikas ministrija</w:t>
            </w:r>
          </w:p>
        </w:tc>
        <w:tc>
          <w:tcPr>
            <w:tcW w:w="2017" w:type="dxa"/>
          </w:tcPr>
          <w:p w:rsidR="0004420D" w:rsidRDefault="0004420D" w:rsidP="00D04D4C">
            <w:pPr>
              <w:pStyle w:val="naiskr"/>
              <w:spacing w:before="0" w:after="0"/>
              <w:jc w:val="both"/>
            </w:pPr>
            <w:r>
              <w:lastRenderedPageBreak/>
              <w:t xml:space="preserve">Nacionālais tiesību akts neparedz stingrākas prasības </w:t>
            </w:r>
          </w:p>
          <w:p w:rsidR="0004420D" w:rsidRPr="005A2614"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lastRenderedPageBreak/>
              <w:t xml:space="preserve">Direktīvas </w:t>
            </w:r>
            <w:r w:rsidRPr="004D2200">
              <w:rPr>
                <w:bCs/>
              </w:rPr>
              <w:t>2009/28/EK</w:t>
            </w:r>
          </w:p>
          <w:p w:rsidR="0004420D" w:rsidRPr="004D2200" w:rsidRDefault="0004420D" w:rsidP="00D04D4C">
            <w:r w:rsidRPr="004D2200">
              <w:t>16.panta 6.punkts.</w:t>
            </w:r>
          </w:p>
        </w:tc>
        <w:tc>
          <w:tcPr>
            <w:tcW w:w="1360" w:type="dxa"/>
          </w:tcPr>
          <w:p w:rsidR="0004420D" w:rsidRPr="004D2200" w:rsidRDefault="0004420D" w:rsidP="00D04D4C">
            <w:pPr>
              <w:jc w:val="center"/>
            </w:pPr>
            <w:r w:rsidRPr="004D2200">
              <w:t>-</w:t>
            </w:r>
          </w:p>
        </w:tc>
        <w:tc>
          <w:tcPr>
            <w:tcW w:w="4647" w:type="dxa"/>
            <w:gridSpan w:val="2"/>
          </w:tcPr>
          <w:p w:rsidR="0004420D" w:rsidRDefault="0004420D" w:rsidP="00D04D4C">
            <w:pPr>
              <w:ind w:left="67"/>
            </w:pPr>
            <w:r>
              <w:t>Ieviests pilnībā</w:t>
            </w:r>
          </w:p>
          <w:p w:rsidR="0004420D" w:rsidRPr="004D2200" w:rsidRDefault="0004420D" w:rsidP="00D04D4C">
            <w:pPr>
              <w:ind w:left="67"/>
            </w:pPr>
          </w:p>
          <w:p w:rsidR="0004420D" w:rsidRDefault="0004420D" w:rsidP="00442C0F">
            <w:pPr>
              <w:ind w:left="67"/>
              <w:jc w:val="both"/>
            </w:pPr>
            <w:r w:rsidRPr="004D2200">
              <w:t>Saskaņā ar ETL 8.panta otro daļu spēkā ir ar SPRK 2008.gada 3.septembra lēmums Nr.280 apstiprināti noteikumi „Sistēmas pieslēguma noteikumi elektroenerģijas ražotājiem” atbilsts Direktīvas 2009/28/EK 16.panta 6.punkta prasībām.</w:t>
            </w:r>
            <w:r>
              <w:t>:</w:t>
            </w:r>
          </w:p>
          <w:p w:rsidR="0004420D" w:rsidRDefault="0004420D" w:rsidP="00D04D4C">
            <w:pPr>
              <w:pStyle w:val="naiskr"/>
              <w:jc w:val="both"/>
            </w:pPr>
            <w:r>
              <w:t>10. Pieslēguma maksu nosaka atbilstoši pieslēguma ierīkošanas ekonomiski pamatotajām izmaksām.</w:t>
            </w:r>
          </w:p>
          <w:p w:rsidR="0004420D" w:rsidRDefault="0004420D" w:rsidP="00D04D4C">
            <w:r>
              <w:t xml:space="preserve">12. Visus ar sistēmas pieslēguma būvniecību saistītos izdevumus </w:t>
            </w:r>
            <w:r>
              <w:rPr>
                <w:b/>
                <w:bCs/>
              </w:rPr>
              <w:t>maksā ražotājs</w:t>
            </w:r>
            <w:r>
              <w:t>.</w:t>
            </w:r>
          </w:p>
          <w:p w:rsidR="0004420D" w:rsidRDefault="0004420D" w:rsidP="00D04D4C">
            <w:pPr>
              <w:pStyle w:val="naiskr"/>
              <w:jc w:val="both"/>
            </w:pPr>
            <w:r>
              <w:t xml:space="preserve">13. Ja saskaņā ar pieslēguma izbūves būvprojektu, sistēmas pieslēguma būvdarbiem nepieciešama sistēmas operatora elektrotīklu rekonstrukcija, sistēmas operators un ražotājs rakstiski vienojas par nepieciešamo rekonstrukcijas darbu izpildi. Par šajā punktā noteiktajiem rekonstrukcijas darbiem </w:t>
            </w:r>
            <w:r>
              <w:rPr>
                <w:b/>
                <w:bCs/>
              </w:rPr>
              <w:t>maksā ražotājs</w:t>
            </w:r>
            <w:r>
              <w:t>.</w:t>
            </w:r>
          </w:p>
          <w:p w:rsidR="0004420D" w:rsidRDefault="0004420D" w:rsidP="00D04D4C">
            <w:pPr>
              <w:ind w:left="67"/>
            </w:pPr>
          </w:p>
          <w:p w:rsidR="0004420D" w:rsidRPr="004D2200" w:rsidRDefault="0004420D" w:rsidP="00D04D4C">
            <w:pPr>
              <w:ind w:left="67"/>
            </w:pPr>
            <w:r>
              <w:t>Ekonomikas ministrija</w:t>
            </w:r>
          </w:p>
        </w:tc>
        <w:tc>
          <w:tcPr>
            <w:tcW w:w="2017" w:type="dxa"/>
          </w:tcPr>
          <w:p w:rsidR="0004420D" w:rsidRPr="004D2200" w:rsidRDefault="0004420D" w:rsidP="00D04D4C">
            <w:pPr>
              <w:pStyle w:val="naiskr"/>
              <w:spacing w:before="0" w:after="0"/>
              <w:jc w:val="both"/>
            </w:pPr>
            <w:r w:rsidRPr="004D2200">
              <w:t xml:space="preserve">Nacionālais tiesību akts neparedz stingrākas prasības </w:t>
            </w:r>
          </w:p>
          <w:p w:rsidR="0004420D" w:rsidRPr="004D2200" w:rsidRDefault="0004420D" w:rsidP="00D04D4C">
            <w:pPr>
              <w:pStyle w:val="naiskr"/>
              <w:spacing w:before="0" w:after="0"/>
              <w:jc w:val="both"/>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t>Direktīvas 2009/28/EK 16.panta 7.punkts</w:t>
            </w:r>
            <w:r>
              <w:rPr>
                <w:iCs/>
              </w:rPr>
              <w:t>; 8.punkts.</w:t>
            </w:r>
          </w:p>
        </w:tc>
        <w:tc>
          <w:tcPr>
            <w:tcW w:w="1360" w:type="dxa"/>
          </w:tcPr>
          <w:p w:rsidR="0004420D" w:rsidRPr="004D2200" w:rsidRDefault="0004420D" w:rsidP="00D04D4C">
            <w:pPr>
              <w:jc w:val="center"/>
            </w:pPr>
            <w:r w:rsidRPr="004D2200">
              <w:t>-</w:t>
            </w:r>
          </w:p>
        </w:tc>
        <w:tc>
          <w:tcPr>
            <w:tcW w:w="4647" w:type="dxa"/>
            <w:gridSpan w:val="2"/>
          </w:tcPr>
          <w:p w:rsidR="0004420D" w:rsidRPr="004D2200" w:rsidRDefault="0004420D" w:rsidP="00D04D4C">
            <w:pPr>
              <w:ind w:left="67"/>
            </w:pPr>
            <w:r>
              <w:t>Ieviests pilnībā</w:t>
            </w:r>
          </w:p>
          <w:p w:rsidR="0004420D" w:rsidRDefault="0004420D" w:rsidP="00D04D4C">
            <w:pPr>
              <w:ind w:left="67"/>
            </w:pPr>
            <w:r w:rsidRPr="004D2200">
              <w:t>ETL 16.pants un ETL 20.pants</w:t>
            </w:r>
          </w:p>
          <w:p w:rsidR="0004420D" w:rsidRDefault="0004420D" w:rsidP="00D04D4C">
            <w:pPr>
              <w:pStyle w:val="naiskr"/>
              <w:spacing w:before="0" w:after="0"/>
              <w:ind w:left="67"/>
              <w:jc w:val="both"/>
            </w:pPr>
          </w:p>
          <w:p w:rsidR="0004420D" w:rsidRDefault="0004420D" w:rsidP="00D04D4C">
            <w:pPr>
              <w:pStyle w:val="naiskr"/>
              <w:spacing w:before="0" w:after="0"/>
              <w:ind w:left="67"/>
              <w:jc w:val="both"/>
            </w:pPr>
            <w:r>
              <w:t>Elektroenerģijas tirdzniecības un lietošanas noteikumi (MK 2009.gada 21.jūlija noteikumi Nr.739)</w:t>
            </w:r>
          </w:p>
          <w:p w:rsidR="0004420D" w:rsidRDefault="0004420D" w:rsidP="00D04D4C">
            <w:pPr>
              <w:pStyle w:val="naiskr"/>
              <w:spacing w:before="0" w:after="0"/>
              <w:ind w:left="67"/>
              <w:jc w:val="both"/>
            </w:pPr>
            <w:r>
              <w:lastRenderedPageBreak/>
              <w:t>17. Saistītais lietotājs proporcionāli tā elektroenerģijas patēriņa apjomam maksā obligātā iepirkuma komponenti. Obligātā iepirkuma komponenti maksā publiskajam tirgotājam vai attiecīgajam sistēmas operatoram kopā ar elektroenerģijas tirdzniecības gala tarifu.</w:t>
            </w:r>
          </w:p>
          <w:p w:rsidR="0004420D" w:rsidRDefault="0004420D" w:rsidP="00D04D4C">
            <w:pPr>
              <w:pStyle w:val="naisf"/>
              <w:ind w:left="67" w:firstLine="0"/>
            </w:pPr>
            <w:r>
              <w:t>40. Lietotājs - elektroenerģijas tirgus dalībnieks - proporcionāli tā elektroenerģijas patēriņam maksā par katru obligātā iepirkuma komponenti. Par obligātā iepirkuma komponenti maksā attiecīgajam elektroenerģijas pārvades vai sadales sistēmas operatoram kopā ar maksu par pārvades vai sadales sistēmas pakalpojumiem.</w:t>
            </w:r>
          </w:p>
          <w:p w:rsidR="0004420D" w:rsidRDefault="0004420D" w:rsidP="00D04D4C">
            <w:pPr>
              <w:ind w:left="67"/>
              <w:jc w:val="both"/>
            </w:pPr>
            <w:r>
              <w:t>Obligātā iepirkuma komponenšu aprēķināšanas metodika apstiprināta ar Sabiedrisko pakalpojumu regulēšanas komisijas padomes 19.08.2009.  lēmumu Nr.280 Nr.1/2</w:t>
            </w:r>
          </w:p>
          <w:p w:rsidR="0004420D" w:rsidRDefault="0004420D" w:rsidP="00D04D4C">
            <w:pPr>
              <w:ind w:left="67"/>
              <w:jc w:val="both"/>
            </w:pPr>
          </w:p>
          <w:p w:rsidR="0004420D" w:rsidRPr="004D2200" w:rsidRDefault="0004420D" w:rsidP="00D04D4C">
            <w:pPr>
              <w:ind w:left="67"/>
              <w:jc w:val="both"/>
            </w:pPr>
            <w:r>
              <w:t>Ekonomikas ministrija</w:t>
            </w:r>
          </w:p>
        </w:tc>
        <w:tc>
          <w:tcPr>
            <w:tcW w:w="2017" w:type="dxa"/>
          </w:tcPr>
          <w:p w:rsidR="0004420D" w:rsidRPr="004D2200" w:rsidRDefault="0004420D" w:rsidP="00D04D4C">
            <w:pPr>
              <w:pStyle w:val="naiskr"/>
              <w:spacing w:before="0" w:after="0"/>
              <w:jc w:val="both"/>
            </w:pPr>
            <w:r w:rsidRPr="004D2200">
              <w:lastRenderedPageBreak/>
              <w:t xml:space="preserve">Nacionālais tiesību akts neparedz stingrākas prasības </w:t>
            </w:r>
          </w:p>
          <w:p w:rsidR="0004420D" w:rsidRPr="004D2200" w:rsidRDefault="0004420D" w:rsidP="00D04D4C">
            <w:pPr>
              <w:pStyle w:val="naiskr"/>
              <w:spacing w:before="0" w:after="0"/>
              <w:jc w:val="both"/>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692513">
            <w:pPr>
              <w:pStyle w:val="naiskr"/>
              <w:spacing w:before="0" w:after="0"/>
              <w:jc w:val="both"/>
              <w:rPr>
                <w:iCs/>
              </w:rPr>
            </w:pPr>
            <w:r w:rsidRPr="004D2200">
              <w:rPr>
                <w:iCs/>
              </w:rPr>
              <w:lastRenderedPageBreak/>
              <w:t>Direktīvas 2009/28/EK 16.panta 9.punkts</w:t>
            </w:r>
          </w:p>
        </w:tc>
        <w:tc>
          <w:tcPr>
            <w:tcW w:w="1360" w:type="dxa"/>
          </w:tcPr>
          <w:p w:rsidR="0004420D" w:rsidRPr="004D2200" w:rsidRDefault="0004420D" w:rsidP="000A02EE">
            <w:pPr>
              <w:jc w:val="center"/>
            </w:pPr>
            <w:r>
              <w:t>-</w:t>
            </w:r>
          </w:p>
        </w:tc>
        <w:tc>
          <w:tcPr>
            <w:tcW w:w="4647" w:type="dxa"/>
            <w:gridSpan w:val="2"/>
          </w:tcPr>
          <w:p w:rsidR="0004420D" w:rsidRDefault="0004420D" w:rsidP="00BB3BEF">
            <w:pPr>
              <w:ind w:left="67"/>
            </w:pPr>
            <w:r>
              <w:t>Direktīvas 2009/28/EK 16.panta 9.punkts neparedz obligātas saistības.</w:t>
            </w:r>
          </w:p>
          <w:p w:rsidR="0004420D" w:rsidRPr="004D2200" w:rsidRDefault="0004420D" w:rsidP="005D0EF5">
            <w:pPr>
              <w:ind w:left="67"/>
              <w:jc w:val="both"/>
            </w:pPr>
            <w:r>
              <w:t>Nepieciešamības gadījumā t</w:t>
            </w:r>
            <w:r w:rsidRPr="004D2200">
              <w:t>iks ieviestas ar likumprojektu „Atjaunojamās enerģijas likums”.</w:t>
            </w:r>
          </w:p>
          <w:p w:rsidR="0004420D" w:rsidRDefault="0004420D" w:rsidP="0004420D">
            <w:pPr>
              <w:pStyle w:val="naiskr"/>
              <w:spacing w:before="0" w:after="0"/>
              <w:jc w:val="both"/>
            </w:pPr>
            <w:r>
              <w:t>EN 42.</w:t>
            </w:r>
            <w:r>
              <w:rPr>
                <w:vertAlign w:val="superscript"/>
              </w:rPr>
              <w:t>1</w:t>
            </w:r>
            <w:r>
              <w:rPr>
                <w:b/>
                <w:bCs/>
                <w:vertAlign w:val="superscript"/>
              </w:rPr>
              <w:t xml:space="preserve"> </w:t>
            </w:r>
            <w:r>
              <w:t>pants (3) Dabasgāzes sadales, pārvades un uzglabāšanas sistēmas operators nodrošina visiem sistēmas lietotājiem un pretendentiem, kuri to pieprasa, vienlīdzīgu un atklātu pieeju attiecīgajai sistēmai, sniedzot tiem dabasgāzes pārvades, sadales vai uzglabāšanas pakalpojumus.</w:t>
            </w:r>
          </w:p>
          <w:p w:rsidR="0004420D" w:rsidRDefault="0004420D" w:rsidP="0004420D">
            <w:pPr>
              <w:pStyle w:val="naiskr"/>
              <w:spacing w:before="0" w:after="0"/>
              <w:jc w:val="both"/>
            </w:pPr>
            <w:r>
              <w:t>Šis EN punkts būs spēkā no 2014.gada.</w:t>
            </w:r>
          </w:p>
          <w:p w:rsidR="0004420D" w:rsidRDefault="0004420D" w:rsidP="0004420D">
            <w:pPr>
              <w:pStyle w:val="naiskr"/>
              <w:jc w:val="both"/>
            </w:pPr>
            <w:r>
              <w:t>(4) Dabasgāzes sistēmas operatoram ir tiesības motivēti atteikt pieeju attiecīgajai sistēmai likumā “Par sabiedrisko pakalpojumu regulatoriem” noteiktajā kārtībā šādos gadījumos:</w:t>
            </w:r>
          </w:p>
          <w:p w:rsidR="0004420D" w:rsidRDefault="0004420D" w:rsidP="0004420D">
            <w:pPr>
              <w:pStyle w:val="naiskr"/>
              <w:jc w:val="both"/>
            </w:pPr>
            <w:r>
              <w:t>1) sistēmas jauda nav pietiekama;</w:t>
            </w:r>
          </w:p>
          <w:p w:rsidR="0004420D" w:rsidRDefault="0004420D" w:rsidP="0004420D">
            <w:pPr>
              <w:pStyle w:val="naiskr"/>
              <w:jc w:val="both"/>
            </w:pPr>
            <w:r>
              <w:t>2) netiks izpildīti regulatora noteiktie pienākumi un saistības;</w:t>
            </w:r>
          </w:p>
          <w:p w:rsidR="0004420D" w:rsidRDefault="0004420D" w:rsidP="0004420D">
            <w:pPr>
              <w:pStyle w:val="naiskr"/>
              <w:jc w:val="both"/>
            </w:pPr>
            <w:r>
              <w:t>3) netiks izpildītas ilgtermiņa (10 gadi un vairāk) enerģijas piegādes līgumu saistības;</w:t>
            </w:r>
          </w:p>
          <w:p w:rsidR="0004420D" w:rsidRDefault="0004420D" w:rsidP="00442C0F">
            <w:r>
              <w:t>4) regulators šā likuma 45.3 pantā noteiktajos gadījumos pieņēmis lēmumu par pagaidu atkāpes piešķiršanu.</w:t>
            </w:r>
          </w:p>
          <w:p w:rsidR="0004420D" w:rsidRPr="004D2200" w:rsidRDefault="0004420D" w:rsidP="00442C0F"/>
        </w:tc>
        <w:tc>
          <w:tcPr>
            <w:tcW w:w="2017" w:type="dxa"/>
          </w:tcPr>
          <w:p w:rsidR="0004420D" w:rsidRPr="004D2200" w:rsidRDefault="0004420D" w:rsidP="00BB3BEF">
            <w:pPr>
              <w:pStyle w:val="naiskr"/>
              <w:spacing w:before="0" w:after="0"/>
              <w:jc w:val="both"/>
            </w:pPr>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lastRenderedPageBreak/>
              <w:t>Direktīvas 2009/28/EK 16.panta 10.punkts</w:t>
            </w:r>
          </w:p>
        </w:tc>
        <w:tc>
          <w:tcPr>
            <w:tcW w:w="1360" w:type="dxa"/>
          </w:tcPr>
          <w:p w:rsidR="0004420D" w:rsidRPr="004D2200" w:rsidRDefault="0004420D" w:rsidP="00D04D4C">
            <w:pPr>
              <w:jc w:val="center"/>
            </w:pPr>
            <w:r w:rsidRPr="004D2200">
              <w:t>-</w:t>
            </w:r>
          </w:p>
        </w:tc>
        <w:tc>
          <w:tcPr>
            <w:tcW w:w="4647" w:type="dxa"/>
            <w:gridSpan w:val="2"/>
          </w:tcPr>
          <w:p w:rsidR="0004420D" w:rsidRDefault="0004420D" w:rsidP="00D04D4C">
            <w:pPr>
              <w:ind w:left="67"/>
            </w:pPr>
            <w:r>
              <w:t>Direktīvas 2009/28/EK 16.panta 9.punkts neparedz obligātas saistības</w:t>
            </w:r>
          </w:p>
          <w:p w:rsidR="0004420D" w:rsidRDefault="0004420D" w:rsidP="00D04D4C">
            <w:pPr>
              <w:spacing w:before="75" w:after="75"/>
              <w:ind w:firstLine="375"/>
              <w:jc w:val="both"/>
            </w:pPr>
            <w:r>
              <w:t>EN 84.</w:t>
            </w:r>
            <w:r>
              <w:rPr>
                <w:vertAlign w:val="superscript"/>
              </w:rPr>
              <w:t xml:space="preserve">1 </w:t>
            </w:r>
            <w:r>
              <w:t>pants</w:t>
            </w:r>
          </w:p>
          <w:p w:rsidR="0004420D" w:rsidRDefault="0004420D" w:rsidP="00D04D4C">
            <w:pPr>
              <w:spacing w:before="75" w:after="75"/>
              <w:ind w:firstLine="375"/>
              <w:jc w:val="both"/>
            </w:pPr>
            <w:r>
              <w:t>(1) Regulators apstiprina sistēmas operatora izstrādātos dabasgāzes sistēmas pieslēguma noteikumus, kuriem jābūt objektīvi pamatotiem, ekonomiski attaisnotiem, taisnīgiem, vienlīdzīgiem un atklātiem. Sistēmas operators regulatora noteiktajā laikā iesniedz regulatoram priekšlikumus par dabasgāzes sistēmas pieslēguma noteikumiem.</w:t>
            </w:r>
          </w:p>
          <w:p w:rsidR="0004420D" w:rsidRDefault="0004420D" w:rsidP="00D04D4C"/>
          <w:p w:rsidR="0004420D" w:rsidRDefault="0004420D" w:rsidP="00442C0F">
            <w:pPr>
              <w:jc w:val="both"/>
              <w:rPr>
                <w:sz w:val="22"/>
                <w:szCs w:val="22"/>
              </w:rPr>
            </w:pPr>
            <w:r>
              <w:t>Dabasgāzes sistēmas pieslēguma noteikumi apstiprināti ar Sabiedrisko pakalpojumu regulēšanas komisijas padomes 2008.gada 16.jūlija lēmumu Nr.233, izdoti saskaņā ar Enerģētikas likuma 84</w:t>
            </w:r>
            <w:r>
              <w:rPr>
                <w:vertAlign w:val="superscript"/>
              </w:rPr>
              <w:t>1</w:t>
            </w:r>
            <w:r>
              <w:t>. panta pirmo daļu</w:t>
            </w:r>
          </w:p>
          <w:p w:rsidR="0004420D" w:rsidRDefault="0004420D" w:rsidP="00D04D4C"/>
          <w:p w:rsidR="0004420D" w:rsidRDefault="0004420D" w:rsidP="00442C0F">
            <w:pPr>
              <w:jc w:val="both"/>
            </w:pPr>
            <w:r>
              <w:t>Šie noteikumi gan ir tikai lietotājiem, ražotājiem noteikumu nav.</w:t>
            </w:r>
          </w:p>
          <w:p w:rsidR="0004420D" w:rsidRDefault="0004420D" w:rsidP="00D04D4C">
            <w:pPr>
              <w:ind w:left="67"/>
            </w:pPr>
          </w:p>
          <w:p w:rsidR="0004420D" w:rsidRPr="004D2200" w:rsidRDefault="0004420D" w:rsidP="00442C0F">
            <w:pPr>
              <w:jc w:val="both"/>
            </w:pPr>
            <w:r>
              <w:t>Nepieciešamības gadījumā t</w:t>
            </w:r>
            <w:r w:rsidRPr="004D2200">
              <w:t>iks ieviestas ar likumprojektu „Atjaunojamās enerģijas likums”.</w:t>
            </w:r>
          </w:p>
          <w:p w:rsidR="0004420D" w:rsidRPr="004D2200" w:rsidRDefault="0004420D" w:rsidP="00442C0F">
            <w:pPr>
              <w:spacing w:line="191" w:lineRule="atLeast"/>
            </w:pPr>
            <w:r w:rsidRPr="004D2200">
              <w:t>Ekonomikas ministrija</w:t>
            </w:r>
            <w:r>
              <w:t>.</w:t>
            </w:r>
          </w:p>
        </w:tc>
        <w:tc>
          <w:tcPr>
            <w:tcW w:w="2017" w:type="dxa"/>
          </w:tcPr>
          <w:p w:rsidR="0004420D" w:rsidRPr="004D2200" w:rsidRDefault="0004420D" w:rsidP="00D04D4C">
            <w:r w:rsidRPr="004D2200">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4D2200" w:rsidRDefault="0004420D" w:rsidP="00D04D4C">
            <w:pPr>
              <w:pStyle w:val="naiskr"/>
              <w:spacing w:before="0" w:after="0"/>
              <w:jc w:val="both"/>
              <w:rPr>
                <w:iCs/>
              </w:rPr>
            </w:pPr>
            <w:r w:rsidRPr="004D2200">
              <w:rPr>
                <w:iCs/>
              </w:rPr>
              <w:t xml:space="preserve">Direktīvas </w:t>
            </w:r>
            <w:r w:rsidRPr="004D2200">
              <w:rPr>
                <w:bCs/>
              </w:rPr>
              <w:t>2009/28/EK</w:t>
            </w:r>
          </w:p>
          <w:p w:rsidR="0004420D" w:rsidRPr="004D2200" w:rsidRDefault="0004420D" w:rsidP="00D04D4C">
            <w:r w:rsidRPr="004D2200">
              <w:t>16.panta 11.punkts</w:t>
            </w:r>
          </w:p>
        </w:tc>
        <w:tc>
          <w:tcPr>
            <w:tcW w:w="1360" w:type="dxa"/>
          </w:tcPr>
          <w:p w:rsidR="0004420D" w:rsidRPr="004D2200" w:rsidRDefault="0004420D" w:rsidP="0004420D">
            <w:pPr>
              <w:ind w:left="32"/>
              <w:jc w:val="center"/>
            </w:pPr>
            <w:r w:rsidRPr="004D2200">
              <w:t>-</w:t>
            </w:r>
          </w:p>
        </w:tc>
        <w:tc>
          <w:tcPr>
            <w:tcW w:w="4647" w:type="dxa"/>
            <w:gridSpan w:val="2"/>
          </w:tcPr>
          <w:p w:rsidR="0004420D" w:rsidRDefault="0004420D" w:rsidP="00442C0F">
            <w:pPr>
              <w:rPr>
                <w:color w:val="000000"/>
              </w:rPr>
            </w:pPr>
            <w:r w:rsidRPr="004D2200">
              <w:rPr>
                <w:color w:val="000000"/>
              </w:rPr>
              <w:t>Norma satur tikai dalībvalstij sasitošu pienākumu un tāpēc to nav nepieciešams pārņemt.</w:t>
            </w:r>
          </w:p>
          <w:p w:rsidR="0004420D" w:rsidRPr="004D2200" w:rsidRDefault="0004420D" w:rsidP="00442C0F">
            <w:r>
              <w:t>Ekonomikas ministrija</w:t>
            </w:r>
          </w:p>
        </w:tc>
        <w:tc>
          <w:tcPr>
            <w:tcW w:w="2017" w:type="dxa"/>
          </w:tcPr>
          <w:p w:rsidR="0004420D" w:rsidRPr="004D2200" w:rsidRDefault="0004420D" w:rsidP="00D04D4C">
            <w:r w:rsidRPr="004D2200">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2C0AC5" w:rsidRDefault="0004420D" w:rsidP="005E04C9">
            <w:pPr>
              <w:pStyle w:val="naiskr"/>
              <w:spacing w:before="0" w:after="0"/>
              <w:jc w:val="both"/>
              <w:rPr>
                <w:iCs/>
              </w:rPr>
            </w:pPr>
            <w:r w:rsidRPr="002C0AC5">
              <w:rPr>
                <w:iCs/>
              </w:rPr>
              <w:t xml:space="preserve">17., 18., 19., 20.pants </w:t>
            </w:r>
          </w:p>
          <w:p w:rsidR="0004420D" w:rsidRPr="002C0AC5" w:rsidRDefault="0004420D" w:rsidP="005E04C9">
            <w:pPr>
              <w:pStyle w:val="naiskr"/>
              <w:spacing w:before="0" w:after="0"/>
              <w:jc w:val="both"/>
              <w:rPr>
                <w:iCs/>
              </w:rPr>
            </w:pPr>
          </w:p>
        </w:tc>
        <w:tc>
          <w:tcPr>
            <w:tcW w:w="1360" w:type="dxa"/>
          </w:tcPr>
          <w:p w:rsidR="0004420D" w:rsidRDefault="0004420D" w:rsidP="0004420D">
            <w:pPr>
              <w:pStyle w:val="naiskr"/>
              <w:spacing w:before="0" w:after="0"/>
              <w:jc w:val="center"/>
            </w:pPr>
            <w:r>
              <w:t>-</w:t>
            </w:r>
          </w:p>
        </w:tc>
        <w:tc>
          <w:tcPr>
            <w:tcW w:w="4647" w:type="dxa"/>
            <w:gridSpan w:val="2"/>
          </w:tcPr>
          <w:p w:rsidR="0004420D" w:rsidRPr="009C3286" w:rsidRDefault="0004420D" w:rsidP="005E04C9">
            <w:pPr>
              <w:pStyle w:val="naiskr"/>
              <w:spacing w:before="0" w:after="0"/>
              <w:jc w:val="both"/>
            </w:pPr>
            <w:r w:rsidRPr="009C3286">
              <w:t xml:space="preserve">Daļēji ieviestas. Pilnībā tiks ieviestas izstrādājot Ministru kabineta noteikumus, kas nosaka </w:t>
            </w:r>
            <w:r w:rsidRPr="009C3286">
              <w:rPr>
                <w:bCs/>
              </w:rPr>
              <w:t>biodegvielu ilgtspējības kritērijus un to ieviešanas mehānismu, uzskaites un kontroles kārtību</w:t>
            </w:r>
            <w:r>
              <w:rPr>
                <w:bCs/>
              </w:rPr>
              <w:t xml:space="preserve"> un Atjaunojamās enerģijas likumu</w:t>
            </w:r>
            <w:r w:rsidRPr="009C3286">
              <w:rPr>
                <w:bCs/>
              </w:rPr>
              <w:t>.</w:t>
            </w:r>
          </w:p>
          <w:p w:rsidR="0004420D" w:rsidRDefault="0004420D" w:rsidP="005E04C9">
            <w:pPr>
              <w:pStyle w:val="naiskr"/>
              <w:spacing w:before="0" w:after="0"/>
              <w:jc w:val="both"/>
            </w:pPr>
            <w:r>
              <w:t>Ekonomikas ministrija</w:t>
            </w:r>
          </w:p>
        </w:tc>
        <w:tc>
          <w:tcPr>
            <w:tcW w:w="2017" w:type="dxa"/>
          </w:tcPr>
          <w:p w:rsidR="0004420D" w:rsidRDefault="0004420D" w:rsidP="005E04C9">
            <w:pPr>
              <w:pStyle w:val="naiskr"/>
              <w:spacing w:before="0" w:after="0"/>
              <w:jc w:val="both"/>
            </w:pPr>
            <w:r>
              <w:t xml:space="preserve">Nacionālais tiesību akts neparedz stingrākas prasības </w:t>
            </w:r>
          </w:p>
          <w:p w:rsidR="0004420D" w:rsidRDefault="0004420D" w:rsidP="005E04C9">
            <w:pPr>
              <w:pStyle w:val="naiskr"/>
              <w:spacing w:before="0" w:after="0"/>
              <w:jc w:val="both"/>
            </w:pP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4240E1" w:rsidRDefault="0004420D" w:rsidP="00D04D4C">
            <w:r w:rsidRPr="004240E1">
              <w:t>21.pant</w:t>
            </w:r>
            <w:r>
              <w:t>a 1.daļa</w:t>
            </w:r>
          </w:p>
        </w:tc>
        <w:tc>
          <w:tcPr>
            <w:tcW w:w="1360" w:type="dxa"/>
          </w:tcPr>
          <w:p w:rsidR="0004420D" w:rsidRPr="00F47705" w:rsidRDefault="0004420D" w:rsidP="00D04D4C">
            <w:pPr>
              <w:spacing w:before="100" w:beforeAutospacing="1" w:after="100" w:afterAutospacing="1" w:line="191" w:lineRule="atLeast"/>
              <w:jc w:val="center"/>
            </w:pPr>
            <w:r w:rsidRPr="00F47705">
              <w:t>-</w:t>
            </w:r>
          </w:p>
        </w:tc>
        <w:tc>
          <w:tcPr>
            <w:tcW w:w="4647" w:type="dxa"/>
            <w:gridSpan w:val="2"/>
          </w:tcPr>
          <w:p w:rsidR="0004420D" w:rsidRDefault="0004420D" w:rsidP="00D04D4C">
            <w:pPr>
              <w:jc w:val="both"/>
            </w:pPr>
            <w:r>
              <w:t xml:space="preserve"> Tiks ieviestas izstrādājot grozījumus </w:t>
            </w:r>
            <w:r w:rsidRPr="00CF6CFE">
              <w:t>Ministru kabineta 2000.gada 26.septembra noteikumos Nr.332 „</w:t>
            </w:r>
            <w:r w:rsidRPr="00CF6CFE">
              <w:rPr>
                <w:bCs/>
                <w:szCs w:val="28"/>
              </w:rPr>
              <w:t>Noteikumi par benzīna un dīzeļdegvielas atbilstības novērtēšanu</w:t>
            </w:r>
            <w:r w:rsidRPr="00CF6CFE">
              <w:t>”</w:t>
            </w:r>
            <w:r>
              <w:t xml:space="preserve"> </w:t>
            </w:r>
            <w:r w:rsidRPr="00BC60D2">
              <w:t>un Ministru kabineta 2005.gada 18.oktobra noteikumos Nr.772 „</w:t>
            </w:r>
            <w:r w:rsidRPr="00BC60D2">
              <w:rPr>
                <w:bCs/>
                <w:szCs w:val="28"/>
              </w:rPr>
              <w:t>Noteikumi par biodegvielas kvalitātes prasībām, atbilstības novērtēšanu, tirgus uzraudzību un patērētāju informēšanas kārtību</w:t>
            </w:r>
            <w:r w:rsidRPr="00BC60D2">
              <w:t>”</w:t>
            </w:r>
            <w:r>
              <w:t>.</w:t>
            </w:r>
          </w:p>
          <w:p w:rsidR="0004420D" w:rsidRDefault="0004420D" w:rsidP="00D04D4C">
            <w:pPr>
              <w:jc w:val="both"/>
            </w:pPr>
            <w:r>
              <w:t>Ekonomikas ministrija.</w:t>
            </w:r>
          </w:p>
        </w:tc>
        <w:tc>
          <w:tcPr>
            <w:tcW w:w="2017" w:type="dxa"/>
          </w:tcPr>
          <w:p w:rsidR="0004420D" w:rsidRDefault="0004420D" w:rsidP="00D04D4C">
            <w:pPr>
              <w:pStyle w:val="naiskr"/>
              <w:spacing w:before="0" w:after="0"/>
              <w:jc w:val="both"/>
            </w:pPr>
            <w:r>
              <w:t>Nav attiecināms</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4240E1" w:rsidRDefault="0004420D" w:rsidP="00D04D4C">
            <w:r w:rsidRPr="004240E1">
              <w:t>21.pant</w:t>
            </w:r>
            <w:r>
              <w:t>a 2.daļa</w:t>
            </w:r>
          </w:p>
        </w:tc>
        <w:tc>
          <w:tcPr>
            <w:tcW w:w="1360" w:type="dxa"/>
          </w:tcPr>
          <w:p w:rsidR="0004420D" w:rsidRPr="00F47705" w:rsidRDefault="0004420D" w:rsidP="00D04D4C">
            <w:pPr>
              <w:spacing w:before="100" w:beforeAutospacing="1" w:after="100" w:afterAutospacing="1" w:line="191" w:lineRule="atLeast"/>
              <w:jc w:val="center"/>
            </w:pPr>
            <w:r w:rsidRPr="00F47705">
              <w:t>-</w:t>
            </w:r>
          </w:p>
        </w:tc>
        <w:tc>
          <w:tcPr>
            <w:tcW w:w="4647" w:type="dxa"/>
            <w:gridSpan w:val="2"/>
          </w:tcPr>
          <w:p w:rsidR="0004420D" w:rsidRPr="004240E1" w:rsidRDefault="0004420D" w:rsidP="00D04D4C">
            <w:pPr>
              <w:jc w:val="both"/>
            </w:pPr>
            <w:r>
              <w:t>N</w:t>
            </w:r>
            <w:r w:rsidRPr="004240E1">
              <w:t>acionālajos normatīvajos aktos nav nepieciešama</w:t>
            </w:r>
            <w:r>
              <w:t xml:space="preserve"> normas ieviešana,</w:t>
            </w:r>
            <w:r>
              <w:rPr>
                <w:color w:val="000000"/>
              </w:rPr>
              <w:t xml:space="preserve"> jo satur tikai dalībvalstij sasitošu pienākumu</w:t>
            </w:r>
            <w:r>
              <w:t>.</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821FE9" w:rsidRDefault="0004420D" w:rsidP="00D04D4C">
            <w:pPr>
              <w:pStyle w:val="naiskr"/>
              <w:spacing w:before="0" w:after="0"/>
              <w:jc w:val="both"/>
              <w:rPr>
                <w:iCs/>
              </w:rPr>
            </w:pPr>
            <w:r w:rsidRPr="00821FE9">
              <w:rPr>
                <w:iCs/>
              </w:rPr>
              <w:lastRenderedPageBreak/>
              <w:t xml:space="preserve">Direktīvas </w:t>
            </w:r>
            <w:r w:rsidRPr="00821FE9">
              <w:rPr>
                <w:bCs/>
              </w:rPr>
              <w:t>2009/28/EK</w:t>
            </w:r>
          </w:p>
          <w:p w:rsidR="0004420D" w:rsidRPr="00821FE9" w:rsidRDefault="0004420D" w:rsidP="00D04D4C">
            <w:r w:rsidRPr="00821FE9">
              <w:t>22.pants</w:t>
            </w:r>
          </w:p>
        </w:tc>
        <w:tc>
          <w:tcPr>
            <w:tcW w:w="1360" w:type="dxa"/>
          </w:tcPr>
          <w:p w:rsidR="0004420D" w:rsidRPr="00821FE9" w:rsidRDefault="0004420D" w:rsidP="00D04D4C">
            <w:pPr>
              <w:spacing w:before="100" w:beforeAutospacing="1" w:after="100" w:afterAutospacing="1" w:line="191" w:lineRule="atLeast"/>
              <w:jc w:val="center"/>
            </w:pPr>
            <w:r w:rsidRPr="00821FE9">
              <w:t>-</w:t>
            </w:r>
          </w:p>
        </w:tc>
        <w:tc>
          <w:tcPr>
            <w:tcW w:w="4647" w:type="dxa"/>
            <w:gridSpan w:val="2"/>
          </w:tcPr>
          <w:p w:rsidR="0004420D" w:rsidRPr="00821FE9" w:rsidRDefault="0004420D" w:rsidP="00D04D4C">
            <w:pPr>
              <w:spacing w:before="100" w:beforeAutospacing="1" w:after="100" w:afterAutospacing="1" w:line="191" w:lineRule="atLeast"/>
            </w:pPr>
            <w:r>
              <w:rPr>
                <w:color w:val="000000"/>
              </w:rPr>
              <w:t>Norma satur tikai dalībvalstij sasitošu pienākumu un tāpēc to nav nepieciešams pārņemt.</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F00744" w:rsidRDefault="0004420D" w:rsidP="00D04D4C">
            <w:pPr>
              <w:pStyle w:val="naiskr"/>
              <w:spacing w:before="0" w:after="0"/>
              <w:jc w:val="both"/>
              <w:rPr>
                <w:iCs/>
              </w:rPr>
            </w:pPr>
            <w:r w:rsidRPr="00F00744">
              <w:rPr>
                <w:iCs/>
              </w:rPr>
              <w:t xml:space="preserve">Direktīvas </w:t>
            </w:r>
            <w:r w:rsidRPr="00F00744">
              <w:rPr>
                <w:bCs/>
              </w:rPr>
              <w:t>2009/28/EK</w:t>
            </w:r>
          </w:p>
          <w:p w:rsidR="0004420D" w:rsidRPr="00F00744" w:rsidRDefault="0004420D" w:rsidP="00D04D4C">
            <w:pPr>
              <w:pStyle w:val="naiskr"/>
              <w:spacing w:before="0" w:after="0"/>
              <w:jc w:val="both"/>
              <w:rPr>
                <w:iCs/>
              </w:rPr>
            </w:pPr>
            <w:r w:rsidRPr="00F00744">
              <w:t>I pielikums</w:t>
            </w:r>
          </w:p>
        </w:tc>
        <w:tc>
          <w:tcPr>
            <w:tcW w:w="1360" w:type="dxa"/>
          </w:tcPr>
          <w:p w:rsidR="0004420D" w:rsidRPr="00F00744" w:rsidRDefault="0004420D" w:rsidP="00D04D4C">
            <w:pPr>
              <w:spacing w:before="100" w:beforeAutospacing="1" w:after="100" w:afterAutospacing="1" w:line="191" w:lineRule="atLeast"/>
              <w:jc w:val="center"/>
            </w:pPr>
            <w:r w:rsidRPr="00F00744">
              <w:t>-</w:t>
            </w:r>
          </w:p>
        </w:tc>
        <w:tc>
          <w:tcPr>
            <w:tcW w:w="4647" w:type="dxa"/>
            <w:gridSpan w:val="2"/>
          </w:tcPr>
          <w:p w:rsidR="0004420D" w:rsidRDefault="0004420D" w:rsidP="00D04D4C">
            <w:pPr>
              <w:rPr>
                <w:color w:val="000000"/>
              </w:rPr>
            </w:pPr>
            <w:r>
              <w:rPr>
                <w:color w:val="000000"/>
              </w:rPr>
              <w:t>Norma satur tikai dalībvalstij sasitošu pienākumu un tāpēc to nav nepieciešams pārņemt.</w:t>
            </w:r>
          </w:p>
          <w:p w:rsidR="0004420D" w:rsidRDefault="0004420D" w:rsidP="00D04D4C">
            <w:pPr>
              <w:ind w:left="67"/>
              <w:jc w:val="both"/>
            </w:pPr>
            <w:r>
              <w:t>Tiks ieviestas ar likumprojektu „A</w:t>
            </w:r>
            <w:r w:rsidRPr="00DF3ECD">
              <w:t>tjaunojamās enerģijas likum</w:t>
            </w:r>
            <w:r>
              <w:t>s”.</w:t>
            </w:r>
          </w:p>
          <w:p w:rsidR="0004420D" w:rsidRPr="00F00744" w:rsidRDefault="0004420D" w:rsidP="00D04D4C">
            <w:r>
              <w:t>Ekonomikas ministrija</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F00744" w:rsidRDefault="0004420D" w:rsidP="00D04D4C">
            <w:r w:rsidRPr="00F00744">
              <w:t>II pielikums</w:t>
            </w:r>
          </w:p>
        </w:tc>
        <w:tc>
          <w:tcPr>
            <w:tcW w:w="1360" w:type="dxa"/>
          </w:tcPr>
          <w:p w:rsidR="0004420D" w:rsidRPr="007E05BF" w:rsidRDefault="0004420D" w:rsidP="0004420D">
            <w:pPr>
              <w:spacing w:before="100" w:beforeAutospacing="1" w:after="100" w:afterAutospacing="1" w:line="191" w:lineRule="atLeast"/>
              <w:jc w:val="center"/>
            </w:pPr>
            <w:r>
              <w:t>-</w:t>
            </w:r>
          </w:p>
          <w:p w:rsidR="0004420D" w:rsidRPr="007E05BF" w:rsidRDefault="0004420D" w:rsidP="00D04D4C">
            <w:pPr>
              <w:spacing w:before="100" w:beforeAutospacing="1" w:after="100" w:afterAutospacing="1" w:line="191" w:lineRule="atLeast"/>
            </w:pPr>
          </w:p>
        </w:tc>
        <w:tc>
          <w:tcPr>
            <w:tcW w:w="4647" w:type="dxa"/>
            <w:gridSpan w:val="2"/>
          </w:tcPr>
          <w:p w:rsidR="0004420D" w:rsidRDefault="0004420D" w:rsidP="00D04D4C">
            <w:pPr>
              <w:ind w:left="67"/>
              <w:jc w:val="both"/>
            </w:pPr>
            <w:r>
              <w:t>Tiks ieviestas daļēji.</w:t>
            </w:r>
          </w:p>
          <w:p w:rsidR="0004420D" w:rsidRPr="007E05BF" w:rsidRDefault="0004420D" w:rsidP="00D04D4C">
            <w:pPr>
              <w:ind w:left="67"/>
              <w:jc w:val="both"/>
            </w:pPr>
            <w:r w:rsidRPr="007E05BF">
              <w:t>Pilnīga ieviešana paredzēta ar Ministru kabineta noteikumiem</w:t>
            </w:r>
            <w:r>
              <w:t>.</w:t>
            </w:r>
          </w:p>
          <w:p w:rsidR="0004420D" w:rsidRPr="00B31686" w:rsidRDefault="0004420D" w:rsidP="00D04D4C">
            <w:pPr>
              <w:rPr>
                <w:color w:val="FF0000"/>
              </w:rPr>
            </w:pPr>
            <w:r w:rsidRPr="007E05BF">
              <w:t>Ekonomikas ministrija</w:t>
            </w:r>
            <w:r>
              <w:t>.</w:t>
            </w:r>
          </w:p>
        </w:tc>
        <w:tc>
          <w:tcPr>
            <w:tcW w:w="2017" w:type="dxa"/>
          </w:tcPr>
          <w:p w:rsidR="0004420D" w:rsidRDefault="0004420D" w:rsidP="00D04D4C">
            <w:pPr>
              <w:pStyle w:val="naiskr"/>
              <w:spacing w:before="0" w:after="0"/>
              <w:jc w:val="both"/>
            </w:pPr>
            <w:r>
              <w:t xml:space="preserve">Nacionālais tiesību akts neparedz 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Pr>
          <w:p w:rsidR="0004420D" w:rsidRPr="007E05BF" w:rsidRDefault="0004420D" w:rsidP="00D04D4C">
            <w:pPr>
              <w:pStyle w:val="naiskr"/>
              <w:spacing w:before="0" w:after="0"/>
              <w:jc w:val="both"/>
              <w:rPr>
                <w:iCs/>
              </w:rPr>
            </w:pPr>
            <w:r w:rsidRPr="007E05BF">
              <w:rPr>
                <w:iCs/>
              </w:rPr>
              <w:t xml:space="preserve">Direktīvas </w:t>
            </w:r>
            <w:r w:rsidRPr="007E05BF">
              <w:rPr>
                <w:bCs/>
              </w:rPr>
              <w:t>2009/28/EK</w:t>
            </w:r>
          </w:p>
          <w:p w:rsidR="0004420D" w:rsidRPr="0035639E" w:rsidRDefault="0004420D" w:rsidP="00D04D4C">
            <w:r w:rsidRPr="0035639E">
              <w:t>III pielikums</w:t>
            </w:r>
          </w:p>
        </w:tc>
        <w:tc>
          <w:tcPr>
            <w:tcW w:w="1360" w:type="dxa"/>
          </w:tcPr>
          <w:p w:rsidR="0004420D" w:rsidRPr="007E05BF" w:rsidRDefault="0004420D" w:rsidP="00D04D4C">
            <w:pPr>
              <w:spacing w:before="100" w:beforeAutospacing="1" w:after="100" w:afterAutospacing="1" w:line="191" w:lineRule="atLeast"/>
              <w:jc w:val="center"/>
            </w:pPr>
            <w:r w:rsidRPr="007E05BF">
              <w:t>-</w:t>
            </w:r>
          </w:p>
        </w:tc>
        <w:tc>
          <w:tcPr>
            <w:tcW w:w="4647" w:type="dxa"/>
            <w:gridSpan w:val="2"/>
          </w:tcPr>
          <w:p w:rsidR="0004420D" w:rsidRPr="003D654C" w:rsidRDefault="0004420D" w:rsidP="00D04D4C">
            <w:pPr>
              <w:rPr>
                <w:color w:val="000000"/>
              </w:rPr>
            </w:pPr>
            <w:r>
              <w:rPr>
                <w:color w:val="000000"/>
              </w:rPr>
              <w:t>Norma satur tikai dalībvalstij sasitošu pienākumu un tāpēc to nav nepieciešams pārņemt.</w:t>
            </w:r>
          </w:p>
        </w:tc>
        <w:tc>
          <w:tcPr>
            <w:tcW w:w="2017" w:type="dxa"/>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35639E" w:rsidRDefault="0004420D" w:rsidP="00D04D4C">
            <w:pPr>
              <w:pStyle w:val="naiskr"/>
              <w:spacing w:before="0" w:after="0"/>
              <w:jc w:val="both"/>
              <w:rPr>
                <w:iCs/>
              </w:rPr>
            </w:pPr>
            <w:r w:rsidRPr="0035639E">
              <w:rPr>
                <w:iCs/>
              </w:rPr>
              <w:t xml:space="preserve">Direktīvas </w:t>
            </w:r>
            <w:r w:rsidRPr="0035639E">
              <w:rPr>
                <w:bCs/>
              </w:rPr>
              <w:t>2009/28/EK</w:t>
            </w:r>
          </w:p>
          <w:p w:rsidR="0004420D" w:rsidRPr="0035639E" w:rsidRDefault="0004420D" w:rsidP="00D04D4C">
            <w:r w:rsidRPr="0035639E">
              <w:t>IV pielikums</w:t>
            </w:r>
          </w:p>
          <w:p w:rsidR="0004420D" w:rsidRPr="0035639E" w:rsidRDefault="0004420D" w:rsidP="00D04D4C">
            <w:pPr>
              <w:spacing w:before="100" w:beforeAutospacing="1" w:after="100" w:afterAutospacing="1" w:line="191" w:lineRule="atLeast"/>
              <w:rPr>
                <w:b/>
              </w:rPr>
            </w:pPr>
          </w:p>
        </w:tc>
        <w:tc>
          <w:tcPr>
            <w:tcW w:w="1360" w:type="dxa"/>
            <w:tcBorders>
              <w:bottom w:val="single" w:sz="4" w:space="0" w:color="auto"/>
            </w:tcBorders>
          </w:tcPr>
          <w:p w:rsidR="0004420D" w:rsidRPr="0035639E" w:rsidRDefault="0004420D" w:rsidP="00D04D4C">
            <w:pPr>
              <w:spacing w:before="100" w:beforeAutospacing="1" w:after="100" w:afterAutospacing="1" w:line="191" w:lineRule="atLeast"/>
              <w:jc w:val="center"/>
            </w:pPr>
            <w:r w:rsidRPr="0035639E">
              <w:t>-</w:t>
            </w:r>
          </w:p>
        </w:tc>
        <w:tc>
          <w:tcPr>
            <w:tcW w:w="4647" w:type="dxa"/>
            <w:gridSpan w:val="2"/>
            <w:tcBorders>
              <w:bottom w:val="single" w:sz="4" w:space="0" w:color="auto"/>
            </w:tcBorders>
          </w:tcPr>
          <w:p w:rsidR="0004420D" w:rsidRDefault="0004420D" w:rsidP="00D04D4C">
            <w:pPr>
              <w:spacing w:before="100" w:beforeAutospacing="1" w:after="100" w:afterAutospacing="1" w:line="191" w:lineRule="atLeast"/>
              <w:jc w:val="both"/>
            </w:pPr>
            <w:r>
              <w:t>Līdz 2012.gada 31.decembrim j</w:t>
            </w:r>
            <w:r w:rsidRPr="0035639E">
              <w:t xml:space="preserve">āizstrādā Ministru kabineta noteikumu projekts, kas nosaka kārtību, kādā sertificē maza izmēra biomasas iekārtu, siltumsūkņu, seklo ģeotermālo un saules </w:t>
            </w:r>
            <w:proofErr w:type="spellStart"/>
            <w:r w:rsidRPr="0035639E">
              <w:t>fotoelektrisko</w:t>
            </w:r>
            <w:proofErr w:type="spellEnd"/>
            <w:r w:rsidRPr="0035639E">
              <w:t xml:space="preserve"> un termālo iekārtu uzstādītājus,  nosaka atbilstības novērtēšanas institūciju un sertifikātu piešķiršanas un uzraudzības kārtību.</w:t>
            </w:r>
          </w:p>
          <w:p w:rsidR="0004420D" w:rsidRPr="0035639E" w:rsidRDefault="0004420D" w:rsidP="00D04D4C">
            <w:pPr>
              <w:spacing w:before="100" w:beforeAutospacing="1" w:after="100" w:afterAutospacing="1" w:line="191" w:lineRule="atLeast"/>
              <w:jc w:val="both"/>
            </w:pPr>
            <w:r>
              <w:t>Izglītības un zinātnes ministrija</w:t>
            </w:r>
          </w:p>
        </w:tc>
        <w:tc>
          <w:tcPr>
            <w:tcW w:w="2017" w:type="dxa"/>
            <w:tcBorders>
              <w:bottom w:val="single" w:sz="4" w:space="0" w:color="auto"/>
            </w:tcBorders>
          </w:tcPr>
          <w:p w:rsidR="0004420D" w:rsidRPr="00216027" w:rsidRDefault="0004420D" w:rsidP="00D04D4C">
            <w:pPr>
              <w:pStyle w:val="naiskr"/>
              <w:spacing w:before="0" w:after="0"/>
              <w:rPr>
                <w:sz w:val="22"/>
                <w:szCs w:val="22"/>
              </w:rPr>
            </w:pPr>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F00744" w:rsidRDefault="0004420D" w:rsidP="00D04D4C">
            <w:r>
              <w:t>V</w:t>
            </w:r>
            <w:r w:rsidRPr="00F00744">
              <w:t xml:space="preserve"> pielikums</w:t>
            </w:r>
          </w:p>
        </w:tc>
        <w:tc>
          <w:tcPr>
            <w:tcW w:w="1360" w:type="dxa"/>
            <w:tcBorders>
              <w:bottom w:val="single" w:sz="4" w:space="0" w:color="auto"/>
            </w:tcBorders>
          </w:tcPr>
          <w:p w:rsidR="0004420D" w:rsidRPr="007E05BF" w:rsidRDefault="0004420D" w:rsidP="0004420D">
            <w:pPr>
              <w:pStyle w:val="naiskr"/>
              <w:spacing w:before="0" w:after="0"/>
              <w:jc w:val="center"/>
            </w:pPr>
            <w:r>
              <w:t>-</w:t>
            </w:r>
          </w:p>
        </w:tc>
        <w:tc>
          <w:tcPr>
            <w:tcW w:w="4647" w:type="dxa"/>
            <w:gridSpan w:val="2"/>
            <w:tcBorders>
              <w:bottom w:val="single" w:sz="4" w:space="0" w:color="auto"/>
            </w:tcBorders>
          </w:tcPr>
          <w:p w:rsidR="0004420D" w:rsidRDefault="0004420D" w:rsidP="00D04D4C">
            <w:pPr>
              <w:jc w:val="both"/>
            </w:pPr>
            <w:r w:rsidRPr="007E05BF">
              <w:t>Ti</w:t>
            </w:r>
            <w:r>
              <w:t>ks</w:t>
            </w:r>
            <w:r w:rsidRPr="007E05BF">
              <w:t xml:space="preserve"> ieviest</w:t>
            </w:r>
            <w:r>
              <w:t>a</w:t>
            </w:r>
            <w:r w:rsidRPr="007E05BF">
              <w:t>s</w:t>
            </w:r>
            <w:r>
              <w:t xml:space="preserve"> ar:</w:t>
            </w:r>
          </w:p>
          <w:p w:rsidR="0004420D" w:rsidRDefault="0004420D" w:rsidP="00D04D4C">
            <w:pPr>
              <w:jc w:val="both"/>
            </w:pPr>
            <w:r>
              <w:t>1) Likumprojektu „Grozījumi Biodegvielas likumā”;</w:t>
            </w:r>
          </w:p>
          <w:p w:rsidR="0004420D" w:rsidRPr="007E05BF" w:rsidRDefault="0004420D" w:rsidP="00D04D4C">
            <w:pPr>
              <w:jc w:val="both"/>
            </w:pPr>
            <w:r>
              <w:t xml:space="preserve">2) </w:t>
            </w:r>
            <w:r w:rsidRPr="007E05BF">
              <w:t>izstrādājot</w:t>
            </w:r>
            <w:r>
              <w:t xml:space="preserve"> MK</w:t>
            </w:r>
            <w:r w:rsidRPr="007E05BF">
              <w:t xml:space="preserve"> noteikum</w:t>
            </w:r>
            <w:r>
              <w:t>us.</w:t>
            </w:r>
          </w:p>
          <w:p w:rsidR="0004420D" w:rsidRDefault="0004420D" w:rsidP="00D04D4C"/>
          <w:p w:rsidR="0004420D" w:rsidRPr="00B31686" w:rsidRDefault="0004420D" w:rsidP="00D04D4C">
            <w:pPr>
              <w:rPr>
                <w:color w:val="FF0000"/>
              </w:rPr>
            </w:pPr>
            <w:r w:rsidRPr="007E05BF">
              <w:t>Ekonomikas ministrija</w:t>
            </w:r>
            <w:r>
              <w:t>.</w:t>
            </w:r>
          </w:p>
        </w:tc>
        <w:tc>
          <w:tcPr>
            <w:tcW w:w="2017" w:type="dxa"/>
            <w:tcBorders>
              <w:bottom w:val="single" w:sz="4" w:space="0" w:color="auto"/>
            </w:tcBorders>
          </w:tcPr>
          <w:p w:rsidR="0004420D" w:rsidRDefault="0004420D" w:rsidP="00D04D4C">
            <w:pPr>
              <w:pStyle w:val="naiskr"/>
              <w:spacing w:before="0" w:after="0"/>
              <w:jc w:val="both"/>
            </w:pPr>
            <w:r>
              <w:t xml:space="preserve">Nacionālais tiesību akts neparedz stingrākas prasības </w:t>
            </w:r>
          </w:p>
          <w:p w:rsidR="0004420D" w:rsidRDefault="0004420D" w:rsidP="00D04D4C"/>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2C0AC5" w:rsidRDefault="0004420D" w:rsidP="00D04D4C">
            <w:pPr>
              <w:pStyle w:val="naiskr"/>
              <w:spacing w:before="0" w:after="0"/>
              <w:jc w:val="both"/>
              <w:rPr>
                <w:iCs/>
              </w:rPr>
            </w:pPr>
            <w:r w:rsidRPr="002C0AC5">
              <w:rPr>
                <w:iCs/>
              </w:rPr>
              <w:t xml:space="preserve">Direktīvas </w:t>
            </w:r>
            <w:r w:rsidRPr="002C0AC5">
              <w:rPr>
                <w:bCs/>
              </w:rPr>
              <w:t>2009/28/EK</w:t>
            </w:r>
          </w:p>
          <w:p w:rsidR="0004420D" w:rsidRPr="002C0AC5" w:rsidRDefault="0004420D" w:rsidP="00D04D4C">
            <w:pPr>
              <w:pStyle w:val="naiskr"/>
              <w:spacing w:before="0" w:after="0"/>
              <w:jc w:val="both"/>
              <w:rPr>
                <w:iCs/>
              </w:rPr>
            </w:pPr>
            <w:r>
              <w:t>VI</w:t>
            </w:r>
            <w:r w:rsidRPr="00F00744">
              <w:t xml:space="preserve"> pielikums</w:t>
            </w:r>
          </w:p>
        </w:tc>
        <w:tc>
          <w:tcPr>
            <w:tcW w:w="1360" w:type="dxa"/>
            <w:tcBorders>
              <w:bottom w:val="single" w:sz="4" w:space="0" w:color="auto"/>
            </w:tcBorders>
          </w:tcPr>
          <w:p w:rsidR="0004420D" w:rsidRPr="007E05BF" w:rsidRDefault="0004420D" w:rsidP="00D04D4C">
            <w:pPr>
              <w:spacing w:before="100" w:beforeAutospacing="1" w:after="100" w:afterAutospacing="1" w:line="191" w:lineRule="atLeast"/>
              <w:jc w:val="center"/>
            </w:pPr>
            <w:r w:rsidRPr="007E05BF">
              <w:t>-</w:t>
            </w:r>
          </w:p>
        </w:tc>
        <w:tc>
          <w:tcPr>
            <w:tcW w:w="4647" w:type="dxa"/>
            <w:gridSpan w:val="2"/>
            <w:tcBorders>
              <w:bottom w:val="single" w:sz="4" w:space="0" w:color="auto"/>
            </w:tcBorders>
          </w:tcPr>
          <w:p w:rsidR="0004420D" w:rsidRPr="003D654C" w:rsidRDefault="0004420D" w:rsidP="00D04D4C">
            <w:pPr>
              <w:rPr>
                <w:color w:val="000000"/>
              </w:rPr>
            </w:pPr>
            <w:r>
              <w:rPr>
                <w:color w:val="000000"/>
              </w:rPr>
              <w:t>Norma satur tikai dalībvalstij sasitošu pienākumu un tāpēc to nav nepieciešams pārņemt.</w:t>
            </w:r>
          </w:p>
        </w:tc>
        <w:tc>
          <w:tcPr>
            <w:tcW w:w="2017" w:type="dxa"/>
            <w:tcBorders>
              <w:bottom w:val="single" w:sz="4" w:space="0" w:color="auto"/>
            </w:tcBorders>
          </w:tcPr>
          <w:p w:rsidR="0004420D" w:rsidRDefault="0004420D" w:rsidP="00D04D4C">
            <w:r>
              <w:t>Nav attiecināms</w:t>
            </w:r>
          </w:p>
        </w:tc>
      </w:tr>
      <w:tr w:rsidR="0004420D" w:rsidRPr="00216027" w:rsidTr="00D14B4E">
        <w:tblPrEx>
          <w:tblCellMar>
            <w:top w:w="28" w:type="dxa"/>
            <w:left w:w="28" w:type="dxa"/>
            <w:bottom w:w="28" w:type="dxa"/>
            <w:right w:w="28" w:type="dxa"/>
          </w:tblCellMar>
          <w:tblLook w:val="0000"/>
        </w:tblPrEx>
        <w:trPr>
          <w:trHeight w:val="386"/>
          <w:jc w:val="center"/>
        </w:trPr>
        <w:tc>
          <w:tcPr>
            <w:tcW w:w="1789" w:type="dxa"/>
            <w:gridSpan w:val="2"/>
            <w:tcBorders>
              <w:bottom w:val="single" w:sz="4" w:space="0" w:color="auto"/>
            </w:tcBorders>
          </w:tcPr>
          <w:p w:rsidR="0004420D" w:rsidRPr="002C0AC5" w:rsidRDefault="0004420D" w:rsidP="006C1949">
            <w:pPr>
              <w:pStyle w:val="naiskr"/>
              <w:spacing w:before="0" w:after="0"/>
              <w:jc w:val="both"/>
              <w:rPr>
                <w:iCs/>
              </w:rPr>
            </w:pPr>
            <w:r w:rsidRPr="002C0AC5">
              <w:rPr>
                <w:iCs/>
              </w:rPr>
              <w:t xml:space="preserve">Direktīvas </w:t>
            </w:r>
            <w:r w:rsidRPr="002C0AC5">
              <w:rPr>
                <w:bCs/>
              </w:rPr>
              <w:t>2009/28/EK</w:t>
            </w:r>
          </w:p>
          <w:p w:rsidR="0004420D" w:rsidRPr="006C1949" w:rsidRDefault="0004420D" w:rsidP="006C1949">
            <w:r w:rsidRPr="006C1949">
              <w:t>VII pielikums</w:t>
            </w:r>
          </w:p>
        </w:tc>
        <w:tc>
          <w:tcPr>
            <w:tcW w:w="1360" w:type="dxa"/>
            <w:tcBorders>
              <w:bottom w:val="single" w:sz="4" w:space="0" w:color="auto"/>
            </w:tcBorders>
          </w:tcPr>
          <w:p w:rsidR="0004420D" w:rsidRPr="00435CA7" w:rsidRDefault="0004420D" w:rsidP="0004420D">
            <w:pPr>
              <w:spacing w:before="100" w:beforeAutospacing="1" w:after="100" w:afterAutospacing="1" w:line="191" w:lineRule="atLeast"/>
              <w:jc w:val="center"/>
            </w:pPr>
            <w:r w:rsidRPr="00435CA7">
              <w:t>-</w:t>
            </w:r>
          </w:p>
        </w:tc>
        <w:tc>
          <w:tcPr>
            <w:tcW w:w="4647" w:type="dxa"/>
            <w:gridSpan w:val="2"/>
            <w:tcBorders>
              <w:bottom w:val="single" w:sz="4" w:space="0" w:color="auto"/>
            </w:tcBorders>
          </w:tcPr>
          <w:p w:rsidR="0004420D" w:rsidRDefault="0004420D" w:rsidP="00C30130">
            <w:pPr>
              <w:ind w:left="67"/>
              <w:jc w:val="both"/>
            </w:pPr>
            <w:r>
              <w:t>Tiks ieviestas daļēji ar likumprojektu „A</w:t>
            </w:r>
            <w:r w:rsidRPr="00DF3ECD">
              <w:t>tjaunojamās enerģijas likum</w:t>
            </w:r>
            <w:r>
              <w:t>s”.</w:t>
            </w:r>
          </w:p>
          <w:p w:rsidR="0004420D" w:rsidRDefault="0004420D" w:rsidP="006C1949">
            <w:pPr>
              <w:jc w:val="both"/>
            </w:pPr>
            <w:r>
              <w:t xml:space="preserve">Pilnīga ieviešana paredzēta ar Ministru kabineta noteikumiem </w:t>
            </w:r>
          </w:p>
          <w:p w:rsidR="0004420D" w:rsidRPr="00B31686" w:rsidRDefault="0004420D" w:rsidP="006C1949">
            <w:pPr>
              <w:rPr>
                <w:color w:val="FF0000"/>
              </w:rPr>
            </w:pPr>
            <w:r>
              <w:t>Ekonomikas ministrija</w:t>
            </w:r>
          </w:p>
        </w:tc>
        <w:tc>
          <w:tcPr>
            <w:tcW w:w="2017" w:type="dxa"/>
            <w:tcBorders>
              <w:bottom w:val="single" w:sz="4" w:space="0" w:color="auto"/>
            </w:tcBorders>
          </w:tcPr>
          <w:p w:rsidR="0004420D" w:rsidRPr="00216027" w:rsidRDefault="0004420D" w:rsidP="00D3250A">
            <w:pPr>
              <w:pStyle w:val="naiskr"/>
              <w:spacing w:before="0" w:after="0"/>
              <w:rPr>
                <w:sz w:val="22"/>
                <w:szCs w:val="22"/>
              </w:rPr>
            </w:pPr>
            <w:r>
              <w:t>Nav attiecināms</w:t>
            </w:r>
          </w:p>
        </w:tc>
      </w:tr>
      <w:tr w:rsidR="0004420D" w:rsidRPr="00216027" w:rsidTr="00D14B4E">
        <w:tblPrEx>
          <w:tblCellMar>
            <w:top w:w="28" w:type="dxa"/>
            <w:left w:w="28" w:type="dxa"/>
            <w:bottom w:w="28" w:type="dxa"/>
            <w:right w:w="28" w:type="dxa"/>
          </w:tblCellMar>
          <w:tblLook w:val="0000"/>
        </w:tblPrEx>
        <w:trPr>
          <w:trHeight w:val="281"/>
          <w:jc w:val="center"/>
        </w:trPr>
        <w:tc>
          <w:tcPr>
            <w:tcW w:w="1789" w:type="dxa"/>
            <w:gridSpan w:val="2"/>
            <w:vAlign w:val="center"/>
          </w:tcPr>
          <w:p w:rsidR="0004420D" w:rsidRPr="00216027" w:rsidRDefault="0004420D" w:rsidP="00D3250A">
            <w:pPr>
              <w:pStyle w:val="naiskr"/>
              <w:spacing w:before="0" w:after="0"/>
              <w:rPr>
                <w:sz w:val="22"/>
                <w:szCs w:val="22"/>
              </w:rPr>
            </w:pPr>
            <w:r w:rsidRPr="00216027">
              <w:rPr>
                <w:sz w:val="22"/>
                <w:szCs w:val="22"/>
              </w:rPr>
              <w:t>Kā ir izmantota ES tiesību aktā paredzētā rīcības brīvība dalībvalstij pārņemt vai ieviest noteiktas ES tiesību akta normas.</w:t>
            </w:r>
          </w:p>
          <w:p w:rsidR="0004420D" w:rsidRPr="00216027" w:rsidRDefault="0004420D" w:rsidP="00D3250A">
            <w:pPr>
              <w:pStyle w:val="naiskr"/>
              <w:spacing w:before="0" w:after="0"/>
              <w:rPr>
                <w:sz w:val="22"/>
                <w:szCs w:val="22"/>
              </w:rPr>
            </w:pPr>
            <w:r w:rsidRPr="00216027">
              <w:rPr>
                <w:sz w:val="22"/>
                <w:szCs w:val="22"/>
              </w:rPr>
              <w:t>Kādēļ?</w:t>
            </w:r>
          </w:p>
        </w:tc>
        <w:tc>
          <w:tcPr>
            <w:tcW w:w="8024" w:type="dxa"/>
            <w:gridSpan w:val="4"/>
          </w:tcPr>
          <w:p w:rsidR="0004420D" w:rsidRPr="00EB23C4" w:rsidRDefault="0004420D" w:rsidP="00C30130">
            <w:pPr>
              <w:ind w:left="170" w:right="127"/>
              <w:jc w:val="both"/>
            </w:pPr>
            <w:r w:rsidRPr="00EB23C4">
              <w:t>Direktīvas 2009/28/EK atsevišķi panti nav obligāti ieviešami nacionālajos normatīvajos aktos:</w:t>
            </w:r>
          </w:p>
          <w:p w:rsidR="0004420D" w:rsidRDefault="0004420D" w:rsidP="00C30130">
            <w:pPr>
              <w:ind w:left="170" w:right="127"/>
              <w:jc w:val="both"/>
            </w:pPr>
            <w:r>
              <w:t xml:space="preserve">Direktīvas 2009/28/EK </w:t>
            </w:r>
            <w:r w:rsidRPr="00EB23C4">
              <w:t xml:space="preserve">6., 7., 8., 9., 11. pants – </w:t>
            </w:r>
            <w:r>
              <w:t>ieviešana paredzēta ar l</w:t>
            </w:r>
            <w:r w:rsidRPr="00EB23C4">
              <w:t>ikumprojekt</w:t>
            </w:r>
            <w:r>
              <w:t>u „Atjaunojamās enerģijas likums”.</w:t>
            </w:r>
          </w:p>
          <w:p w:rsidR="0004420D" w:rsidRPr="00216027" w:rsidRDefault="0004420D" w:rsidP="00C30130">
            <w:pPr>
              <w:ind w:left="170" w:right="127"/>
              <w:jc w:val="both"/>
            </w:pPr>
            <w:r>
              <w:rPr>
                <w:szCs w:val="26"/>
              </w:rPr>
              <w:t xml:space="preserve">19.panta 2.punkts - </w:t>
            </w:r>
            <w:r w:rsidRPr="00AC113C">
              <w:rPr>
                <w:szCs w:val="26"/>
              </w:rPr>
              <w:t xml:space="preserve">Ekonomikas ministrija atbilstoši Direktīvas 2009/28/EK 19. panta 2. </w:t>
            </w:r>
            <w:r>
              <w:rPr>
                <w:szCs w:val="26"/>
              </w:rPr>
              <w:t>p</w:t>
            </w:r>
            <w:r w:rsidRPr="00AC113C">
              <w:rPr>
                <w:szCs w:val="26"/>
              </w:rPr>
              <w:t>unktam</w:t>
            </w:r>
            <w:r>
              <w:rPr>
                <w:szCs w:val="26"/>
              </w:rPr>
              <w:t xml:space="preserve"> ar Ekonomikas ministrijas 2010.gada 31.marta vēstuli Nr. </w:t>
            </w:r>
            <w:r w:rsidRPr="00AC113C">
              <w:rPr>
                <w:szCs w:val="26"/>
              </w:rPr>
              <w:t>421-</w:t>
            </w:r>
            <w:r>
              <w:rPr>
                <w:szCs w:val="26"/>
              </w:rPr>
              <w:t xml:space="preserve">3-2965 ir informējusi Eiropas Komisijas Enerģētikas ģenerāldirektorātu, ka </w:t>
            </w:r>
            <w:r w:rsidRPr="00AC113C">
              <w:rPr>
                <w:szCs w:val="26"/>
              </w:rPr>
              <w:t xml:space="preserve">Latvijai pārskats atbilstoši Direktīvas 2009/28/EK 19. panta 2. punktam nav jāiesniedz. </w:t>
            </w:r>
            <w:r w:rsidRPr="00AC113C">
              <w:rPr>
                <w:color w:val="000000"/>
                <w:szCs w:val="26"/>
              </w:rPr>
              <w:t xml:space="preserve"> </w:t>
            </w:r>
          </w:p>
        </w:tc>
      </w:tr>
      <w:tr w:rsidR="0004420D" w:rsidRPr="00216027" w:rsidTr="00D14B4E">
        <w:tblPrEx>
          <w:tblCellMar>
            <w:top w:w="28" w:type="dxa"/>
            <w:left w:w="28" w:type="dxa"/>
            <w:bottom w:w="28" w:type="dxa"/>
            <w:right w:w="28" w:type="dxa"/>
          </w:tblCellMar>
          <w:tblLook w:val="0000"/>
        </w:tblPrEx>
        <w:trPr>
          <w:trHeight w:val="913"/>
          <w:jc w:val="center"/>
        </w:trPr>
        <w:tc>
          <w:tcPr>
            <w:tcW w:w="1789" w:type="dxa"/>
            <w:gridSpan w:val="2"/>
            <w:vAlign w:val="center"/>
          </w:tcPr>
          <w:p w:rsidR="0004420D" w:rsidRPr="00216027" w:rsidRDefault="0004420D" w:rsidP="00D3250A">
            <w:pPr>
              <w:pStyle w:val="naiskr"/>
              <w:spacing w:before="0" w:after="0"/>
              <w:rPr>
                <w:i/>
                <w:sz w:val="22"/>
                <w:szCs w:val="22"/>
              </w:rPr>
            </w:pPr>
            <w:r w:rsidRPr="00216027">
              <w:rPr>
                <w:sz w:val="22"/>
                <w:szCs w:val="22"/>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024" w:type="dxa"/>
            <w:gridSpan w:val="4"/>
          </w:tcPr>
          <w:p w:rsidR="0004420D" w:rsidRPr="00216027" w:rsidRDefault="0004420D" w:rsidP="00D3250A">
            <w:pPr>
              <w:pStyle w:val="naiskr"/>
              <w:spacing w:before="0" w:after="0"/>
            </w:pPr>
            <w:r w:rsidRPr="00216027">
              <w:rPr>
                <w:iCs/>
              </w:rPr>
              <w:t>Nav attiecināms</w:t>
            </w:r>
            <w:r>
              <w:rPr>
                <w:iCs/>
              </w:rPr>
              <w:t>.</w:t>
            </w:r>
          </w:p>
          <w:p w:rsidR="0004420D" w:rsidRPr="00216027" w:rsidRDefault="0004420D" w:rsidP="00D3250A">
            <w:pPr>
              <w:pStyle w:val="naiskr"/>
              <w:spacing w:before="0" w:after="0"/>
            </w:pPr>
          </w:p>
          <w:p w:rsidR="0004420D" w:rsidRPr="00216027" w:rsidRDefault="0004420D" w:rsidP="00D3250A">
            <w:pPr>
              <w:pStyle w:val="naiskr"/>
              <w:spacing w:before="0" w:after="0"/>
              <w:rPr>
                <w:sz w:val="22"/>
                <w:szCs w:val="22"/>
              </w:rPr>
            </w:pPr>
          </w:p>
        </w:tc>
      </w:tr>
      <w:tr w:rsidR="0004420D" w:rsidRPr="00216027" w:rsidTr="00D14B4E">
        <w:tblPrEx>
          <w:tblCellMar>
            <w:top w:w="28" w:type="dxa"/>
            <w:left w:w="28" w:type="dxa"/>
            <w:bottom w:w="28" w:type="dxa"/>
            <w:right w:w="28" w:type="dxa"/>
          </w:tblCellMar>
          <w:tblLook w:val="0000"/>
        </w:tblPrEx>
        <w:trPr>
          <w:trHeight w:val="579"/>
          <w:jc w:val="center"/>
        </w:trPr>
        <w:tc>
          <w:tcPr>
            <w:tcW w:w="1789" w:type="dxa"/>
            <w:gridSpan w:val="2"/>
          </w:tcPr>
          <w:p w:rsidR="0004420D" w:rsidRPr="00216027" w:rsidRDefault="0004420D" w:rsidP="00D3250A">
            <w:pPr>
              <w:pStyle w:val="naiskr"/>
              <w:spacing w:before="0" w:after="0"/>
              <w:rPr>
                <w:sz w:val="22"/>
                <w:szCs w:val="22"/>
              </w:rPr>
            </w:pPr>
            <w:r w:rsidRPr="00216027">
              <w:rPr>
                <w:sz w:val="22"/>
                <w:szCs w:val="22"/>
              </w:rPr>
              <w:t>Cita informācija</w:t>
            </w:r>
          </w:p>
        </w:tc>
        <w:tc>
          <w:tcPr>
            <w:tcW w:w="8024" w:type="dxa"/>
            <w:gridSpan w:val="4"/>
          </w:tcPr>
          <w:p w:rsidR="0004420D" w:rsidRPr="00216027" w:rsidRDefault="0004420D" w:rsidP="00D3250A">
            <w:pPr>
              <w:pStyle w:val="naiskr"/>
              <w:spacing w:before="0" w:after="0"/>
              <w:rPr>
                <w:i/>
                <w:sz w:val="22"/>
                <w:szCs w:val="22"/>
              </w:rPr>
            </w:pPr>
            <w:r w:rsidRPr="00216027">
              <w:t>Nav</w:t>
            </w:r>
            <w:r>
              <w:t>.</w:t>
            </w:r>
          </w:p>
        </w:tc>
      </w:tr>
    </w:tbl>
    <w:p w:rsidR="00AC1263" w:rsidRPr="00216027" w:rsidRDefault="00AC1263" w:rsidP="00AC1263">
      <w:pPr>
        <w:pStyle w:val="naisf"/>
        <w:spacing w:before="0" w:after="0"/>
        <w:ind w:firstLine="0"/>
      </w:pPr>
    </w:p>
    <w:tbl>
      <w:tblPr>
        <w:tblW w:w="9711"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05"/>
        <w:gridCol w:w="2814"/>
        <w:gridCol w:w="4592"/>
      </w:tblGrid>
      <w:tr w:rsidR="00AC1263" w:rsidRPr="00216027" w:rsidTr="00A760B9">
        <w:trPr>
          <w:trHeight w:val="792"/>
          <w:jc w:val="center"/>
        </w:trPr>
        <w:tc>
          <w:tcPr>
            <w:tcW w:w="9711" w:type="dxa"/>
            <w:gridSpan w:val="3"/>
            <w:vAlign w:val="center"/>
          </w:tcPr>
          <w:p w:rsidR="00AC1263" w:rsidRPr="00216027" w:rsidRDefault="00AC1263" w:rsidP="00D3250A">
            <w:pPr>
              <w:pStyle w:val="naisnod"/>
              <w:spacing w:before="0" w:after="0"/>
            </w:pPr>
            <w:r w:rsidRPr="00216027">
              <w:t xml:space="preserve">2.tabula </w:t>
            </w:r>
          </w:p>
          <w:p w:rsidR="00AC1263" w:rsidRPr="00216027" w:rsidRDefault="00AC1263" w:rsidP="00D3250A">
            <w:pPr>
              <w:pStyle w:val="naisnod"/>
              <w:spacing w:before="0" w:after="0"/>
            </w:pPr>
            <w:r w:rsidRPr="00216027">
              <w:t>Ar tiesību akta projektu uzņemtās saistības, kas izriet no starptautiskajiem tiesību aktiem vai starptautiskas institūcijas vai organizācijas dokumentiem</w:t>
            </w:r>
          </w:p>
          <w:p w:rsidR="00AC1263" w:rsidRPr="00216027" w:rsidRDefault="00AC1263" w:rsidP="00D3250A">
            <w:pPr>
              <w:pStyle w:val="naisnod"/>
              <w:spacing w:before="0" w:after="0"/>
            </w:pPr>
            <w:r w:rsidRPr="00216027">
              <w:t>Pasākumi šo saistību izpildei</w:t>
            </w:r>
          </w:p>
        </w:tc>
      </w:tr>
      <w:tr w:rsidR="00AC1263" w:rsidRPr="00216027" w:rsidTr="00A46E33">
        <w:trPr>
          <w:trHeight w:val="1596"/>
          <w:jc w:val="center"/>
        </w:trPr>
        <w:tc>
          <w:tcPr>
            <w:tcW w:w="2305" w:type="dxa"/>
            <w:vAlign w:val="center"/>
          </w:tcPr>
          <w:p w:rsidR="00AC1263" w:rsidRPr="00216027" w:rsidRDefault="00AC1263" w:rsidP="00D3250A">
            <w:pPr>
              <w:pStyle w:val="naiskr"/>
              <w:spacing w:before="0" w:after="0"/>
              <w:ind w:hanging="10"/>
              <w:rPr>
                <w:sz w:val="22"/>
                <w:szCs w:val="22"/>
              </w:rPr>
            </w:pPr>
            <w:r w:rsidRPr="00216027">
              <w:rPr>
                <w:sz w:val="22"/>
                <w:szCs w:val="22"/>
              </w:rPr>
              <w:t>Attiecīgā starptautiskā tiesību akta vai starptautiskas institūcijas vai organizācijas dokumenta (turpmāk – starptautiskais dokuments) datums, numurs un nosaukums</w:t>
            </w:r>
          </w:p>
        </w:tc>
        <w:tc>
          <w:tcPr>
            <w:tcW w:w="7406" w:type="dxa"/>
            <w:gridSpan w:val="2"/>
          </w:tcPr>
          <w:p w:rsidR="00A760B9" w:rsidRPr="00216027" w:rsidRDefault="00A760B9" w:rsidP="00A760B9">
            <w:pPr>
              <w:pStyle w:val="naiskr"/>
              <w:spacing w:before="0" w:after="0"/>
            </w:pPr>
            <w:r w:rsidRPr="00216027">
              <w:rPr>
                <w:iCs/>
              </w:rPr>
              <w:t>Nav attiecināms</w:t>
            </w:r>
            <w:r w:rsidR="00B12F1D">
              <w:rPr>
                <w:iCs/>
              </w:rPr>
              <w:t>.</w:t>
            </w:r>
          </w:p>
          <w:p w:rsidR="00AC1263" w:rsidRPr="00216027" w:rsidRDefault="00AC1263" w:rsidP="00AC1263">
            <w:pPr>
              <w:pStyle w:val="naiskr"/>
              <w:spacing w:before="0" w:after="0"/>
              <w:rPr>
                <w:sz w:val="22"/>
                <w:szCs w:val="22"/>
              </w:rPr>
            </w:pPr>
          </w:p>
        </w:tc>
      </w:tr>
      <w:tr w:rsidR="00AC1263" w:rsidRPr="00216027" w:rsidTr="00A760B9">
        <w:trPr>
          <w:trHeight w:val="163"/>
          <w:jc w:val="center"/>
        </w:trPr>
        <w:tc>
          <w:tcPr>
            <w:tcW w:w="9711" w:type="dxa"/>
            <w:gridSpan w:val="3"/>
            <w:vAlign w:val="center"/>
          </w:tcPr>
          <w:p w:rsidR="00AC1263" w:rsidRPr="00216027" w:rsidRDefault="00AC1263" w:rsidP="00D3250A">
            <w:pPr>
              <w:pStyle w:val="naiskr"/>
              <w:spacing w:before="0" w:after="0"/>
              <w:rPr>
                <w:i/>
                <w:sz w:val="16"/>
                <w:szCs w:val="16"/>
              </w:rPr>
            </w:pPr>
          </w:p>
        </w:tc>
      </w:tr>
      <w:tr w:rsidR="00AC1263" w:rsidRPr="00216027" w:rsidTr="00A46E33">
        <w:trPr>
          <w:trHeight w:val="341"/>
          <w:jc w:val="center"/>
        </w:trPr>
        <w:tc>
          <w:tcPr>
            <w:tcW w:w="2305" w:type="dxa"/>
            <w:vAlign w:val="center"/>
          </w:tcPr>
          <w:p w:rsidR="00AC1263" w:rsidRPr="00216027" w:rsidRDefault="00AC1263" w:rsidP="00D3250A">
            <w:pPr>
              <w:pStyle w:val="naiskr"/>
              <w:spacing w:before="0" w:after="0"/>
              <w:jc w:val="center"/>
            </w:pPr>
            <w:r w:rsidRPr="00216027">
              <w:t>A</w:t>
            </w:r>
          </w:p>
        </w:tc>
        <w:tc>
          <w:tcPr>
            <w:tcW w:w="2814" w:type="dxa"/>
            <w:vAlign w:val="center"/>
          </w:tcPr>
          <w:p w:rsidR="00AC1263" w:rsidRPr="00216027" w:rsidRDefault="00AC1263" w:rsidP="00D3250A">
            <w:pPr>
              <w:pStyle w:val="naiskr"/>
              <w:spacing w:before="0" w:after="0"/>
              <w:jc w:val="center"/>
            </w:pPr>
            <w:r w:rsidRPr="00216027">
              <w:t>B</w:t>
            </w:r>
          </w:p>
        </w:tc>
        <w:tc>
          <w:tcPr>
            <w:tcW w:w="4592" w:type="dxa"/>
            <w:vAlign w:val="center"/>
          </w:tcPr>
          <w:p w:rsidR="00AC1263" w:rsidRPr="00216027" w:rsidRDefault="00AC1263" w:rsidP="00D3250A">
            <w:pPr>
              <w:pStyle w:val="naiskr"/>
              <w:spacing w:before="0" w:after="0"/>
              <w:jc w:val="center"/>
            </w:pPr>
            <w:r w:rsidRPr="00216027">
              <w:t>C</w:t>
            </w:r>
          </w:p>
        </w:tc>
      </w:tr>
      <w:tr w:rsidR="00AC1263" w:rsidRPr="00216027" w:rsidTr="00A46E33">
        <w:trPr>
          <w:trHeight w:val="341"/>
          <w:jc w:val="center"/>
        </w:trPr>
        <w:tc>
          <w:tcPr>
            <w:tcW w:w="2305" w:type="dxa"/>
          </w:tcPr>
          <w:p w:rsidR="00AC1263" w:rsidRPr="00216027" w:rsidRDefault="00AC1263" w:rsidP="00D3250A">
            <w:pPr>
              <w:pStyle w:val="naiskr"/>
              <w:spacing w:before="0" w:after="0"/>
              <w:rPr>
                <w:sz w:val="22"/>
                <w:szCs w:val="22"/>
              </w:rPr>
            </w:pPr>
            <w:r w:rsidRPr="00216027">
              <w:rPr>
                <w:sz w:val="22"/>
                <w:szCs w:val="22"/>
              </w:rPr>
              <w:t>Starptautiskās saistības (pēc būtības), kas izriet no norādītā starptautiskā dokumenta.</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Konkrēti veicamie pasākumi vai uzdevumi, kas nepieciešami šo starptautisko saistību izpildei</w:t>
            </w:r>
          </w:p>
        </w:tc>
        <w:tc>
          <w:tcPr>
            <w:tcW w:w="2814" w:type="dxa"/>
          </w:tcPr>
          <w:p w:rsidR="00AC1263" w:rsidRPr="00216027" w:rsidRDefault="00AC1263" w:rsidP="00D3250A">
            <w:pPr>
              <w:pStyle w:val="naiskr"/>
              <w:spacing w:before="0" w:after="0"/>
              <w:rPr>
                <w:sz w:val="22"/>
                <w:szCs w:val="22"/>
              </w:rPr>
            </w:pPr>
            <w:r w:rsidRPr="00216027">
              <w:rPr>
                <w:sz w:val="22"/>
                <w:szCs w:val="22"/>
              </w:rPr>
              <w:t>Ja pasākumi vai uzdevumi, ar ko tiks izpildītas starptautiskās saistības, tiek noteikti projektā, norāda attiecīgo projekta vienību.</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Vai arī norāda dokumentu, kurā sniegts izvērsts skaidrojums, kādā veidā tiks nodrošināta starptautisko saistību izpilde</w:t>
            </w:r>
          </w:p>
        </w:tc>
        <w:tc>
          <w:tcPr>
            <w:tcW w:w="4592" w:type="dxa"/>
          </w:tcPr>
          <w:p w:rsidR="00AC1263" w:rsidRPr="00216027" w:rsidRDefault="00AC1263" w:rsidP="00D3250A">
            <w:pPr>
              <w:pStyle w:val="naiskr"/>
              <w:spacing w:before="0" w:after="0"/>
              <w:rPr>
                <w:sz w:val="22"/>
                <w:szCs w:val="22"/>
              </w:rPr>
            </w:pPr>
            <w:r w:rsidRPr="00216027">
              <w:rPr>
                <w:sz w:val="22"/>
                <w:szCs w:val="22"/>
              </w:rPr>
              <w:t>Informācija par to, vai starptautiskās saistības, kas minētas šīs tabulas A ailē, tiek izpildītas pilnībā vai daļēji.</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Ja attiecīgās starptautiskās saistības tiek izpildītas daļēji, sniedz attiecīgu skaidrojumu, kā arī precīzi norāda, kad un kādā veidā starptautiskās saistības tiks izpildītas pilnībā.</w:t>
            </w:r>
          </w:p>
          <w:p w:rsidR="00AC1263" w:rsidRPr="00216027" w:rsidRDefault="00AC1263" w:rsidP="00D3250A">
            <w:pPr>
              <w:pStyle w:val="naiskr"/>
              <w:spacing w:before="0" w:after="0"/>
              <w:rPr>
                <w:sz w:val="22"/>
                <w:szCs w:val="22"/>
              </w:rPr>
            </w:pPr>
          </w:p>
          <w:p w:rsidR="00AC1263" w:rsidRPr="00216027" w:rsidRDefault="00AC1263" w:rsidP="00D3250A">
            <w:pPr>
              <w:pStyle w:val="naiskr"/>
              <w:spacing w:before="0" w:after="0"/>
              <w:rPr>
                <w:sz w:val="22"/>
                <w:szCs w:val="22"/>
              </w:rPr>
            </w:pPr>
            <w:r w:rsidRPr="00216027">
              <w:rPr>
                <w:sz w:val="22"/>
                <w:szCs w:val="22"/>
              </w:rPr>
              <w:t>Norāda institūciju, kas ir atbildīga par šo saistību izpildi pilnībā</w:t>
            </w:r>
          </w:p>
        </w:tc>
      </w:tr>
      <w:tr w:rsidR="00AC1263" w:rsidRPr="00216027" w:rsidTr="00A46E33">
        <w:trPr>
          <w:trHeight w:val="633"/>
          <w:jc w:val="center"/>
        </w:trPr>
        <w:tc>
          <w:tcPr>
            <w:tcW w:w="2305" w:type="dxa"/>
          </w:tcPr>
          <w:p w:rsidR="00AC1263" w:rsidRPr="00216027" w:rsidRDefault="00AC1263" w:rsidP="00D3250A">
            <w:pPr>
              <w:pStyle w:val="naiskr"/>
              <w:spacing w:before="0" w:after="0"/>
            </w:pPr>
            <w:r w:rsidRPr="00216027">
              <w:rPr>
                <w:iCs/>
              </w:rPr>
              <w:t>Nav attiecināms</w:t>
            </w:r>
            <w:r w:rsidR="00B12F1D">
              <w:rPr>
                <w:iCs/>
              </w:rPr>
              <w:t>.</w:t>
            </w:r>
          </w:p>
          <w:p w:rsidR="00AC1263" w:rsidRPr="00216027" w:rsidRDefault="00AC1263" w:rsidP="00D3250A">
            <w:pPr>
              <w:pStyle w:val="naiskr"/>
              <w:spacing w:before="0" w:after="0"/>
              <w:rPr>
                <w:sz w:val="22"/>
                <w:szCs w:val="22"/>
              </w:rPr>
            </w:pPr>
          </w:p>
        </w:tc>
        <w:tc>
          <w:tcPr>
            <w:tcW w:w="2814" w:type="dxa"/>
          </w:tcPr>
          <w:p w:rsidR="00AC1263" w:rsidRPr="00216027" w:rsidRDefault="00AC1263" w:rsidP="00D3250A">
            <w:pPr>
              <w:pStyle w:val="naiskr"/>
              <w:spacing w:before="0" w:after="0"/>
            </w:pPr>
            <w:r w:rsidRPr="00216027">
              <w:rPr>
                <w:iCs/>
              </w:rPr>
              <w:t>Nav attiecināms</w:t>
            </w:r>
            <w:r w:rsidR="00B12F1D">
              <w:rPr>
                <w:iCs/>
              </w:rPr>
              <w:t>.</w:t>
            </w:r>
          </w:p>
          <w:p w:rsidR="00AC1263" w:rsidRPr="00216027" w:rsidRDefault="00AC1263" w:rsidP="00D3250A">
            <w:pPr>
              <w:pStyle w:val="naiskr"/>
              <w:spacing w:before="0" w:after="0"/>
              <w:rPr>
                <w:sz w:val="22"/>
                <w:szCs w:val="22"/>
              </w:rPr>
            </w:pPr>
          </w:p>
        </w:tc>
        <w:tc>
          <w:tcPr>
            <w:tcW w:w="4592" w:type="dxa"/>
          </w:tcPr>
          <w:p w:rsidR="00AC1263" w:rsidRPr="00216027" w:rsidRDefault="00AC1263" w:rsidP="00D3250A">
            <w:pPr>
              <w:pStyle w:val="naiskr"/>
              <w:spacing w:before="0" w:after="0"/>
            </w:pPr>
            <w:r w:rsidRPr="00216027">
              <w:rPr>
                <w:iCs/>
              </w:rPr>
              <w:t>Nav attiecināms</w:t>
            </w:r>
            <w:r w:rsidR="00B12F1D">
              <w:rPr>
                <w:iCs/>
              </w:rPr>
              <w:t>.</w:t>
            </w:r>
          </w:p>
          <w:p w:rsidR="00AC1263" w:rsidRPr="00216027" w:rsidRDefault="00AC1263" w:rsidP="00D3250A">
            <w:pPr>
              <w:pStyle w:val="naiskr"/>
              <w:spacing w:before="0" w:after="0"/>
              <w:rPr>
                <w:sz w:val="22"/>
                <w:szCs w:val="22"/>
              </w:rPr>
            </w:pPr>
          </w:p>
        </w:tc>
      </w:tr>
      <w:tr w:rsidR="00AC1263" w:rsidRPr="00216027" w:rsidTr="00A46E33">
        <w:trPr>
          <w:trHeight w:val="161"/>
          <w:jc w:val="center"/>
        </w:trPr>
        <w:tc>
          <w:tcPr>
            <w:tcW w:w="2305" w:type="dxa"/>
            <w:vAlign w:val="center"/>
          </w:tcPr>
          <w:p w:rsidR="00AC1263" w:rsidRPr="00216027" w:rsidRDefault="00AC1263" w:rsidP="00D3250A">
            <w:pPr>
              <w:pStyle w:val="naiskr"/>
              <w:spacing w:before="0" w:after="0"/>
              <w:jc w:val="center"/>
              <w:rPr>
                <w:sz w:val="22"/>
                <w:szCs w:val="22"/>
              </w:rPr>
            </w:pPr>
          </w:p>
        </w:tc>
        <w:tc>
          <w:tcPr>
            <w:tcW w:w="2814" w:type="dxa"/>
            <w:vAlign w:val="center"/>
          </w:tcPr>
          <w:p w:rsidR="00AC1263" w:rsidRPr="00216027" w:rsidRDefault="00AC1263" w:rsidP="00D3250A">
            <w:pPr>
              <w:pStyle w:val="naiskr"/>
              <w:spacing w:before="0" w:after="0"/>
              <w:jc w:val="center"/>
              <w:rPr>
                <w:sz w:val="22"/>
                <w:szCs w:val="22"/>
              </w:rPr>
            </w:pPr>
          </w:p>
        </w:tc>
        <w:tc>
          <w:tcPr>
            <w:tcW w:w="4592" w:type="dxa"/>
            <w:vAlign w:val="center"/>
          </w:tcPr>
          <w:p w:rsidR="00AC1263" w:rsidRPr="00216027" w:rsidRDefault="00AC1263" w:rsidP="00D3250A">
            <w:pPr>
              <w:pStyle w:val="naiskr"/>
              <w:spacing w:before="0" w:after="0"/>
              <w:jc w:val="center"/>
              <w:rPr>
                <w:sz w:val="22"/>
                <w:szCs w:val="22"/>
              </w:rPr>
            </w:pPr>
          </w:p>
        </w:tc>
      </w:tr>
      <w:tr w:rsidR="00AC1263" w:rsidRPr="00216027" w:rsidTr="00A46E33">
        <w:trPr>
          <w:trHeight w:val="161"/>
          <w:jc w:val="center"/>
        </w:trPr>
        <w:tc>
          <w:tcPr>
            <w:tcW w:w="2305" w:type="dxa"/>
            <w:vAlign w:val="center"/>
          </w:tcPr>
          <w:p w:rsidR="00AC1263" w:rsidRPr="00635663" w:rsidRDefault="00AC1263" w:rsidP="00D3250A">
            <w:pPr>
              <w:pStyle w:val="naisf"/>
              <w:tabs>
                <w:tab w:val="left" w:pos="900"/>
              </w:tabs>
              <w:spacing w:before="0" w:after="0"/>
              <w:ind w:firstLine="0"/>
              <w:jc w:val="left"/>
            </w:pPr>
            <w:r w:rsidRPr="00635663">
              <w:t xml:space="preserve">Vai starptautiskajā dokumentā paredzētās saistības nav pretrunā ar jau esošajām Latvijas Republikas </w:t>
            </w:r>
            <w:r w:rsidRPr="00635663">
              <w:lastRenderedPageBreak/>
              <w:t>starptautiskajām saistībām</w:t>
            </w:r>
          </w:p>
        </w:tc>
        <w:tc>
          <w:tcPr>
            <w:tcW w:w="7406" w:type="dxa"/>
            <w:gridSpan w:val="2"/>
          </w:tcPr>
          <w:p w:rsidR="00A760B9" w:rsidRPr="00635663" w:rsidRDefault="00A760B9" w:rsidP="00A760B9">
            <w:pPr>
              <w:pStyle w:val="naiskr"/>
              <w:spacing w:before="0" w:after="0"/>
            </w:pPr>
            <w:r w:rsidRPr="00635663">
              <w:rPr>
                <w:iCs/>
              </w:rPr>
              <w:lastRenderedPageBreak/>
              <w:t>Nav attiecināms</w:t>
            </w:r>
            <w:r w:rsidR="00B12F1D">
              <w:rPr>
                <w:iCs/>
              </w:rPr>
              <w:t>.</w:t>
            </w:r>
          </w:p>
          <w:p w:rsidR="00AC1263" w:rsidRPr="00635663" w:rsidRDefault="00AC1263" w:rsidP="00AC1263">
            <w:pPr>
              <w:pStyle w:val="naiskr"/>
              <w:spacing w:before="0" w:after="0"/>
            </w:pPr>
          </w:p>
        </w:tc>
      </w:tr>
      <w:tr w:rsidR="00AC1263" w:rsidRPr="00216027" w:rsidTr="00A46E33">
        <w:trPr>
          <w:trHeight w:val="709"/>
          <w:jc w:val="center"/>
        </w:trPr>
        <w:tc>
          <w:tcPr>
            <w:tcW w:w="2305" w:type="dxa"/>
          </w:tcPr>
          <w:p w:rsidR="00AC1263" w:rsidRPr="00635663" w:rsidRDefault="00AC1263" w:rsidP="00D3250A">
            <w:pPr>
              <w:pStyle w:val="naiskr"/>
              <w:spacing w:before="0" w:after="0"/>
            </w:pPr>
            <w:r w:rsidRPr="00635663">
              <w:lastRenderedPageBreak/>
              <w:t>Cita informācija</w:t>
            </w:r>
          </w:p>
        </w:tc>
        <w:tc>
          <w:tcPr>
            <w:tcW w:w="7406" w:type="dxa"/>
            <w:gridSpan w:val="2"/>
          </w:tcPr>
          <w:p w:rsidR="00AC1263" w:rsidRPr="00635663" w:rsidRDefault="00A760B9" w:rsidP="00D3250A">
            <w:pPr>
              <w:pStyle w:val="naiskr"/>
              <w:spacing w:before="0" w:after="0"/>
            </w:pPr>
            <w:r w:rsidRPr="00635663">
              <w:t>Nav</w:t>
            </w:r>
            <w:r w:rsidR="00B12F1D">
              <w:t>.</w:t>
            </w:r>
            <w:r w:rsidRPr="00635663">
              <w:t xml:space="preserve"> </w:t>
            </w:r>
          </w:p>
          <w:p w:rsidR="00AC1263" w:rsidRPr="00635663" w:rsidRDefault="00AC1263" w:rsidP="00D3250A">
            <w:pPr>
              <w:pStyle w:val="naiskr"/>
              <w:spacing w:before="0" w:after="0"/>
            </w:pPr>
          </w:p>
        </w:tc>
      </w:tr>
    </w:tbl>
    <w:p w:rsidR="00D77C45" w:rsidRDefault="00D77C45" w:rsidP="006E58FB">
      <w:pPr>
        <w:pStyle w:val="naisf"/>
        <w:tabs>
          <w:tab w:val="left" w:pos="5760"/>
        </w:tabs>
        <w:spacing w:before="0" w:after="0"/>
        <w:ind w:firstLine="0"/>
      </w:pPr>
    </w:p>
    <w:p w:rsidR="00B426F0" w:rsidRDefault="00B426F0" w:rsidP="006E58FB">
      <w:pPr>
        <w:pStyle w:val="naisf"/>
        <w:tabs>
          <w:tab w:val="left" w:pos="5760"/>
        </w:tabs>
        <w:spacing w:before="0" w:after="0"/>
        <w:ind w:firstLine="0"/>
      </w:pPr>
    </w:p>
    <w:tbl>
      <w:tblPr>
        <w:tblW w:w="9678"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8"/>
      </w:tblGrid>
      <w:tr w:rsidR="00F30734" w:rsidRPr="005C777A" w:rsidTr="00F30734">
        <w:trPr>
          <w:trHeight w:val="274"/>
        </w:trPr>
        <w:tc>
          <w:tcPr>
            <w:tcW w:w="9678" w:type="dxa"/>
            <w:tcBorders>
              <w:top w:val="outset" w:sz="6" w:space="0" w:color="auto"/>
              <w:left w:val="outset" w:sz="6" w:space="0" w:color="auto"/>
              <w:bottom w:val="outset" w:sz="6" w:space="0" w:color="auto"/>
              <w:right w:val="outset" w:sz="6" w:space="0" w:color="auto"/>
            </w:tcBorders>
          </w:tcPr>
          <w:p w:rsidR="00F30734" w:rsidRPr="005C777A" w:rsidRDefault="00F30734" w:rsidP="008766E7">
            <w:pPr>
              <w:spacing w:before="100" w:beforeAutospacing="1" w:after="100" w:afterAutospacing="1"/>
              <w:jc w:val="center"/>
              <w:rPr>
                <w:color w:val="000000"/>
              </w:rPr>
            </w:pPr>
            <w:r w:rsidRPr="005C777A">
              <w:rPr>
                <w:b/>
                <w:bCs/>
                <w:color w:val="000000"/>
              </w:rPr>
              <w:t> VI. Sabiedrības līdzdalība un šīs līdzdalības rezultāti</w:t>
            </w:r>
          </w:p>
        </w:tc>
      </w:tr>
      <w:tr w:rsidR="007B5281" w:rsidRPr="005C777A" w:rsidTr="00F30734">
        <w:trPr>
          <w:trHeight w:val="274"/>
        </w:trPr>
        <w:tc>
          <w:tcPr>
            <w:tcW w:w="9678" w:type="dxa"/>
            <w:tcBorders>
              <w:top w:val="outset" w:sz="6" w:space="0" w:color="auto"/>
              <w:left w:val="outset" w:sz="6" w:space="0" w:color="auto"/>
              <w:bottom w:val="outset" w:sz="6" w:space="0" w:color="auto"/>
              <w:right w:val="outset" w:sz="6" w:space="0" w:color="auto"/>
            </w:tcBorders>
          </w:tcPr>
          <w:p w:rsidR="007B5281" w:rsidRPr="007B5281" w:rsidRDefault="007B5281" w:rsidP="008766E7">
            <w:pPr>
              <w:spacing w:before="100" w:beforeAutospacing="1" w:after="100" w:afterAutospacing="1"/>
              <w:jc w:val="center"/>
              <w:rPr>
                <w:bCs/>
                <w:color w:val="000000"/>
              </w:rPr>
            </w:pPr>
            <w:r w:rsidRPr="007B5281">
              <w:rPr>
                <w:bCs/>
                <w:color w:val="000000"/>
              </w:rPr>
              <w:t>Nav attiecināms</w:t>
            </w:r>
          </w:p>
        </w:tc>
      </w:tr>
    </w:tbl>
    <w:p w:rsidR="00F30734" w:rsidRDefault="00F30734" w:rsidP="006E58FB">
      <w:pPr>
        <w:pStyle w:val="naisf"/>
        <w:tabs>
          <w:tab w:val="left" w:pos="5760"/>
        </w:tabs>
        <w:spacing w:before="0" w:after="0"/>
        <w:ind w:firstLine="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021"/>
        <w:gridCol w:w="5245"/>
      </w:tblGrid>
      <w:tr w:rsidR="00F55011" w:rsidRPr="00F55011" w:rsidTr="00F55011">
        <w:tc>
          <w:tcPr>
            <w:tcW w:w="9640" w:type="dxa"/>
            <w:gridSpan w:val="3"/>
            <w:tcBorders>
              <w:top w:val="single" w:sz="4" w:space="0" w:color="auto"/>
            </w:tcBorders>
          </w:tcPr>
          <w:p w:rsidR="00F55011" w:rsidRPr="00F55011" w:rsidRDefault="00F55011" w:rsidP="006B3F3D">
            <w:pPr>
              <w:pStyle w:val="naisnod"/>
              <w:spacing w:before="0" w:after="0"/>
              <w:ind w:left="57" w:right="57"/>
            </w:pPr>
            <w:r w:rsidRPr="00F55011">
              <w:t>VII. Tiesību akta projekta izpildes nodrošināšana un tās ietekme uz institūcijām</w:t>
            </w:r>
          </w:p>
        </w:tc>
      </w:tr>
      <w:tr w:rsidR="00F55011" w:rsidRPr="00F55011" w:rsidTr="00F55011">
        <w:trPr>
          <w:trHeight w:val="427"/>
        </w:trPr>
        <w:tc>
          <w:tcPr>
            <w:tcW w:w="374" w:type="dxa"/>
          </w:tcPr>
          <w:p w:rsidR="00F55011" w:rsidRPr="00F55011" w:rsidRDefault="00F55011" w:rsidP="006B3F3D">
            <w:pPr>
              <w:pStyle w:val="naisnod"/>
              <w:spacing w:before="0" w:after="0"/>
              <w:ind w:left="57" w:right="57"/>
              <w:jc w:val="left"/>
              <w:rPr>
                <w:b w:val="0"/>
              </w:rPr>
            </w:pPr>
            <w:r w:rsidRPr="00F55011">
              <w:rPr>
                <w:b w:val="0"/>
              </w:rPr>
              <w:t>1.</w:t>
            </w:r>
          </w:p>
        </w:tc>
        <w:tc>
          <w:tcPr>
            <w:tcW w:w="4021" w:type="dxa"/>
          </w:tcPr>
          <w:p w:rsidR="00F55011" w:rsidRPr="00F55011" w:rsidRDefault="00F55011" w:rsidP="006B3F3D">
            <w:pPr>
              <w:pStyle w:val="naisf"/>
              <w:spacing w:before="0" w:after="0"/>
              <w:ind w:left="57" w:right="57" w:firstLine="0"/>
              <w:jc w:val="left"/>
            </w:pPr>
            <w:r w:rsidRPr="00F55011">
              <w:t xml:space="preserve">Projekta izpildē iesaistītās institūcijas </w:t>
            </w:r>
          </w:p>
        </w:tc>
        <w:tc>
          <w:tcPr>
            <w:tcW w:w="5245" w:type="dxa"/>
          </w:tcPr>
          <w:p w:rsidR="00F55011" w:rsidRPr="00F55011" w:rsidRDefault="00442C0F" w:rsidP="00442C0F">
            <w:pPr>
              <w:pStyle w:val="naisnod"/>
              <w:spacing w:before="0" w:after="0"/>
              <w:ind w:left="57" w:right="57" w:hanging="57"/>
              <w:jc w:val="both"/>
              <w:rPr>
                <w:b w:val="0"/>
              </w:rPr>
            </w:pPr>
            <w:r>
              <w:rPr>
                <w:b w:val="0"/>
                <w:iCs/>
              </w:rPr>
              <w:t xml:space="preserve">Sabiedrisko pakalpojumu regulēšanas komisija. </w:t>
            </w:r>
            <w:r w:rsidR="005637C1">
              <w:rPr>
                <w:b w:val="0"/>
                <w:iCs/>
              </w:rPr>
              <w:t>Zemkopības ministrija</w:t>
            </w:r>
            <w:r w:rsidR="00F55011" w:rsidRPr="00F55011">
              <w:rPr>
                <w:b w:val="0"/>
                <w:iCs/>
              </w:rPr>
              <w:t>.</w:t>
            </w:r>
          </w:p>
        </w:tc>
      </w:tr>
      <w:tr w:rsidR="00F55011" w:rsidRPr="00F55011" w:rsidTr="00F55011">
        <w:trPr>
          <w:trHeight w:val="463"/>
        </w:trPr>
        <w:tc>
          <w:tcPr>
            <w:tcW w:w="374" w:type="dxa"/>
          </w:tcPr>
          <w:p w:rsidR="00F55011" w:rsidRPr="00F55011" w:rsidRDefault="00F55011" w:rsidP="006B3F3D">
            <w:pPr>
              <w:pStyle w:val="naisnod"/>
              <w:spacing w:before="0" w:after="0"/>
              <w:ind w:left="57" w:right="57"/>
              <w:jc w:val="left"/>
              <w:rPr>
                <w:b w:val="0"/>
              </w:rPr>
            </w:pPr>
            <w:r w:rsidRPr="00F55011">
              <w:rPr>
                <w:b w:val="0"/>
              </w:rPr>
              <w:t>2.</w:t>
            </w:r>
          </w:p>
        </w:tc>
        <w:tc>
          <w:tcPr>
            <w:tcW w:w="4021" w:type="dxa"/>
          </w:tcPr>
          <w:p w:rsidR="00F55011" w:rsidRPr="00F55011" w:rsidRDefault="00F55011" w:rsidP="006B3F3D">
            <w:pPr>
              <w:pStyle w:val="naisf"/>
              <w:spacing w:before="0" w:after="0"/>
              <w:ind w:left="57" w:right="57" w:firstLine="0"/>
              <w:jc w:val="left"/>
            </w:pPr>
            <w:r w:rsidRPr="00F55011">
              <w:t xml:space="preserve">Projekta izpildes ietekme uz pārvaldes funkcijām </w:t>
            </w:r>
          </w:p>
        </w:tc>
        <w:tc>
          <w:tcPr>
            <w:tcW w:w="5245" w:type="dxa"/>
          </w:tcPr>
          <w:p w:rsidR="00F55011" w:rsidRPr="00F55011" w:rsidRDefault="00F55011" w:rsidP="00F55011">
            <w:pPr>
              <w:pStyle w:val="naisnod"/>
              <w:spacing w:before="0" w:after="0"/>
              <w:ind w:left="57" w:right="57" w:hanging="57"/>
              <w:jc w:val="left"/>
              <w:rPr>
                <w:b w:val="0"/>
              </w:rPr>
            </w:pPr>
            <w:r w:rsidRPr="00F55011">
              <w:rPr>
                <w:b w:val="0"/>
              </w:rPr>
              <w:t>Nav attiecināms.</w:t>
            </w:r>
          </w:p>
        </w:tc>
      </w:tr>
      <w:tr w:rsidR="00F55011" w:rsidRPr="00F55011" w:rsidTr="00F55011">
        <w:trPr>
          <w:trHeight w:val="725"/>
        </w:trPr>
        <w:tc>
          <w:tcPr>
            <w:tcW w:w="374" w:type="dxa"/>
          </w:tcPr>
          <w:p w:rsidR="00F55011" w:rsidRPr="00F55011" w:rsidRDefault="00F55011" w:rsidP="006B3F3D">
            <w:pPr>
              <w:pStyle w:val="naisnod"/>
              <w:spacing w:before="0" w:after="0"/>
              <w:ind w:left="57" w:right="57"/>
              <w:jc w:val="left"/>
              <w:rPr>
                <w:b w:val="0"/>
              </w:rPr>
            </w:pPr>
            <w:r w:rsidRPr="00F55011">
              <w:rPr>
                <w:b w:val="0"/>
              </w:rPr>
              <w:t>3.</w:t>
            </w:r>
          </w:p>
        </w:tc>
        <w:tc>
          <w:tcPr>
            <w:tcW w:w="4021" w:type="dxa"/>
          </w:tcPr>
          <w:p w:rsidR="00F55011" w:rsidRPr="00F55011" w:rsidRDefault="00F55011" w:rsidP="006B3F3D">
            <w:pPr>
              <w:pStyle w:val="naisf"/>
              <w:spacing w:before="0" w:after="0"/>
              <w:ind w:left="57" w:right="57" w:firstLine="0"/>
              <w:jc w:val="left"/>
            </w:pPr>
            <w:r w:rsidRPr="00F55011">
              <w:t>Projekta izpildes ietekme uz pārvaldes institucionālo struktūru.</w:t>
            </w:r>
          </w:p>
          <w:p w:rsidR="00F55011" w:rsidRPr="00F55011" w:rsidRDefault="00F55011" w:rsidP="006B3F3D">
            <w:pPr>
              <w:pStyle w:val="naisf"/>
              <w:spacing w:before="0" w:after="0"/>
              <w:ind w:left="57" w:right="57" w:firstLine="0"/>
              <w:jc w:val="left"/>
            </w:pPr>
            <w:r w:rsidRPr="00F55011">
              <w:t>Jaunu institūciju izveide</w:t>
            </w:r>
          </w:p>
        </w:tc>
        <w:tc>
          <w:tcPr>
            <w:tcW w:w="5245" w:type="dxa"/>
          </w:tcPr>
          <w:p w:rsidR="00F55011" w:rsidRPr="00F55011" w:rsidRDefault="00F55011" w:rsidP="004D54BE">
            <w:pPr>
              <w:pStyle w:val="naisnod"/>
              <w:spacing w:before="0" w:after="0"/>
              <w:ind w:left="57" w:right="57" w:hanging="57"/>
              <w:jc w:val="both"/>
              <w:rPr>
                <w:b w:val="0"/>
              </w:rPr>
            </w:pPr>
            <w:r w:rsidRPr="00F55011">
              <w:rPr>
                <w:b w:val="0"/>
              </w:rPr>
              <w:t>Normatīvā akta izpilde tiks nodrošināta esošo valsts institūciju funkciju ietvaros.</w:t>
            </w:r>
          </w:p>
        </w:tc>
      </w:tr>
      <w:tr w:rsidR="00F55011" w:rsidRPr="00F55011" w:rsidTr="00F55011">
        <w:trPr>
          <w:trHeight w:val="780"/>
        </w:trPr>
        <w:tc>
          <w:tcPr>
            <w:tcW w:w="374" w:type="dxa"/>
          </w:tcPr>
          <w:p w:rsidR="00F55011" w:rsidRPr="00F55011" w:rsidRDefault="00F55011" w:rsidP="006B3F3D">
            <w:pPr>
              <w:pStyle w:val="naisnod"/>
              <w:spacing w:before="0" w:after="0"/>
              <w:ind w:left="57" w:right="57"/>
              <w:jc w:val="left"/>
              <w:rPr>
                <w:b w:val="0"/>
              </w:rPr>
            </w:pPr>
            <w:r w:rsidRPr="00F55011">
              <w:rPr>
                <w:b w:val="0"/>
              </w:rPr>
              <w:t>4.</w:t>
            </w:r>
          </w:p>
        </w:tc>
        <w:tc>
          <w:tcPr>
            <w:tcW w:w="4021" w:type="dxa"/>
          </w:tcPr>
          <w:p w:rsidR="00F55011" w:rsidRPr="00F55011" w:rsidRDefault="00F55011" w:rsidP="006B3F3D">
            <w:pPr>
              <w:pStyle w:val="naisf"/>
              <w:spacing w:before="0" w:after="0"/>
              <w:ind w:left="57" w:right="57" w:firstLine="0"/>
              <w:jc w:val="left"/>
            </w:pPr>
            <w:r w:rsidRPr="00F55011">
              <w:t>Projekta izpildes ietekme uz pārvaldes institucionālo struktūru.</w:t>
            </w:r>
          </w:p>
          <w:p w:rsidR="00F55011" w:rsidRPr="00F55011" w:rsidRDefault="00F55011" w:rsidP="006B3F3D">
            <w:pPr>
              <w:pStyle w:val="naisf"/>
              <w:spacing w:before="0" w:after="0"/>
              <w:ind w:left="57" w:right="57" w:firstLine="0"/>
              <w:jc w:val="left"/>
            </w:pPr>
            <w:r w:rsidRPr="00F55011">
              <w:t>Esošu institūciju likvidācija</w:t>
            </w:r>
          </w:p>
        </w:tc>
        <w:tc>
          <w:tcPr>
            <w:tcW w:w="5245" w:type="dxa"/>
          </w:tcPr>
          <w:p w:rsidR="00F55011" w:rsidRPr="00F55011" w:rsidRDefault="00F55011" w:rsidP="00F55011">
            <w:pPr>
              <w:pStyle w:val="naisnod"/>
              <w:spacing w:before="0" w:after="0"/>
              <w:ind w:left="57" w:right="57" w:hanging="57"/>
              <w:jc w:val="left"/>
              <w:rPr>
                <w:b w:val="0"/>
              </w:rPr>
            </w:pPr>
            <w:r w:rsidRPr="00F55011">
              <w:rPr>
                <w:b w:val="0"/>
              </w:rPr>
              <w:t>Nav attiecināms.</w:t>
            </w:r>
          </w:p>
        </w:tc>
      </w:tr>
      <w:tr w:rsidR="00F55011" w:rsidRPr="00F55011" w:rsidTr="00F55011">
        <w:trPr>
          <w:trHeight w:val="703"/>
        </w:trPr>
        <w:tc>
          <w:tcPr>
            <w:tcW w:w="374" w:type="dxa"/>
          </w:tcPr>
          <w:p w:rsidR="00F55011" w:rsidRPr="00F55011" w:rsidRDefault="00F55011" w:rsidP="006B3F3D">
            <w:pPr>
              <w:pStyle w:val="naisnod"/>
              <w:spacing w:before="0" w:after="0"/>
              <w:ind w:left="57" w:right="57"/>
              <w:jc w:val="left"/>
              <w:rPr>
                <w:b w:val="0"/>
              </w:rPr>
            </w:pPr>
            <w:r w:rsidRPr="00F55011">
              <w:rPr>
                <w:b w:val="0"/>
              </w:rPr>
              <w:t>5.</w:t>
            </w:r>
          </w:p>
        </w:tc>
        <w:tc>
          <w:tcPr>
            <w:tcW w:w="4021" w:type="dxa"/>
          </w:tcPr>
          <w:p w:rsidR="00F55011" w:rsidRPr="00F55011" w:rsidRDefault="00F55011" w:rsidP="006B3F3D">
            <w:pPr>
              <w:pStyle w:val="naisf"/>
              <w:spacing w:before="0" w:after="0"/>
              <w:ind w:left="57" w:right="57" w:firstLine="0"/>
              <w:jc w:val="left"/>
            </w:pPr>
            <w:r w:rsidRPr="00F55011">
              <w:t>Projekta izpildes ietekme uz pārvaldes institucionālo struktūru.</w:t>
            </w:r>
          </w:p>
          <w:p w:rsidR="00F55011" w:rsidRPr="00F55011" w:rsidRDefault="00F55011" w:rsidP="006B3F3D">
            <w:pPr>
              <w:pStyle w:val="naisf"/>
              <w:spacing w:before="0" w:after="0"/>
              <w:ind w:left="57" w:right="57" w:firstLine="0"/>
              <w:jc w:val="left"/>
            </w:pPr>
            <w:r w:rsidRPr="00F55011">
              <w:t>Esošu institūciju reorganizācija</w:t>
            </w:r>
          </w:p>
        </w:tc>
        <w:tc>
          <w:tcPr>
            <w:tcW w:w="5245" w:type="dxa"/>
          </w:tcPr>
          <w:p w:rsidR="00F55011" w:rsidRPr="00F55011" w:rsidRDefault="00F55011" w:rsidP="008B0AB8">
            <w:pPr>
              <w:pStyle w:val="naisnod"/>
              <w:spacing w:before="0" w:after="0"/>
              <w:ind w:left="57" w:right="57" w:hanging="57"/>
              <w:jc w:val="left"/>
              <w:rPr>
                <w:b w:val="0"/>
              </w:rPr>
            </w:pPr>
            <w:r w:rsidRPr="00F55011">
              <w:rPr>
                <w:b w:val="0"/>
              </w:rPr>
              <w:t>Nav attiecināms.</w:t>
            </w:r>
          </w:p>
        </w:tc>
      </w:tr>
      <w:tr w:rsidR="00F55011" w:rsidRPr="00F55011" w:rsidTr="00F55011">
        <w:trPr>
          <w:trHeight w:val="476"/>
        </w:trPr>
        <w:tc>
          <w:tcPr>
            <w:tcW w:w="374" w:type="dxa"/>
          </w:tcPr>
          <w:p w:rsidR="00F55011" w:rsidRPr="00F55011" w:rsidRDefault="00F55011" w:rsidP="006B3F3D">
            <w:pPr>
              <w:pStyle w:val="naiskr"/>
              <w:spacing w:before="0" w:after="0"/>
              <w:ind w:left="57" w:right="57"/>
            </w:pPr>
            <w:r w:rsidRPr="00F55011">
              <w:t>6.</w:t>
            </w:r>
          </w:p>
        </w:tc>
        <w:tc>
          <w:tcPr>
            <w:tcW w:w="4021" w:type="dxa"/>
          </w:tcPr>
          <w:p w:rsidR="00F55011" w:rsidRPr="00F55011" w:rsidRDefault="00F55011" w:rsidP="006B3F3D">
            <w:pPr>
              <w:pStyle w:val="naiskr"/>
              <w:spacing w:before="0" w:after="0"/>
              <w:ind w:left="57" w:right="57"/>
            </w:pPr>
            <w:r w:rsidRPr="00F55011">
              <w:t>Cita informācija</w:t>
            </w:r>
          </w:p>
        </w:tc>
        <w:tc>
          <w:tcPr>
            <w:tcW w:w="5245" w:type="dxa"/>
          </w:tcPr>
          <w:p w:rsidR="00F55011" w:rsidRPr="00F55011" w:rsidRDefault="00F55011" w:rsidP="008B0AB8">
            <w:pPr>
              <w:pStyle w:val="naiskr"/>
              <w:spacing w:before="0" w:after="0"/>
              <w:ind w:left="57" w:right="57" w:hanging="57"/>
              <w:jc w:val="both"/>
            </w:pPr>
            <w:r w:rsidRPr="00F55011">
              <w:t>Nav.</w:t>
            </w:r>
          </w:p>
        </w:tc>
      </w:tr>
    </w:tbl>
    <w:p w:rsidR="009F65F7" w:rsidRDefault="009F65F7" w:rsidP="007B6913">
      <w:pPr>
        <w:pStyle w:val="naisf"/>
        <w:tabs>
          <w:tab w:val="left" w:pos="5760"/>
        </w:tabs>
        <w:spacing w:before="0" w:after="0"/>
        <w:ind w:firstLine="0"/>
        <w:rPr>
          <w:sz w:val="28"/>
          <w:szCs w:val="28"/>
        </w:rPr>
      </w:pPr>
    </w:p>
    <w:p w:rsidR="00A01AFA" w:rsidRPr="003031F2" w:rsidRDefault="00A01AFA" w:rsidP="00A01AFA">
      <w:pPr>
        <w:rPr>
          <w:sz w:val="28"/>
          <w:szCs w:val="28"/>
        </w:rPr>
      </w:pPr>
      <w:r w:rsidRPr="003031F2">
        <w:rPr>
          <w:sz w:val="28"/>
          <w:szCs w:val="28"/>
        </w:rPr>
        <w:t>Ministru prezidents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 </w:t>
      </w:r>
      <w:proofErr w:type="spellStart"/>
      <w:r>
        <w:rPr>
          <w:sz w:val="28"/>
          <w:szCs w:val="28"/>
        </w:rPr>
        <w:t>Dombrovskis</w:t>
      </w:r>
      <w:proofErr w:type="spellEnd"/>
    </w:p>
    <w:p w:rsidR="00A01AFA" w:rsidRDefault="00A01AFA" w:rsidP="00A01AFA">
      <w:pPr>
        <w:rPr>
          <w:sz w:val="28"/>
          <w:szCs w:val="28"/>
        </w:rPr>
      </w:pPr>
      <w:r>
        <w:rPr>
          <w:sz w:val="28"/>
          <w:szCs w:val="28"/>
        </w:rPr>
        <w:t xml:space="preserve">Ekonomikas ministra vietā – </w:t>
      </w:r>
    </w:p>
    <w:p w:rsidR="00A01AFA" w:rsidRPr="003031F2" w:rsidRDefault="00A01AFA" w:rsidP="00A01AFA">
      <w:pPr>
        <w:rPr>
          <w:sz w:val="28"/>
          <w:szCs w:val="28"/>
        </w:rPr>
      </w:pPr>
      <w:r>
        <w:rPr>
          <w:sz w:val="28"/>
          <w:szCs w:val="28"/>
        </w:rPr>
        <w:t>Finanšu ministrs</w:t>
      </w:r>
      <w:r w:rsidRPr="003031F2">
        <w:rPr>
          <w:sz w:val="28"/>
          <w:szCs w:val="28"/>
        </w:rPr>
        <w:tab/>
      </w:r>
      <w:r w:rsidRPr="003031F2">
        <w:rPr>
          <w:sz w:val="28"/>
          <w:szCs w:val="28"/>
        </w:rPr>
        <w:tab/>
      </w:r>
      <w:r w:rsidRPr="003031F2">
        <w:rPr>
          <w:sz w:val="28"/>
          <w:szCs w:val="28"/>
        </w:rPr>
        <w:tab/>
      </w:r>
      <w:r w:rsidRPr="003031F2">
        <w:rPr>
          <w:sz w:val="28"/>
          <w:szCs w:val="28"/>
        </w:rPr>
        <w:tab/>
      </w:r>
      <w:r w:rsidRPr="003031F2">
        <w:rPr>
          <w:sz w:val="28"/>
          <w:szCs w:val="28"/>
        </w:rPr>
        <w:tab/>
      </w:r>
      <w:r w:rsidRPr="003031F2">
        <w:rPr>
          <w:sz w:val="28"/>
          <w:szCs w:val="28"/>
        </w:rPr>
        <w:tab/>
        <w:t xml:space="preserve">           </w:t>
      </w:r>
      <w:r>
        <w:rPr>
          <w:sz w:val="28"/>
          <w:szCs w:val="28"/>
        </w:rPr>
        <w:t xml:space="preserve">          A.Vilks</w:t>
      </w:r>
    </w:p>
    <w:p w:rsidR="00A01AFA" w:rsidRPr="003031F2" w:rsidRDefault="00A01AFA" w:rsidP="00A01AFA">
      <w:pPr>
        <w:ind w:left="-284"/>
        <w:rPr>
          <w:sz w:val="28"/>
          <w:szCs w:val="28"/>
        </w:rPr>
      </w:pPr>
    </w:p>
    <w:p w:rsidR="00A01AFA" w:rsidRDefault="00A01AFA" w:rsidP="00A01AFA">
      <w:pPr>
        <w:rPr>
          <w:sz w:val="28"/>
          <w:szCs w:val="28"/>
        </w:rPr>
      </w:pPr>
      <w:r w:rsidRPr="003031F2">
        <w:rPr>
          <w:sz w:val="28"/>
          <w:szCs w:val="28"/>
        </w:rPr>
        <w:t xml:space="preserve">Iesniedzējs: Ekonomikas </w:t>
      </w:r>
      <w:r>
        <w:rPr>
          <w:sz w:val="28"/>
          <w:szCs w:val="28"/>
        </w:rPr>
        <w:t xml:space="preserve">ministra vietā – </w:t>
      </w:r>
    </w:p>
    <w:p w:rsidR="00A01AFA" w:rsidRPr="003031F2" w:rsidRDefault="00A01AFA" w:rsidP="00A01AFA">
      <w:pPr>
        <w:rPr>
          <w:sz w:val="28"/>
          <w:szCs w:val="28"/>
        </w:rPr>
      </w:pPr>
      <w:r>
        <w:rPr>
          <w:sz w:val="28"/>
          <w:szCs w:val="28"/>
        </w:rPr>
        <w:t>Finanšu ministrs</w:t>
      </w:r>
      <w:r w:rsidRPr="003031F2">
        <w:rPr>
          <w:sz w:val="28"/>
          <w:szCs w:val="28"/>
        </w:rPr>
        <w:tab/>
      </w:r>
      <w:r w:rsidRPr="003031F2">
        <w:rPr>
          <w:sz w:val="28"/>
          <w:szCs w:val="28"/>
        </w:rPr>
        <w:tab/>
      </w:r>
      <w:r w:rsidRPr="003031F2">
        <w:rPr>
          <w:sz w:val="28"/>
          <w:szCs w:val="28"/>
        </w:rPr>
        <w:tab/>
      </w:r>
      <w:r w:rsidRPr="003031F2">
        <w:rPr>
          <w:sz w:val="28"/>
          <w:szCs w:val="28"/>
        </w:rPr>
        <w:tab/>
        <w:t xml:space="preserve">           </w:t>
      </w:r>
      <w:r>
        <w:rPr>
          <w:sz w:val="28"/>
          <w:szCs w:val="28"/>
        </w:rPr>
        <w:t xml:space="preserve">                               </w:t>
      </w:r>
      <w:r w:rsidRPr="003031F2">
        <w:rPr>
          <w:sz w:val="28"/>
          <w:szCs w:val="28"/>
        </w:rPr>
        <w:t xml:space="preserve">A. </w:t>
      </w:r>
      <w:r>
        <w:rPr>
          <w:sz w:val="28"/>
          <w:szCs w:val="28"/>
        </w:rPr>
        <w:t>Vilks</w:t>
      </w:r>
    </w:p>
    <w:p w:rsidR="00A01AFA" w:rsidRPr="003031F2" w:rsidRDefault="00A01AFA" w:rsidP="00A01AFA">
      <w:pPr>
        <w:ind w:left="-284"/>
        <w:rPr>
          <w:sz w:val="28"/>
          <w:szCs w:val="28"/>
        </w:rPr>
      </w:pPr>
    </w:p>
    <w:p w:rsidR="00A01AFA" w:rsidRDefault="00A01AFA" w:rsidP="00A01AFA">
      <w:pPr>
        <w:rPr>
          <w:sz w:val="28"/>
          <w:szCs w:val="28"/>
        </w:rPr>
      </w:pPr>
      <w:r>
        <w:rPr>
          <w:sz w:val="28"/>
          <w:szCs w:val="28"/>
        </w:rPr>
        <w:t xml:space="preserve">Vīza: Valsts sekretāra vietā – </w:t>
      </w:r>
    </w:p>
    <w:p w:rsidR="00A01AFA" w:rsidRPr="003031F2" w:rsidRDefault="00A01AFA" w:rsidP="00A01AFA">
      <w:pPr>
        <w:rPr>
          <w:sz w:val="28"/>
          <w:szCs w:val="28"/>
        </w:rPr>
      </w:pPr>
      <w:r>
        <w:rPr>
          <w:sz w:val="28"/>
          <w:szCs w:val="28"/>
        </w:rPr>
        <w:t>Valsts sekretāra vietniece                                                                Z.Liepiņa</w:t>
      </w:r>
    </w:p>
    <w:p w:rsidR="00526AC2" w:rsidRDefault="00526AC2" w:rsidP="00D436E9">
      <w:pPr>
        <w:rPr>
          <w:sz w:val="28"/>
          <w:szCs w:val="28"/>
        </w:rPr>
      </w:pPr>
    </w:p>
    <w:p w:rsidR="00D436E9" w:rsidRDefault="00D436E9" w:rsidP="00D436E9">
      <w:pPr>
        <w:rPr>
          <w:sz w:val="28"/>
          <w:szCs w:val="28"/>
        </w:rPr>
      </w:pPr>
    </w:p>
    <w:p w:rsidR="00526AC2" w:rsidRDefault="00A01AFA" w:rsidP="00526AC2">
      <w:pPr>
        <w:rPr>
          <w:sz w:val="20"/>
          <w:szCs w:val="20"/>
        </w:rPr>
      </w:pPr>
      <w:r>
        <w:rPr>
          <w:sz w:val="20"/>
          <w:szCs w:val="20"/>
        </w:rPr>
        <w:t>10</w:t>
      </w:r>
      <w:r w:rsidR="00B426F0">
        <w:rPr>
          <w:sz w:val="20"/>
          <w:szCs w:val="20"/>
        </w:rPr>
        <w:t>.02</w:t>
      </w:r>
      <w:r w:rsidR="00526AC2">
        <w:rPr>
          <w:sz w:val="20"/>
          <w:szCs w:val="20"/>
        </w:rPr>
        <w:t>.2011.</w:t>
      </w:r>
      <w:r w:rsidR="00526AC2" w:rsidRPr="002F1958">
        <w:rPr>
          <w:sz w:val="20"/>
          <w:szCs w:val="20"/>
        </w:rPr>
        <w:t xml:space="preserve"> </w:t>
      </w:r>
      <w:r w:rsidR="00CB37F2">
        <w:rPr>
          <w:sz w:val="20"/>
          <w:szCs w:val="20"/>
        </w:rPr>
        <w:t>13</w:t>
      </w:r>
      <w:r w:rsidR="00B426F0">
        <w:rPr>
          <w:sz w:val="20"/>
          <w:szCs w:val="20"/>
        </w:rPr>
        <w:t>:</w:t>
      </w:r>
      <w:r w:rsidR="00CB37F2">
        <w:rPr>
          <w:sz w:val="20"/>
          <w:szCs w:val="20"/>
        </w:rPr>
        <w:t>53</w:t>
      </w:r>
    </w:p>
    <w:p w:rsidR="00526AC2" w:rsidRDefault="00CB37F2" w:rsidP="00526AC2">
      <w:pPr>
        <w:rPr>
          <w:sz w:val="20"/>
          <w:szCs w:val="20"/>
        </w:rPr>
      </w:pPr>
      <w:r>
        <w:rPr>
          <w:sz w:val="20"/>
          <w:szCs w:val="20"/>
        </w:rPr>
        <w:t>7846</w:t>
      </w:r>
    </w:p>
    <w:p w:rsidR="00526AC2" w:rsidRDefault="00526AC2" w:rsidP="00526AC2">
      <w:pPr>
        <w:rPr>
          <w:sz w:val="20"/>
          <w:szCs w:val="20"/>
        </w:rPr>
      </w:pPr>
      <w:bookmarkStart w:id="4" w:name="OLE_LINK5"/>
      <w:bookmarkStart w:id="5" w:name="OLE_LINK6"/>
      <w:r>
        <w:rPr>
          <w:sz w:val="20"/>
          <w:szCs w:val="20"/>
        </w:rPr>
        <w:t>J.Bunkovskis</w:t>
      </w:r>
    </w:p>
    <w:p w:rsidR="00526AC2" w:rsidRDefault="00526AC2" w:rsidP="00526AC2">
      <w:pPr>
        <w:rPr>
          <w:sz w:val="28"/>
          <w:szCs w:val="28"/>
        </w:rPr>
      </w:pPr>
      <w:r>
        <w:rPr>
          <w:sz w:val="20"/>
          <w:szCs w:val="20"/>
        </w:rPr>
        <w:t>67013170</w:t>
      </w:r>
      <w:r w:rsidRPr="002F1958">
        <w:rPr>
          <w:sz w:val="20"/>
          <w:szCs w:val="20"/>
        </w:rPr>
        <w:t xml:space="preserve">, </w:t>
      </w:r>
      <w:hyperlink r:id="rId8" w:history="1">
        <w:r w:rsidRPr="00A10D89">
          <w:rPr>
            <w:rStyle w:val="Hyperlink"/>
            <w:sz w:val="20"/>
            <w:szCs w:val="20"/>
          </w:rPr>
          <w:t>janis.bunkovskis@em.gov.lv</w:t>
        </w:r>
      </w:hyperlink>
    </w:p>
    <w:p w:rsidR="00526AC2" w:rsidRDefault="00526AC2" w:rsidP="00526AC2">
      <w:pPr>
        <w:rPr>
          <w:sz w:val="20"/>
        </w:rPr>
      </w:pPr>
    </w:p>
    <w:p w:rsidR="00526AC2" w:rsidRDefault="007C1AAB" w:rsidP="00A01AFA">
      <w:pPr>
        <w:tabs>
          <w:tab w:val="left" w:pos="5162"/>
        </w:tabs>
        <w:rPr>
          <w:sz w:val="28"/>
          <w:szCs w:val="28"/>
        </w:rPr>
      </w:pPr>
      <w:r>
        <w:rPr>
          <w:sz w:val="20"/>
        </w:rPr>
        <w:t>B</w:t>
      </w:r>
      <w:r w:rsidR="00613EBD">
        <w:rPr>
          <w:sz w:val="20"/>
        </w:rPr>
        <w:t>.</w:t>
      </w:r>
      <w:r w:rsidR="00C30130">
        <w:rPr>
          <w:sz w:val="20"/>
        </w:rPr>
        <w:t>Neimane</w:t>
      </w:r>
      <w:r w:rsidR="00A01AFA">
        <w:rPr>
          <w:sz w:val="20"/>
        </w:rPr>
        <w:tab/>
      </w:r>
    </w:p>
    <w:p w:rsidR="0015060C" w:rsidRPr="00526AC2" w:rsidRDefault="00613EBD" w:rsidP="00526AC2">
      <w:pPr>
        <w:rPr>
          <w:sz w:val="28"/>
          <w:szCs w:val="28"/>
        </w:rPr>
      </w:pPr>
      <w:r w:rsidRPr="00F64823">
        <w:rPr>
          <w:sz w:val="20"/>
        </w:rPr>
        <w:t>67013</w:t>
      </w:r>
      <w:r w:rsidR="007C1AAB">
        <w:rPr>
          <w:sz w:val="20"/>
        </w:rPr>
        <w:t>2</w:t>
      </w:r>
      <w:r w:rsidR="00C30130">
        <w:rPr>
          <w:sz w:val="20"/>
        </w:rPr>
        <w:t>14</w:t>
      </w:r>
      <w:r w:rsidRPr="00F64823">
        <w:rPr>
          <w:sz w:val="20"/>
        </w:rPr>
        <w:t xml:space="preserve">, </w:t>
      </w:r>
      <w:hyperlink r:id="rId9" w:history="1">
        <w:r w:rsidR="0079632B" w:rsidRPr="00971E0A">
          <w:rPr>
            <w:rStyle w:val="Hyperlink"/>
            <w:sz w:val="20"/>
          </w:rPr>
          <w:t>baiba.neimane@em.gov.lv</w:t>
        </w:r>
      </w:hyperlink>
      <w:bookmarkEnd w:id="4"/>
      <w:bookmarkEnd w:id="5"/>
    </w:p>
    <w:sectPr w:rsidR="0015060C" w:rsidRPr="00526AC2" w:rsidSect="00526AC2">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02" w:rsidRDefault="00346702">
      <w:r>
        <w:separator/>
      </w:r>
    </w:p>
  </w:endnote>
  <w:endnote w:type="continuationSeparator" w:id="0">
    <w:p w:rsidR="00346702" w:rsidRDefault="00346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altName w:val="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FE" w:rsidRPr="00ED0878" w:rsidRDefault="00E00AFE" w:rsidP="00ED0878">
    <w:pPr>
      <w:jc w:val="both"/>
      <w:outlineLvl w:val="0"/>
      <w:rPr>
        <w:sz w:val="20"/>
        <w:szCs w:val="20"/>
      </w:rPr>
    </w:pPr>
    <w:r>
      <w:rPr>
        <w:sz w:val="20"/>
        <w:szCs w:val="20"/>
      </w:rPr>
      <w:t>EMAnot_100211_ETL_groz</w:t>
    </w:r>
    <w:r w:rsidRPr="00785311">
      <w:rPr>
        <w:sz w:val="20"/>
        <w:szCs w:val="20"/>
      </w:rPr>
      <w:t xml:space="preserve">; </w:t>
    </w:r>
    <w:bookmarkStart w:id="6" w:name="OLE_LINK7"/>
    <w:bookmarkStart w:id="7" w:name="OLE_LINK8"/>
    <w:bookmarkStart w:id="8" w:name="_Hlk278966768"/>
    <w:r>
      <w:rPr>
        <w:sz w:val="20"/>
        <w:szCs w:val="20"/>
      </w:rPr>
      <w:t>likum</w:t>
    </w:r>
    <w:r w:rsidRPr="00785311">
      <w:rPr>
        <w:sz w:val="20"/>
        <w:szCs w:val="20"/>
      </w:rPr>
      <w:t>projekta „</w:t>
    </w:r>
    <w:r w:rsidRPr="00B16EED">
      <w:rPr>
        <w:sz w:val="20"/>
        <w:szCs w:val="20"/>
      </w:rPr>
      <w:t>Grozījum</w:t>
    </w:r>
    <w:r>
      <w:rPr>
        <w:sz w:val="20"/>
        <w:szCs w:val="20"/>
      </w:rPr>
      <w:t>i</w:t>
    </w:r>
    <w:r w:rsidRPr="00B16EED">
      <w:rPr>
        <w:sz w:val="20"/>
        <w:szCs w:val="20"/>
      </w:rPr>
      <w:t xml:space="preserve"> </w:t>
    </w:r>
    <w:r>
      <w:rPr>
        <w:sz w:val="20"/>
        <w:szCs w:val="20"/>
      </w:rPr>
      <w:t>Elektroenerģijas tirgus likumā</w:t>
    </w:r>
    <w:r w:rsidRPr="00785311">
      <w:rPr>
        <w:sz w:val="20"/>
        <w:szCs w:val="20"/>
      </w:rPr>
      <w:t>”</w:t>
    </w:r>
    <w:r>
      <w:rPr>
        <w:sz w:val="20"/>
        <w:szCs w:val="20"/>
      </w:rPr>
      <w:t xml:space="preserve"> </w:t>
    </w:r>
    <w:r w:rsidRPr="0090601D">
      <w:rPr>
        <w:sz w:val="20"/>
        <w:szCs w:val="20"/>
      </w:rPr>
      <w:t>sākotnējās ietekmes novērtējuma ziņojums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FE" w:rsidRPr="002119FF" w:rsidRDefault="00E00AFE" w:rsidP="002119FF">
    <w:pPr>
      <w:jc w:val="both"/>
      <w:outlineLvl w:val="0"/>
      <w:rPr>
        <w:sz w:val="20"/>
        <w:szCs w:val="20"/>
      </w:rPr>
    </w:pPr>
    <w:r>
      <w:rPr>
        <w:sz w:val="20"/>
        <w:szCs w:val="20"/>
      </w:rPr>
      <w:t>EMAnot_100211_ETL</w:t>
    </w:r>
    <w:r w:rsidRPr="00785311">
      <w:rPr>
        <w:sz w:val="20"/>
        <w:szCs w:val="20"/>
      </w:rPr>
      <w:t xml:space="preserve">; </w:t>
    </w:r>
    <w:r>
      <w:rPr>
        <w:sz w:val="20"/>
        <w:szCs w:val="20"/>
      </w:rPr>
      <w:t>likum</w:t>
    </w:r>
    <w:r w:rsidRPr="00785311">
      <w:rPr>
        <w:sz w:val="20"/>
        <w:szCs w:val="20"/>
      </w:rPr>
      <w:t>projekta „</w:t>
    </w:r>
    <w:r w:rsidRPr="00B16EED">
      <w:rPr>
        <w:sz w:val="20"/>
        <w:szCs w:val="20"/>
      </w:rPr>
      <w:t>Grozījum</w:t>
    </w:r>
    <w:r>
      <w:rPr>
        <w:sz w:val="20"/>
        <w:szCs w:val="20"/>
      </w:rPr>
      <w:t>i</w:t>
    </w:r>
    <w:r w:rsidRPr="00B16EED">
      <w:rPr>
        <w:sz w:val="20"/>
        <w:szCs w:val="20"/>
      </w:rPr>
      <w:t xml:space="preserve"> </w:t>
    </w:r>
    <w:r>
      <w:rPr>
        <w:sz w:val="20"/>
        <w:szCs w:val="20"/>
      </w:rPr>
      <w:t>Elektroenerģijas tirgus likumā</w:t>
    </w:r>
    <w:r w:rsidRPr="00785311">
      <w:rPr>
        <w:sz w:val="20"/>
        <w:szCs w:val="20"/>
      </w:rPr>
      <w:t>”</w:t>
    </w:r>
    <w:r>
      <w:rPr>
        <w:sz w:val="20"/>
        <w:szCs w:val="20"/>
      </w:rPr>
      <w:t xml:space="preserve"> </w:t>
    </w:r>
    <w:r w:rsidRPr="0090601D">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02" w:rsidRDefault="00346702">
      <w:r>
        <w:separator/>
      </w:r>
    </w:p>
  </w:footnote>
  <w:footnote w:type="continuationSeparator" w:id="0">
    <w:p w:rsidR="00346702" w:rsidRDefault="00346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FE" w:rsidRDefault="00E00AF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AFE" w:rsidRDefault="00E00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FE" w:rsidRDefault="00E00AF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7F2">
      <w:rPr>
        <w:rStyle w:val="PageNumber"/>
        <w:noProof/>
      </w:rPr>
      <w:t>33</w:t>
    </w:r>
    <w:r>
      <w:rPr>
        <w:rStyle w:val="PageNumber"/>
      </w:rPr>
      <w:fldChar w:fldCharType="end"/>
    </w:r>
  </w:p>
  <w:p w:rsidR="00E00AFE" w:rsidRDefault="00E00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B9E"/>
    <w:multiLevelType w:val="hybridMultilevel"/>
    <w:tmpl w:val="BBD68A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D4930CC"/>
    <w:multiLevelType w:val="hybridMultilevel"/>
    <w:tmpl w:val="C982122A"/>
    <w:lvl w:ilvl="0" w:tplc="4DA293D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7B38A6"/>
    <w:multiLevelType w:val="hybridMultilevel"/>
    <w:tmpl w:val="F1E2EE72"/>
    <w:lvl w:ilvl="0" w:tplc="29CAB630">
      <w:start w:val="1"/>
      <w:numFmt w:val="decimal"/>
      <w:lvlText w:val="%1)"/>
      <w:lvlJc w:val="left"/>
      <w:pPr>
        <w:ind w:left="561" w:hanging="360"/>
      </w:pPr>
      <w:rPr>
        <w:rFonts w:hint="default"/>
        <w:b w:val="0"/>
        <w:i w:val="0"/>
        <w:sz w:val="22"/>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18">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19">
    <w:nsid w:val="7E960491"/>
    <w:multiLevelType w:val="hybridMultilevel"/>
    <w:tmpl w:val="6D16712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2"/>
  </w:num>
  <w:num w:numId="5">
    <w:abstractNumId w:val="1"/>
  </w:num>
  <w:num w:numId="6">
    <w:abstractNumId w:val="11"/>
  </w:num>
  <w:num w:numId="7">
    <w:abstractNumId w:val="16"/>
  </w:num>
  <w:num w:numId="8">
    <w:abstractNumId w:val="8"/>
  </w:num>
  <w:num w:numId="9">
    <w:abstractNumId w:val="3"/>
  </w:num>
  <w:num w:numId="10">
    <w:abstractNumId w:val="9"/>
  </w:num>
  <w:num w:numId="11">
    <w:abstractNumId w:val="10"/>
  </w:num>
  <w:num w:numId="12">
    <w:abstractNumId w:val="12"/>
  </w:num>
  <w:num w:numId="13">
    <w:abstractNumId w:val="14"/>
  </w:num>
  <w:num w:numId="14">
    <w:abstractNumId w:val="7"/>
  </w:num>
  <w:num w:numId="15">
    <w:abstractNumId w:val="18"/>
  </w:num>
  <w:num w:numId="16">
    <w:abstractNumId w:val="13"/>
  </w:num>
  <w:num w:numId="17">
    <w:abstractNumId w:val="17"/>
  </w:num>
  <w:num w:numId="18">
    <w:abstractNumId w:val="4"/>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7650"/>
  </w:hdrShapeDefaults>
  <w:footnotePr>
    <w:footnote w:id="-1"/>
    <w:footnote w:id="0"/>
  </w:footnotePr>
  <w:endnotePr>
    <w:endnote w:id="-1"/>
    <w:endnote w:id="0"/>
  </w:endnotePr>
  <w:compat/>
  <w:rsids>
    <w:rsidRoot w:val="008C5649"/>
    <w:rsid w:val="00006E89"/>
    <w:rsid w:val="00011D24"/>
    <w:rsid w:val="00013ACB"/>
    <w:rsid w:val="00013FF4"/>
    <w:rsid w:val="00015AE5"/>
    <w:rsid w:val="00016F22"/>
    <w:rsid w:val="0001728A"/>
    <w:rsid w:val="00020FE1"/>
    <w:rsid w:val="00022E13"/>
    <w:rsid w:val="000270CF"/>
    <w:rsid w:val="00027613"/>
    <w:rsid w:val="00032388"/>
    <w:rsid w:val="0003272C"/>
    <w:rsid w:val="0003319F"/>
    <w:rsid w:val="0003390D"/>
    <w:rsid w:val="00035CE2"/>
    <w:rsid w:val="00040EE6"/>
    <w:rsid w:val="00041ECD"/>
    <w:rsid w:val="00042CC0"/>
    <w:rsid w:val="0004420D"/>
    <w:rsid w:val="0005553B"/>
    <w:rsid w:val="000604D2"/>
    <w:rsid w:val="00070C9A"/>
    <w:rsid w:val="00081287"/>
    <w:rsid w:val="0008320F"/>
    <w:rsid w:val="000857DF"/>
    <w:rsid w:val="0009005E"/>
    <w:rsid w:val="000900D3"/>
    <w:rsid w:val="000941C5"/>
    <w:rsid w:val="000948C4"/>
    <w:rsid w:val="000A02EE"/>
    <w:rsid w:val="000A184D"/>
    <w:rsid w:val="000A2B4D"/>
    <w:rsid w:val="000A4D7C"/>
    <w:rsid w:val="000A6451"/>
    <w:rsid w:val="000A74E3"/>
    <w:rsid w:val="000B064E"/>
    <w:rsid w:val="000B4F6B"/>
    <w:rsid w:val="000B6679"/>
    <w:rsid w:val="000B69CF"/>
    <w:rsid w:val="000C790C"/>
    <w:rsid w:val="000D198B"/>
    <w:rsid w:val="000D1DAA"/>
    <w:rsid w:val="000E2651"/>
    <w:rsid w:val="000F061D"/>
    <w:rsid w:val="000F4794"/>
    <w:rsid w:val="000F622C"/>
    <w:rsid w:val="00101A88"/>
    <w:rsid w:val="00105E13"/>
    <w:rsid w:val="00113C5D"/>
    <w:rsid w:val="00116169"/>
    <w:rsid w:val="0012094F"/>
    <w:rsid w:val="0012200D"/>
    <w:rsid w:val="00122AF9"/>
    <w:rsid w:val="00124822"/>
    <w:rsid w:val="00124F12"/>
    <w:rsid w:val="001349C0"/>
    <w:rsid w:val="001373B4"/>
    <w:rsid w:val="0014445F"/>
    <w:rsid w:val="00144E3A"/>
    <w:rsid w:val="0015060C"/>
    <w:rsid w:val="00152E3C"/>
    <w:rsid w:val="00154F37"/>
    <w:rsid w:val="00155220"/>
    <w:rsid w:val="0016018A"/>
    <w:rsid w:val="0016069C"/>
    <w:rsid w:val="00161F0E"/>
    <w:rsid w:val="00170E2A"/>
    <w:rsid w:val="00171693"/>
    <w:rsid w:val="00171C12"/>
    <w:rsid w:val="00173BCA"/>
    <w:rsid w:val="00176C92"/>
    <w:rsid w:val="001772F1"/>
    <w:rsid w:val="00177394"/>
    <w:rsid w:val="00182C18"/>
    <w:rsid w:val="00183CC2"/>
    <w:rsid w:val="00184E8D"/>
    <w:rsid w:val="001851CB"/>
    <w:rsid w:val="001900AE"/>
    <w:rsid w:val="001900E4"/>
    <w:rsid w:val="00190F29"/>
    <w:rsid w:val="00190F88"/>
    <w:rsid w:val="00194EE1"/>
    <w:rsid w:val="001969C6"/>
    <w:rsid w:val="001A114B"/>
    <w:rsid w:val="001A4066"/>
    <w:rsid w:val="001A6AE4"/>
    <w:rsid w:val="001B01FD"/>
    <w:rsid w:val="001B08EA"/>
    <w:rsid w:val="001B4A71"/>
    <w:rsid w:val="001B4D85"/>
    <w:rsid w:val="001B7731"/>
    <w:rsid w:val="001C1036"/>
    <w:rsid w:val="001D5B54"/>
    <w:rsid w:val="001D64DB"/>
    <w:rsid w:val="001E1DBF"/>
    <w:rsid w:val="001E4639"/>
    <w:rsid w:val="001E4A7D"/>
    <w:rsid w:val="001E4F2D"/>
    <w:rsid w:val="001E6333"/>
    <w:rsid w:val="001F16AB"/>
    <w:rsid w:val="001F2901"/>
    <w:rsid w:val="001F3BF7"/>
    <w:rsid w:val="001F43A8"/>
    <w:rsid w:val="001F5461"/>
    <w:rsid w:val="001F5CD6"/>
    <w:rsid w:val="001F6130"/>
    <w:rsid w:val="001F6551"/>
    <w:rsid w:val="0020162E"/>
    <w:rsid w:val="00202A24"/>
    <w:rsid w:val="00202AF1"/>
    <w:rsid w:val="00204D47"/>
    <w:rsid w:val="00205C62"/>
    <w:rsid w:val="00206369"/>
    <w:rsid w:val="00206970"/>
    <w:rsid w:val="002119FF"/>
    <w:rsid w:val="0021263D"/>
    <w:rsid w:val="00212834"/>
    <w:rsid w:val="00213EEE"/>
    <w:rsid w:val="00213F0C"/>
    <w:rsid w:val="00214094"/>
    <w:rsid w:val="002152EA"/>
    <w:rsid w:val="0021592D"/>
    <w:rsid w:val="00222D76"/>
    <w:rsid w:val="00223EB1"/>
    <w:rsid w:val="002252CD"/>
    <w:rsid w:val="00225AD8"/>
    <w:rsid w:val="00231344"/>
    <w:rsid w:val="00231BE7"/>
    <w:rsid w:val="00232D19"/>
    <w:rsid w:val="0023436E"/>
    <w:rsid w:val="002347C0"/>
    <w:rsid w:val="00236F9C"/>
    <w:rsid w:val="00241998"/>
    <w:rsid w:val="00241A6C"/>
    <w:rsid w:val="00242D2B"/>
    <w:rsid w:val="00243F70"/>
    <w:rsid w:val="00247362"/>
    <w:rsid w:val="00247B12"/>
    <w:rsid w:val="00254157"/>
    <w:rsid w:val="00257EAB"/>
    <w:rsid w:val="00261CC3"/>
    <w:rsid w:val="00262E2B"/>
    <w:rsid w:val="00270429"/>
    <w:rsid w:val="0027059E"/>
    <w:rsid w:val="002723E9"/>
    <w:rsid w:val="00273F5A"/>
    <w:rsid w:val="00277929"/>
    <w:rsid w:val="00277FE6"/>
    <w:rsid w:val="00280ECB"/>
    <w:rsid w:val="00283B82"/>
    <w:rsid w:val="002846E9"/>
    <w:rsid w:val="00284C34"/>
    <w:rsid w:val="0029066C"/>
    <w:rsid w:val="00291807"/>
    <w:rsid w:val="00293992"/>
    <w:rsid w:val="002A0346"/>
    <w:rsid w:val="002A0BF4"/>
    <w:rsid w:val="002A4920"/>
    <w:rsid w:val="002A7BF7"/>
    <w:rsid w:val="002B3679"/>
    <w:rsid w:val="002B50DB"/>
    <w:rsid w:val="002C0AC5"/>
    <w:rsid w:val="002C12AB"/>
    <w:rsid w:val="002C495C"/>
    <w:rsid w:val="002C50FD"/>
    <w:rsid w:val="002C51D8"/>
    <w:rsid w:val="002C736C"/>
    <w:rsid w:val="002C7CAC"/>
    <w:rsid w:val="002D25AB"/>
    <w:rsid w:val="002D3306"/>
    <w:rsid w:val="002D48AA"/>
    <w:rsid w:val="002D7BAA"/>
    <w:rsid w:val="002D7F54"/>
    <w:rsid w:val="002E0D90"/>
    <w:rsid w:val="002E2705"/>
    <w:rsid w:val="002E3FF4"/>
    <w:rsid w:val="002F561E"/>
    <w:rsid w:val="002F6966"/>
    <w:rsid w:val="002F78C8"/>
    <w:rsid w:val="00301212"/>
    <w:rsid w:val="00301CF3"/>
    <w:rsid w:val="00305DE8"/>
    <w:rsid w:val="0031020B"/>
    <w:rsid w:val="003120D3"/>
    <w:rsid w:val="003174D6"/>
    <w:rsid w:val="00320E2C"/>
    <w:rsid w:val="00324251"/>
    <w:rsid w:val="0032715C"/>
    <w:rsid w:val="00337339"/>
    <w:rsid w:val="00337CA5"/>
    <w:rsid w:val="00340B86"/>
    <w:rsid w:val="00340C46"/>
    <w:rsid w:val="00341617"/>
    <w:rsid w:val="00341707"/>
    <w:rsid w:val="00345E4F"/>
    <w:rsid w:val="00346702"/>
    <w:rsid w:val="0035639E"/>
    <w:rsid w:val="00362478"/>
    <w:rsid w:val="0036655E"/>
    <w:rsid w:val="00367A4D"/>
    <w:rsid w:val="00371374"/>
    <w:rsid w:val="00375755"/>
    <w:rsid w:val="00375B25"/>
    <w:rsid w:val="003773CB"/>
    <w:rsid w:val="0038061E"/>
    <w:rsid w:val="00385973"/>
    <w:rsid w:val="00385CE6"/>
    <w:rsid w:val="003905F2"/>
    <w:rsid w:val="00393C24"/>
    <w:rsid w:val="00396542"/>
    <w:rsid w:val="0039685B"/>
    <w:rsid w:val="00397CAC"/>
    <w:rsid w:val="003A31A6"/>
    <w:rsid w:val="003A3254"/>
    <w:rsid w:val="003A55EE"/>
    <w:rsid w:val="003A6299"/>
    <w:rsid w:val="003A7F0C"/>
    <w:rsid w:val="003A7F79"/>
    <w:rsid w:val="003B6404"/>
    <w:rsid w:val="003C0397"/>
    <w:rsid w:val="003C3A39"/>
    <w:rsid w:val="003C3B1F"/>
    <w:rsid w:val="003C449B"/>
    <w:rsid w:val="003C7684"/>
    <w:rsid w:val="003D21FF"/>
    <w:rsid w:val="003D2E23"/>
    <w:rsid w:val="003E3070"/>
    <w:rsid w:val="003E3642"/>
    <w:rsid w:val="003E516E"/>
    <w:rsid w:val="003E6322"/>
    <w:rsid w:val="003F0112"/>
    <w:rsid w:val="003F071A"/>
    <w:rsid w:val="003F160B"/>
    <w:rsid w:val="003F1AC0"/>
    <w:rsid w:val="003F5440"/>
    <w:rsid w:val="003F5EFF"/>
    <w:rsid w:val="003F7055"/>
    <w:rsid w:val="003F78F0"/>
    <w:rsid w:val="00400032"/>
    <w:rsid w:val="00400B5B"/>
    <w:rsid w:val="00403C12"/>
    <w:rsid w:val="00403CA0"/>
    <w:rsid w:val="00405A00"/>
    <w:rsid w:val="004127E9"/>
    <w:rsid w:val="00412841"/>
    <w:rsid w:val="00416B05"/>
    <w:rsid w:val="00420870"/>
    <w:rsid w:val="004240E1"/>
    <w:rsid w:val="00430252"/>
    <w:rsid w:val="00432BAE"/>
    <w:rsid w:val="00433B8A"/>
    <w:rsid w:val="00435CA7"/>
    <w:rsid w:val="00436E9E"/>
    <w:rsid w:val="0043791B"/>
    <w:rsid w:val="00441483"/>
    <w:rsid w:val="00441BCB"/>
    <w:rsid w:val="00442C0F"/>
    <w:rsid w:val="00445B9C"/>
    <w:rsid w:val="0045176A"/>
    <w:rsid w:val="00452E7E"/>
    <w:rsid w:val="00456332"/>
    <w:rsid w:val="00461826"/>
    <w:rsid w:val="004627E4"/>
    <w:rsid w:val="004750F1"/>
    <w:rsid w:val="004800F9"/>
    <w:rsid w:val="00480D3D"/>
    <w:rsid w:val="00483AB2"/>
    <w:rsid w:val="00484651"/>
    <w:rsid w:val="004856EE"/>
    <w:rsid w:val="0049134A"/>
    <w:rsid w:val="004A32DA"/>
    <w:rsid w:val="004A58CB"/>
    <w:rsid w:val="004A5C5B"/>
    <w:rsid w:val="004B1795"/>
    <w:rsid w:val="004B5692"/>
    <w:rsid w:val="004B56DD"/>
    <w:rsid w:val="004B6F71"/>
    <w:rsid w:val="004C020F"/>
    <w:rsid w:val="004C1AFD"/>
    <w:rsid w:val="004C2623"/>
    <w:rsid w:val="004C4EAA"/>
    <w:rsid w:val="004C558B"/>
    <w:rsid w:val="004D2200"/>
    <w:rsid w:val="004D409D"/>
    <w:rsid w:val="004D54BE"/>
    <w:rsid w:val="004D79A6"/>
    <w:rsid w:val="004F1F88"/>
    <w:rsid w:val="004F5F1B"/>
    <w:rsid w:val="00502374"/>
    <w:rsid w:val="005060A1"/>
    <w:rsid w:val="00506A7E"/>
    <w:rsid w:val="00507153"/>
    <w:rsid w:val="005107E9"/>
    <w:rsid w:val="0051439B"/>
    <w:rsid w:val="00516072"/>
    <w:rsid w:val="005200ED"/>
    <w:rsid w:val="005204BD"/>
    <w:rsid w:val="00523DF8"/>
    <w:rsid w:val="00526245"/>
    <w:rsid w:val="00526AC2"/>
    <w:rsid w:val="00527E6E"/>
    <w:rsid w:val="005310FC"/>
    <w:rsid w:val="00531546"/>
    <w:rsid w:val="005322B9"/>
    <w:rsid w:val="005332EC"/>
    <w:rsid w:val="005339E4"/>
    <w:rsid w:val="00534418"/>
    <w:rsid w:val="0053497E"/>
    <w:rsid w:val="00535212"/>
    <w:rsid w:val="005353AB"/>
    <w:rsid w:val="005369EB"/>
    <w:rsid w:val="00541A9D"/>
    <w:rsid w:val="005560BC"/>
    <w:rsid w:val="00556FD5"/>
    <w:rsid w:val="00557116"/>
    <w:rsid w:val="005573BE"/>
    <w:rsid w:val="005637C0"/>
    <w:rsid w:val="005637C1"/>
    <w:rsid w:val="00572700"/>
    <w:rsid w:val="00577B73"/>
    <w:rsid w:val="00577FDE"/>
    <w:rsid w:val="00580468"/>
    <w:rsid w:val="00580C09"/>
    <w:rsid w:val="005843A7"/>
    <w:rsid w:val="00584C1D"/>
    <w:rsid w:val="0058603B"/>
    <w:rsid w:val="0058741B"/>
    <w:rsid w:val="0059431B"/>
    <w:rsid w:val="00596649"/>
    <w:rsid w:val="00596691"/>
    <w:rsid w:val="00597645"/>
    <w:rsid w:val="005A1633"/>
    <w:rsid w:val="005A39CC"/>
    <w:rsid w:val="005A4975"/>
    <w:rsid w:val="005A7DFF"/>
    <w:rsid w:val="005B1EF1"/>
    <w:rsid w:val="005B4730"/>
    <w:rsid w:val="005B5CB8"/>
    <w:rsid w:val="005C5735"/>
    <w:rsid w:val="005C777A"/>
    <w:rsid w:val="005D0EF5"/>
    <w:rsid w:val="005E04C9"/>
    <w:rsid w:val="005E05D7"/>
    <w:rsid w:val="005E0722"/>
    <w:rsid w:val="005E2513"/>
    <w:rsid w:val="005E2B30"/>
    <w:rsid w:val="005E41E7"/>
    <w:rsid w:val="005E450F"/>
    <w:rsid w:val="005F05F6"/>
    <w:rsid w:val="005F4984"/>
    <w:rsid w:val="005F6C02"/>
    <w:rsid w:val="006063BF"/>
    <w:rsid w:val="0061146D"/>
    <w:rsid w:val="00613EBD"/>
    <w:rsid w:val="0062298A"/>
    <w:rsid w:val="00626514"/>
    <w:rsid w:val="00626589"/>
    <w:rsid w:val="00630300"/>
    <w:rsid w:val="00632413"/>
    <w:rsid w:val="00632AE9"/>
    <w:rsid w:val="006339A0"/>
    <w:rsid w:val="00635663"/>
    <w:rsid w:val="006402B1"/>
    <w:rsid w:val="006413A8"/>
    <w:rsid w:val="006415E2"/>
    <w:rsid w:val="006429A6"/>
    <w:rsid w:val="00642E56"/>
    <w:rsid w:val="00646BE7"/>
    <w:rsid w:val="0065154A"/>
    <w:rsid w:val="00651676"/>
    <w:rsid w:val="00651E00"/>
    <w:rsid w:val="00657959"/>
    <w:rsid w:val="0066057B"/>
    <w:rsid w:val="00660639"/>
    <w:rsid w:val="00660FAB"/>
    <w:rsid w:val="0066548F"/>
    <w:rsid w:val="006718D4"/>
    <w:rsid w:val="00672483"/>
    <w:rsid w:val="00674572"/>
    <w:rsid w:val="00684A3A"/>
    <w:rsid w:val="00684BBA"/>
    <w:rsid w:val="00687763"/>
    <w:rsid w:val="00687F4F"/>
    <w:rsid w:val="00692513"/>
    <w:rsid w:val="00692B0D"/>
    <w:rsid w:val="00693E0E"/>
    <w:rsid w:val="00696734"/>
    <w:rsid w:val="006A1AE3"/>
    <w:rsid w:val="006A2613"/>
    <w:rsid w:val="006B0D93"/>
    <w:rsid w:val="006B21CC"/>
    <w:rsid w:val="006B3F3D"/>
    <w:rsid w:val="006B5452"/>
    <w:rsid w:val="006B5796"/>
    <w:rsid w:val="006B7E14"/>
    <w:rsid w:val="006C1949"/>
    <w:rsid w:val="006C30E1"/>
    <w:rsid w:val="006C33CA"/>
    <w:rsid w:val="006C4607"/>
    <w:rsid w:val="006C6822"/>
    <w:rsid w:val="006D2394"/>
    <w:rsid w:val="006D48F1"/>
    <w:rsid w:val="006D5099"/>
    <w:rsid w:val="006E58FB"/>
    <w:rsid w:val="006E6F40"/>
    <w:rsid w:val="006F3E6A"/>
    <w:rsid w:val="006F45BE"/>
    <w:rsid w:val="006F5408"/>
    <w:rsid w:val="007004FC"/>
    <w:rsid w:val="00706670"/>
    <w:rsid w:val="00712C7F"/>
    <w:rsid w:val="00720999"/>
    <w:rsid w:val="0072417C"/>
    <w:rsid w:val="00724BE0"/>
    <w:rsid w:val="00731695"/>
    <w:rsid w:val="00731980"/>
    <w:rsid w:val="00734450"/>
    <w:rsid w:val="00734F92"/>
    <w:rsid w:val="00744188"/>
    <w:rsid w:val="00745F67"/>
    <w:rsid w:val="00746BFA"/>
    <w:rsid w:val="00747736"/>
    <w:rsid w:val="00747E5B"/>
    <w:rsid w:val="0075039E"/>
    <w:rsid w:val="00752D9D"/>
    <w:rsid w:val="00754784"/>
    <w:rsid w:val="007572BF"/>
    <w:rsid w:val="0075797F"/>
    <w:rsid w:val="00757C6E"/>
    <w:rsid w:val="00760609"/>
    <w:rsid w:val="00762BDA"/>
    <w:rsid w:val="00765DE6"/>
    <w:rsid w:val="00766456"/>
    <w:rsid w:val="00773778"/>
    <w:rsid w:val="007805FD"/>
    <w:rsid w:val="00780D5A"/>
    <w:rsid w:val="00784422"/>
    <w:rsid w:val="00785311"/>
    <w:rsid w:val="007863AF"/>
    <w:rsid w:val="0079632B"/>
    <w:rsid w:val="0079652B"/>
    <w:rsid w:val="007A4F01"/>
    <w:rsid w:val="007A72E7"/>
    <w:rsid w:val="007A751E"/>
    <w:rsid w:val="007B3B54"/>
    <w:rsid w:val="007B3FA0"/>
    <w:rsid w:val="007B43F1"/>
    <w:rsid w:val="007B5281"/>
    <w:rsid w:val="007B6913"/>
    <w:rsid w:val="007C0F2C"/>
    <w:rsid w:val="007C1AAB"/>
    <w:rsid w:val="007C27A0"/>
    <w:rsid w:val="007C2BCC"/>
    <w:rsid w:val="007C4EF0"/>
    <w:rsid w:val="007C6F6E"/>
    <w:rsid w:val="007D099D"/>
    <w:rsid w:val="007D4C64"/>
    <w:rsid w:val="007D5D5D"/>
    <w:rsid w:val="007E05BF"/>
    <w:rsid w:val="007E2664"/>
    <w:rsid w:val="007E2E0B"/>
    <w:rsid w:val="007E3ABF"/>
    <w:rsid w:val="007E5BFA"/>
    <w:rsid w:val="007E6689"/>
    <w:rsid w:val="007E731C"/>
    <w:rsid w:val="007E74CE"/>
    <w:rsid w:val="007E780D"/>
    <w:rsid w:val="007F0A03"/>
    <w:rsid w:val="00803D61"/>
    <w:rsid w:val="00803FF9"/>
    <w:rsid w:val="008072CA"/>
    <w:rsid w:val="00810040"/>
    <w:rsid w:val="00813162"/>
    <w:rsid w:val="00816731"/>
    <w:rsid w:val="00816FA3"/>
    <w:rsid w:val="0082023A"/>
    <w:rsid w:val="0082102B"/>
    <w:rsid w:val="00821A7A"/>
    <w:rsid w:val="00821FE9"/>
    <w:rsid w:val="00824FC5"/>
    <w:rsid w:val="008253F8"/>
    <w:rsid w:val="008325E4"/>
    <w:rsid w:val="00832A2B"/>
    <w:rsid w:val="008413EF"/>
    <w:rsid w:val="00841550"/>
    <w:rsid w:val="00841FBD"/>
    <w:rsid w:val="00843159"/>
    <w:rsid w:val="00843221"/>
    <w:rsid w:val="00843368"/>
    <w:rsid w:val="008434D9"/>
    <w:rsid w:val="00845811"/>
    <w:rsid w:val="00846994"/>
    <w:rsid w:val="008479F9"/>
    <w:rsid w:val="00850451"/>
    <w:rsid w:val="00852042"/>
    <w:rsid w:val="008534C9"/>
    <w:rsid w:val="00854592"/>
    <w:rsid w:val="0085599D"/>
    <w:rsid w:val="00856735"/>
    <w:rsid w:val="0086040A"/>
    <w:rsid w:val="0086358C"/>
    <w:rsid w:val="0087510C"/>
    <w:rsid w:val="008766E7"/>
    <w:rsid w:val="00877D37"/>
    <w:rsid w:val="0088001B"/>
    <w:rsid w:val="0088631B"/>
    <w:rsid w:val="00886667"/>
    <w:rsid w:val="00886879"/>
    <w:rsid w:val="008949D3"/>
    <w:rsid w:val="00895E36"/>
    <w:rsid w:val="0089738E"/>
    <w:rsid w:val="008A3B89"/>
    <w:rsid w:val="008A4FF5"/>
    <w:rsid w:val="008A51C8"/>
    <w:rsid w:val="008B0993"/>
    <w:rsid w:val="008B0AB8"/>
    <w:rsid w:val="008B3BFB"/>
    <w:rsid w:val="008B4695"/>
    <w:rsid w:val="008B5565"/>
    <w:rsid w:val="008B5FDB"/>
    <w:rsid w:val="008B7B5C"/>
    <w:rsid w:val="008C12EB"/>
    <w:rsid w:val="008C2F26"/>
    <w:rsid w:val="008C3E98"/>
    <w:rsid w:val="008C4829"/>
    <w:rsid w:val="008C50F4"/>
    <w:rsid w:val="008C5649"/>
    <w:rsid w:val="008C67C4"/>
    <w:rsid w:val="008C6F42"/>
    <w:rsid w:val="008C72A4"/>
    <w:rsid w:val="008D07A6"/>
    <w:rsid w:val="008E08D4"/>
    <w:rsid w:val="008E44A2"/>
    <w:rsid w:val="008E697D"/>
    <w:rsid w:val="008F04DC"/>
    <w:rsid w:val="008F1CC1"/>
    <w:rsid w:val="008F2E23"/>
    <w:rsid w:val="008F7684"/>
    <w:rsid w:val="00903263"/>
    <w:rsid w:val="00903C89"/>
    <w:rsid w:val="0090601D"/>
    <w:rsid w:val="00906665"/>
    <w:rsid w:val="00906A21"/>
    <w:rsid w:val="009079C3"/>
    <w:rsid w:val="00910462"/>
    <w:rsid w:val="00915AB1"/>
    <w:rsid w:val="00917532"/>
    <w:rsid w:val="009235BA"/>
    <w:rsid w:val="00924023"/>
    <w:rsid w:val="00924CE2"/>
    <w:rsid w:val="00925B9F"/>
    <w:rsid w:val="009300F3"/>
    <w:rsid w:val="009315EF"/>
    <w:rsid w:val="00931AED"/>
    <w:rsid w:val="00940A5D"/>
    <w:rsid w:val="009414E3"/>
    <w:rsid w:val="009476A3"/>
    <w:rsid w:val="00950BCA"/>
    <w:rsid w:val="0095334F"/>
    <w:rsid w:val="009538E8"/>
    <w:rsid w:val="0095517C"/>
    <w:rsid w:val="00957893"/>
    <w:rsid w:val="00965897"/>
    <w:rsid w:val="0096765C"/>
    <w:rsid w:val="009727E4"/>
    <w:rsid w:val="009815D2"/>
    <w:rsid w:val="00982512"/>
    <w:rsid w:val="00986514"/>
    <w:rsid w:val="009934C5"/>
    <w:rsid w:val="00994C0F"/>
    <w:rsid w:val="009961D3"/>
    <w:rsid w:val="00997C0C"/>
    <w:rsid w:val="009A64A4"/>
    <w:rsid w:val="009B22D7"/>
    <w:rsid w:val="009B34EB"/>
    <w:rsid w:val="009B4C93"/>
    <w:rsid w:val="009B72ED"/>
    <w:rsid w:val="009C3286"/>
    <w:rsid w:val="009C35B1"/>
    <w:rsid w:val="009C6DEB"/>
    <w:rsid w:val="009C75CB"/>
    <w:rsid w:val="009D028A"/>
    <w:rsid w:val="009D0ACE"/>
    <w:rsid w:val="009D6504"/>
    <w:rsid w:val="009E075D"/>
    <w:rsid w:val="009E12D7"/>
    <w:rsid w:val="009E5D04"/>
    <w:rsid w:val="009E661A"/>
    <w:rsid w:val="009E6FE3"/>
    <w:rsid w:val="009F1571"/>
    <w:rsid w:val="009F65F7"/>
    <w:rsid w:val="00A007BF"/>
    <w:rsid w:val="00A00F2A"/>
    <w:rsid w:val="00A01AFA"/>
    <w:rsid w:val="00A01DB8"/>
    <w:rsid w:val="00A06781"/>
    <w:rsid w:val="00A06D7E"/>
    <w:rsid w:val="00A074C3"/>
    <w:rsid w:val="00A11A9E"/>
    <w:rsid w:val="00A122E9"/>
    <w:rsid w:val="00A1509C"/>
    <w:rsid w:val="00A15B98"/>
    <w:rsid w:val="00A20335"/>
    <w:rsid w:val="00A2218D"/>
    <w:rsid w:val="00A22834"/>
    <w:rsid w:val="00A239C3"/>
    <w:rsid w:val="00A26515"/>
    <w:rsid w:val="00A32D6A"/>
    <w:rsid w:val="00A34260"/>
    <w:rsid w:val="00A35619"/>
    <w:rsid w:val="00A36001"/>
    <w:rsid w:val="00A45353"/>
    <w:rsid w:val="00A46E33"/>
    <w:rsid w:val="00A62D7A"/>
    <w:rsid w:val="00A64A6E"/>
    <w:rsid w:val="00A64F1D"/>
    <w:rsid w:val="00A70CFD"/>
    <w:rsid w:val="00A71830"/>
    <w:rsid w:val="00A72A0B"/>
    <w:rsid w:val="00A760B9"/>
    <w:rsid w:val="00A77B4D"/>
    <w:rsid w:val="00A8017E"/>
    <w:rsid w:val="00A81E42"/>
    <w:rsid w:val="00A8286B"/>
    <w:rsid w:val="00A8471B"/>
    <w:rsid w:val="00A851A2"/>
    <w:rsid w:val="00A8644C"/>
    <w:rsid w:val="00A864FE"/>
    <w:rsid w:val="00A86F41"/>
    <w:rsid w:val="00A87D04"/>
    <w:rsid w:val="00A90B6F"/>
    <w:rsid w:val="00A93F83"/>
    <w:rsid w:val="00A950C5"/>
    <w:rsid w:val="00AA1D25"/>
    <w:rsid w:val="00AA699B"/>
    <w:rsid w:val="00AB0359"/>
    <w:rsid w:val="00AB2B1A"/>
    <w:rsid w:val="00AB397F"/>
    <w:rsid w:val="00AB5832"/>
    <w:rsid w:val="00AB5FE6"/>
    <w:rsid w:val="00AC1263"/>
    <w:rsid w:val="00AC181B"/>
    <w:rsid w:val="00AC1EA8"/>
    <w:rsid w:val="00AC2649"/>
    <w:rsid w:val="00AC51F2"/>
    <w:rsid w:val="00AC59C7"/>
    <w:rsid w:val="00AD24DF"/>
    <w:rsid w:val="00AD6065"/>
    <w:rsid w:val="00AD7461"/>
    <w:rsid w:val="00AE12B4"/>
    <w:rsid w:val="00AE1AA4"/>
    <w:rsid w:val="00AE27FD"/>
    <w:rsid w:val="00AE2C80"/>
    <w:rsid w:val="00AE5066"/>
    <w:rsid w:val="00AE5E24"/>
    <w:rsid w:val="00AE61B7"/>
    <w:rsid w:val="00AE6CBA"/>
    <w:rsid w:val="00AE79AD"/>
    <w:rsid w:val="00AF3211"/>
    <w:rsid w:val="00AF35E4"/>
    <w:rsid w:val="00AF4120"/>
    <w:rsid w:val="00AF5CDE"/>
    <w:rsid w:val="00B077E3"/>
    <w:rsid w:val="00B11A57"/>
    <w:rsid w:val="00B12F1D"/>
    <w:rsid w:val="00B1322A"/>
    <w:rsid w:val="00B138BC"/>
    <w:rsid w:val="00B16EED"/>
    <w:rsid w:val="00B17D99"/>
    <w:rsid w:val="00B211C3"/>
    <w:rsid w:val="00B22D19"/>
    <w:rsid w:val="00B25597"/>
    <w:rsid w:val="00B267B9"/>
    <w:rsid w:val="00B30231"/>
    <w:rsid w:val="00B32785"/>
    <w:rsid w:val="00B33E09"/>
    <w:rsid w:val="00B3523B"/>
    <w:rsid w:val="00B35242"/>
    <w:rsid w:val="00B37CDE"/>
    <w:rsid w:val="00B426F0"/>
    <w:rsid w:val="00B42886"/>
    <w:rsid w:val="00B42910"/>
    <w:rsid w:val="00B463CE"/>
    <w:rsid w:val="00B469A5"/>
    <w:rsid w:val="00B50708"/>
    <w:rsid w:val="00B50C68"/>
    <w:rsid w:val="00B51293"/>
    <w:rsid w:val="00B52B1E"/>
    <w:rsid w:val="00B55481"/>
    <w:rsid w:val="00B56682"/>
    <w:rsid w:val="00B56C32"/>
    <w:rsid w:val="00B5780F"/>
    <w:rsid w:val="00B57ACF"/>
    <w:rsid w:val="00B6259D"/>
    <w:rsid w:val="00B64BB1"/>
    <w:rsid w:val="00B655F2"/>
    <w:rsid w:val="00B66F29"/>
    <w:rsid w:val="00B71137"/>
    <w:rsid w:val="00B72484"/>
    <w:rsid w:val="00B73166"/>
    <w:rsid w:val="00B7415C"/>
    <w:rsid w:val="00B75F30"/>
    <w:rsid w:val="00B823FC"/>
    <w:rsid w:val="00B8426C"/>
    <w:rsid w:val="00B84BE4"/>
    <w:rsid w:val="00B857FE"/>
    <w:rsid w:val="00B91364"/>
    <w:rsid w:val="00B91B8D"/>
    <w:rsid w:val="00B93446"/>
    <w:rsid w:val="00B94E90"/>
    <w:rsid w:val="00BA1867"/>
    <w:rsid w:val="00BA494C"/>
    <w:rsid w:val="00BB0A82"/>
    <w:rsid w:val="00BB3BEF"/>
    <w:rsid w:val="00BB7C94"/>
    <w:rsid w:val="00BB7EF9"/>
    <w:rsid w:val="00BC0A9D"/>
    <w:rsid w:val="00BC60D2"/>
    <w:rsid w:val="00BC7941"/>
    <w:rsid w:val="00BD053D"/>
    <w:rsid w:val="00BD154D"/>
    <w:rsid w:val="00BD1E40"/>
    <w:rsid w:val="00BD2498"/>
    <w:rsid w:val="00BE4081"/>
    <w:rsid w:val="00BE728C"/>
    <w:rsid w:val="00BF1CBF"/>
    <w:rsid w:val="00BF2472"/>
    <w:rsid w:val="00BF40ED"/>
    <w:rsid w:val="00BF592E"/>
    <w:rsid w:val="00BF5BC2"/>
    <w:rsid w:val="00C02F8E"/>
    <w:rsid w:val="00C03920"/>
    <w:rsid w:val="00C05792"/>
    <w:rsid w:val="00C07E68"/>
    <w:rsid w:val="00C11056"/>
    <w:rsid w:val="00C1133D"/>
    <w:rsid w:val="00C1580F"/>
    <w:rsid w:val="00C218C0"/>
    <w:rsid w:val="00C22ACA"/>
    <w:rsid w:val="00C27A08"/>
    <w:rsid w:val="00C27F06"/>
    <w:rsid w:val="00C30130"/>
    <w:rsid w:val="00C30A16"/>
    <w:rsid w:val="00C31312"/>
    <w:rsid w:val="00C326C6"/>
    <w:rsid w:val="00C349DC"/>
    <w:rsid w:val="00C35295"/>
    <w:rsid w:val="00C36ADD"/>
    <w:rsid w:val="00C36E74"/>
    <w:rsid w:val="00C37704"/>
    <w:rsid w:val="00C40595"/>
    <w:rsid w:val="00C41621"/>
    <w:rsid w:val="00C449FA"/>
    <w:rsid w:val="00C44E8C"/>
    <w:rsid w:val="00C459CA"/>
    <w:rsid w:val="00C5048A"/>
    <w:rsid w:val="00C50503"/>
    <w:rsid w:val="00C5384F"/>
    <w:rsid w:val="00C5426B"/>
    <w:rsid w:val="00C56097"/>
    <w:rsid w:val="00C56964"/>
    <w:rsid w:val="00C57299"/>
    <w:rsid w:val="00C64E37"/>
    <w:rsid w:val="00C64E7A"/>
    <w:rsid w:val="00C652A4"/>
    <w:rsid w:val="00C656D5"/>
    <w:rsid w:val="00C67103"/>
    <w:rsid w:val="00C71BB9"/>
    <w:rsid w:val="00C71BE9"/>
    <w:rsid w:val="00C71C8A"/>
    <w:rsid w:val="00C71F27"/>
    <w:rsid w:val="00C7715B"/>
    <w:rsid w:val="00C77F32"/>
    <w:rsid w:val="00C85F92"/>
    <w:rsid w:val="00C87FE4"/>
    <w:rsid w:val="00C911D4"/>
    <w:rsid w:val="00C9381F"/>
    <w:rsid w:val="00C94C28"/>
    <w:rsid w:val="00C96176"/>
    <w:rsid w:val="00C966A6"/>
    <w:rsid w:val="00C97C8B"/>
    <w:rsid w:val="00CA1525"/>
    <w:rsid w:val="00CA5648"/>
    <w:rsid w:val="00CA71DA"/>
    <w:rsid w:val="00CB0247"/>
    <w:rsid w:val="00CB3440"/>
    <w:rsid w:val="00CB37F2"/>
    <w:rsid w:val="00CB6197"/>
    <w:rsid w:val="00CC1692"/>
    <w:rsid w:val="00CC1E02"/>
    <w:rsid w:val="00CC2142"/>
    <w:rsid w:val="00CC25E6"/>
    <w:rsid w:val="00CC3C30"/>
    <w:rsid w:val="00CC41AB"/>
    <w:rsid w:val="00CC69EB"/>
    <w:rsid w:val="00CC7FD7"/>
    <w:rsid w:val="00CD0773"/>
    <w:rsid w:val="00CD138B"/>
    <w:rsid w:val="00CD13BC"/>
    <w:rsid w:val="00CD226A"/>
    <w:rsid w:val="00CD3E31"/>
    <w:rsid w:val="00CD74A3"/>
    <w:rsid w:val="00CD7BBE"/>
    <w:rsid w:val="00CE0527"/>
    <w:rsid w:val="00CE10E9"/>
    <w:rsid w:val="00CE5B23"/>
    <w:rsid w:val="00CE6599"/>
    <w:rsid w:val="00CF3B8A"/>
    <w:rsid w:val="00CF6CFE"/>
    <w:rsid w:val="00CF70AD"/>
    <w:rsid w:val="00CF7729"/>
    <w:rsid w:val="00D00059"/>
    <w:rsid w:val="00D013ED"/>
    <w:rsid w:val="00D03CED"/>
    <w:rsid w:val="00D04D4C"/>
    <w:rsid w:val="00D04FB1"/>
    <w:rsid w:val="00D06428"/>
    <w:rsid w:val="00D07CA3"/>
    <w:rsid w:val="00D107FA"/>
    <w:rsid w:val="00D12275"/>
    <w:rsid w:val="00D12766"/>
    <w:rsid w:val="00D14B4E"/>
    <w:rsid w:val="00D14D91"/>
    <w:rsid w:val="00D15A77"/>
    <w:rsid w:val="00D20FF4"/>
    <w:rsid w:val="00D224D5"/>
    <w:rsid w:val="00D239FE"/>
    <w:rsid w:val="00D2490F"/>
    <w:rsid w:val="00D24D2C"/>
    <w:rsid w:val="00D3250A"/>
    <w:rsid w:val="00D35881"/>
    <w:rsid w:val="00D35CD1"/>
    <w:rsid w:val="00D36F8F"/>
    <w:rsid w:val="00D4120E"/>
    <w:rsid w:val="00D436E9"/>
    <w:rsid w:val="00D47B41"/>
    <w:rsid w:val="00D5458A"/>
    <w:rsid w:val="00D552FF"/>
    <w:rsid w:val="00D62F61"/>
    <w:rsid w:val="00D66009"/>
    <w:rsid w:val="00D710D9"/>
    <w:rsid w:val="00D77C45"/>
    <w:rsid w:val="00D83CDE"/>
    <w:rsid w:val="00D87DFB"/>
    <w:rsid w:val="00D942AF"/>
    <w:rsid w:val="00DA7DA5"/>
    <w:rsid w:val="00DB073B"/>
    <w:rsid w:val="00DB179D"/>
    <w:rsid w:val="00DB78F0"/>
    <w:rsid w:val="00DC1E86"/>
    <w:rsid w:val="00DC2E43"/>
    <w:rsid w:val="00DD095C"/>
    <w:rsid w:val="00DD1020"/>
    <w:rsid w:val="00DD1330"/>
    <w:rsid w:val="00DD1511"/>
    <w:rsid w:val="00DD36D3"/>
    <w:rsid w:val="00DD48CA"/>
    <w:rsid w:val="00DD4C2C"/>
    <w:rsid w:val="00DE0A0D"/>
    <w:rsid w:val="00DE0B83"/>
    <w:rsid w:val="00DE14E2"/>
    <w:rsid w:val="00DE1A81"/>
    <w:rsid w:val="00DE1C13"/>
    <w:rsid w:val="00DE25ED"/>
    <w:rsid w:val="00DE308B"/>
    <w:rsid w:val="00DE3323"/>
    <w:rsid w:val="00DE4E10"/>
    <w:rsid w:val="00DF247B"/>
    <w:rsid w:val="00DF3ECD"/>
    <w:rsid w:val="00E0021E"/>
    <w:rsid w:val="00E00AFE"/>
    <w:rsid w:val="00E02ABF"/>
    <w:rsid w:val="00E06AEE"/>
    <w:rsid w:val="00E06F85"/>
    <w:rsid w:val="00E13C76"/>
    <w:rsid w:val="00E14995"/>
    <w:rsid w:val="00E179CD"/>
    <w:rsid w:val="00E220BA"/>
    <w:rsid w:val="00E2337B"/>
    <w:rsid w:val="00E237EF"/>
    <w:rsid w:val="00E23E8D"/>
    <w:rsid w:val="00E2469F"/>
    <w:rsid w:val="00E24A91"/>
    <w:rsid w:val="00E26C13"/>
    <w:rsid w:val="00E32CF3"/>
    <w:rsid w:val="00E37F98"/>
    <w:rsid w:val="00E42E4C"/>
    <w:rsid w:val="00E45DE0"/>
    <w:rsid w:val="00E46559"/>
    <w:rsid w:val="00E5300A"/>
    <w:rsid w:val="00E6316C"/>
    <w:rsid w:val="00E65120"/>
    <w:rsid w:val="00E65316"/>
    <w:rsid w:val="00E6670C"/>
    <w:rsid w:val="00E70DB2"/>
    <w:rsid w:val="00E72C75"/>
    <w:rsid w:val="00E776E8"/>
    <w:rsid w:val="00E827A7"/>
    <w:rsid w:val="00E8684E"/>
    <w:rsid w:val="00E92C1F"/>
    <w:rsid w:val="00E95D4B"/>
    <w:rsid w:val="00E97A4F"/>
    <w:rsid w:val="00EA3F8B"/>
    <w:rsid w:val="00EA7C40"/>
    <w:rsid w:val="00EB01DD"/>
    <w:rsid w:val="00EB199F"/>
    <w:rsid w:val="00EB3E0D"/>
    <w:rsid w:val="00EB5547"/>
    <w:rsid w:val="00EC23F7"/>
    <w:rsid w:val="00EC4BD8"/>
    <w:rsid w:val="00EC5A58"/>
    <w:rsid w:val="00EC63EB"/>
    <w:rsid w:val="00ED0878"/>
    <w:rsid w:val="00ED412F"/>
    <w:rsid w:val="00EE0211"/>
    <w:rsid w:val="00EE4583"/>
    <w:rsid w:val="00EE5F95"/>
    <w:rsid w:val="00EF36B2"/>
    <w:rsid w:val="00EF63BB"/>
    <w:rsid w:val="00EF7DD1"/>
    <w:rsid w:val="00F00744"/>
    <w:rsid w:val="00F05D12"/>
    <w:rsid w:val="00F06011"/>
    <w:rsid w:val="00F146F4"/>
    <w:rsid w:val="00F15FD8"/>
    <w:rsid w:val="00F16419"/>
    <w:rsid w:val="00F17C5B"/>
    <w:rsid w:val="00F201EC"/>
    <w:rsid w:val="00F2022F"/>
    <w:rsid w:val="00F207D2"/>
    <w:rsid w:val="00F208A9"/>
    <w:rsid w:val="00F22228"/>
    <w:rsid w:val="00F25937"/>
    <w:rsid w:val="00F27252"/>
    <w:rsid w:val="00F3008B"/>
    <w:rsid w:val="00F30734"/>
    <w:rsid w:val="00F31727"/>
    <w:rsid w:val="00F33D90"/>
    <w:rsid w:val="00F41D75"/>
    <w:rsid w:val="00F423EA"/>
    <w:rsid w:val="00F45CA8"/>
    <w:rsid w:val="00F46030"/>
    <w:rsid w:val="00F47705"/>
    <w:rsid w:val="00F5139D"/>
    <w:rsid w:val="00F55011"/>
    <w:rsid w:val="00F554A6"/>
    <w:rsid w:val="00F5572F"/>
    <w:rsid w:val="00F5584F"/>
    <w:rsid w:val="00F60246"/>
    <w:rsid w:val="00F62636"/>
    <w:rsid w:val="00F63DAC"/>
    <w:rsid w:val="00F64CE2"/>
    <w:rsid w:val="00F7015A"/>
    <w:rsid w:val="00F71E41"/>
    <w:rsid w:val="00F73786"/>
    <w:rsid w:val="00F7454F"/>
    <w:rsid w:val="00F77988"/>
    <w:rsid w:val="00F77F48"/>
    <w:rsid w:val="00F82572"/>
    <w:rsid w:val="00F84F00"/>
    <w:rsid w:val="00F908DD"/>
    <w:rsid w:val="00F90E8D"/>
    <w:rsid w:val="00F96319"/>
    <w:rsid w:val="00F97003"/>
    <w:rsid w:val="00FB1549"/>
    <w:rsid w:val="00FB30F1"/>
    <w:rsid w:val="00FB472B"/>
    <w:rsid w:val="00FB53E7"/>
    <w:rsid w:val="00FB60D1"/>
    <w:rsid w:val="00FC6573"/>
    <w:rsid w:val="00FD34E5"/>
    <w:rsid w:val="00FD5437"/>
    <w:rsid w:val="00FD69D2"/>
    <w:rsid w:val="00FD7BAE"/>
    <w:rsid w:val="00FE3C9A"/>
    <w:rsid w:val="00FE4D19"/>
    <w:rsid w:val="00FF3BD7"/>
    <w:rsid w:val="00FF439D"/>
    <w:rsid w:val="00FF480F"/>
    <w:rsid w:val="00FF7F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3">
    <w:name w:val="heading 3"/>
    <w:basedOn w:val="Normal"/>
    <w:next w:val="Normal"/>
    <w:link w:val="Heading3Char"/>
    <w:unhideWhenUsed/>
    <w:qFormat/>
    <w:rsid w:val="00584C1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link w:val="BalloonTextChar"/>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aliases w:val="SUPERS"/>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Title">
    <w:name w:val="Title"/>
    <w:basedOn w:val="Normal"/>
    <w:link w:val="TitleChar"/>
    <w:qFormat/>
    <w:rsid w:val="009D028A"/>
    <w:pPr>
      <w:jc w:val="center"/>
    </w:pPr>
    <w:rPr>
      <w:b/>
      <w:szCs w:val="20"/>
    </w:rPr>
  </w:style>
  <w:style w:type="character" w:customStyle="1" w:styleId="TitleChar">
    <w:name w:val="Title Char"/>
    <w:basedOn w:val="DefaultParagraphFont"/>
    <w:link w:val="Title"/>
    <w:rsid w:val="009D028A"/>
    <w:rPr>
      <w:b/>
      <w:sz w:val="24"/>
    </w:rPr>
  </w:style>
  <w:style w:type="paragraph" w:styleId="BodyTextIndent">
    <w:name w:val="Body Text Indent"/>
    <w:basedOn w:val="Normal"/>
    <w:link w:val="BodyTextIndentChar"/>
    <w:rsid w:val="00613EBD"/>
    <w:pPr>
      <w:spacing w:after="120"/>
      <w:ind w:left="283"/>
    </w:pPr>
  </w:style>
  <w:style w:type="character" w:customStyle="1" w:styleId="BodyTextIndentChar">
    <w:name w:val="Body Text Indent Char"/>
    <w:basedOn w:val="DefaultParagraphFont"/>
    <w:link w:val="BodyTextIndent"/>
    <w:rsid w:val="00613EBD"/>
    <w:rPr>
      <w:sz w:val="24"/>
      <w:szCs w:val="24"/>
    </w:rPr>
  </w:style>
  <w:style w:type="paragraph" w:customStyle="1" w:styleId="NormalMK">
    <w:name w:val="Normal MK"/>
    <w:basedOn w:val="Normal"/>
    <w:rsid w:val="00613EBD"/>
    <w:rPr>
      <w:rFonts w:ascii="RimTimes" w:hAnsi="RimTimes"/>
      <w:sz w:val="28"/>
      <w:szCs w:val="20"/>
      <w:lang w:eastAsia="en-US"/>
    </w:rPr>
  </w:style>
  <w:style w:type="paragraph" w:styleId="EnvelopeReturn">
    <w:name w:val="envelope return"/>
    <w:basedOn w:val="Normal"/>
    <w:rsid w:val="00613EBD"/>
    <w:pPr>
      <w:keepLines/>
      <w:widowControl w:val="0"/>
      <w:spacing w:before="600"/>
    </w:pPr>
    <w:rPr>
      <w:sz w:val="26"/>
      <w:szCs w:val="20"/>
      <w:lang w:val="en-AU" w:eastAsia="en-US"/>
    </w:rPr>
  </w:style>
  <w:style w:type="paragraph" w:customStyle="1" w:styleId="a">
    <w:name w:val="a"/>
    <w:basedOn w:val="Normal"/>
    <w:uiPriority w:val="99"/>
    <w:rsid w:val="000D198B"/>
    <w:pPr>
      <w:spacing w:before="100" w:beforeAutospacing="1" w:after="100" w:afterAutospacing="1"/>
    </w:pPr>
    <w:rPr>
      <w:color w:val="306060"/>
    </w:rPr>
  </w:style>
  <w:style w:type="character" w:customStyle="1" w:styleId="HeaderChar">
    <w:name w:val="Header Char"/>
    <w:basedOn w:val="DefaultParagraphFont"/>
    <w:link w:val="Header"/>
    <w:rsid w:val="00A007BF"/>
    <w:rPr>
      <w:sz w:val="24"/>
      <w:szCs w:val="24"/>
    </w:rPr>
  </w:style>
  <w:style w:type="character" w:customStyle="1" w:styleId="Heading3Char">
    <w:name w:val="Heading 3 Char"/>
    <w:basedOn w:val="DefaultParagraphFont"/>
    <w:link w:val="Heading3"/>
    <w:rsid w:val="00584C1D"/>
    <w:rPr>
      <w:rFonts w:ascii="Cambria" w:hAnsi="Cambria"/>
      <w:b/>
      <w:bCs/>
      <w:sz w:val="26"/>
      <w:szCs w:val="26"/>
      <w:lang w:val="en-US" w:eastAsia="en-US"/>
    </w:rPr>
  </w:style>
  <w:style w:type="paragraph" w:styleId="NormalWeb">
    <w:name w:val="Normal (Web)"/>
    <w:basedOn w:val="Normal"/>
    <w:link w:val="NormalWebChar"/>
    <w:uiPriority w:val="99"/>
    <w:rsid w:val="007C1AAB"/>
    <w:pPr>
      <w:spacing w:before="100" w:beforeAutospacing="1" w:after="100" w:afterAutospacing="1"/>
    </w:pPr>
  </w:style>
  <w:style w:type="paragraph" w:customStyle="1" w:styleId="Default">
    <w:name w:val="Default"/>
    <w:rsid w:val="002E2705"/>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22"/>
    <w:qFormat/>
    <w:rsid w:val="00BD1E40"/>
    <w:rPr>
      <w:b/>
      <w:bCs/>
    </w:rPr>
  </w:style>
  <w:style w:type="paragraph" w:styleId="ListParagraph">
    <w:name w:val="List Paragraph"/>
    <w:basedOn w:val="Normal"/>
    <w:uiPriority w:val="34"/>
    <w:qFormat/>
    <w:rsid w:val="00F27252"/>
    <w:pPr>
      <w:ind w:left="720"/>
      <w:contextualSpacing/>
    </w:pPr>
  </w:style>
  <w:style w:type="character" w:customStyle="1" w:styleId="NormalWebChar">
    <w:name w:val="Normal (Web) Char"/>
    <w:basedOn w:val="DefaultParagraphFont"/>
    <w:link w:val="NormalWeb"/>
    <w:locked/>
    <w:rsid w:val="00526AC2"/>
    <w:rPr>
      <w:sz w:val="24"/>
      <w:szCs w:val="24"/>
    </w:rPr>
  </w:style>
  <w:style w:type="character" w:customStyle="1" w:styleId="BalloonTextChar">
    <w:name w:val="Balloon Text Char"/>
    <w:basedOn w:val="DefaultParagraphFont"/>
    <w:link w:val="BalloonText"/>
    <w:semiHidden/>
    <w:rsid w:val="00526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201221">
      <w:bodyDiv w:val="1"/>
      <w:marLeft w:val="0"/>
      <w:marRight w:val="0"/>
      <w:marTop w:val="0"/>
      <w:marBottom w:val="0"/>
      <w:divBdr>
        <w:top w:val="none" w:sz="0" w:space="0" w:color="auto"/>
        <w:left w:val="none" w:sz="0" w:space="0" w:color="auto"/>
        <w:bottom w:val="none" w:sz="0" w:space="0" w:color="auto"/>
        <w:right w:val="none" w:sz="0" w:space="0" w:color="auto"/>
      </w:divBdr>
    </w:div>
    <w:div w:id="15859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bunkovski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ba.neiman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E374-3994-46A6-B908-39DEC5D2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33</Pages>
  <Words>42978</Words>
  <Characters>24499</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D.Merirands</Manager>
  <Company>LR Ekonomikas ministrija</Company>
  <LinksUpToDate>false</LinksUpToDate>
  <CharactersWithSpaces>67343</CharactersWithSpaces>
  <SharedDoc>false</SharedDoc>
  <HLinks>
    <vt:vector size="6" baseType="variant">
      <vt:variant>
        <vt:i4>7798865</vt:i4>
      </vt:variant>
      <vt:variant>
        <vt:i4>3</vt:i4>
      </vt:variant>
      <vt:variant>
        <vt:i4>0</vt:i4>
      </vt:variant>
      <vt:variant>
        <vt:i4>5</vt:i4>
      </vt:variant>
      <vt:variant>
        <vt:lpwstr>mailto:baiba.neimane@em.gov.lv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Likumprojekta sākotnējās ietekmes novērtējuma ziņojums (anotācija)</dc:subject>
  <dc:creator>B.Neimane J.Bunkovskis</dc:creator>
  <cp:keywords/>
  <dc:description>J.Bunkovskis
67013170, janis.bunkovskis@em.gov.lv
B.Neimane
67013214, baiba.neimane@em.gov.lv</dc:description>
  <cp:lastModifiedBy>BunkovskisJ</cp:lastModifiedBy>
  <cp:revision>39</cp:revision>
  <cp:lastPrinted>2010-12-09T10:37:00Z</cp:lastPrinted>
  <dcterms:created xsi:type="dcterms:W3CDTF">2011-01-26T15:13:00Z</dcterms:created>
  <dcterms:modified xsi:type="dcterms:W3CDTF">2011-02-10T11:53:00Z</dcterms:modified>
</cp:coreProperties>
</file>