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C1" w:rsidRPr="00BC5856" w:rsidRDefault="00901106" w:rsidP="00C84C5F">
      <w:pPr>
        <w:jc w:val="center"/>
        <w:rPr>
          <w:szCs w:val="28"/>
        </w:rPr>
      </w:pPr>
      <w:bookmarkStart w:id="0" w:name="OLE_LINK7"/>
      <w:bookmarkStart w:id="1" w:name="OLE_LINK8"/>
      <w:bookmarkStart w:id="2" w:name="OLE_LINK9"/>
      <w:r w:rsidRPr="00BC5856">
        <w:rPr>
          <w:szCs w:val="28"/>
        </w:rPr>
        <w:t xml:space="preserve">Ministru kabineta noteikumu projekta </w:t>
      </w:r>
    </w:p>
    <w:p w:rsidR="00752CE5" w:rsidRPr="00BC5856" w:rsidRDefault="00F540A2" w:rsidP="00752CE5">
      <w:pPr>
        <w:jc w:val="center"/>
        <w:rPr>
          <w:szCs w:val="28"/>
        </w:rPr>
      </w:pPr>
      <w:r w:rsidRPr="00BC5856">
        <w:rPr>
          <w:szCs w:val="28"/>
        </w:rPr>
        <w:t>„</w:t>
      </w:r>
      <w:r w:rsidR="00752CE5" w:rsidRPr="00BC5856">
        <w:rPr>
          <w:szCs w:val="28"/>
        </w:rPr>
        <w:t>Par Ministru kabineta 2003.gada 25.februāra noteikumu Nr.94 „Aizsargjoslu noteikšanas metodika ūdens akvatorijās augšpus un lejup aizsprostiem” atzīšanu par spēku zaudējušiem</w:t>
      </w:r>
      <w:r w:rsidRPr="00BC5856">
        <w:rPr>
          <w:szCs w:val="28"/>
        </w:rPr>
        <w:t>”</w:t>
      </w:r>
    </w:p>
    <w:p w:rsidR="00901106" w:rsidRPr="007A40C1" w:rsidRDefault="00901106" w:rsidP="00C84C5F">
      <w:pPr>
        <w:jc w:val="center"/>
        <w:rPr>
          <w:szCs w:val="28"/>
        </w:rPr>
      </w:pPr>
      <w:r w:rsidRPr="00BC5856">
        <w:rPr>
          <w:szCs w:val="28"/>
        </w:rPr>
        <w:t xml:space="preserve">sākotnējās ietekmes novērtējuma </w:t>
      </w:r>
      <w:smartTag w:uri="schemas-tilde-lv/tildestengine" w:element="veidnes">
        <w:smartTagPr>
          <w:attr w:name="id" w:val="-1"/>
          <w:attr w:name="baseform" w:val="ziņojums"/>
          <w:attr w:name="text" w:val="ziņojums"/>
        </w:smartTagPr>
        <w:r w:rsidRPr="00BC5856">
          <w:rPr>
            <w:szCs w:val="28"/>
          </w:rPr>
          <w:t>ziņojums</w:t>
        </w:r>
      </w:smartTag>
      <w:r w:rsidRPr="00BC5856">
        <w:rPr>
          <w:szCs w:val="28"/>
        </w:rPr>
        <w:t xml:space="preserve"> (anotācija</w:t>
      </w:r>
      <w:r w:rsidRPr="007A40C1">
        <w:rPr>
          <w:szCs w:val="28"/>
        </w:rPr>
        <w:t>)</w:t>
      </w:r>
    </w:p>
    <w:bookmarkEnd w:id="0"/>
    <w:bookmarkEnd w:id="1"/>
    <w:bookmarkEnd w:id="2"/>
    <w:p w:rsidR="00F07C39" w:rsidRPr="009C6CAE" w:rsidRDefault="00F07C39" w:rsidP="009C6CAE"/>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79"/>
        <w:gridCol w:w="1863"/>
        <w:gridCol w:w="6989"/>
      </w:tblGrid>
      <w:tr w:rsidR="00901106" w:rsidRPr="009C6CAE">
        <w:tc>
          <w:tcPr>
            <w:tcW w:w="0" w:type="auto"/>
            <w:gridSpan w:val="3"/>
            <w:tcBorders>
              <w:top w:val="single" w:sz="6" w:space="0" w:color="auto"/>
              <w:left w:val="single" w:sz="6" w:space="0" w:color="auto"/>
              <w:bottom w:val="outset" w:sz="6" w:space="0" w:color="000000"/>
              <w:right w:val="single" w:sz="6" w:space="0" w:color="auto"/>
            </w:tcBorders>
            <w:vAlign w:val="center"/>
          </w:tcPr>
          <w:p w:rsidR="00901106" w:rsidRPr="009C6CAE" w:rsidRDefault="00901106" w:rsidP="009C6CAE">
            <w:pPr>
              <w:jc w:val="center"/>
              <w:rPr>
                <w:b/>
                <w:bCs/>
                <w:sz w:val="24"/>
              </w:rPr>
            </w:pPr>
            <w:r w:rsidRPr="009C6CAE">
              <w:rPr>
                <w:b/>
                <w:bCs/>
                <w:sz w:val="24"/>
              </w:rPr>
              <w:t>I. Tiesību akta projekta izstrādes nepieciešamība</w:t>
            </w:r>
          </w:p>
        </w:tc>
      </w:tr>
      <w:tr w:rsidR="00901106" w:rsidRPr="009C6CAE">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1.</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Pamatojums</w:t>
            </w:r>
          </w:p>
        </w:tc>
        <w:tc>
          <w:tcPr>
            <w:tcW w:w="3750" w:type="pct"/>
            <w:tcBorders>
              <w:top w:val="outset" w:sz="6" w:space="0" w:color="000000"/>
              <w:left w:val="outset" w:sz="6" w:space="0" w:color="000000"/>
              <w:bottom w:val="outset" w:sz="6" w:space="0" w:color="000000"/>
              <w:right w:val="outset" w:sz="6" w:space="0" w:color="000000"/>
            </w:tcBorders>
          </w:tcPr>
          <w:p w:rsidR="007660BD" w:rsidRPr="008F1B3E" w:rsidRDefault="007E01BB" w:rsidP="00752CE5">
            <w:pPr>
              <w:jc w:val="both"/>
              <w:rPr>
                <w:sz w:val="24"/>
              </w:rPr>
            </w:pPr>
            <w:r w:rsidRPr="007E01BB">
              <w:rPr>
                <w:sz w:val="24"/>
              </w:rPr>
              <w:t xml:space="preserve">Noteikumu projekts sagatavots saskaņā ar </w:t>
            </w:r>
            <w:r w:rsidR="00752CE5">
              <w:rPr>
                <w:sz w:val="24"/>
              </w:rPr>
              <w:t>Aizsargjoslu likuma 59</w:t>
            </w:r>
            <w:r>
              <w:rPr>
                <w:sz w:val="24"/>
              </w:rPr>
              <w:t>.pant</w:t>
            </w:r>
            <w:r w:rsidR="00752CE5">
              <w:rPr>
                <w:sz w:val="24"/>
              </w:rPr>
              <w:t>a pirmo daļu</w:t>
            </w:r>
          </w:p>
        </w:tc>
      </w:tr>
      <w:tr w:rsidR="00901106" w:rsidRPr="009C6CAE" w:rsidTr="00433140">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2.</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Pašreizējā situācija un problēmas</w:t>
            </w:r>
          </w:p>
        </w:tc>
        <w:tc>
          <w:tcPr>
            <w:tcW w:w="3750" w:type="pct"/>
            <w:tcBorders>
              <w:top w:val="outset" w:sz="6" w:space="0" w:color="000000"/>
              <w:left w:val="outset" w:sz="6" w:space="0" w:color="000000"/>
              <w:bottom w:val="outset" w:sz="6" w:space="0" w:color="000000"/>
              <w:right w:val="outset" w:sz="6" w:space="0" w:color="000000"/>
            </w:tcBorders>
          </w:tcPr>
          <w:p w:rsidR="00CA7CE3" w:rsidRDefault="00752CE5" w:rsidP="00752CE5">
            <w:pPr>
              <w:jc w:val="both"/>
              <w:rPr>
                <w:sz w:val="24"/>
              </w:rPr>
            </w:pPr>
            <w:r>
              <w:rPr>
                <w:sz w:val="24"/>
              </w:rPr>
              <w:t xml:space="preserve">Aizsargjoslu likuma 59.panta pirmā </w:t>
            </w:r>
            <w:r w:rsidRPr="00B151E7">
              <w:rPr>
                <w:sz w:val="24"/>
              </w:rPr>
              <w:t xml:space="preserve">daļa nosaka, ka </w:t>
            </w:r>
            <w:r w:rsidR="00B151E7" w:rsidRPr="00B151E7">
              <w:rPr>
                <w:sz w:val="24"/>
              </w:rPr>
              <w:t>aizsargjoslu noteikšanas metodiku nosaka Ministru kabinets</w:t>
            </w:r>
            <w:r w:rsidR="00AC1E01" w:rsidRPr="00B151E7">
              <w:rPr>
                <w:sz w:val="24"/>
              </w:rPr>
              <w:t>.</w:t>
            </w:r>
            <w:r w:rsidR="00B151E7">
              <w:rPr>
                <w:sz w:val="24"/>
              </w:rPr>
              <w:t xml:space="preserve"> Ministru kabinets 2003.gada </w:t>
            </w:r>
            <w:r w:rsidR="00B151E7" w:rsidRPr="00B151E7">
              <w:rPr>
                <w:sz w:val="24"/>
              </w:rPr>
              <w:t>25.ferbruārī izdeva noteikumus Nr.</w:t>
            </w:r>
            <w:r w:rsidR="00B151E7">
              <w:rPr>
                <w:sz w:val="24"/>
              </w:rPr>
              <w:t>94</w:t>
            </w:r>
            <w:r w:rsidR="00B151E7" w:rsidRPr="00B151E7">
              <w:rPr>
                <w:sz w:val="24"/>
              </w:rPr>
              <w:t xml:space="preserve"> „Aizsargjoslu noteikšanas metodika ūdens akvatorijās augšpus un lejpus aizsprostiem”</w:t>
            </w:r>
            <w:r w:rsidR="00B151E7">
              <w:rPr>
                <w:sz w:val="24"/>
              </w:rPr>
              <w:t xml:space="preserve">, kas nosaka drošības aizsargjoslu noteikšanas metodiku ūdens </w:t>
            </w:r>
            <w:r w:rsidR="00B151E7" w:rsidRPr="00B151E7">
              <w:rPr>
                <w:sz w:val="24"/>
              </w:rPr>
              <w:t>akvatorijās augšpus un lejpus aizsprostiem, kārtību, kādā aizsargjoslas tiek ierīkotas un apzīmētas dabā, aizsargjoslu uzturēšanas kārtību, kā arī informāciju par aprobežojumiem, kas saistīti ar aizsprostiem un to aizsargjoslām.</w:t>
            </w:r>
          </w:p>
          <w:p w:rsidR="00F540A2" w:rsidRDefault="00F540A2" w:rsidP="00752CE5">
            <w:pPr>
              <w:jc w:val="both"/>
              <w:rPr>
                <w:sz w:val="24"/>
              </w:rPr>
            </w:pPr>
          </w:p>
          <w:p w:rsidR="00F540A2" w:rsidRDefault="00B151E7" w:rsidP="00752CE5">
            <w:pPr>
              <w:jc w:val="both"/>
              <w:rPr>
                <w:sz w:val="24"/>
              </w:rPr>
            </w:pPr>
            <w:r w:rsidRPr="00F540A2">
              <w:rPr>
                <w:sz w:val="24"/>
              </w:rPr>
              <w:t>Savukārt 2007.gada 20.februārī Ministru kabinets</w:t>
            </w:r>
            <w:r w:rsidR="00830743">
              <w:rPr>
                <w:sz w:val="24"/>
              </w:rPr>
              <w:t>,</w:t>
            </w:r>
            <w:r w:rsidR="00F540A2">
              <w:rPr>
                <w:sz w:val="24"/>
              </w:rPr>
              <w:t xml:space="preserve"> pamatojoties uz Aizsargjoslu likuma 59.panta pirmajā daļā doto deleģējumu</w:t>
            </w:r>
            <w:r w:rsidR="00830743">
              <w:rPr>
                <w:sz w:val="24"/>
              </w:rPr>
              <w:t>,</w:t>
            </w:r>
            <w:r w:rsidRPr="00F540A2">
              <w:rPr>
                <w:sz w:val="24"/>
              </w:rPr>
              <w:t xml:space="preserve"> izdeva noteikumus Nr.131 „Aizsargjoslu noteikš</w:t>
            </w:r>
            <w:r w:rsidR="00F540A2" w:rsidRPr="00F540A2">
              <w:rPr>
                <w:sz w:val="24"/>
              </w:rPr>
              <w:t>anas metodika ap aizsprostiem”, kas nosaka drošības aizsargjoslu noteikšanas metodiku ap aizsprostiem, komunikāciju un objektu ekspluatācijas un drošības prasības, vides un cilvēka aizsardzības prasības, kārtību, kādā aizsargjoslas tiek ierīkotas un apzīmētas dabā, aizsargjoslu uzturēšanas kārtību un to stāvokļa kontroles kārtību, kā arī informāciju par aprobežojumiem, kas saistīti ar aizsprostiem un to aizsargjoslām.</w:t>
            </w:r>
            <w:r w:rsidR="00F540A2">
              <w:rPr>
                <w:sz w:val="24"/>
              </w:rPr>
              <w:t xml:space="preserve"> </w:t>
            </w:r>
          </w:p>
          <w:p w:rsidR="00F540A2" w:rsidRDefault="00F540A2" w:rsidP="00752CE5">
            <w:pPr>
              <w:jc w:val="both"/>
              <w:rPr>
                <w:sz w:val="24"/>
              </w:rPr>
            </w:pPr>
          </w:p>
          <w:p w:rsidR="00B151E7" w:rsidRPr="00F540A2" w:rsidRDefault="00F540A2" w:rsidP="00752CE5">
            <w:pPr>
              <w:jc w:val="both"/>
              <w:rPr>
                <w:sz w:val="24"/>
              </w:rPr>
            </w:pPr>
            <w:r>
              <w:rPr>
                <w:sz w:val="24"/>
              </w:rPr>
              <w:t xml:space="preserve">Ņemot vērā, ka abi Ministru kabineta noteikumi ir izdoti uz viena tiesiskā pamata un regulē faktiski vienādus jautājumus un lai nodrošinātu tiesisko skaidrību un noteiktību, Ekonomikas ministrija ir sagatavojusi Ministru kabineta noteikumu projektu </w:t>
            </w:r>
            <w:r w:rsidRPr="00F540A2">
              <w:rPr>
                <w:sz w:val="24"/>
              </w:rPr>
              <w:t>„Par Ministru kabineta 2003.gada 25.februāra noteikumu Nr.94 „Aizsargjoslu noteikšanas metodika ūdens akvatorijās augšpus un lejup aizsprostiem” atzīšanu par spēku zaudējušiem”</w:t>
            </w:r>
            <w:r>
              <w:rPr>
                <w:sz w:val="24"/>
              </w:rPr>
              <w:t>.</w:t>
            </w:r>
          </w:p>
          <w:p w:rsidR="00F73677" w:rsidRPr="008F1B3E" w:rsidRDefault="00F73677" w:rsidP="00F540A2">
            <w:pPr>
              <w:jc w:val="both"/>
              <w:rPr>
                <w:sz w:val="24"/>
              </w:rPr>
            </w:pPr>
          </w:p>
        </w:tc>
      </w:tr>
      <w:tr w:rsidR="00901106" w:rsidRPr="009C6CAE" w:rsidTr="00FC42AA">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F540A2" w:rsidP="009C6CAE">
            <w:pPr>
              <w:rPr>
                <w:sz w:val="24"/>
              </w:rPr>
            </w:pPr>
            <w:r>
              <w:rPr>
                <w:sz w:val="24"/>
              </w:rPr>
              <w:t xml:space="preserve"> </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Saistītie politikas ietekmes novērtējumi un pētījumi</w:t>
            </w:r>
          </w:p>
        </w:tc>
        <w:tc>
          <w:tcPr>
            <w:tcW w:w="3750" w:type="pct"/>
            <w:tcBorders>
              <w:top w:val="outset" w:sz="6" w:space="0" w:color="000000"/>
              <w:left w:val="outset" w:sz="6" w:space="0" w:color="000000"/>
              <w:bottom w:val="outset" w:sz="6" w:space="0" w:color="000000"/>
              <w:right w:val="outset" w:sz="6" w:space="0" w:color="000000"/>
            </w:tcBorders>
            <w:vAlign w:val="center"/>
          </w:tcPr>
          <w:p w:rsidR="00901106" w:rsidRPr="008F1B3E" w:rsidRDefault="003C776B" w:rsidP="009C6CAE">
            <w:pPr>
              <w:rPr>
                <w:sz w:val="24"/>
              </w:rPr>
            </w:pPr>
            <w:r w:rsidRPr="008F1B3E">
              <w:rPr>
                <w:iCs/>
                <w:sz w:val="24"/>
              </w:rPr>
              <w:t>Noteikumu projekts šo jomu neskar</w:t>
            </w:r>
            <w:r w:rsidR="00901106" w:rsidRPr="008F1B3E">
              <w:rPr>
                <w:iCs/>
                <w:sz w:val="24"/>
              </w:rPr>
              <w:t>.</w:t>
            </w:r>
          </w:p>
        </w:tc>
      </w:tr>
      <w:tr w:rsidR="00901106" w:rsidRPr="009C6CAE" w:rsidTr="00433140">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4.</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Tiesiskā regulējuma mērķis un būtība</w:t>
            </w:r>
          </w:p>
        </w:tc>
        <w:tc>
          <w:tcPr>
            <w:tcW w:w="3750" w:type="pct"/>
            <w:tcBorders>
              <w:top w:val="outset" w:sz="6" w:space="0" w:color="000000"/>
              <w:left w:val="outset" w:sz="6" w:space="0" w:color="000000"/>
              <w:bottom w:val="outset" w:sz="6" w:space="0" w:color="000000"/>
              <w:right w:val="outset" w:sz="6" w:space="0" w:color="000000"/>
            </w:tcBorders>
          </w:tcPr>
          <w:p w:rsidR="00532380" w:rsidRPr="008F1B3E" w:rsidRDefault="008F1B3E" w:rsidP="00752CE5">
            <w:pPr>
              <w:pStyle w:val="naiskr"/>
              <w:spacing w:before="0" w:after="0"/>
              <w:ind w:left="24"/>
              <w:jc w:val="both"/>
              <w:rPr>
                <w:bCs/>
              </w:rPr>
            </w:pPr>
            <w:r w:rsidRPr="008F1B3E">
              <w:rPr>
                <w:bCs/>
              </w:rPr>
              <w:t xml:space="preserve">Ar noteikumu projektu tiek </w:t>
            </w:r>
            <w:r w:rsidR="00067623">
              <w:rPr>
                <w:bCs/>
              </w:rPr>
              <w:t>atzīti par spēku zaudējušiem</w:t>
            </w:r>
            <w:r w:rsidRPr="008F1B3E">
              <w:rPr>
                <w:bCs/>
              </w:rPr>
              <w:t xml:space="preserve"> </w:t>
            </w:r>
            <w:r w:rsidR="00AC1E01" w:rsidRPr="00AC1E01">
              <w:t>Ministru kabineta 200</w:t>
            </w:r>
            <w:r w:rsidR="00752CE5">
              <w:t>3</w:t>
            </w:r>
            <w:r w:rsidR="00AC1E01" w:rsidRPr="00AC1E01">
              <w:t xml:space="preserve">.gada </w:t>
            </w:r>
            <w:r w:rsidR="00752CE5">
              <w:t>25</w:t>
            </w:r>
            <w:r w:rsidR="00AC1E01" w:rsidRPr="00AC1E01">
              <w:t>.</w:t>
            </w:r>
            <w:r w:rsidR="00752CE5">
              <w:t>februāra</w:t>
            </w:r>
            <w:r w:rsidR="00AC1E01" w:rsidRPr="00AC1E01">
              <w:t xml:space="preserve"> noteikum</w:t>
            </w:r>
            <w:r w:rsidR="00AC1E01">
              <w:t>i</w:t>
            </w:r>
            <w:r w:rsidR="00AC1E01" w:rsidRPr="00AC1E01">
              <w:t xml:space="preserve"> Nr.9</w:t>
            </w:r>
            <w:r w:rsidR="00752CE5">
              <w:t>4</w:t>
            </w:r>
            <w:r w:rsidR="00AC1E01" w:rsidRPr="00AC1E01">
              <w:t xml:space="preserve"> „</w:t>
            </w:r>
            <w:r w:rsidR="00752CE5">
              <w:t>Aizsargjoslu noteikšanas metodika ūdens akva</w:t>
            </w:r>
            <w:r w:rsidR="00B151E7">
              <w:t>torijās augšpus un lejpus aizsp</w:t>
            </w:r>
            <w:r w:rsidR="00752CE5">
              <w:t>r</w:t>
            </w:r>
            <w:r w:rsidR="00B151E7">
              <w:t>os</w:t>
            </w:r>
            <w:r w:rsidR="00752CE5">
              <w:t>tiem</w:t>
            </w:r>
            <w:r w:rsidR="00AC1E01" w:rsidRPr="00AC1E01">
              <w:t>”</w:t>
            </w:r>
            <w:r w:rsidR="00AC1E01">
              <w:t>.</w:t>
            </w:r>
          </w:p>
        </w:tc>
      </w:tr>
      <w:tr w:rsidR="00901106" w:rsidRPr="009C6CAE" w:rsidTr="00FC42AA">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5.</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 xml:space="preserve">Projekta izstrādē iesaistītās </w:t>
            </w:r>
            <w:r w:rsidRPr="009C6CAE">
              <w:rPr>
                <w:sz w:val="24"/>
              </w:rPr>
              <w:lastRenderedPageBreak/>
              <w:t>institūcijas</w:t>
            </w:r>
          </w:p>
        </w:tc>
        <w:tc>
          <w:tcPr>
            <w:tcW w:w="3750" w:type="pct"/>
            <w:tcBorders>
              <w:top w:val="outset" w:sz="6" w:space="0" w:color="000000"/>
              <w:left w:val="outset" w:sz="6" w:space="0" w:color="000000"/>
              <w:bottom w:val="outset" w:sz="6" w:space="0" w:color="000000"/>
              <w:right w:val="outset" w:sz="6" w:space="0" w:color="000000"/>
            </w:tcBorders>
            <w:vAlign w:val="center"/>
          </w:tcPr>
          <w:p w:rsidR="00901106" w:rsidRPr="009C6CAE" w:rsidRDefault="005645DF" w:rsidP="009C6CAE">
            <w:pPr>
              <w:rPr>
                <w:sz w:val="24"/>
              </w:rPr>
            </w:pPr>
            <w:r>
              <w:rPr>
                <w:sz w:val="24"/>
              </w:rPr>
              <w:lastRenderedPageBreak/>
              <w:t>Noteikumu projekts šo jomu neskar.</w:t>
            </w:r>
          </w:p>
        </w:tc>
      </w:tr>
      <w:tr w:rsidR="00901106" w:rsidRPr="009C6CAE">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lastRenderedPageBreak/>
              <w:t>6.</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Iemesli, kādēļ netika nodrošināta sabiedrības līdzdalība</w:t>
            </w:r>
          </w:p>
        </w:tc>
        <w:tc>
          <w:tcPr>
            <w:tcW w:w="3750" w:type="pct"/>
            <w:tcBorders>
              <w:top w:val="outset" w:sz="6" w:space="0" w:color="000000"/>
              <w:left w:val="outset" w:sz="6" w:space="0" w:color="000000"/>
              <w:bottom w:val="outset" w:sz="6" w:space="0" w:color="000000"/>
              <w:right w:val="outset" w:sz="6" w:space="0" w:color="000000"/>
            </w:tcBorders>
          </w:tcPr>
          <w:p w:rsidR="00901106" w:rsidRPr="009C6CAE" w:rsidRDefault="003C776B" w:rsidP="009C6CAE">
            <w:pPr>
              <w:jc w:val="both"/>
              <w:rPr>
                <w:sz w:val="24"/>
              </w:rPr>
            </w:pPr>
            <w:r>
              <w:rPr>
                <w:iCs/>
                <w:sz w:val="24"/>
              </w:rPr>
              <w:t>Noteikumu projekts šo jomu neskar</w:t>
            </w:r>
            <w:r w:rsidR="0011198A" w:rsidRPr="009C6CAE">
              <w:rPr>
                <w:bCs/>
                <w:iCs/>
                <w:sz w:val="24"/>
              </w:rPr>
              <w:t>.</w:t>
            </w:r>
          </w:p>
        </w:tc>
      </w:tr>
      <w:tr w:rsidR="00901106" w:rsidRPr="009C6CAE">
        <w:tc>
          <w:tcPr>
            <w:tcW w:w="15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7.</w:t>
            </w:r>
          </w:p>
        </w:tc>
        <w:tc>
          <w:tcPr>
            <w:tcW w:w="1000" w:type="pct"/>
            <w:tcBorders>
              <w:top w:val="outset" w:sz="6" w:space="0" w:color="000000"/>
              <w:left w:val="outset" w:sz="6" w:space="0" w:color="000000"/>
              <w:bottom w:val="outset" w:sz="6" w:space="0" w:color="000000"/>
              <w:right w:val="outset" w:sz="6" w:space="0" w:color="000000"/>
            </w:tcBorders>
          </w:tcPr>
          <w:p w:rsidR="00901106" w:rsidRPr="009C6CAE" w:rsidRDefault="00901106" w:rsidP="009C6CAE">
            <w:pPr>
              <w:rPr>
                <w:sz w:val="24"/>
              </w:rPr>
            </w:pPr>
            <w:r w:rsidRPr="009C6CAE">
              <w:rPr>
                <w:sz w:val="24"/>
              </w:rPr>
              <w:t>Cita informācija</w:t>
            </w:r>
          </w:p>
        </w:tc>
        <w:tc>
          <w:tcPr>
            <w:tcW w:w="3750" w:type="pct"/>
            <w:tcBorders>
              <w:top w:val="outset" w:sz="6" w:space="0" w:color="000000"/>
              <w:left w:val="outset" w:sz="6" w:space="0" w:color="000000"/>
              <w:bottom w:val="outset" w:sz="6" w:space="0" w:color="000000"/>
              <w:right w:val="outset" w:sz="6" w:space="0" w:color="000000"/>
            </w:tcBorders>
          </w:tcPr>
          <w:p w:rsidR="00901106" w:rsidRPr="009C6CAE" w:rsidRDefault="00522E66" w:rsidP="00E32C2F">
            <w:pPr>
              <w:jc w:val="both"/>
              <w:rPr>
                <w:sz w:val="24"/>
              </w:rPr>
            </w:pPr>
            <w:r>
              <w:rPr>
                <w:sz w:val="24"/>
              </w:rPr>
              <w:t>Nav.</w:t>
            </w:r>
          </w:p>
        </w:tc>
      </w:tr>
    </w:tbl>
    <w:p w:rsidR="007A4662" w:rsidRPr="009C6CAE" w:rsidRDefault="007A4662" w:rsidP="009C6CAE">
      <w:pPr>
        <w:rPr>
          <w:sz w:val="24"/>
        </w:rPr>
      </w:pPr>
    </w:p>
    <w:p w:rsidR="00901106" w:rsidRPr="009C6CAE" w:rsidRDefault="00901106" w:rsidP="009C6CAE">
      <w:pPr>
        <w:rPr>
          <w:sz w:val="18"/>
          <w:szCs w:val="18"/>
        </w:rPr>
      </w:pPr>
    </w:p>
    <w:p w:rsidR="00CA7CE3" w:rsidRDefault="00CA7CE3" w:rsidP="00CA7CE3">
      <w:pPr>
        <w:pStyle w:val="naisf"/>
        <w:tabs>
          <w:tab w:val="left" w:pos="5760"/>
        </w:tabs>
        <w:spacing w:before="0" w:after="0"/>
        <w:ind w:firstLine="0"/>
      </w:pPr>
      <w:r w:rsidRPr="009C6CAE">
        <w:t xml:space="preserve">Anotācijas </w:t>
      </w:r>
      <w:r>
        <w:t xml:space="preserve">II, </w:t>
      </w:r>
      <w:r w:rsidRPr="009C6CAE">
        <w:t>III</w:t>
      </w:r>
      <w:r>
        <w:t>, IV,</w:t>
      </w:r>
      <w:r w:rsidRPr="009C6CAE">
        <w:t xml:space="preserve"> V </w:t>
      </w:r>
      <w:r>
        <w:t xml:space="preserve">un VII </w:t>
      </w:r>
      <w:r w:rsidRPr="009C6CAE">
        <w:t xml:space="preserve">sadaļa – </w:t>
      </w:r>
      <w:r>
        <w:t>n</w:t>
      </w:r>
      <w:r>
        <w:rPr>
          <w:iCs/>
        </w:rPr>
        <w:t>oteikumu projekts šīs jomas neskar</w:t>
      </w:r>
      <w:r w:rsidRPr="009C6CAE">
        <w:t>.</w:t>
      </w:r>
    </w:p>
    <w:p w:rsidR="00CA7CE3" w:rsidRPr="009C6CAE" w:rsidRDefault="00CA7CE3" w:rsidP="00CA7CE3">
      <w:pPr>
        <w:pStyle w:val="naisf"/>
        <w:tabs>
          <w:tab w:val="left" w:pos="5760"/>
        </w:tabs>
        <w:spacing w:before="0" w:after="0"/>
        <w:ind w:firstLine="0"/>
      </w:pPr>
    </w:p>
    <w:p w:rsidR="00BC5856" w:rsidRDefault="00BC5856" w:rsidP="00BC5856">
      <w:pPr>
        <w:rPr>
          <w:szCs w:val="28"/>
          <w:lang w:val="de-DE"/>
        </w:rPr>
      </w:pPr>
    </w:p>
    <w:p w:rsidR="00BC5856" w:rsidRDefault="00BC5856" w:rsidP="00BC5856">
      <w:pPr>
        <w:rPr>
          <w:szCs w:val="28"/>
          <w:lang w:val="de-DE"/>
        </w:rPr>
      </w:pPr>
      <w:r w:rsidRPr="00BC5856">
        <w:rPr>
          <w:szCs w:val="28"/>
          <w:lang w:val="de-DE"/>
        </w:rPr>
        <w:t xml:space="preserve">Ministru prezidents </w:t>
      </w:r>
      <w:r w:rsidRPr="00BC5856">
        <w:rPr>
          <w:szCs w:val="28"/>
          <w:lang w:val="de-DE"/>
        </w:rPr>
        <w:tab/>
      </w:r>
      <w:r w:rsidRPr="00BC5856">
        <w:rPr>
          <w:szCs w:val="28"/>
          <w:lang w:val="de-DE"/>
        </w:rPr>
        <w:tab/>
      </w:r>
      <w:r w:rsidRPr="00BC5856">
        <w:rPr>
          <w:szCs w:val="28"/>
          <w:lang w:val="de-DE"/>
        </w:rPr>
        <w:tab/>
      </w:r>
      <w:r w:rsidRPr="00BC5856">
        <w:rPr>
          <w:szCs w:val="28"/>
          <w:lang w:val="de-DE"/>
        </w:rPr>
        <w:tab/>
      </w:r>
      <w:r w:rsidRPr="00BC5856">
        <w:rPr>
          <w:szCs w:val="28"/>
          <w:lang w:val="de-DE"/>
        </w:rPr>
        <w:tab/>
      </w:r>
      <w:r w:rsidRPr="00BC5856">
        <w:rPr>
          <w:szCs w:val="28"/>
          <w:lang w:val="de-DE"/>
        </w:rPr>
        <w:tab/>
        <w:t xml:space="preserve">          V. Dombrovskis</w:t>
      </w:r>
    </w:p>
    <w:p w:rsidR="00BC5856" w:rsidRPr="00BC5856" w:rsidRDefault="00BC5856" w:rsidP="00BC5856">
      <w:pPr>
        <w:rPr>
          <w:szCs w:val="28"/>
          <w:lang w:val="de-DE"/>
        </w:rPr>
      </w:pPr>
    </w:p>
    <w:p w:rsidR="00BC5856" w:rsidRPr="00BC5856" w:rsidRDefault="00BC5856" w:rsidP="00BC5856">
      <w:pPr>
        <w:pStyle w:val="NormalWeb"/>
        <w:spacing w:before="0" w:beforeAutospacing="0" w:after="0" w:afterAutospacing="0"/>
        <w:rPr>
          <w:rFonts w:ascii="Times New Roman" w:hAnsi="Times New Roman"/>
          <w:b/>
          <w:sz w:val="28"/>
          <w:szCs w:val="28"/>
        </w:rPr>
      </w:pPr>
      <w:r w:rsidRPr="00BC5856">
        <w:rPr>
          <w:rFonts w:ascii="Times New Roman" w:hAnsi="Times New Roman"/>
          <w:sz w:val="28"/>
          <w:szCs w:val="28"/>
        </w:rPr>
        <w:t>Ekonomikas ministrs</w:t>
      </w:r>
      <w:r w:rsidRPr="00BC5856">
        <w:rPr>
          <w:rFonts w:ascii="Times New Roman" w:hAnsi="Times New Roman"/>
          <w:sz w:val="28"/>
          <w:szCs w:val="28"/>
        </w:rPr>
        <w:tab/>
      </w:r>
      <w:r w:rsidRPr="00BC5856">
        <w:rPr>
          <w:rFonts w:ascii="Times New Roman" w:hAnsi="Times New Roman"/>
          <w:sz w:val="28"/>
          <w:szCs w:val="28"/>
        </w:rPr>
        <w:tab/>
      </w:r>
      <w:r w:rsidRPr="00BC5856">
        <w:rPr>
          <w:rFonts w:ascii="Times New Roman" w:hAnsi="Times New Roman"/>
          <w:sz w:val="28"/>
          <w:szCs w:val="28"/>
        </w:rPr>
        <w:tab/>
      </w:r>
      <w:r w:rsidRPr="00BC5856">
        <w:rPr>
          <w:rFonts w:ascii="Times New Roman" w:hAnsi="Times New Roman"/>
          <w:sz w:val="28"/>
          <w:szCs w:val="28"/>
        </w:rPr>
        <w:tab/>
      </w:r>
      <w:r w:rsidRPr="00BC5856">
        <w:rPr>
          <w:rFonts w:ascii="Times New Roman" w:hAnsi="Times New Roman"/>
          <w:sz w:val="28"/>
          <w:szCs w:val="28"/>
        </w:rPr>
        <w:tab/>
      </w:r>
      <w:r w:rsidRPr="00BC5856">
        <w:rPr>
          <w:rFonts w:ascii="Times New Roman" w:hAnsi="Times New Roman"/>
          <w:sz w:val="28"/>
          <w:szCs w:val="28"/>
        </w:rPr>
        <w:tab/>
        <w:t xml:space="preserve">          A. Kampars</w:t>
      </w:r>
    </w:p>
    <w:p w:rsidR="00BC5856" w:rsidRPr="00BC5856" w:rsidRDefault="00BC5856" w:rsidP="00BC5856">
      <w:pPr>
        <w:pStyle w:val="BalloonText"/>
        <w:rPr>
          <w:rFonts w:ascii="Times New Roman" w:hAnsi="Times New Roman" w:cs="Times New Roman"/>
          <w:szCs w:val="28"/>
          <w:lang w:val="de-DE"/>
        </w:rPr>
      </w:pPr>
    </w:p>
    <w:p w:rsidR="00BC5856" w:rsidRPr="00BC5856" w:rsidRDefault="00BC5856" w:rsidP="00BC5856">
      <w:pPr>
        <w:rPr>
          <w:szCs w:val="28"/>
          <w:lang w:val="de-DE"/>
        </w:rPr>
      </w:pPr>
      <w:r w:rsidRPr="00BC5856">
        <w:rPr>
          <w:szCs w:val="28"/>
          <w:lang w:val="de-DE"/>
        </w:rPr>
        <w:t>Iesniedzējs: Ekonomikas ministrs</w:t>
      </w:r>
      <w:r w:rsidRPr="00BC5856">
        <w:rPr>
          <w:szCs w:val="28"/>
          <w:lang w:val="de-DE"/>
        </w:rPr>
        <w:tab/>
      </w:r>
      <w:r w:rsidRPr="00BC5856">
        <w:rPr>
          <w:szCs w:val="28"/>
          <w:lang w:val="de-DE"/>
        </w:rPr>
        <w:tab/>
      </w:r>
      <w:r w:rsidRPr="00BC5856">
        <w:rPr>
          <w:szCs w:val="28"/>
          <w:lang w:val="de-DE"/>
        </w:rPr>
        <w:tab/>
      </w:r>
      <w:r w:rsidRPr="00BC5856">
        <w:rPr>
          <w:szCs w:val="28"/>
          <w:lang w:val="de-DE"/>
        </w:rPr>
        <w:tab/>
        <w:t xml:space="preserve">          A. Kampars</w:t>
      </w:r>
    </w:p>
    <w:p w:rsidR="00BC5856" w:rsidRPr="00BC5856" w:rsidRDefault="00BC5856" w:rsidP="00BC5856">
      <w:pPr>
        <w:rPr>
          <w:szCs w:val="28"/>
          <w:lang w:val="de-DE"/>
        </w:rPr>
      </w:pPr>
    </w:p>
    <w:p w:rsidR="00CA7CE3" w:rsidRPr="00BC5856" w:rsidRDefault="00BC5856" w:rsidP="00BC5856">
      <w:r w:rsidRPr="00BC5856">
        <w:rPr>
          <w:szCs w:val="28"/>
          <w:lang w:val="de-DE"/>
        </w:rPr>
        <w:t>Vīza: Valsts sekretārs                                                                    J.Pūce</w:t>
      </w:r>
      <w:r w:rsidRPr="00BC5856">
        <w:rPr>
          <w:szCs w:val="28"/>
        </w:rPr>
        <w:t xml:space="preserve">            </w:t>
      </w:r>
    </w:p>
    <w:p w:rsidR="00CA7CE3" w:rsidRDefault="00CA7CE3" w:rsidP="00CA7CE3">
      <w:pPr>
        <w:tabs>
          <w:tab w:val="left" w:pos="5760"/>
        </w:tabs>
        <w:jc w:val="both"/>
        <w:rPr>
          <w:szCs w:val="28"/>
        </w:rPr>
      </w:pPr>
    </w:p>
    <w:p w:rsidR="00AC1E01" w:rsidRDefault="00AC1E01" w:rsidP="009C6CAE">
      <w:pPr>
        <w:jc w:val="both"/>
        <w:rPr>
          <w:sz w:val="20"/>
          <w:szCs w:val="20"/>
        </w:rPr>
      </w:pPr>
      <w:bookmarkStart w:id="3" w:name="OLE_LINK10"/>
      <w:bookmarkStart w:id="4" w:name="OLE_LINK11"/>
    </w:p>
    <w:p w:rsidR="00AC1E01" w:rsidRPr="009C6CAE" w:rsidRDefault="00AC1E01" w:rsidP="009C6CAE">
      <w:pPr>
        <w:jc w:val="both"/>
        <w:rPr>
          <w:sz w:val="20"/>
          <w:szCs w:val="20"/>
        </w:rPr>
      </w:pPr>
    </w:p>
    <w:bookmarkEnd w:id="3"/>
    <w:bookmarkEnd w:id="4"/>
    <w:p w:rsidR="00752CE5" w:rsidRPr="00752CE5" w:rsidRDefault="00BC5856" w:rsidP="00752CE5">
      <w:pPr>
        <w:jc w:val="both"/>
        <w:rPr>
          <w:sz w:val="20"/>
          <w:szCs w:val="20"/>
        </w:rPr>
      </w:pPr>
      <w:r>
        <w:rPr>
          <w:sz w:val="20"/>
          <w:szCs w:val="20"/>
        </w:rPr>
        <w:t>11.10</w:t>
      </w:r>
      <w:r w:rsidR="00752CE5" w:rsidRPr="00752CE5">
        <w:rPr>
          <w:sz w:val="20"/>
          <w:szCs w:val="20"/>
        </w:rPr>
        <w:t xml:space="preserve">.2011. </w:t>
      </w:r>
      <w:r>
        <w:rPr>
          <w:sz w:val="20"/>
          <w:szCs w:val="20"/>
        </w:rPr>
        <w:t>14:17</w:t>
      </w:r>
    </w:p>
    <w:p w:rsidR="00752CE5" w:rsidRPr="00752CE5" w:rsidRDefault="00BC5856" w:rsidP="00752CE5">
      <w:pPr>
        <w:jc w:val="both"/>
        <w:rPr>
          <w:sz w:val="20"/>
          <w:szCs w:val="20"/>
        </w:rPr>
      </w:pPr>
      <w:r>
        <w:rPr>
          <w:sz w:val="20"/>
          <w:szCs w:val="20"/>
        </w:rPr>
        <w:t>341</w:t>
      </w:r>
    </w:p>
    <w:p w:rsidR="00752CE5" w:rsidRPr="00752CE5" w:rsidRDefault="00752CE5" w:rsidP="00752CE5">
      <w:pPr>
        <w:outlineLvl w:val="0"/>
        <w:rPr>
          <w:sz w:val="20"/>
          <w:szCs w:val="20"/>
        </w:rPr>
      </w:pPr>
      <w:r w:rsidRPr="00752CE5">
        <w:rPr>
          <w:sz w:val="20"/>
          <w:szCs w:val="20"/>
        </w:rPr>
        <w:t>J.Bunkovskis</w:t>
      </w:r>
    </w:p>
    <w:p w:rsidR="00752CE5" w:rsidRPr="00752CE5" w:rsidRDefault="00752CE5" w:rsidP="00752CE5">
      <w:pPr>
        <w:outlineLvl w:val="0"/>
        <w:rPr>
          <w:sz w:val="20"/>
          <w:szCs w:val="20"/>
        </w:rPr>
      </w:pPr>
      <w:bookmarkStart w:id="5" w:name="OLE_LINK5"/>
      <w:bookmarkStart w:id="6" w:name="OLE_LINK6"/>
      <w:r w:rsidRPr="00752CE5">
        <w:rPr>
          <w:sz w:val="20"/>
          <w:szCs w:val="20"/>
        </w:rPr>
        <w:t>670131</w:t>
      </w:r>
      <w:bookmarkEnd w:id="5"/>
      <w:bookmarkEnd w:id="6"/>
      <w:r w:rsidRPr="00752CE5">
        <w:rPr>
          <w:sz w:val="20"/>
          <w:szCs w:val="20"/>
        </w:rPr>
        <w:t xml:space="preserve">70, </w:t>
      </w:r>
      <w:bookmarkStart w:id="7" w:name="OLE_LINK3"/>
      <w:bookmarkStart w:id="8" w:name="OLE_LINK4"/>
      <w:r w:rsidR="0092711A" w:rsidRPr="00752CE5">
        <w:rPr>
          <w:sz w:val="20"/>
          <w:szCs w:val="20"/>
          <w:lang w:val="de-DE"/>
        </w:rPr>
        <w:fldChar w:fldCharType="begin"/>
      </w:r>
      <w:r w:rsidRPr="00752CE5">
        <w:rPr>
          <w:sz w:val="20"/>
          <w:szCs w:val="20"/>
        </w:rPr>
        <w:instrText xml:space="preserve"> HYPERLINK "mailto:Janis.Bunkovskis@em.gov.lv" </w:instrText>
      </w:r>
      <w:r w:rsidR="0092711A" w:rsidRPr="00752CE5">
        <w:rPr>
          <w:sz w:val="20"/>
          <w:szCs w:val="20"/>
          <w:lang w:val="de-DE"/>
        </w:rPr>
        <w:fldChar w:fldCharType="separate"/>
      </w:r>
      <w:r w:rsidRPr="00752CE5">
        <w:rPr>
          <w:rStyle w:val="Hyperlink"/>
          <w:sz w:val="20"/>
          <w:szCs w:val="20"/>
        </w:rPr>
        <w:t>Janis.Bunkovskis@em.gov.lv</w:t>
      </w:r>
      <w:r w:rsidR="0092711A" w:rsidRPr="00752CE5">
        <w:rPr>
          <w:sz w:val="20"/>
          <w:szCs w:val="20"/>
          <w:lang w:val="de-DE"/>
        </w:rPr>
        <w:fldChar w:fldCharType="end"/>
      </w:r>
      <w:r w:rsidRPr="00752CE5">
        <w:rPr>
          <w:sz w:val="20"/>
          <w:szCs w:val="20"/>
        </w:rPr>
        <w:t xml:space="preserve">  </w:t>
      </w:r>
      <w:bookmarkEnd w:id="7"/>
      <w:bookmarkEnd w:id="8"/>
    </w:p>
    <w:p w:rsidR="00F918DC" w:rsidRPr="00752CE5" w:rsidRDefault="00F918DC" w:rsidP="00752CE5">
      <w:pPr>
        <w:jc w:val="both"/>
      </w:pPr>
    </w:p>
    <w:sectPr w:rsidR="00F918DC" w:rsidRPr="00752CE5" w:rsidSect="0096419D">
      <w:headerReference w:type="even" r:id="rId7"/>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98E" w:rsidRDefault="004C098E">
      <w:r>
        <w:separator/>
      </w:r>
    </w:p>
  </w:endnote>
  <w:endnote w:type="continuationSeparator" w:id="0">
    <w:p w:rsidR="004C098E" w:rsidRDefault="004C0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EC" w:rsidRPr="00F540A2" w:rsidRDefault="008E13EC" w:rsidP="00AC1E01">
    <w:pPr>
      <w:jc w:val="both"/>
      <w:rPr>
        <w:sz w:val="20"/>
        <w:szCs w:val="20"/>
      </w:rPr>
    </w:pPr>
    <w:r w:rsidRPr="00F540A2">
      <w:rPr>
        <w:sz w:val="20"/>
        <w:szCs w:val="20"/>
      </w:rPr>
      <w:t>EMAnot_</w:t>
    </w:r>
    <w:r w:rsidR="00BC5856">
      <w:rPr>
        <w:sz w:val="20"/>
        <w:szCs w:val="20"/>
      </w:rPr>
      <w:t>1110</w:t>
    </w:r>
    <w:r w:rsidRPr="00F540A2">
      <w:rPr>
        <w:sz w:val="20"/>
        <w:szCs w:val="20"/>
      </w:rPr>
      <w:t>11_</w:t>
    </w:r>
    <w:r w:rsidR="00F540A2" w:rsidRPr="00F540A2">
      <w:rPr>
        <w:sz w:val="20"/>
        <w:szCs w:val="20"/>
      </w:rPr>
      <w:t>not.94</w:t>
    </w:r>
    <w:r w:rsidRPr="00F540A2">
      <w:rPr>
        <w:sz w:val="20"/>
        <w:szCs w:val="20"/>
      </w:rPr>
      <w:t xml:space="preserve">; Ministru </w:t>
    </w:r>
    <w:r w:rsidR="00043D6E">
      <w:rPr>
        <w:sz w:val="20"/>
        <w:szCs w:val="20"/>
      </w:rPr>
      <w:t xml:space="preserve">kabineta noteikumu projekta </w:t>
    </w:r>
    <w:r w:rsidR="00F540A2" w:rsidRPr="00F540A2">
      <w:rPr>
        <w:sz w:val="20"/>
        <w:szCs w:val="20"/>
      </w:rPr>
      <w:t>„Par Ministru kabineta 2003.gada 25.februāra noteikumu Nr.94 „Aizsargjoslu noteikšanas metodika ūdens akvatorijās augšpus un lejup aizsprostiem” atzīšanu par spēku zaudējušiem”</w:t>
    </w:r>
    <w:r w:rsidR="00F540A2">
      <w:rPr>
        <w:sz w:val="20"/>
        <w:szCs w:val="20"/>
      </w:rPr>
      <w:t xml:space="preserve"> </w:t>
    </w:r>
    <w:r w:rsidRPr="00F540A2">
      <w:rPr>
        <w:sz w:val="20"/>
        <w:szCs w:val="20"/>
      </w:rPr>
      <w:t xml:space="preserve">sākotnējās ietekmes novērtējuma </w:t>
    </w:r>
    <w:smartTag w:uri="schemas-tilde-lv/tildestengine" w:element="veidnes">
      <w:smartTagPr>
        <w:attr w:name="id" w:val="-1"/>
        <w:attr w:name="baseform" w:val="ziņojums"/>
        <w:attr w:name="text" w:val="ziņojums"/>
      </w:smartTagPr>
      <w:r w:rsidRPr="00F540A2">
        <w:rPr>
          <w:sz w:val="20"/>
          <w:szCs w:val="20"/>
        </w:rPr>
        <w:t>ziņojums</w:t>
      </w:r>
    </w:smartTag>
    <w:r w:rsidRPr="00F540A2">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6E" w:rsidRPr="00F540A2" w:rsidRDefault="00BC5856" w:rsidP="00043D6E">
    <w:pPr>
      <w:jc w:val="both"/>
      <w:rPr>
        <w:sz w:val="20"/>
        <w:szCs w:val="20"/>
      </w:rPr>
    </w:pPr>
    <w:r>
      <w:rPr>
        <w:sz w:val="20"/>
        <w:szCs w:val="20"/>
      </w:rPr>
      <w:t>EMAnot_1110</w:t>
    </w:r>
    <w:r w:rsidR="00043D6E" w:rsidRPr="00F540A2">
      <w:rPr>
        <w:sz w:val="20"/>
        <w:szCs w:val="20"/>
      </w:rPr>
      <w:t xml:space="preserve">11_not.94; Ministru </w:t>
    </w:r>
    <w:r w:rsidR="00043D6E">
      <w:rPr>
        <w:sz w:val="20"/>
        <w:szCs w:val="20"/>
      </w:rPr>
      <w:t xml:space="preserve">kabineta noteikumu projekta </w:t>
    </w:r>
    <w:r w:rsidR="00043D6E" w:rsidRPr="00F540A2">
      <w:rPr>
        <w:sz w:val="20"/>
        <w:szCs w:val="20"/>
      </w:rPr>
      <w:t>„Par Ministru kabineta 2003.gada 25.februāra noteikumu Nr.94 „Aizsargjoslu noteikšanas metodika ūdens akvatorijās augšpus un lejup aizsprostiem” atzīšanu par spēku zaudējušiem”</w:t>
    </w:r>
    <w:r w:rsidR="00043D6E">
      <w:rPr>
        <w:sz w:val="20"/>
        <w:szCs w:val="20"/>
      </w:rPr>
      <w:t xml:space="preserve"> </w:t>
    </w:r>
    <w:r w:rsidR="00043D6E" w:rsidRPr="00F540A2">
      <w:rPr>
        <w:sz w:val="20"/>
        <w:szCs w:val="20"/>
      </w:rPr>
      <w:t xml:space="preserve">sākotnējās ietekmes novērtējuma </w:t>
    </w:r>
    <w:smartTag w:uri="schemas-tilde-lv/tildestengine" w:element="veidnes">
      <w:smartTagPr>
        <w:attr w:name="id" w:val="-1"/>
        <w:attr w:name="baseform" w:val="ziņojums"/>
        <w:attr w:name="text" w:val="ziņojums"/>
      </w:smartTagPr>
      <w:r w:rsidR="00043D6E" w:rsidRPr="00F540A2">
        <w:rPr>
          <w:sz w:val="20"/>
          <w:szCs w:val="20"/>
        </w:rPr>
        <w:t>ziņojums</w:t>
      </w:r>
    </w:smartTag>
    <w:r w:rsidR="00043D6E" w:rsidRPr="00F540A2">
      <w:rPr>
        <w:sz w:val="20"/>
        <w:szCs w:val="20"/>
      </w:rPr>
      <w:t xml:space="preserve"> (anotācija)</w:t>
    </w:r>
  </w:p>
  <w:p w:rsidR="008E13EC" w:rsidRPr="00043D6E" w:rsidRDefault="008E13EC" w:rsidP="00043D6E">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98E" w:rsidRDefault="004C098E">
      <w:r>
        <w:separator/>
      </w:r>
    </w:p>
  </w:footnote>
  <w:footnote w:type="continuationSeparator" w:id="0">
    <w:p w:rsidR="004C098E" w:rsidRDefault="004C0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EC" w:rsidRDefault="0092711A" w:rsidP="0069090D">
    <w:pPr>
      <w:pStyle w:val="Header"/>
      <w:framePr w:wrap="around" w:vAnchor="text" w:hAnchor="margin" w:xAlign="center" w:y="1"/>
      <w:rPr>
        <w:rStyle w:val="PageNumber"/>
      </w:rPr>
    </w:pPr>
    <w:r>
      <w:rPr>
        <w:rStyle w:val="PageNumber"/>
      </w:rPr>
      <w:fldChar w:fldCharType="begin"/>
    </w:r>
    <w:r w:rsidR="008E13EC">
      <w:rPr>
        <w:rStyle w:val="PageNumber"/>
      </w:rPr>
      <w:instrText xml:space="preserve">PAGE  </w:instrText>
    </w:r>
    <w:r>
      <w:rPr>
        <w:rStyle w:val="PageNumber"/>
      </w:rPr>
      <w:fldChar w:fldCharType="end"/>
    </w:r>
  </w:p>
  <w:p w:rsidR="008E13EC" w:rsidRDefault="008E13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3EC" w:rsidRDefault="0092711A" w:rsidP="0069090D">
    <w:pPr>
      <w:pStyle w:val="Header"/>
      <w:framePr w:wrap="around" w:vAnchor="text" w:hAnchor="margin" w:xAlign="center" w:y="1"/>
      <w:rPr>
        <w:rStyle w:val="PageNumber"/>
      </w:rPr>
    </w:pPr>
    <w:r>
      <w:rPr>
        <w:rStyle w:val="PageNumber"/>
      </w:rPr>
      <w:fldChar w:fldCharType="begin"/>
    </w:r>
    <w:r w:rsidR="008E13EC">
      <w:rPr>
        <w:rStyle w:val="PageNumber"/>
      </w:rPr>
      <w:instrText xml:space="preserve">PAGE  </w:instrText>
    </w:r>
    <w:r>
      <w:rPr>
        <w:rStyle w:val="PageNumber"/>
      </w:rPr>
      <w:fldChar w:fldCharType="separate"/>
    </w:r>
    <w:r w:rsidR="00BC5856">
      <w:rPr>
        <w:rStyle w:val="PageNumber"/>
        <w:noProof/>
      </w:rPr>
      <w:t>2</w:t>
    </w:r>
    <w:r>
      <w:rPr>
        <w:rStyle w:val="PageNumber"/>
      </w:rPr>
      <w:fldChar w:fldCharType="end"/>
    </w:r>
  </w:p>
  <w:p w:rsidR="008E13EC" w:rsidRDefault="008E13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901106"/>
    <w:rsid w:val="00007626"/>
    <w:rsid w:val="000107E9"/>
    <w:rsid w:val="00016706"/>
    <w:rsid w:val="000208C8"/>
    <w:rsid w:val="00027D65"/>
    <w:rsid w:val="00032439"/>
    <w:rsid w:val="00043D6E"/>
    <w:rsid w:val="00047EB4"/>
    <w:rsid w:val="000518C9"/>
    <w:rsid w:val="00065058"/>
    <w:rsid w:val="00067623"/>
    <w:rsid w:val="00074D7F"/>
    <w:rsid w:val="00084FFA"/>
    <w:rsid w:val="000A4195"/>
    <w:rsid w:val="000C456E"/>
    <w:rsid w:val="000C46A1"/>
    <w:rsid w:val="000C4C42"/>
    <w:rsid w:val="000D58EF"/>
    <w:rsid w:val="000E5DFF"/>
    <w:rsid w:val="000F0EBF"/>
    <w:rsid w:val="00101F63"/>
    <w:rsid w:val="0011198A"/>
    <w:rsid w:val="0011297E"/>
    <w:rsid w:val="00115066"/>
    <w:rsid w:val="00116775"/>
    <w:rsid w:val="0011694D"/>
    <w:rsid w:val="001229B1"/>
    <w:rsid w:val="00123B6A"/>
    <w:rsid w:val="001250CF"/>
    <w:rsid w:val="00127BD5"/>
    <w:rsid w:val="00130C62"/>
    <w:rsid w:val="001330DA"/>
    <w:rsid w:val="00144611"/>
    <w:rsid w:val="00172510"/>
    <w:rsid w:val="00176A7C"/>
    <w:rsid w:val="00183231"/>
    <w:rsid w:val="0018325A"/>
    <w:rsid w:val="00197A7A"/>
    <w:rsid w:val="001C6B68"/>
    <w:rsid w:val="001D15A1"/>
    <w:rsid w:val="001E513B"/>
    <w:rsid w:val="001E6D78"/>
    <w:rsid w:val="001F79A3"/>
    <w:rsid w:val="00217E95"/>
    <w:rsid w:val="00233AB3"/>
    <w:rsid w:val="002372EE"/>
    <w:rsid w:val="0024451D"/>
    <w:rsid w:val="002539FF"/>
    <w:rsid w:val="00264F0C"/>
    <w:rsid w:val="0029404F"/>
    <w:rsid w:val="002A49B7"/>
    <w:rsid w:val="002A5AC0"/>
    <w:rsid w:val="002A72B7"/>
    <w:rsid w:val="002C1DD4"/>
    <w:rsid w:val="002D386E"/>
    <w:rsid w:val="002D7BE4"/>
    <w:rsid w:val="002E6DED"/>
    <w:rsid w:val="002F08F7"/>
    <w:rsid w:val="002F4B61"/>
    <w:rsid w:val="00302B03"/>
    <w:rsid w:val="003116D3"/>
    <w:rsid w:val="00311B83"/>
    <w:rsid w:val="003201F2"/>
    <w:rsid w:val="003219B8"/>
    <w:rsid w:val="00367254"/>
    <w:rsid w:val="00394216"/>
    <w:rsid w:val="003A6EEB"/>
    <w:rsid w:val="003B726C"/>
    <w:rsid w:val="003C1D6A"/>
    <w:rsid w:val="003C3945"/>
    <w:rsid w:val="003C776B"/>
    <w:rsid w:val="003D3A2E"/>
    <w:rsid w:val="003E30E7"/>
    <w:rsid w:val="003E55E6"/>
    <w:rsid w:val="003E6004"/>
    <w:rsid w:val="003F78DC"/>
    <w:rsid w:val="004001C0"/>
    <w:rsid w:val="004135FF"/>
    <w:rsid w:val="00433140"/>
    <w:rsid w:val="00441E9B"/>
    <w:rsid w:val="004448A0"/>
    <w:rsid w:val="004475B5"/>
    <w:rsid w:val="00451BB7"/>
    <w:rsid w:val="00453C52"/>
    <w:rsid w:val="00480CEB"/>
    <w:rsid w:val="004816CB"/>
    <w:rsid w:val="004A3E48"/>
    <w:rsid w:val="004B644B"/>
    <w:rsid w:val="004C003C"/>
    <w:rsid w:val="004C098E"/>
    <w:rsid w:val="004E50A4"/>
    <w:rsid w:val="004F32B0"/>
    <w:rsid w:val="004F519B"/>
    <w:rsid w:val="00515127"/>
    <w:rsid w:val="005163CD"/>
    <w:rsid w:val="00522E66"/>
    <w:rsid w:val="00525514"/>
    <w:rsid w:val="0052568C"/>
    <w:rsid w:val="00532380"/>
    <w:rsid w:val="0055153F"/>
    <w:rsid w:val="00553D5B"/>
    <w:rsid w:val="0056165D"/>
    <w:rsid w:val="005616B3"/>
    <w:rsid w:val="005645DF"/>
    <w:rsid w:val="00581F0E"/>
    <w:rsid w:val="00582CFC"/>
    <w:rsid w:val="00585647"/>
    <w:rsid w:val="005859C4"/>
    <w:rsid w:val="005914EC"/>
    <w:rsid w:val="005A6A8A"/>
    <w:rsid w:val="005B141A"/>
    <w:rsid w:val="005D38C4"/>
    <w:rsid w:val="005E08CB"/>
    <w:rsid w:val="005E4BD7"/>
    <w:rsid w:val="005F13CD"/>
    <w:rsid w:val="005F15D9"/>
    <w:rsid w:val="005F5A49"/>
    <w:rsid w:val="00605935"/>
    <w:rsid w:val="006224DA"/>
    <w:rsid w:val="006237DC"/>
    <w:rsid w:val="00640C55"/>
    <w:rsid w:val="00654590"/>
    <w:rsid w:val="00656AFF"/>
    <w:rsid w:val="006578C8"/>
    <w:rsid w:val="00676A64"/>
    <w:rsid w:val="00677842"/>
    <w:rsid w:val="00685DAE"/>
    <w:rsid w:val="00687082"/>
    <w:rsid w:val="00687B5B"/>
    <w:rsid w:val="0069090D"/>
    <w:rsid w:val="00692007"/>
    <w:rsid w:val="006B27C5"/>
    <w:rsid w:val="006D0611"/>
    <w:rsid w:val="006D1243"/>
    <w:rsid w:val="006D2701"/>
    <w:rsid w:val="006D4C56"/>
    <w:rsid w:val="006E03FB"/>
    <w:rsid w:val="006E0597"/>
    <w:rsid w:val="006F11D1"/>
    <w:rsid w:val="006F57A2"/>
    <w:rsid w:val="00705208"/>
    <w:rsid w:val="00707E3D"/>
    <w:rsid w:val="00730EFD"/>
    <w:rsid w:val="0074043C"/>
    <w:rsid w:val="0074554B"/>
    <w:rsid w:val="007520AA"/>
    <w:rsid w:val="007523B9"/>
    <w:rsid w:val="00752CE5"/>
    <w:rsid w:val="007566D2"/>
    <w:rsid w:val="00761247"/>
    <w:rsid w:val="007660BD"/>
    <w:rsid w:val="00792915"/>
    <w:rsid w:val="007A25FE"/>
    <w:rsid w:val="007A3E0A"/>
    <w:rsid w:val="007A40C1"/>
    <w:rsid w:val="007A4662"/>
    <w:rsid w:val="007A5DD8"/>
    <w:rsid w:val="007D4609"/>
    <w:rsid w:val="007D61C6"/>
    <w:rsid w:val="007E01BB"/>
    <w:rsid w:val="007E1095"/>
    <w:rsid w:val="007E682B"/>
    <w:rsid w:val="007F066F"/>
    <w:rsid w:val="007F2189"/>
    <w:rsid w:val="007F75E9"/>
    <w:rsid w:val="0080108E"/>
    <w:rsid w:val="00821366"/>
    <w:rsid w:val="00830743"/>
    <w:rsid w:val="008424E9"/>
    <w:rsid w:val="008479D9"/>
    <w:rsid w:val="00847A01"/>
    <w:rsid w:val="0085033C"/>
    <w:rsid w:val="008531B4"/>
    <w:rsid w:val="0085450D"/>
    <w:rsid w:val="00855FCE"/>
    <w:rsid w:val="008571FA"/>
    <w:rsid w:val="00882EC0"/>
    <w:rsid w:val="00885E1F"/>
    <w:rsid w:val="00890345"/>
    <w:rsid w:val="008917A6"/>
    <w:rsid w:val="008A0672"/>
    <w:rsid w:val="008C0B62"/>
    <w:rsid w:val="008C0ED6"/>
    <w:rsid w:val="008D3B3E"/>
    <w:rsid w:val="008E13EC"/>
    <w:rsid w:val="008E795A"/>
    <w:rsid w:val="008F1B3E"/>
    <w:rsid w:val="008F6288"/>
    <w:rsid w:val="00900C4B"/>
    <w:rsid w:val="00901106"/>
    <w:rsid w:val="009059D1"/>
    <w:rsid w:val="009075B6"/>
    <w:rsid w:val="00913832"/>
    <w:rsid w:val="00915221"/>
    <w:rsid w:val="0091638C"/>
    <w:rsid w:val="00916E10"/>
    <w:rsid w:val="009231F9"/>
    <w:rsid w:val="0092576F"/>
    <w:rsid w:val="00926DB4"/>
    <w:rsid w:val="0092711A"/>
    <w:rsid w:val="00944184"/>
    <w:rsid w:val="00961CCE"/>
    <w:rsid w:val="0096419D"/>
    <w:rsid w:val="00970650"/>
    <w:rsid w:val="00990C3D"/>
    <w:rsid w:val="00991687"/>
    <w:rsid w:val="00992418"/>
    <w:rsid w:val="00992679"/>
    <w:rsid w:val="009B5DF8"/>
    <w:rsid w:val="009B6298"/>
    <w:rsid w:val="009C6CAE"/>
    <w:rsid w:val="009D04FE"/>
    <w:rsid w:val="009E327F"/>
    <w:rsid w:val="009E406F"/>
    <w:rsid w:val="009F2E15"/>
    <w:rsid w:val="00A421EB"/>
    <w:rsid w:val="00A545D2"/>
    <w:rsid w:val="00A66B67"/>
    <w:rsid w:val="00A7276A"/>
    <w:rsid w:val="00A743F3"/>
    <w:rsid w:val="00A74D9A"/>
    <w:rsid w:val="00A84032"/>
    <w:rsid w:val="00A86B4A"/>
    <w:rsid w:val="00A92537"/>
    <w:rsid w:val="00A9661B"/>
    <w:rsid w:val="00A97B52"/>
    <w:rsid w:val="00AC1E01"/>
    <w:rsid w:val="00AD083E"/>
    <w:rsid w:val="00AF1513"/>
    <w:rsid w:val="00AF48AA"/>
    <w:rsid w:val="00B02AC0"/>
    <w:rsid w:val="00B06683"/>
    <w:rsid w:val="00B151E7"/>
    <w:rsid w:val="00B27BE6"/>
    <w:rsid w:val="00B44777"/>
    <w:rsid w:val="00B57F51"/>
    <w:rsid w:val="00B646F3"/>
    <w:rsid w:val="00B7072B"/>
    <w:rsid w:val="00B71AD5"/>
    <w:rsid w:val="00B73D68"/>
    <w:rsid w:val="00B8584A"/>
    <w:rsid w:val="00BA5212"/>
    <w:rsid w:val="00BB0068"/>
    <w:rsid w:val="00BB0531"/>
    <w:rsid w:val="00BC5856"/>
    <w:rsid w:val="00C05D06"/>
    <w:rsid w:val="00C1099D"/>
    <w:rsid w:val="00C21310"/>
    <w:rsid w:val="00C32A03"/>
    <w:rsid w:val="00C44751"/>
    <w:rsid w:val="00C51AD6"/>
    <w:rsid w:val="00C54B96"/>
    <w:rsid w:val="00C55EAC"/>
    <w:rsid w:val="00C56C2C"/>
    <w:rsid w:val="00C763BD"/>
    <w:rsid w:val="00C84858"/>
    <w:rsid w:val="00C84C5F"/>
    <w:rsid w:val="00C87D96"/>
    <w:rsid w:val="00C956F2"/>
    <w:rsid w:val="00CA78A2"/>
    <w:rsid w:val="00CA7CE3"/>
    <w:rsid w:val="00CC18EA"/>
    <w:rsid w:val="00CC4EEB"/>
    <w:rsid w:val="00CE1F4A"/>
    <w:rsid w:val="00CE6A48"/>
    <w:rsid w:val="00CE71F8"/>
    <w:rsid w:val="00D00B3C"/>
    <w:rsid w:val="00D012B6"/>
    <w:rsid w:val="00D01478"/>
    <w:rsid w:val="00D32266"/>
    <w:rsid w:val="00D35563"/>
    <w:rsid w:val="00D35DA4"/>
    <w:rsid w:val="00D43AD0"/>
    <w:rsid w:val="00D561B1"/>
    <w:rsid w:val="00D8375E"/>
    <w:rsid w:val="00D873EA"/>
    <w:rsid w:val="00D91700"/>
    <w:rsid w:val="00DA7BE8"/>
    <w:rsid w:val="00DB0DCC"/>
    <w:rsid w:val="00DB1105"/>
    <w:rsid w:val="00DB6EE3"/>
    <w:rsid w:val="00DC3C80"/>
    <w:rsid w:val="00DE65A8"/>
    <w:rsid w:val="00DF3C5A"/>
    <w:rsid w:val="00DF6E1C"/>
    <w:rsid w:val="00E31AA2"/>
    <w:rsid w:val="00E32C2F"/>
    <w:rsid w:val="00E55D3F"/>
    <w:rsid w:val="00E65216"/>
    <w:rsid w:val="00E73878"/>
    <w:rsid w:val="00EA14A8"/>
    <w:rsid w:val="00EA2D2A"/>
    <w:rsid w:val="00EA62CB"/>
    <w:rsid w:val="00EC6346"/>
    <w:rsid w:val="00ED43AD"/>
    <w:rsid w:val="00ED7FF7"/>
    <w:rsid w:val="00EF2DB6"/>
    <w:rsid w:val="00EF58ED"/>
    <w:rsid w:val="00F07C39"/>
    <w:rsid w:val="00F15A09"/>
    <w:rsid w:val="00F252D4"/>
    <w:rsid w:val="00F34C14"/>
    <w:rsid w:val="00F36346"/>
    <w:rsid w:val="00F37011"/>
    <w:rsid w:val="00F460CD"/>
    <w:rsid w:val="00F540A2"/>
    <w:rsid w:val="00F56862"/>
    <w:rsid w:val="00F72E09"/>
    <w:rsid w:val="00F73677"/>
    <w:rsid w:val="00F75438"/>
    <w:rsid w:val="00F7582E"/>
    <w:rsid w:val="00F764D7"/>
    <w:rsid w:val="00F80DD3"/>
    <w:rsid w:val="00F820C1"/>
    <w:rsid w:val="00F918DC"/>
    <w:rsid w:val="00F9418C"/>
    <w:rsid w:val="00F94406"/>
    <w:rsid w:val="00FA4C9F"/>
    <w:rsid w:val="00FA73F9"/>
    <w:rsid w:val="00FC308A"/>
    <w:rsid w:val="00FC42AA"/>
    <w:rsid w:val="00FE4C0C"/>
    <w:rsid w:val="00FF4674"/>
    <w:rsid w:val="00FF4D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94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901106"/>
    <w:pPr>
      <w:spacing w:before="100" w:beforeAutospacing="1" w:after="100" w:afterAutospacing="1"/>
    </w:pPr>
    <w:rPr>
      <w:rFonts w:ascii="Verdana" w:hAnsi="Verdana"/>
      <w:sz w:val="18"/>
      <w:szCs w:val="18"/>
    </w:rPr>
  </w:style>
  <w:style w:type="paragraph" w:customStyle="1" w:styleId="naislab">
    <w:name w:val="naislab"/>
    <w:basedOn w:val="Normal"/>
    <w:rsid w:val="00901106"/>
    <w:pPr>
      <w:spacing w:before="75" w:after="75"/>
      <w:jc w:val="right"/>
    </w:pPr>
    <w:rPr>
      <w:sz w:val="24"/>
    </w:rPr>
  </w:style>
  <w:style w:type="paragraph" w:customStyle="1" w:styleId="naiskr">
    <w:name w:val="naiskr"/>
    <w:basedOn w:val="Normal"/>
    <w:rsid w:val="00901106"/>
    <w:pPr>
      <w:spacing w:before="75" w:after="75"/>
    </w:pPr>
    <w:rPr>
      <w:sz w:val="24"/>
    </w:rPr>
  </w:style>
  <w:style w:type="character" w:styleId="Hyperlink">
    <w:name w:val="Hyperlink"/>
    <w:basedOn w:val="DefaultParagraphFont"/>
    <w:uiPriority w:val="99"/>
    <w:rsid w:val="00901106"/>
    <w:rPr>
      <w:color w:val="0000FF"/>
      <w:u w:val="single"/>
    </w:rPr>
  </w:style>
  <w:style w:type="paragraph" w:styleId="Header">
    <w:name w:val="header"/>
    <w:basedOn w:val="Normal"/>
    <w:rsid w:val="0011198A"/>
    <w:pPr>
      <w:tabs>
        <w:tab w:val="center" w:pos="4153"/>
        <w:tab w:val="right" w:pos="8306"/>
      </w:tabs>
    </w:pPr>
  </w:style>
  <w:style w:type="paragraph" w:styleId="Footer">
    <w:name w:val="footer"/>
    <w:basedOn w:val="Normal"/>
    <w:rsid w:val="0011198A"/>
    <w:pPr>
      <w:tabs>
        <w:tab w:val="center" w:pos="4153"/>
        <w:tab w:val="right" w:pos="8306"/>
      </w:tabs>
    </w:pPr>
  </w:style>
  <w:style w:type="paragraph" w:customStyle="1" w:styleId="naisf">
    <w:name w:val="naisf"/>
    <w:basedOn w:val="Normal"/>
    <w:rsid w:val="00F918DC"/>
    <w:pPr>
      <w:spacing w:before="75" w:after="75"/>
      <w:ind w:firstLine="375"/>
      <w:jc w:val="both"/>
    </w:pPr>
    <w:rPr>
      <w:sz w:val="24"/>
    </w:rPr>
  </w:style>
  <w:style w:type="character" w:styleId="PageNumber">
    <w:name w:val="page number"/>
    <w:basedOn w:val="DefaultParagraphFont"/>
    <w:rsid w:val="006E0597"/>
  </w:style>
  <w:style w:type="paragraph" w:styleId="BodyText">
    <w:name w:val="Body Text"/>
    <w:basedOn w:val="Normal"/>
    <w:rsid w:val="00127BD5"/>
    <w:pPr>
      <w:spacing w:line="360" w:lineRule="auto"/>
      <w:jc w:val="both"/>
    </w:pPr>
    <w:rPr>
      <w:lang w:eastAsia="en-US"/>
    </w:rPr>
  </w:style>
  <w:style w:type="paragraph" w:styleId="BalloonText">
    <w:name w:val="Balloon Text"/>
    <w:basedOn w:val="Normal"/>
    <w:link w:val="BalloonTextChar"/>
    <w:rsid w:val="00BC5856"/>
    <w:rPr>
      <w:rFonts w:ascii="Tahoma" w:hAnsi="Tahoma" w:cs="Tahoma"/>
      <w:sz w:val="16"/>
      <w:szCs w:val="16"/>
    </w:rPr>
  </w:style>
  <w:style w:type="character" w:customStyle="1" w:styleId="BalloonTextChar">
    <w:name w:val="Balloon Text Char"/>
    <w:basedOn w:val="DefaultParagraphFont"/>
    <w:link w:val="BalloonText"/>
    <w:rsid w:val="00BC5856"/>
    <w:rPr>
      <w:rFonts w:ascii="Tahoma" w:hAnsi="Tahoma" w:cs="Tahoma"/>
      <w:sz w:val="16"/>
      <w:szCs w:val="16"/>
    </w:rPr>
  </w:style>
  <w:style w:type="character" w:customStyle="1" w:styleId="NormalWebChar">
    <w:name w:val="Normal (Web) Char"/>
    <w:basedOn w:val="DefaultParagraphFont"/>
    <w:link w:val="NormalWeb"/>
    <w:locked/>
    <w:rsid w:val="00BC5856"/>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213348766">
      <w:bodyDiv w:val="1"/>
      <w:marLeft w:val="0"/>
      <w:marRight w:val="0"/>
      <w:marTop w:val="0"/>
      <w:marBottom w:val="0"/>
      <w:divBdr>
        <w:top w:val="none" w:sz="0" w:space="0" w:color="auto"/>
        <w:left w:val="none" w:sz="0" w:space="0" w:color="auto"/>
        <w:bottom w:val="none" w:sz="0" w:space="0" w:color="auto"/>
        <w:right w:val="none" w:sz="0" w:space="0" w:color="auto"/>
      </w:divBdr>
      <w:divsChild>
        <w:div w:id="7320426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49899779">
      <w:bodyDiv w:val="1"/>
      <w:marLeft w:val="0"/>
      <w:marRight w:val="0"/>
      <w:marTop w:val="0"/>
      <w:marBottom w:val="0"/>
      <w:divBdr>
        <w:top w:val="none" w:sz="0" w:space="0" w:color="auto"/>
        <w:left w:val="none" w:sz="0" w:space="0" w:color="auto"/>
        <w:bottom w:val="none" w:sz="0" w:space="0" w:color="auto"/>
        <w:right w:val="none" w:sz="0" w:space="0" w:color="auto"/>
      </w:divBdr>
      <w:divsChild>
        <w:div w:id="5225957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37733608">
      <w:bodyDiv w:val="1"/>
      <w:marLeft w:val="0"/>
      <w:marRight w:val="0"/>
      <w:marTop w:val="0"/>
      <w:marBottom w:val="0"/>
      <w:divBdr>
        <w:top w:val="none" w:sz="0" w:space="0" w:color="auto"/>
        <w:left w:val="none" w:sz="0" w:space="0" w:color="auto"/>
        <w:bottom w:val="none" w:sz="0" w:space="0" w:color="auto"/>
        <w:right w:val="none" w:sz="0" w:space="0" w:color="auto"/>
      </w:divBdr>
    </w:div>
    <w:div w:id="1236890244">
      <w:bodyDiv w:val="1"/>
      <w:marLeft w:val="0"/>
      <w:marRight w:val="0"/>
      <w:marTop w:val="0"/>
      <w:marBottom w:val="0"/>
      <w:divBdr>
        <w:top w:val="none" w:sz="0" w:space="0" w:color="auto"/>
        <w:left w:val="none" w:sz="0" w:space="0" w:color="auto"/>
        <w:bottom w:val="none" w:sz="0" w:space="0" w:color="auto"/>
        <w:right w:val="none" w:sz="0" w:space="0" w:color="auto"/>
      </w:divBdr>
      <w:divsChild>
        <w:div w:id="11243484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2321222">
      <w:bodyDiv w:val="1"/>
      <w:marLeft w:val="0"/>
      <w:marRight w:val="0"/>
      <w:marTop w:val="0"/>
      <w:marBottom w:val="0"/>
      <w:divBdr>
        <w:top w:val="none" w:sz="0" w:space="0" w:color="auto"/>
        <w:left w:val="none" w:sz="0" w:space="0" w:color="auto"/>
        <w:bottom w:val="none" w:sz="0" w:space="0" w:color="auto"/>
        <w:right w:val="none" w:sz="0" w:space="0" w:color="auto"/>
      </w:divBdr>
      <w:divsChild>
        <w:div w:id="906682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67661803">
      <w:bodyDiv w:val="1"/>
      <w:marLeft w:val="0"/>
      <w:marRight w:val="0"/>
      <w:marTop w:val="0"/>
      <w:marBottom w:val="0"/>
      <w:divBdr>
        <w:top w:val="none" w:sz="0" w:space="0" w:color="auto"/>
        <w:left w:val="none" w:sz="0" w:space="0" w:color="auto"/>
        <w:bottom w:val="none" w:sz="0" w:space="0" w:color="auto"/>
        <w:right w:val="none" w:sz="0" w:space="0" w:color="auto"/>
      </w:divBdr>
      <w:divsChild>
        <w:div w:id="6130979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35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E2589-BC22-476F-8693-1E83B3AA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1936</Words>
  <Characters>1104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Par Ministru kabineta 2003.gada 25.februāra noteikumu Nr.94 „Aizsargjoslu noteikšanas metodika ūdens akvatorijās augšpus un lejup aizsprostiem” atzīšanu par spēku zaudējušiem</vt:lpstr>
    </vt:vector>
  </TitlesOfParts>
  <Company>LR Ekonomikas ministrija</Company>
  <LinksUpToDate>false</LinksUpToDate>
  <CharactersWithSpaces>3034</CharactersWithSpaces>
  <SharedDoc>false</SharedDoc>
  <HLinks>
    <vt:vector size="6" baseType="variant">
      <vt:variant>
        <vt:i4>1376294</vt:i4>
      </vt:variant>
      <vt:variant>
        <vt:i4>0</vt:i4>
      </vt:variant>
      <vt:variant>
        <vt:i4>0</vt:i4>
      </vt:variant>
      <vt:variant>
        <vt:i4>5</vt:i4>
      </vt:variant>
      <vt:variant>
        <vt:lpwstr>mailto:Agnese.Laizane@em.gov.lv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2003.gada 25.februāra noteikumu Nr.94 „Aizsargjoslu noteikšanas metodika ūdens akvatorijās augšpus un lejup aizsprostiem” atzīšanu par spēku zaudējušiem</dc:title>
  <dc:subject>Ministru kabineta noteikumu projekts </dc:subject>
  <dc:creator>Janis Bunkovskis</dc:creator>
  <cp:keywords/>
  <dc:description>67013170, 
Janis.Bunkovskis@em.gov.lv </dc:description>
  <cp:lastModifiedBy>BunkovskisJ</cp:lastModifiedBy>
  <cp:revision>8</cp:revision>
  <cp:lastPrinted>2011-02-04T13:42:00Z</cp:lastPrinted>
  <dcterms:created xsi:type="dcterms:W3CDTF">2011-07-21T08:51:00Z</dcterms:created>
  <dcterms:modified xsi:type="dcterms:W3CDTF">2011-10-11T11:17:00Z</dcterms:modified>
</cp:coreProperties>
</file>