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46" w:rsidRPr="00A666C2" w:rsidRDefault="00802846" w:rsidP="000A5A35">
      <w:pPr>
        <w:jc w:val="center"/>
        <w:rPr>
          <w:b/>
        </w:rPr>
      </w:pPr>
      <w:r w:rsidRPr="00A666C2">
        <w:rPr>
          <w:b/>
        </w:rPr>
        <w:t>Likumprojekta „Grozījum</w:t>
      </w:r>
      <w:r w:rsidR="00605624">
        <w:rPr>
          <w:b/>
        </w:rPr>
        <w:t>i</w:t>
      </w:r>
      <w:r w:rsidRPr="00A666C2">
        <w:rPr>
          <w:b/>
        </w:rPr>
        <w:t xml:space="preserve"> likumā „Par nodokļiem un nodevām””</w:t>
      </w:r>
    </w:p>
    <w:p w:rsidR="00802846" w:rsidRPr="00A666C2" w:rsidRDefault="00802846" w:rsidP="000D7206">
      <w:pPr>
        <w:jc w:val="center"/>
        <w:rPr>
          <w:b/>
          <w:bCs/>
        </w:rPr>
      </w:pPr>
      <w:r w:rsidRPr="00A666C2">
        <w:rPr>
          <w:b/>
          <w:bCs/>
        </w:rPr>
        <w:t xml:space="preserve">sākotnējās ietekmes novērtējuma </w:t>
      </w:r>
      <w:smartTag w:uri="schemas-tilde-lv/tildestengine" w:element="veidnes">
        <w:smartTagPr>
          <w:attr w:name="text" w:val="ziņojums"/>
          <w:attr w:name="baseform" w:val="ziņojums"/>
          <w:attr w:name="id" w:val="-1"/>
        </w:smartTagPr>
        <w:r w:rsidRPr="00A666C2">
          <w:rPr>
            <w:b/>
            <w:bCs/>
          </w:rPr>
          <w:t>ziņojums</w:t>
        </w:r>
      </w:smartTag>
      <w:r w:rsidRPr="00A666C2">
        <w:rPr>
          <w:b/>
          <w:bCs/>
        </w:rPr>
        <w:t xml:space="preserve"> (anotācija)</w:t>
      </w:r>
    </w:p>
    <w:p w:rsidR="00802846" w:rsidRPr="00A666C2" w:rsidRDefault="00802846" w:rsidP="000D7206">
      <w:pPr>
        <w:jc w:val="center"/>
        <w:rPr>
          <w:b/>
        </w:rPr>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6"/>
        <w:gridCol w:w="1978"/>
        <w:gridCol w:w="7395"/>
      </w:tblGrid>
      <w:tr w:rsidR="00802846" w:rsidRPr="00A666C2" w:rsidTr="00605624">
        <w:tc>
          <w:tcPr>
            <w:tcW w:w="5000" w:type="pct"/>
            <w:gridSpan w:val="3"/>
            <w:tcBorders>
              <w:top w:val="single" w:sz="6" w:space="0" w:color="auto"/>
              <w:left w:val="single" w:sz="6" w:space="0" w:color="auto"/>
              <w:bottom w:val="outset" w:sz="6" w:space="0" w:color="000000"/>
              <w:right w:val="single" w:sz="6" w:space="0" w:color="auto"/>
            </w:tcBorders>
            <w:vAlign w:val="center"/>
          </w:tcPr>
          <w:p w:rsidR="00802846" w:rsidRPr="00A666C2" w:rsidRDefault="00802846" w:rsidP="000D7206">
            <w:pPr>
              <w:spacing w:before="100" w:beforeAutospacing="1" w:after="100" w:afterAutospacing="1"/>
              <w:jc w:val="center"/>
              <w:rPr>
                <w:b/>
                <w:bCs/>
              </w:rPr>
            </w:pPr>
            <w:r w:rsidRPr="00A666C2">
              <w:rPr>
                <w:b/>
                <w:bCs/>
              </w:rPr>
              <w:t>I. Tiesību akta projekta izstrādes nepieciešamība</w:t>
            </w:r>
          </w:p>
        </w:tc>
      </w:tr>
      <w:tr w:rsidR="00802846" w:rsidRPr="00A666C2" w:rsidTr="00605624">
        <w:tc>
          <w:tcPr>
            <w:tcW w:w="153"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1.</w:t>
            </w:r>
          </w:p>
        </w:tc>
        <w:tc>
          <w:tcPr>
            <w:tcW w:w="1023" w:type="pct"/>
            <w:tcBorders>
              <w:top w:val="outset" w:sz="6" w:space="0" w:color="000000"/>
              <w:left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Pamatojums</w:t>
            </w:r>
          </w:p>
        </w:tc>
        <w:tc>
          <w:tcPr>
            <w:tcW w:w="3824" w:type="pct"/>
            <w:tcBorders>
              <w:top w:val="outset" w:sz="6" w:space="0" w:color="000000"/>
              <w:left w:val="outset" w:sz="6" w:space="0" w:color="000000"/>
              <w:bottom w:val="outset" w:sz="6" w:space="0" w:color="000000"/>
            </w:tcBorders>
          </w:tcPr>
          <w:p w:rsidR="00405E7C" w:rsidRPr="00B859E9" w:rsidRDefault="00405E7C" w:rsidP="00405E7C">
            <w:pPr>
              <w:jc w:val="both"/>
              <w:rPr>
                <w:b/>
              </w:rPr>
            </w:pPr>
            <w:r w:rsidRPr="00B859E9">
              <w:rPr>
                <w:b/>
              </w:rPr>
              <w:t>Sagatavotā likumprojekta izskatīšana ir steidzama, ņemot vērā sekojošus faktorus:</w:t>
            </w:r>
          </w:p>
          <w:p w:rsidR="00405E7C" w:rsidRDefault="00405E7C" w:rsidP="00405E7C">
            <w:pPr>
              <w:pStyle w:val="BodyText"/>
              <w:spacing w:after="0"/>
              <w:ind w:firstLine="0"/>
              <w:rPr>
                <w:rFonts w:cs="Times New Roman"/>
                <w:color w:val="2A2A2A"/>
                <w:sz w:val="24"/>
                <w:lang w:val="lv-LV"/>
              </w:rPr>
            </w:pPr>
            <w:r>
              <w:rPr>
                <w:rFonts w:cs="Times New Roman"/>
                <w:sz w:val="24"/>
                <w:lang w:val="lv-LV"/>
              </w:rPr>
              <w:t>1</w:t>
            </w:r>
            <w:r w:rsidRPr="00B859E9">
              <w:rPr>
                <w:rFonts w:cs="Times New Roman"/>
                <w:sz w:val="24"/>
                <w:lang w:val="lv-LV"/>
              </w:rPr>
              <w:t xml:space="preserve">) </w:t>
            </w:r>
            <w:r w:rsidRPr="00B859E9">
              <w:rPr>
                <w:rFonts w:cs="Times New Roman"/>
                <w:color w:val="000000"/>
                <w:sz w:val="24"/>
                <w:lang w:val="lv-LV"/>
              </w:rPr>
              <w:t xml:space="preserve">Ministru kabineta 2013. gada 13. augusta sēdē pieņemts zināšanai informatīvais ziņojums „Komplekss risinājums elektroenerģijas tirgus problemātikai” (turpmāk – Ziņojums) (prot.Nr.44, 156.§) un </w:t>
            </w:r>
            <w:r w:rsidRPr="00B859E9">
              <w:rPr>
                <w:rFonts w:cs="Times New Roman"/>
                <w:color w:val="2A2A2A"/>
                <w:sz w:val="24"/>
                <w:lang w:val="lv-LV"/>
              </w:rPr>
              <w:t xml:space="preserve">pamatā tika atbalstīti Ziņojumā ietvertie risinājumi, kuru tālākai virzībai un realizācijai nepieciešami steidzama tiesiskā regulējuma ietvara izveide (viens no tiem ir </w:t>
            </w:r>
            <w:r w:rsidRPr="00B859E9">
              <w:rPr>
                <w:sz w:val="24"/>
                <w:lang w:val="lv-LV"/>
              </w:rPr>
              <w:t>likumprojekts „Grozījums likumā „Par palīdzību dzīvokļa jautājumu risināšanā””</w:t>
            </w:r>
            <w:r w:rsidRPr="00B859E9">
              <w:rPr>
                <w:rFonts w:cs="Times New Roman"/>
                <w:color w:val="2A2A2A"/>
                <w:sz w:val="24"/>
                <w:lang w:val="lv-LV"/>
              </w:rPr>
              <w:t>)</w:t>
            </w:r>
            <w:r>
              <w:rPr>
                <w:rFonts w:cs="Times New Roman"/>
                <w:color w:val="2A2A2A"/>
                <w:sz w:val="24"/>
                <w:lang w:val="lv-LV"/>
              </w:rPr>
              <w:t>.</w:t>
            </w:r>
          </w:p>
          <w:p w:rsidR="00405E7C" w:rsidRPr="00B859E9" w:rsidRDefault="00405E7C" w:rsidP="00405E7C">
            <w:pPr>
              <w:pStyle w:val="BodyText"/>
              <w:spacing w:after="0"/>
              <w:ind w:firstLine="0"/>
              <w:rPr>
                <w:rFonts w:cs="Times New Roman"/>
                <w:sz w:val="24"/>
                <w:lang w:val="lv-LV"/>
              </w:rPr>
            </w:pPr>
            <w:r>
              <w:rPr>
                <w:sz w:val="24"/>
              </w:rPr>
              <w:t>2</w:t>
            </w:r>
            <w:r w:rsidRPr="00B859E9">
              <w:rPr>
                <w:sz w:val="24"/>
              </w:rPr>
              <w:t xml:space="preserve">) </w:t>
            </w:r>
            <w:r w:rsidR="00136132" w:rsidRPr="00B859E9">
              <w:rPr>
                <w:sz w:val="24"/>
                <w:lang w:val="lv-LV"/>
              </w:rPr>
              <w:t>Atbilstoši Ministru kabineta 2013. gada 13. augusta sēdes protokollēmuma Nr.44, 156</w:t>
            </w:r>
            <w:r w:rsidR="00136132" w:rsidRPr="00B859E9">
              <w:rPr>
                <w:color w:val="000000"/>
                <w:sz w:val="24"/>
                <w:lang w:val="lv-LV"/>
              </w:rPr>
              <w:t>.§ 8. punktam j</w:t>
            </w:r>
            <w:r w:rsidR="00136132" w:rsidRPr="00B859E9">
              <w:rPr>
                <w:sz w:val="24"/>
                <w:lang w:val="lv-LV"/>
              </w:rPr>
              <w:t xml:space="preserve">autājumu par kompleksiem risinājumiem </w:t>
            </w:r>
            <w:r w:rsidR="00136132" w:rsidRPr="00DF04F1">
              <w:rPr>
                <w:color w:val="000000" w:themeColor="text1"/>
                <w:sz w:val="24"/>
                <w:lang w:val="lv-LV"/>
              </w:rPr>
              <w:t xml:space="preserve">elektroenerģijas tirgus problemātikai uzdots turpināt izskatīt Ministru kabinetā valsts budžeta projekta 2014. gadam sagatavošanas procesā. Atbilstoši </w:t>
            </w:r>
            <w:r w:rsidR="00136132" w:rsidRPr="00DF04F1">
              <w:rPr>
                <w:rFonts w:cs="Times New Roman"/>
                <w:color w:val="000000" w:themeColor="text1"/>
                <w:sz w:val="24"/>
                <w:lang w:val="lv-LV"/>
              </w:rPr>
              <w:t xml:space="preserve">valsts budžeta virzības laika grafikam valsts budžets Ministru kabinetam ir jāpieņem </w:t>
            </w:r>
            <w:r w:rsidR="00136132" w:rsidRPr="00E72B15">
              <w:rPr>
                <w:rFonts w:cs="Times New Roman"/>
                <w:b/>
                <w:color w:val="000000" w:themeColor="text1"/>
                <w:sz w:val="24"/>
                <w:lang w:val="lv-LV"/>
              </w:rPr>
              <w:t>līdz 2013. gada 1. oktobrim</w:t>
            </w:r>
            <w:r w:rsidR="00136132" w:rsidRPr="00DF04F1">
              <w:rPr>
                <w:rFonts w:cs="Times New Roman"/>
                <w:color w:val="000000" w:themeColor="text1"/>
                <w:sz w:val="24"/>
                <w:lang w:val="lv-LV"/>
              </w:rPr>
              <w:t xml:space="preserve"> (atbilstoši Ministru kabineta 2013. gada 27. augusta sēdē nolemtajam, prot.Nr.46, </w:t>
            </w:r>
            <w:bookmarkStart w:id="0" w:name="102"/>
            <w:r w:rsidR="00136132" w:rsidRPr="00DF04F1">
              <w:rPr>
                <w:rFonts w:cs="Times New Roman"/>
                <w:bCs/>
                <w:color w:val="000000" w:themeColor="text1"/>
                <w:sz w:val="24"/>
                <w:lang w:val="lv-LV"/>
              </w:rPr>
              <w:t>102. §</w:t>
            </w:r>
            <w:bookmarkEnd w:id="0"/>
            <w:r w:rsidR="00136132" w:rsidRPr="00DF04F1">
              <w:rPr>
                <w:rFonts w:cs="Times New Roman"/>
                <w:bCs/>
                <w:color w:val="000000" w:themeColor="text1"/>
                <w:sz w:val="24"/>
                <w:lang w:val="lv-LV"/>
              </w:rPr>
              <w:t xml:space="preserve"> 44. punkts</w:t>
            </w:r>
            <w:r w:rsidR="00136132" w:rsidRPr="00DF04F1">
              <w:rPr>
                <w:rFonts w:cs="Times New Roman"/>
                <w:color w:val="000000" w:themeColor="text1"/>
                <w:sz w:val="24"/>
                <w:lang w:val="lv-LV"/>
              </w:rPr>
              <w:t>).</w:t>
            </w:r>
            <w:r w:rsidR="00136132">
              <w:rPr>
                <w:rFonts w:cs="Times New Roman"/>
                <w:color w:val="000000" w:themeColor="text1"/>
                <w:sz w:val="24"/>
                <w:lang w:val="lv-LV"/>
              </w:rPr>
              <w:t xml:space="preserve"> </w:t>
            </w:r>
            <w:r w:rsidR="00136132" w:rsidRPr="00DF04F1">
              <w:rPr>
                <w:rFonts w:cs="Times New Roman"/>
                <w:color w:val="000000" w:themeColor="text1"/>
                <w:sz w:val="24"/>
                <w:lang w:val="lv-LV"/>
              </w:rPr>
              <w:t xml:space="preserve">Savukārt Ministru kabineta 2013. gada 27. augusta sēdes </w:t>
            </w:r>
            <w:proofErr w:type="spellStart"/>
            <w:r w:rsidR="00136132" w:rsidRPr="00DF04F1">
              <w:rPr>
                <w:rFonts w:cs="Times New Roman"/>
                <w:color w:val="000000" w:themeColor="text1"/>
                <w:sz w:val="24"/>
                <w:lang w:val="lv-LV"/>
              </w:rPr>
              <w:t>prot</w:t>
            </w:r>
            <w:proofErr w:type="spellEnd"/>
            <w:r w:rsidR="00136132" w:rsidRPr="00DF04F1">
              <w:rPr>
                <w:rFonts w:cs="Times New Roman"/>
                <w:color w:val="000000" w:themeColor="text1"/>
                <w:sz w:val="24"/>
                <w:lang w:val="lv-LV"/>
              </w:rPr>
              <w:t>.</w:t>
            </w:r>
            <w:r w:rsidR="00136132">
              <w:rPr>
                <w:rFonts w:cs="Times New Roman"/>
                <w:color w:val="000000" w:themeColor="text1"/>
                <w:sz w:val="24"/>
                <w:lang w:val="lv-LV"/>
              </w:rPr>
              <w:t xml:space="preserve"> </w:t>
            </w:r>
            <w:r w:rsidR="00136132" w:rsidRPr="00DF04F1">
              <w:rPr>
                <w:rFonts w:cs="Times New Roman"/>
                <w:color w:val="000000" w:themeColor="text1"/>
                <w:sz w:val="24"/>
                <w:lang w:val="lv-LV"/>
              </w:rPr>
              <w:t xml:space="preserve">Nr.46, </w:t>
            </w:r>
            <w:r w:rsidR="00136132" w:rsidRPr="00DF04F1">
              <w:rPr>
                <w:rFonts w:cs="Times New Roman"/>
                <w:bCs/>
                <w:color w:val="000000" w:themeColor="text1"/>
                <w:sz w:val="24"/>
                <w:lang w:val="lv-LV"/>
              </w:rPr>
              <w:t xml:space="preserve">102. § 17. punktā noteikts, ka </w:t>
            </w:r>
            <w:r w:rsidR="00136132" w:rsidRPr="00DF04F1">
              <w:rPr>
                <w:rFonts w:cs="Times New Roman"/>
                <w:color w:val="000000" w:themeColor="text1"/>
                <w:sz w:val="24"/>
                <w:lang w:val="lv-LV"/>
              </w:rPr>
              <w:t>Ekonomikas ministrijai jāsagatavo un līdz 2013.</w:t>
            </w:r>
            <w:r w:rsidR="00136132">
              <w:rPr>
                <w:rFonts w:cs="Times New Roman"/>
                <w:color w:val="000000" w:themeColor="text1"/>
                <w:sz w:val="24"/>
                <w:lang w:val="lv-LV"/>
              </w:rPr>
              <w:t> </w:t>
            </w:r>
            <w:r w:rsidR="00136132" w:rsidRPr="00DF04F1">
              <w:rPr>
                <w:rFonts w:cs="Times New Roman"/>
                <w:color w:val="000000" w:themeColor="text1"/>
                <w:sz w:val="24"/>
                <w:lang w:val="lv-LV"/>
              </w:rPr>
              <w:t>gada 11.</w:t>
            </w:r>
            <w:r w:rsidR="00136132">
              <w:rPr>
                <w:rFonts w:cs="Times New Roman"/>
                <w:color w:val="000000" w:themeColor="text1"/>
                <w:sz w:val="24"/>
                <w:lang w:val="lv-LV"/>
              </w:rPr>
              <w:t> </w:t>
            </w:r>
            <w:r w:rsidR="00136132" w:rsidRPr="00DF04F1">
              <w:rPr>
                <w:rFonts w:cs="Times New Roman"/>
                <w:color w:val="000000" w:themeColor="text1"/>
                <w:sz w:val="24"/>
                <w:lang w:val="lv-LV"/>
              </w:rPr>
              <w:t>septembrim jāiesniedz Ministru kabinetā nepieciešamos likumprojektus, lai nodrošinātu subsidētās enerģijas nodokļa ieviešanu un Elektroenerģijas lietotāju atbalsta fonda darbību.</w:t>
            </w:r>
          </w:p>
          <w:p w:rsidR="00405E7C" w:rsidRPr="00B859E9" w:rsidRDefault="00405E7C" w:rsidP="00405E7C">
            <w:pPr>
              <w:pStyle w:val="BodyText"/>
              <w:spacing w:after="0"/>
              <w:ind w:firstLine="0"/>
              <w:rPr>
                <w:sz w:val="24"/>
                <w:lang w:val="lv-LV"/>
              </w:rPr>
            </w:pPr>
            <w:r w:rsidRPr="00B859E9">
              <w:rPr>
                <w:rFonts w:cs="Times New Roman"/>
                <w:color w:val="2A2A2A"/>
                <w:sz w:val="24"/>
                <w:lang w:val="lv-LV"/>
              </w:rPr>
              <w:t xml:space="preserve">3) Ar </w:t>
            </w:r>
            <w:r w:rsidRPr="00405E7C">
              <w:rPr>
                <w:sz w:val="24"/>
                <w:lang w:val="lv-LV"/>
              </w:rPr>
              <w:t>likumprojektu „</w:t>
            </w:r>
            <w:r w:rsidRPr="00405E7C">
              <w:rPr>
                <w:sz w:val="24"/>
              </w:rPr>
              <w:t xml:space="preserve">Grozījumi likumā „Par </w:t>
            </w:r>
            <w:proofErr w:type="spellStart"/>
            <w:r w:rsidRPr="00405E7C">
              <w:rPr>
                <w:sz w:val="24"/>
              </w:rPr>
              <w:t>nodokļiem</w:t>
            </w:r>
            <w:proofErr w:type="spellEnd"/>
            <w:r w:rsidRPr="00405E7C">
              <w:rPr>
                <w:sz w:val="24"/>
              </w:rPr>
              <w:t xml:space="preserve"> un </w:t>
            </w:r>
            <w:proofErr w:type="spellStart"/>
            <w:r w:rsidRPr="00405E7C">
              <w:rPr>
                <w:sz w:val="24"/>
              </w:rPr>
              <w:t>nodevām</w:t>
            </w:r>
            <w:proofErr w:type="spellEnd"/>
            <w:r w:rsidRPr="00405E7C">
              <w:rPr>
                <w:sz w:val="24"/>
              </w:rPr>
              <w:t>”</w:t>
            </w:r>
            <w:r w:rsidRPr="00405E7C">
              <w:rPr>
                <w:sz w:val="24"/>
                <w:lang w:val="lv-LV"/>
              </w:rPr>
              <w:t>” saistītā Subsidētās elektroenerģijas nodokļa ieviešanas paredzamais termiņš ir 2014. gada 1. janvāris, savukārt pilnīga elektroenerģijas liberalizāciju paredzētās veikt 2014. gada pirmajā pusgadā. Ņemot vērā minēto, nepieciešams radīt</w:t>
            </w:r>
            <w:r w:rsidRPr="00B859E9">
              <w:rPr>
                <w:sz w:val="24"/>
                <w:lang w:val="lv-LV"/>
              </w:rPr>
              <w:t xml:space="preserve"> tiesisko ietvaru </w:t>
            </w:r>
            <w:r w:rsidRPr="00405E7C">
              <w:rPr>
                <w:sz w:val="24"/>
                <w:lang w:val="lv-LV"/>
              </w:rPr>
              <w:t>Subsidētās ele</w:t>
            </w:r>
            <w:r>
              <w:rPr>
                <w:sz w:val="24"/>
                <w:lang w:val="lv-LV"/>
              </w:rPr>
              <w:t>ktroenerģijas nodokļa ieviešanai</w:t>
            </w:r>
            <w:r w:rsidRPr="00B859E9">
              <w:rPr>
                <w:sz w:val="24"/>
                <w:lang w:val="lv-LV"/>
              </w:rPr>
              <w:t>.</w:t>
            </w:r>
          </w:p>
          <w:p w:rsidR="00405E7C" w:rsidRPr="00B859E9" w:rsidRDefault="00405E7C" w:rsidP="00405E7C">
            <w:pPr>
              <w:jc w:val="both"/>
            </w:pPr>
            <w:r w:rsidRPr="00B859E9">
              <w:t xml:space="preserve">Kompleksos risinājumus veido četri virzieni, proti, elektroenerģijas tirgus liberalizācija, sociālais atbalsts </w:t>
            </w:r>
            <w:r w:rsidR="00C37F85">
              <w:t>maznodrošinātajiem</w:t>
            </w:r>
            <w:r w:rsidRPr="00B859E9">
              <w:t xml:space="preserve">, </w:t>
            </w:r>
            <w:r w:rsidR="00A34EF5">
              <w:t>elektroenerģijas obligātā iepirkuma ieņēmumu administrēšana</w:t>
            </w:r>
            <w:r w:rsidR="00A34EF5" w:rsidRPr="00B859E9">
              <w:t xml:space="preserve"> </w:t>
            </w:r>
            <w:r w:rsidRPr="00B859E9">
              <w:t>izveide, Subsidētās elektroenerģijas nodokļa izveidošana.</w:t>
            </w:r>
          </w:p>
          <w:p w:rsidR="00916D60" w:rsidRPr="00D95700" w:rsidRDefault="00916D60" w:rsidP="00916D60">
            <w:pPr>
              <w:jc w:val="both"/>
            </w:pPr>
            <w:r w:rsidRPr="00D95700">
              <w:t xml:space="preserve">Ņemot vērā minēto ir izstrādāts </w:t>
            </w:r>
            <w:r w:rsidR="00B82FAA" w:rsidRPr="00405E7C">
              <w:t>likumprojekt</w:t>
            </w:r>
            <w:r w:rsidR="00B82FAA">
              <w:t>s</w:t>
            </w:r>
            <w:r w:rsidR="00B82FAA" w:rsidRPr="00405E7C">
              <w:t xml:space="preserve"> „Grozījumi likumā „Par nodokļiem un nodevām””</w:t>
            </w:r>
            <w:r w:rsidR="00B82FAA">
              <w:t>, kā</w:t>
            </w:r>
            <w:r w:rsidR="00B82FAA" w:rsidRPr="00405E7C">
              <w:t xml:space="preserve"> </w:t>
            </w:r>
            <w:r w:rsidR="00405E7C">
              <w:t xml:space="preserve">arī saistītais </w:t>
            </w:r>
            <w:r w:rsidRPr="00D95700">
              <w:t xml:space="preserve">likumprojekts „Subsidētās elektroenerģijas nodokļa likums”. </w:t>
            </w:r>
          </w:p>
          <w:p w:rsidR="00BC0265" w:rsidRPr="00F907EC" w:rsidRDefault="00916D60" w:rsidP="00916D60">
            <w:pPr>
              <w:jc w:val="both"/>
            </w:pPr>
            <w:r w:rsidRPr="00D95700">
              <w:t>Vienlaikus vairākas Eiropas Savienības valstis ir izveidojušas līdzīgus nodokļus (skatīt anotācijas I sadaļas 7.punktu).</w:t>
            </w:r>
          </w:p>
        </w:tc>
      </w:tr>
      <w:tr w:rsidR="00802846" w:rsidRPr="00A666C2" w:rsidTr="00F74DE7">
        <w:trPr>
          <w:trHeight w:val="2507"/>
        </w:trPr>
        <w:tc>
          <w:tcPr>
            <w:tcW w:w="153"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2.</w:t>
            </w:r>
          </w:p>
        </w:tc>
        <w:tc>
          <w:tcPr>
            <w:tcW w:w="1023" w:type="pct"/>
            <w:tcBorders>
              <w:top w:val="outset" w:sz="6" w:space="0" w:color="000000"/>
              <w:left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Pašreizējā situācija un problēmas</w:t>
            </w:r>
          </w:p>
        </w:tc>
        <w:tc>
          <w:tcPr>
            <w:tcW w:w="3824" w:type="pct"/>
            <w:tcBorders>
              <w:top w:val="outset" w:sz="6" w:space="0" w:color="000000"/>
              <w:left w:val="outset" w:sz="6" w:space="0" w:color="000000"/>
              <w:bottom w:val="outset" w:sz="6" w:space="0" w:color="000000"/>
            </w:tcBorders>
          </w:tcPr>
          <w:p w:rsidR="00BB5CAF" w:rsidRDefault="00BB5CAF" w:rsidP="00BB5CAF">
            <w:pPr>
              <w:jc w:val="both"/>
              <w:rPr>
                <w:color w:val="000000" w:themeColor="text1"/>
                <w:szCs w:val="28"/>
              </w:rPr>
            </w:pPr>
            <w:r w:rsidRPr="007C1BFA">
              <w:rPr>
                <w:bCs/>
                <w:color w:val="000000" w:themeColor="text1"/>
                <w:szCs w:val="28"/>
              </w:rPr>
              <w:t>Ņemot vērā to, ka visas atbalsta mehānisma</w:t>
            </w:r>
            <w:r w:rsidR="00CA6BA3">
              <w:rPr>
                <w:bCs/>
                <w:color w:val="000000" w:themeColor="text1"/>
                <w:szCs w:val="28"/>
              </w:rPr>
              <w:t>, ka īstenots obligātā elektroenerģijas iepirkuma veidā vai garantētas maksas veidā</w:t>
            </w:r>
            <w:r w:rsidRPr="007C1BFA">
              <w:rPr>
                <w:bCs/>
                <w:color w:val="000000" w:themeColor="text1"/>
                <w:szCs w:val="28"/>
              </w:rPr>
              <w:t xml:space="preserve"> izmaksas sedz elektroenerģijas galalietotāji, līdzšinējais un turpmāk prognozētais straujais izmaksu kāpums negatīvi ietekmē gan iedzīvotāju ar zemiem ienākumiem, gan arī uzņēmumu maksātspēju</w:t>
            </w:r>
            <w:r>
              <w:rPr>
                <w:bCs/>
                <w:color w:val="000000" w:themeColor="text1"/>
                <w:szCs w:val="28"/>
              </w:rPr>
              <w:t>,</w:t>
            </w:r>
            <w:r w:rsidRPr="007C1BFA">
              <w:rPr>
                <w:bCs/>
                <w:color w:val="000000" w:themeColor="text1"/>
                <w:szCs w:val="28"/>
              </w:rPr>
              <w:t xml:space="preserve"> </w:t>
            </w:r>
            <w:r w:rsidR="00D1324A">
              <w:rPr>
                <w:bCs/>
                <w:color w:val="000000" w:themeColor="text1"/>
                <w:szCs w:val="28"/>
              </w:rPr>
              <w:t xml:space="preserve">Ekonomikas ministrija (turpmāk </w:t>
            </w:r>
            <w:r w:rsidR="00D1324A" w:rsidRPr="007C1BFA">
              <w:rPr>
                <w:color w:val="000000" w:themeColor="text1"/>
                <w:szCs w:val="28"/>
              </w:rPr>
              <w:t>–</w:t>
            </w:r>
            <w:r w:rsidR="00D1324A">
              <w:rPr>
                <w:bCs/>
                <w:color w:val="000000" w:themeColor="text1"/>
                <w:szCs w:val="28"/>
              </w:rPr>
              <w:t xml:space="preserve"> </w:t>
            </w:r>
            <w:r w:rsidRPr="007C1BFA">
              <w:rPr>
                <w:color w:val="000000" w:themeColor="text1"/>
                <w:szCs w:val="28"/>
              </w:rPr>
              <w:t>EM</w:t>
            </w:r>
            <w:r w:rsidR="00D1324A">
              <w:rPr>
                <w:color w:val="000000" w:themeColor="text1"/>
                <w:szCs w:val="28"/>
              </w:rPr>
              <w:t>)</w:t>
            </w:r>
            <w:r w:rsidRPr="007C1BFA">
              <w:rPr>
                <w:color w:val="000000" w:themeColor="text1"/>
                <w:szCs w:val="28"/>
              </w:rPr>
              <w:t xml:space="preserve"> </w:t>
            </w:r>
            <w:r w:rsidR="00927015">
              <w:rPr>
                <w:color w:val="000000" w:themeColor="text1"/>
                <w:szCs w:val="28"/>
              </w:rPr>
              <w:t>paredz</w:t>
            </w:r>
            <w:r w:rsidRPr="007C1BFA">
              <w:rPr>
                <w:color w:val="000000" w:themeColor="text1"/>
                <w:szCs w:val="28"/>
              </w:rPr>
              <w:t xml:space="preserve"> no 2014. gada ieviest </w:t>
            </w:r>
            <w:r w:rsidRPr="00D1324A">
              <w:rPr>
                <w:color w:val="000000" w:themeColor="text1"/>
                <w:szCs w:val="28"/>
              </w:rPr>
              <w:t xml:space="preserve">subsidētās enerģijas nodokli </w:t>
            </w:r>
            <w:r w:rsidRPr="007C1BFA">
              <w:rPr>
                <w:color w:val="000000" w:themeColor="text1"/>
                <w:szCs w:val="28"/>
              </w:rPr>
              <w:t>(turpmāk – SEN), kas tiktu piemērots</w:t>
            </w:r>
            <w:r>
              <w:rPr>
                <w:color w:val="000000" w:themeColor="text1"/>
                <w:szCs w:val="28"/>
              </w:rPr>
              <w:t xml:space="preserve"> </w:t>
            </w:r>
            <w:r>
              <w:t>ieņēmumiem par elektroenerģiju</w:t>
            </w:r>
            <w:r w:rsidR="00CA6BA3">
              <w:t>, kas pārdota</w:t>
            </w:r>
            <w:r>
              <w:t xml:space="preserve"> </w:t>
            </w:r>
            <w:r w:rsidR="00031170">
              <w:t>obligātā iepirkuma (turpmāk - OI)</w:t>
            </w:r>
            <w:r>
              <w:t xml:space="preserve"> ietvaros, </w:t>
            </w:r>
            <w:r w:rsidRPr="007C1BFA">
              <w:rPr>
                <w:color w:val="000000" w:themeColor="text1"/>
                <w:szCs w:val="28"/>
              </w:rPr>
              <w:t xml:space="preserve">kā arī </w:t>
            </w:r>
            <w:r>
              <w:rPr>
                <w:color w:val="000000" w:themeColor="text1"/>
                <w:szCs w:val="28"/>
              </w:rPr>
              <w:t>ieņēmumiem no garantētās maksas</w:t>
            </w:r>
            <w:r w:rsidRPr="00A055E7">
              <w:rPr>
                <w:color w:val="000000" w:themeColor="text1"/>
                <w:szCs w:val="28"/>
              </w:rPr>
              <w:t xml:space="preserve"> par </w:t>
            </w:r>
            <w:r>
              <w:rPr>
                <w:color w:val="000000" w:themeColor="text1"/>
                <w:szCs w:val="28"/>
              </w:rPr>
              <w:t xml:space="preserve">stacijā uzstādīto elektrisko jaudu. </w:t>
            </w:r>
          </w:p>
          <w:p w:rsidR="00BC0265" w:rsidRPr="007C1BFA" w:rsidRDefault="00BC0265" w:rsidP="00BC0265">
            <w:pPr>
              <w:jc w:val="both"/>
              <w:rPr>
                <w:color w:val="000000" w:themeColor="text1"/>
                <w:szCs w:val="28"/>
              </w:rPr>
            </w:pPr>
            <w:r w:rsidRPr="007C1BFA">
              <w:rPr>
                <w:color w:val="000000" w:themeColor="text1"/>
                <w:szCs w:val="28"/>
              </w:rPr>
              <w:t xml:space="preserve">Pēc </w:t>
            </w:r>
            <w:r>
              <w:rPr>
                <w:color w:val="000000" w:themeColor="text1"/>
                <w:szCs w:val="28"/>
              </w:rPr>
              <w:t>Ekonomikas ministrijas</w:t>
            </w:r>
            <w:r w:rsidRPr="007C1BFA">
              <w:rPr>
                <w:color w:val="000000" w:themeColor="text1"/>
                <w:szCs w:val="28"/>
              </w:rPr>
              <w:t xml:space="preserve"> prognozēm faktiskā </w:t>
            </w:r>
            <w:r>
              <w:rPr>
                <w:color w:val="000000" w:themeColor="text1"/>
                <w:szCs w:val="28"/>
              </w:rPr>
              <w:t xml:space="preserve">obligātā iepirkuma komponente (turpmāk – </w:t>
            </w:r>
            <w:r w:rsidRPr="007C1BFA">
              <w:rPr>
                <w:color w:val="000000" w:themeColor="text1"/>
                <w:szCs w:val="28"/>
              </w:rPr>
              <w:t>OIK</w:t>
            </w:r>
            <w:r>
              <w:rPr>
                <w:color w:val="000000" w:themeColor="text1"/>
                <w:szCs w:val="28"/>
              </w:rPr>
              <w:t xml:space="preserve">) no 1,89 </w:t>
            </w:r>
            <w:proofErr w:type="spellStart"/>
            <w:r>
              <w:rPr>
                <w:color w:val="000000" w:themeColor="text1"/>
                <w:szCs w:val="28"/>
              </w:rPr>
              <w:t>sant</w:t>
            </w:r>
            <w:proofErr w:type="spellEnd"/>
            <w:r>
              <w:rPr>
                <w:color w:val="000000" w:themeColor="text1"/>
                <w:szCs w:val="28"/>
              </w:rPr>
              <w:t>./kWh 2013. gadā</w:t>
            </w:r>
            <w:r w:rsidRPr="007C1BFA">
              <w:rPr>
                <w:color w:val="000000" w:themeColor="text1"/>
                <w:szCs w:val="28"/>
              </w:rPr>
              <w:t xml:space="preserve"> varētu pieaugt </w:t>
            </w:r>
            <w:r w:rsidRPr="007C1BFA">
              <w:rPr>
                <w:color w:val="000000" w:themeColor="text1"/>
                <w:szCs w:val="28"/>
              </w:rPr>
              <w:lastRenderedPageBreak/>
              <w:t>līdz 2,</w:t>
            </w:r>
            <w:r>
              <w:rPr>
                <w:color w:val="000000" w:themeColor="text1"/>
                <w:szCs w:val="28"/>
              </w:rPr>
              <w:t>2</w:t>
            </w:r>
            <w:r w:rsidRPr="007C1BFA">
              <w:rPr>
                <w:color w:val="000000" w:themeColor="text1"/>
                <w:szCs w:val="28"/>
              </w:rPr>
              <w:t xml:space="preserve"> </w:t>
            </w:r>
            <w:proofErr w:type="spellStart"/>
            <w:r w:rsidRPr="007C1BFA">
              <w:rPr>
                <w:color w:val="000000" w:themeColor="text1"/>
                <w:szCs w:val="28"/>
              </w:rPr>
              <w:t>sant</w:t>
            </w:r>
            <w:proofErr w:type="spellEnd"/>
            <w:r w:rsidRPr="007C1BFA">
              <w:rPr>
                <w:color w:val="000000" w:themeColor="text1"/>
                <w:szCs w:val="28"/>
              </w:rPr>
              <w:t>./kWh 2014. gadā, 2,</w:t>
            </w:r>
            <w:r>
              <w:rPr>
                <w:color w:val="000000" w:themeColor="text1"/>
                <w:szCs w:val="28"/>
              </w:rPr>
              <w:t>41</w:t>
            </w:r>
            <w:r w:rsidRPr="007C1BFA">
              <w:rPr>
                <w:color w:val="000000" w:themeColor="text1"/>
                <w:szCs w:val="28"/>
              </w:rPr>
              <w:t xml:space="preserve"> </w:t>
            </w:r>
            <w:proofErr w:type="spellStart"/>
            <w:r w:rsidRPr="007C1BFA">
              <w:rPr>
                <w:color w:val="000000" w:themeColor="text1"/>
                <w:szCs w:val="28"/>
              </w:rPr>
              <w:t>sant</w:t>
            </w:r>
            <w:proofErr w:type="spellEnd"/>
            <w:r w:rsidRPr="007C1BFA">
              <w:rPr>
                <w:color w:val="000000" w:themeColor="text1"/>
                <w:szCs w:val="28"/>
              </w:rPr>
              <w:t>./kWh 2015. gadā un 2,</w:t>
            </w:r>
            <w:r>
              <w:rPr>
                <w:color w:val="000000" w:themeColor="text1"/>
                <w:szCs w:val="28"/>
              </w:rPr>
              <w:t>4</w:t>
            </w:r>
            <w:r w:rsidRPr="007C1BFA">
              <w:rPr>
                <w:color w:val="000000" w:themeColor="text1"/>
                <w:szCs w:val="28"/>
              </w:rPr>
              <w:t xml:space="preserve">6 </w:t>
            </w:r>
            <w:proofErr w:type="spellStart"/>
            <w:r w:rsidRPr="007C1BFA">
              <w:rPr>
                <w:color w:val="000000" w:themeColor="text1"/>
                <w:szCs w:val="28"/>
              </w:rPr>
              <w:t>sant</w:t>
            </w:r>
            <w:proofErr w:type="spellEnd"/>
            <w:r w:rsidRPr="007C1BFA">
              <w:rPr>
                <w:color w:val="000000" w:themeColor="text1"/>
                <w:szCs w:val="28"/>
              </w:rPr>
              <w:t xml:space="preserve">./kWh 2016. gadā. Savukārt, sākot ar 2018. gadu, OIK apjoms nedaudz samazinās tādēļ, ka ar 2017. gada 1. jūliju atbalstu vairs nesaņems daļa no dabasgāzes koģenerācijas stacijām. </w:t>
            </w:r>
          </w:p>
          <w:p w:rsidR="00BB5CAF" w:rsidRPr="00557E6F" w:rsidRDefault="00BC0265" w:rsidP="005F468C">
            <w:pPr>
              <w:jc w:val="both"/>
              <w:rPr>
                <w:color w:val="000000" w:themeColor="text1"/>
              </w:rPr>
            </w:pPr>
            <w:r>
              <w:rPr>
                <w:color w:val="000000" w:themeColor="text1"/>
                <w:szCs w:val="28"/>
              </w:rPr>
              <w:t xml:space="preserve">Viens no risinājumiem būtu </w:t>
            </w:r>
            <w:r w:rsidR="00BB5CAF" w:rsidRPr="00D12D78">
              <w:rPr>
                <w:color w:val="000000" w:themeColor="text1"/>
                <w:szCs w:val="28"/>
              </w:rPr>
              <w:t>SEN</w:t>
            </w:r>
            <w:r>
              <w:rPr>
                <w:color w:val="000000" w:themeColor="text1"/>
                <w:szCs w:val="28"/>
              </w:rPr>
              <w:t>, kura</w:t>
            </w:r>
            <w:r w:rsidR="00BB5CAF" w:rsidRPr="00D12D78">
              <w:rPr>
                <w:color w:val="000000" w:themeColor="text1"/>
                <w:szCs w:val="28"/>
              </w:rPr>
              <w:t xml:space="preserve"> mērķis</w:t>
            </w:r>
            <w:r w:rsidR="00BB5CAF" w:rsidRPr="007C1BFA">
              <w:rPr>
                <w:color w:val="000000" w:themeColor="text1"/>
                <w:szCs w:val="28"/>
              </w:rPr>
              <w:t xml:space="preserve"> ir ierobežot elektroenerģijas kopējās cenas pieaugumu, lai tādejādi nodrošinātu tautsaimniecības konkurētspēju un nepalielinātu mājsaimniecību enerģētisko nabadzību, kā arī nodrošinātu valsts budžetu ar papildu ieņēmumiem</w:t>
            </w:r>
            <w:r w:rsidR="00BB5CAF">
              <w:rPr>
                <w:color w:val="000000" w:themeColor="text1"/>
                <w:szCs w:val="28"/>
              </w:rPr>
              <w:t>, kas ļautu</w:t>
            </w:r>
            <w:r w:rsidR="00BB5CAF" w:rsidRPr="007C1BFA">
              <w:rPr>
                <w:color w:val="000000" w:themeColor="text1"/>
                <w:szCs w:val="28"/>
              </w:rPr>
              <w:t xml:space="preserve"> finansiāli nodrošināt elektroenerģijas lietotāju atbalsta pasākumu</w:t>
            </w:r>
            <w:r w:rsidR="00BB5CAF">
              <w:rPr>
                <w:color w:val="000000" w:themeColor="text1"/>
                <w:szCs w:val="28"/>
              </w:rPr>
              <w:t xml:space="preserve"> īstenošanu</w:t>
            </w:r>
            <w:r w:rsidR="00BB5CAF" w:rsidRPr="007C1BFA">
              <w:rPr>
                <w:color w:val="000000" w:themeColor="text1"/>
                <w:szCs w:val="28"/>
              </w:rPr>
              <w:t xml:space="preserve">. Netieši </w:t>
            </w:r>
            <w:r w:rsidR="00BB5CAF" w:rsidRPr="00557E6F">
              <w:rPr>
                <w:color w:val="000000" w:themeColor="text1"/>
              </w:rPr>
              <w:t xml:space="preserve">SEN mērķis ir veicināt konkurētspējīgu elektroenerģijas ražošanu no </w:t>
            </w:r>
            <w:r w:rsidR="00031170" w:rsidRPr="00557E6F">
              <w:rPr>
                <w:color w:val="000000" w:themeColor="text1"/>
              </w:rPr>
              <w:t xml:space="preserve">atjaunojamiem energoresursiem (turpmāk – </w:t>
            </w:r>
            <w:r w:rsidR="00BB5CAF" w:rsidRPr="00557E6F">
              <w:rPr>
                <w:color w:val="000000" w:themeColor="text1"/>
              </w:rPr>
              <w:t>AER</w:t>
            </w:r>
            <w:r w:rsidR="00031170" w:rsidRPr="00557E6F">
              <w:rPr>
                <w:color w:val="000000" w:themeColor="text1"/>
              </w:rPr>
              <w:t>)</w:t>
            </w:r>
            <w:r w:rsidR="00BB5CAF" w:rsidRPr="00557E6F">
              <w:rPr>
                <w:color w:val="000000" w:themeColor="text1"/>
              </w:rPr>
              <w:t xml:space="preserve"> un efektīvā koģenerācijā, motivējot ražot enerģiju visefektīvākajā veidā un nodrošinot, ka turpmāk tirgū ienāk tikai konkurētspējīgas tehnoloģijas. </w:t>
            </w:r>
          </w:p>
          <w:p w:rsidR="00EE3667" w:rsidRPr="000F60B1" w:rsidRDefault="00EE3667" w:rsidP="00EE3667">
            <w:pPr>
              <w:jc w:val="both"/>
              <w:rPr>
                <w:color w:val="000000" w:themeColor="text1"/>
              </w:rPr>
            </w:pPr>
            <w:r w:rsidRPr="000F60B1">
              <w:rPr>
                <w:color w:val="000000" w:themeColor="text1"/>
              </w:rPr>
              <w:t xml:space="preserve">Ministru kabineta 2013. gada 13. augusta sēdes protokollēmuma Nr.44, 156.§ 6. punkts uzdod Ekonomikas ministrijai sadarbībā ar Zemkopības ministriju izvērtēt </w:t>
            </w:r>
            <w:r>
              <w:rPr>
                <w:color w:val="000000" w:themeColor="text1"/>
              </w:rPr>
              <w:t xml:space="preserve">Ziņojumā ietverto </w:t>
            </w:r>
            <w:r w:rsidRPr="000F60B1">
              <w:rPr>
                <w:color w:val="000000" w:themeColor="text1"/>
              </w:rPr>
              <w:t xml:space="preserve">iespējamo risinājumu ietekmi uz tiem lauksaimnieciskās produkcijas ražotājiem, kuri ražošanai izmanto siltumnīcas. </w:t>
            </w:r>
          </w:p>
          <w:p w:rsidR="00EE3667" w:rsidRPr="000F60B1" w:rsidRDefault="00EE3667" w:rsidP="00EE3667">
            <w:pPr>
              <w:jc w:val="both"/>
              <w:rPr>
                <w:color w:val="000000" w:themeColor="text1"/>
              </w:rPr>
            </w:pPr>
            <w:r w:rsidRPr="000F60B1">
              <w:rPr>
                <w:color w:val="000000" w:themeColor="text1"/>
              </w:rPr>
              <w:t xml:space="preserve">Daudzu nozaru pārstāvji, tajā skaitā siltumnīcu saimniecības ir veikušas ieguldījumus koģenerācijas staciju izveidošanā, lai, izmantojot gan atjaunojamos, gan dabasgāzes resursus, gūtu siltumu savas saimnieciskās darbības nodrošināšanai. Latvija nav unikāla ar šāda veida ražošanu, jo arī citās Eiropas valstīs siltumnīcu sektors pats nodarbojas ar enerģijas ražošanu galvenokārt savām vajadzībām, tādējādi mazinot enerģijas izmaksas. Jebkurš apgrozījuma kritums vai jebkuru ražošanas izmaksu sadārdzinājums var negatīvi atsauksies uz turpmāko uzņēmēju attīstību, </w:t>
            </w:r>
            <w:proofErr w:type="spellStart"/>
            <w:r w:rsidRPr="000F60B1">
              <w:rPr>
                <w:color w:val="000000" w:themeColor="text1"/>
              </w:rPr>
              <w:t>t.sk</w:t>
            </w:r>
            <w:proofErr w:type="spellEnd"/>
            <w:r w:rsidRPr="000F60B1">
              <w:rPr>
                <w:color w:val="000000" w:themeColor="text1"/>
              </w:rPr>
              <w:t xml:space="preserve">. dārzeņkopības saimniecību darbības efektivitāti. </w:t>
            </w:r>
          </w:p>
          <w:p w:rsidR="00EE3667" w:rsidRDefault="00EE3667" w:rsidP="00EE3667">
            <w:pPr>
              <w:jc w:val="both"/>
              <w:rPr>
                <w:color w:val="000000" w:themeColor="text1"/>
              </w:rPr>
            </w:pPr>
            <w:r w:rsidRPr="000F60B1">
              <w:rPr>
                <w:color w:val="000000" w:themeColor="text1"/>
              </w:rPr>
              <w:t>Ekonomikas ministrija</w:t>
            </w:r>
            <w:r>
              <w:rPr>
                <w:color w:val="000000" w:themeColor="text1"/>
              </w:rPr>
              <w:t>,</w:t>
            </w:r>
            <w:r w:rsidRPr="000F60B1">
              <w:rPr>
                <w:color w:val="000000" w:themeColor="text1"/>
              </w:rPr>
              <w:t xml:space="preserve"> izvērtējot  iespējamo risinājumu ietekmi uz tiem lauksaimnieciskās produkcijas ražotājiem, kuri ražošanai izmanto siltumnīcas</w:t>
            </w:r>
            <w:r>
              <w:rPr>
                <w:color w:val="000000" w:themeColor="text1"/>
              </w:rPr>
              <w:t>,</w:t>
            </w:r>
            <w:r w:rsidRPr="000F60B1">
              <w:rPr>
                <w:color w:val="000000" w:themeColor="text1"/>
              </w:rPr>
              <w:t xml:space="preserve"> norāda, ka SEN, kura mērķis ir ierobežot elektroenerģijas kopējās cenas pieaugumu, lai veicinātu tautsaimniecības konkurētspēju, kā īstermiņa risinājums nodrošinās, ka elektroenerģijas kopējā cena nepieaugs</w:t>
            </w:r>
            <w:r>
              <w:rPr>
                <w:color w:val="000000" w:themeColor="text1"/>
              </w:rPr>
              <w:t>. T</w:t>
            </w:r>
            <w:r w:rsidRPr="000F60B1">
              <w:rPr>
                <w:color w:val="000000" w:themeColor="text1"/>
              </w:rPr>
              <w:t xml:space="preserve">ādejādi </w:t>
            </w:r>
            <w:r w:rsidRPr="000F60B1">
              <w:rPr>
                <w:color w:val="000000" w:themeColor="text1"/>
                <w:szCs w:val="28"/>
              </w:rPr>
              <w:t>elektroenerģijas cena nepieaugs</w:t>
            </w:r>
            <w:r w:rsidRPr="000F60B1">
              <w:rPr>
                <w:color w:val="000000" w:themeColor="text1"/>
              </w:rPr>
              <w:t xml:space="preserve"> komersantiem, </w:t>
            </w:r>
            <w:proofErr w:type="spellStart"/>
            <w:r w:rsidRPr="000F60B1">
              <w:rPr>
                <w:color w:val="000000" w:themeColor="text1"/>
              </w:rPr>
              <w:t>t.sk</w:t>
            </w:r>
            <w:proofErr w:type="spellEnd"/>
            <w:r w:rsidRPr="000F60B1">
              <w:rPr>
                <w:color w:val="000000" w:themeColor="text1"/>
              </w:rPr>
              <w:t xml:space="preserve">. visai siltumnīcu nozarei, kuru kopējā siltumnīcu platība veido </w:t>
            </w:r>
            <w:r w:rsidRPr="000F60B1">
              <w:rPr>
                <w:b/>
                <w:color w:val="000000" w:themeColor="text1"/>
              </w:rPr>
              <w:t xml:space="preserve">2 203,5 </w:t>
            </w:r>
            <w:proofErr w:type="spellStart"/>
            <w:r w:rsidRPr="000F60B1">
              <w:rPr>
                <w:b/>
                <w:bCs/>
                <w:color w:val="000000" w:themeColor="text1"/>
              </w:rPr>
              <w:t>tūkst</w:t>
            </w:r>
            <w:proofErr w:type="spellEnd"/>
            <w:r w:rsidRPr="000F60B1">
              <w:rPr>
                <w:b/>
                <w:bCs/>
                <w:color w:val="000000" w:themeColor="text1"/>
              </w:rPr>
              <w:t>. m2</w:t>
            </w:r>
            <w:r w:rsidRPr="000F60B1">
              <w:rPr>
                <w:bCs/>
                <w:color w:val="000000" w:themeColor="text1"/>
              </w:rPr>
              <w:t xml:space="preserve"> (pēc Centrālās statistikas pārvaldes 2007. gada lauku saimniecību struktūru apsekojuma datiem</w:t>
            </w:r>
            <w:r>
              <w:rPr>
                <w:rStyle w:val="FootnoteReference"/>
                <w:bCs/>
                <w:color w:val="000000" w:themeColor="text1"/>
              </w:rPr>
              <w:footnoteReference w:id="1"/>
            </w:r>
            <w:r w:rsidRPr="000F60B1">
              <w:rPr>
                <w:bCs/>
                <w:color w:val="000000" w:themeColor="text1"/>
              </w:rPr>
              <w:t>)</w:t>
            </w:r>
            <w:r>
              <w:rPr>
                <w:color w:val="000000" w:themeColor="text1"/>
                <w:szCs w:val="28"/>
              </w:rPr>
              <w:t>. E</w:t>
            </w:r>
            <w:r w:rsidRPr="000F60B1">
              <w:rPr>
                <w:color w:val="000000" w:themeColor="text1"/>
                <w:szCs w:val="28"/>
              </w:rPr>
              <w:t>lektroenerģijas cena nepieaugs</w:t>
            </w:r>
            <w:r w:rsidRPr="000F60B1" w:rsidDel="00951D75">
              <w:rPr>
                <w:color w:val="000000" w:themeColor="text1"/>
              </w:rPr>
              <w:t xml:space="preserve"> </w:t>
            </w:r>
            <w:r w:rsidRPr="000F60B1">
              <w:rPr>
                <w:color w:val="000000" w:themeColor="text1"/>
              </w:rPr>
              <w:t>arī tiem komersantiem un siltumnīcu</w:t>
            </w:r>
            <w:r w:rsidRPr="000F60B1">
              <w:rPr>
                <w:color w:val="000000" w:themeColor="text1"/>
                <w:szCs w:val="28"/>
              </w:rPr>
              <w:t xml:space="preserve"> īpašniekiem, kuri paši nav uzbūvējuši koģenerācijas stacijas</w:t>
            </w:r>
            <w:r>
              <w:rPr>
                <w:color w:val="000000" w:themeColor="text1"/>
                <w:szCs w:val="28"/>
              </w:rPr>
              <w:t xml:space="preserve">, kas </w:t>
            </w:r>
            <w:r w:rsidRPr="000F60B1">
              <w:rPr>
                <w:color w:val="000000" w:themeColor="text1"/>
                <w:szCs w:val="28"/>
              </w:rPr>
              <w:t>saņem atbalstu OI ietvaros</w:t>
            </w:r>
            <w:r>
              <w:rPr>
                <w:color w:val="000000" w:themeColor="text1"/>
                <w:szCs w:val="28"/>
              </w:rPr>
              <w:t xml:space="preserve">. Turpretī </w:t>
            </w:r>
            <w:r>
              <w:rPr>
                <w:color w:val="000000" w:themeColor="text1"/>
              </w:rPr>
              <w:t>l</w:t>
            </w:r>
            <w:r w:rsidRPr="000F60B1">
              <w:rPr>
                <w:color w:val="000000" w:themeColor="text1"/>
              </w:rPr>
              <w:t xml:space="preserve">auksaimnieciskās produkcijas ražotāju, kuri ražošanai izmanto siltumnīcas un saņem siltumu no koģenerācijas stacijām vai atjaunojamos energoresursus izmantojošām elektrostacijām kopējā uzstādītā siltumnīcu platība veido tikai </w:t>
            </w:r>
            <w:r w:rsidRPr="000F60B1">
              <w:rPr>
                <w:b/>
                <w:color w:val="000000" w:themeColor="text1"/>
              </w:rPr>
              <w:t xml:space="preserve">203,496 </w:t>
            </w:r>
            <w:proofErr w:type="spellStart"/>
            <w:r w:rsidRPr="000F60B1">
              <w:rPr>
                <w:b/>
                <w:color w:val="000000" w:themeColor="text1"/>
              </w:rPr>
              <w:t>tūkst</w:t>
            </w:r>
            <w:proofErr w:type="spellEnd"/>
            <w:r w:rsidRPr="000F60B1">
              <w:rPr>
                <w:b/>
                <w:color w:val="000000" w:themeColor="text1"/>
              </w:rPr>
              <w:t>.</w:t>
            </w:r>
            <w:r w:rsidRPr="000F60B1">
              <w:rPr>
                <w:b/>
                <w:bCs/>
                <w:color w:val="000000" w:themeColor="text1"/>
              </w:rPr>
              <w:t xml:space="preserve"> m2</w:t>
            </w:r>
            <w:r w:rsidRPr="000F60B1">
              <w:rPr>
                <w:color w:val="000000" w:themeColor="text1"/>
                <w:szCs w:val="28"/>
              </w:rPr>
              <w:t>)</w:t>
            </w:r>
            <w:r w:rsidRPr="000F60B1">
              <w:rPr>
                <w:rStyle w:val="FootnoteReference"/>
                <w:color w:val="000000" w:themeColor="text1"/>
                <w:szCs w:val="28"/>
              </w:rPr>
              <w:footnoteReference w:id="2"/>
            </w:r>
            <w:r>
              <w:rPr>
                <w:color w:val="000000" w:themeColor="text1"/>
                <w:szCs w:val="28"/>
              </w:rPr>
              <w:t>, kas ir tikai  9,2% no valstī kopējās siltumnīcu platības.</w:t>
            </w:r>
            <w:r w:rsidRPr="000F60B1">
              <w:rPr>
                <w:color w:val="000000" w:themeColor="text1"/>
                <w:szCs w:val="28"/>
              </w:rPr>
              <w:t xml:space="preserve"> </w:t>
            </w:r>
            <w:r>
              <w:rPr>
                <w:color w:val="000000" w:themeColor="text1"/>
                <w:szCs w:val="28"/>
              </w:rPr>
              <w:t>T</w:t>
            </w:r>
            <w:r w:rsidRPr="000F60B1">
              <w:rPr>
                <w:color w:val="000000" w:themeColor="text1"/>
                <w:szCs w:val="28"/>
              </w:rPr>
              <w:t xml:space="preserve">ādejādi ierobežojot </w:t>
            </w:r>
            <w:r w:rsidRPr="000F60B1">
              <w:rPr>
                <w:color w:val="000000" w:themeColor="text1"/>
              </w:rPr>
              <w:t>ražošanas izmaksu sadārdzinājumu un nodrošinot visas Latvijas Republikas tautsaimniecības konkurētspēju.</w:t>
            </w:r>
          </w:p>
          <w:p w:rsidR="00EE3667" w:rsidRPr="000F60B1" w:rsidRDefault="00EE3667" w:rsidP="00EE3667">
            <w:pPr>
              <w:jc w:val="both"/>
              <w:rPr>
                <w:color w:val="000000" w:themeColor="text1"/>
              </w:rPr>
            </w:pPr>
            <w:r w:rsidRPr="000F60B1">
              <w:rPr>
                <w:color w:val="000000" w:themeColor="text1"/>
              </w:rPr>
              <w:t xml:space="preserve">SEN piemērošanas rezultātā tiek </w:t>
            </w:r>
            <w:r w:rsidRPr="00EA4E61">
              <w:rPr>
                <w:color w:val="000000" w:themeColor="text1"/>
              </w:rPr>
              <w:t>samazināt</w:t>
            </w:r>
            <w:r>
              <w:rPr>
                <w:color w:val="000000" w:themeColor="text1"/>
              </w:rPr>
              <w:t>s</w:t>
            </w:r>
            <w:r w:rsidRPr="000F60B1">
              <w:rPr>
                <w:color w:val="000000" w:themeColor="text1"/>
              </w:rPr>
              <w:t xml:space="preserve"> OI izmaksātā summas apmērs komersantam, </w:t>
            </w:r>
            <w:r w:rsidRPr="007C1BFA">
              <w:rPr>
                <w:color w:val="000000" w:themeColor="text1"/>
                <w:szCs w:val="28"/>
              </w:rPr>
              <w:t xml:space="preserve">kas saņēmuši tiesības pārdot no </w:t>
            </w:r>
            <w:r>
              <w:rPr>
                <w:color w:val="000000" w:themeColor="text1"/>
                <w:szCs w:val="28"/>
              </w:rPr>
              <w:t>AER</w:t>
            </w:r>
            <w:r w:rsidRPr="007C1BFA">
              <w:rPr>
                <w:color w:val="000000" w:themeColor="text1"/>
                <w:szCs w:val="28"/>
              </w:rPr>
              <w:t xml:space="preserve"> vai koģenerācijas procesā saražoto elektroenerģiju obligātā iepirkuma ietvaros vai tiesības saņemt garantēto maksu par uzstādīto elektrisko jaudu</w:t>
            </w:r>
            <w:r>
              <w:rPr>
                <w:color w:val="000000" w:themeColor="text1"/>
                <w:szCs w:val="28"/>
              </w:rPr>
              <w:t xml:space="preserve"> </w:t>
            </w:r>
            <w:r w:rsidRPr="000F60B1">
              <w:rPr>
                <w:color w:val="000000" w:themeColor="text1"/>
              </w:rPr>
              <w:t xml:space="preserve">vai saņem maksu par </w:t>
            </w:r>
            <w:r w:rsidRPr="000F60B1">
              <w:rPr>
                <w:color w:val="000000" w:themeColor="text1"/>
              </w:rPr>
              <w:lastRenderedPageBreak/>
              <w:t>uzstādīto elektrisko jaudu.</w:t>
            </w:r>
            <w:r>
              <w:rPr>
                <w:color w:val="000000" w:themeColor="text1"/>
              </w:rPr>
              <w:t xml:space="preserve"> </w:t>
            </w:r>
          </w:p>
          <w:p w:rsidR="00557E6F" w:rsidRPr="00A666C2" w:rsidRDefault="00EE3667" w:rsidP="00EE3667">
            <w:pPr>
              <w:spacing w:after="120"/>
              <w:jc w:val="both"/>
              <w:rPr>
                <w:color w:val="FF0000"/>
              </w:rPr>
            </w:pPr>
            <w:r>
              <w:rPr>
                <w:color w:val="000000" w:themeColor="text1"/>
              </w:rPr>
              <w:t>Tā kā ņ</w:t>
            </w:r>
            <w:r w:rsidRPr="000F60B1">
              <w:rPr>
                <w:color w:val="000000" w:themeColor="text1"/>
              </w:rPr>
              <w:t xml:space="preserve">emot vērā minēto, attiecībā uz ietekmi uz siltumnīcu nozari SEN ietekmētu aptuveni </w:t>
            </w:r>
            <w:r>
              <w:rPr>
                <w:color w:val="000000" w:themeColor="text1"/>
              </w:rPr>
              <w:t xml:space="preserve">tikai </w:t>
            </w:r>
            <w:r w:rsidRPr="000F60B1">
              <w:rPr>
                <w:color w:val="000000" w:themeColor="text1"/>
              </w:rPr>
              <w:t>9,2% no visas siltumnīcas nozares</w:t>
            </w:r>
            <w:r>
              <w:rPr>
                <w:color w:val="000000" w:themeColor="text1"/>
              </w:rPr>
              <w:t>,</w:t>
            </w:r>
            <w:r w:rsidRPr="000F60B1">
              <w:rPr>
                <w:color w:val="000000" w:themeColor="text1"/>
              </w:rPr>
              <w:t xml:space="preserve"> skatoties pēc siltumnīcu platības</w:t>
            </w:r>
            <w:r>
              <w:rPr>
                <w:color w:val="000000" w:themeColor="text1"/>
              </w:rPr>
              <w:t xml:space="preserve"> (komersantiem </w:t>
            </w:r>
            <w:r w:rsidRPr="000F60B1">
              <w:rPr>
                <w:color w:val="000000" w:themeColor="text1"/>
              </w:rPr>
              <w:t>samazinoties OI izmaksātā summas apmēram, kas piedalās OI ietvaros vai saņem maksu par uzstādīto elektrisko jaudu</w:t>
            </w:r>
            <w:r>
              <w:rPr>
                <w:color w:val="000000" w:themeColor="text1"/>
              </w:rPr>
              <w:t xml:space="preserve">), taču </w:t>
            </w:r>
            <w:r w:rsidRPr="00E237DD">
              <w:rPr>
                <w:color w:val="000000" w:themeColor="text1"/>
              </w:rPr>
              <w:t xml:space="preserve">nodrošinātu visiem komersantiem, </w:t>
            </w:r>
            <w:proofErr w:type="spellStart"/>
            <w:r w:rsidRPr="00E237DD">
              <w:rPr>
                <w:color w:val="000000" w:themeColor="text1"/>
              </w:rPr>
              <w:t>t.sk</w:t>
            </w:r>
            <w:proofErr w:type="spellEnd"/>
            <w:r w:rsidRPr="00E237DD">
              <w:rPr>
                <w:color w:val="000000" w:themeColor="text1"/>
              </w:rPr>
              <w:t xml:space="preserve">. pārējiem siltumnīcu īpašniekiem, kuri nepiedalās OI atbalsta sistēmā OIK saglabāšanos 2013. gada līmenī (proti, 1,89 </w:t>
            </w:r>
            <w:proofErr w:type="spellStart"/>
            <w:r w:rsidRPr="00E237DD">
              <w:rPr>
                <w:color w:val="000000" w:themeColor="text1"/>
              </w:rPr>
              <w:t>sant</w:t>
            </w:r>
            <w:proofErr w:type="spellEnd"/>
            <w:r w:rsidRPr="00E237DD">
              <w:rPr>
                <w:color w:val="000000" w:themeColor="text1"/>
              </w:rPr>
              <w:t>./kWh), tādejādi nodrošinot elektroenerģijas kopējas cenas stabilitāti un ierobežotu ražošanas izmaksu pieaugumu, kas būtu atkarīgs no OIK izmaiņām</w:t>
            </w:r>
            <w:r w:rsidRPr="000F60B1">
              <w:rPr>
                <w:color w:val="000000" w:themeColor="text1"/>
              </w:rPr>
              <w:t>.</w:t>
            </w:r>
          </w:p>
        </w:tc>
      </w:tr>
      <w:tr w:rsidR="00802846" w:rsidRPr="00A666C2" w:rsidTr="00605624">
        <w:tc>
          <w:tcPr>
            <w:tcW w:w="153"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lastRenderedPageBreak/>
              <w:t>3.</w:t>
            </w:r>
          </w:p>
        </w:tc>
        <w:tc>
          <w:tcPr>
            <w:tcW w:w="1023" w:type="pct"/>
            <w:tcBorders>
              <w:top w:val="outset" w:sz="6" w:space="0" w:color="000000"/>
              <w:left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Saistītie politikas ietekmes novērtējumi un pētījumi</w:t>
            </w:r>
          </w:p>
        </w:tc>
        <w:tc>
          <w:tcPr>
            <w:tcW w:w="3824" w:type="pct"/>
            <w:tcBorders>
              <w:top w:val="outset" w:sz="6" w:space="0" w:color="000000"/>
              <w:left w:val="outset" w:sz="6" w:space="0" w:color="000000"/>
              <w:bottom w:val="outset" w:sz="6" w:space="0" w:color="000000"/>
            </w:tcBorders>
          </w:tcPr>
          <w:p w:rsidR="00916D60" w:rsidRPr="00D95700" w:rsidRDefault="00916D60" w:rsidP="00BB7D06">
            <w:pPr>
              <w:pStyle w:val="BodyText"/>
              <w:spacing w:after="0"/>
              <w:ind w:firstLine="0"/>
              <w:rPr>
                <w:color w:val="000000" w:themeColor="text1"/>
                <w:sz w:val="24"/>
                <w:lang w:val="lv-LV"/>
              </w:rPr>
            </w:pPr>
            <w:r>
              <w:rPr>
                <w:color w:val="000000"/>
                <w:sz w:val="24"/>
                <w:lang w:val="lv-LV"/>
              </w:rPr>
              <w:t xml:space="preserve">Ziņojuma </w:t>
            </w:r>
            <w:r w:rsidRPr="00D95700">
              <w:rPr>
                <w:color w:val="000000"/>
                <w:sz w:val="24"/>
                <w:lang w:val="lv-LV"/>
              </w:rPr>
              <w:t xml:space="preserve">4. nodaļā aprakstītais scenārijs </w:t>
            </w:r>
            <w:r w:rsidR="00A34EF5">
              <w:rPr>
                <w:color w:val="000000"/>
                <w:sz w:val="24"/>
                <w:lang w:val="lv-LV"/>
              </w:rPr>
              <w:t>Elektroenerģijas lietotāju atbalsta fonda (turpmāk – ELAF)</w:t>
            </w:r>
            <w:r w:rsidRPr="00D95700">
              <w:rPr>
                <w:color w:val="000000"/>
                <w:sz w:val="24"/>
                <w:lang w:val="lv-LV"/>
              </w:rPr>
              <w:t xml:space="preserve"> izveidei, l</w:t>
            </w:r>
            <w:r w:rsidRPr="00D95700">
              <w:rPr>
                <w:color w:val="000000" w:themeColor="text1"/>
                <w:sz w:val="24"/>
                <w:lang w:val="lv-LV"/>
              </w:rPr>
              <w:t xml:space="preserve">ai izveidotu mehānismu, kā kompensēt lietotājiem starpību starp reālo OIK  un 2013. gada līmeni – 1,89 </w:t>
            </w:r>
            <w:proofErr w:type="spellStart"/>
            <w:r w:rsidRPr="00D95700">
              <w:rPr>
                <w:color w:val="000000" w:themeColor="text1"/>
                <w:sz w:val="24"/>
                <w:lang w:val="lv-LV"/>
              </w:rPr>
              <w:t>sant</w:t>
            </w:r>
            <w:proofErr w:type="spellEnd"/>
            <w:r w:rsidRPr="00D95700">
              <w:rPr>
                <w:color w:val="000000" w:themeColor="text1"/>
                <w:sz w:val="24"/>
                <w:lang w:val="lv-LV"/>
              </w:rPr>
              <w:t>./kWh</w:t>
            </w:r>
            <w:r w:rsidR="00A34EF5">
              <w:rPr>
                <w:color w:val="000000" w:themeColor="text1"/>
                <w:sz w:val="24"/>
                <w:lang w:val="lv-LV"/>
              </w:rPr>
              <w:t xml:space="preserve"> </w:t>
            </w:r>
            <w:r w:rsidRPr="00D95700">
              <w:rPr>
                <w:color w:val="000000" w:themeColor="text1"/>
                <w:sz w:val="24"/>
                <w:lang w:val="lv-LV"/>
              </w:rPr>
              <w:t xml:space="preserve">Tajā nonāktu elektroenerģijas lietotāju OIK maksājumi, gan pārskaitījums no budžeta par OIK iztrūkstošo daļu. </w:t>
            </w:r>
          </w:p>
          <w:p w:rsidR="00802846" w:rsidRPr="00A666C2" w:rsidRDefault="00916D60" w:rsidP="00BB7D06">
            <w:pPr>
              <w:jc w:val="both"/>
              <w:rPr>
                <w:color w:val="000000"/>
              </w:rPr>
            </w:pPr>
            <w:r w:rsidRPr="00D95700">
              <w:t>Ziņojuma 5. nodaļā iekļautais</w:t>
            </w:r>
            <w:r>
              <w:t xml:space="preserve"> </w:t>
            </w:r>
            <w:r w:rsidRPr="007C1BFA">
              <w:rPr>
                <w:color w:val="000000" w:themeColor="text1"/>
                <w:szCs w:val="28"/>
              </w:rPr>
              <w:t>SEN</w:t>
            </w:r>
            <w:r>
              <w:rPr>
                <w:color w:val="000000" w:themeColor="text1"/>
                <w:szCs w:val="28"/>
              </w:rPr>
              <w:t xml:space="preserve"> izveides nepieciešamības un darbības apraksts, kas paredz ieviest SEN, l</w:t>
            </w:r>
            <w:r w:rsidRPr="007C1BFA">
              <w:rPr>
                <w:color w:val="000000" w:themeColor="text1"/>
              </w:rPr>
              <w:t>ai nodrošinātu valsts budžetu ar papildu ieņēmumiem un finansiāli nodrošinātu elektroenerģij</w:t>
            </w:r>
            <w:r>
              <w:rPr>
                <w:color w:val="000000" w:themeColor="text1"/>
              </w:rPr>
              <w:t>as lietotāju atbalsta pasākumus</w:t>
            </w:r>
            <w:r w:rsidRPr="007C1BFA">
              <w:rPr>
                <w:color w:val="000000" w:themeColor="text1"/>
              </w:rPr>
              <w:t>.</w:t>
            </w:r>
          </w:p>
        </w:tc>
      </w:tr>
      <w:tr w:rsidR="00802846" w:rsidRPr="00A666C2" w:rsidTr="00605624">
        <w:tc>
          <w:tcPr>
            <w:tcW w:w="153"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4.</w:t>
            </w:r>
          </w:p>
        </w:tc>
        <w:tc>
          <w:tcPr>
            <w:tcW w:w="1023" w:type="pct"/>
            <w:tcBorders>
              <w:top w:val="outset" w:sz="6" w:space="0" w:color="000000"/>
              <w:left w:val="outset" w:sz="6" w:space="0" w:color="000000"/>
              <w:bottom w:val="outset" w:sz="6" w:space="0" w:color="000000"/>
              <w:right w:val="outset" w:sz="6" w:space="0" w:color="000000"/>
            </w:tcBorders>
          </w:tcPr>
          <w:p w:rsidR="00802846" w:rsidRPr="003F0C6D" w:rsidRDefault="00802846" w:rsidP="000D7206">
            <w:pPr>
              <w:spacing w:before="100" w:beforeAutospacing="1" w:after="100" w:afterAutospacing="1"/>
            </w:pPr>
            <w:r w:rsidRPr="003F0C6D">
              <w:t>Tiesiskā regulējuma mērķis un būtība</w:t>
            </w:r>
          </w:p>
        </w:tc>
        <w:tc>
          <w:tcPr>
            <w:tcW w:w="3824" w:type="pct"/>
            <w:tcBorders>
              <w:top w:val="outset" w:sz="6" w:space="0" w:color="000000"/>
              <w:left w:val="outset" w:sz="6" w:space="0" w:color="000000"/>
              <w:bottom w:val="outset" w:sz="6" w:space="0" w:color="000000"/>
            </w:tcBorders>
          </w:tcPr>
          <w:p w:rsidR="00F907EC" w:rsidRPr="00F907EC" w:rsidRDefault="00F907EC" w:rsidP="00605624">
            <w:pPr>
              <w:jc w:val="both"/>
              <w:rPr>
                <w:color w:val="000000"/>
              </w:rPr>
            </w:pPr>
            <w:r>
              <w:rPr>
                <w:color w:val="000000"/>
              </w:rPr>
              <w:t>Likumprojekts</w:t>
            </w:r>
            <w:r w:rsidR="00CA6BA3">
              <w:rPr>
                <w:color w:val="000000"/>
              </w:rPr>
              <w:t xml:space="preserve"> „Grozījumi likumā „Par nodokļiem un nodevām””</w:t>
            </w:r>
            <w:r>
              <w:rPr>
                <w:color w:val="000000"/>
              </w:rPr>
              <w:t xml:space="preserve"> </w:t>
            </w:r>
            <w:r w:rsidR="00CA6BA3">
              <w:rPr>
                <w:color w:val="000000"/>
              </w:rPr>
              <w:t xml:space="preserve">(turpmāk – likumprojekts) </w:t>
            </w:r>
            <w:r>
              <w:rPr>
                <w:color w:val="000000"/>
              </w:rPr>
              <w:t xml:space="preserve">paredz </w:t>
            </w:r>
            <w:r w:rsidRPr="00F907EC">
              <w:rPr>
                <w:color w:val="000000"/>
              </w:rPr>
              <w:t xml:space="preserve">noteikt </w:t>
            </w:r>
            <w:r>
              <w:rPr>
                <w:color w:val="000000"/>
              </w:rPr>
              <w:t xml:space="preserve">subsidētās </w:t>
            </w:r>
            <w:r w:rsidRPr="00F907EC">
              <w:rPr>
                <w:color w:val="000000"/>
              </w:rPr>
              <w:t>elektroenerģijas nodokl</w:t>
            </w:r>
            <w:r>
              <w:rPr>
                <w:color w:val="000000"/>
              </w:rPr>
              <w:t>i un tā administrēšanas iestādi.</w:t>
            </w:r>
          </w:p>
          <w:p w:rsidR="003F0C6D" w:rsidRDefault="003F0C6D" w:rsidP="003F0C6D">
            <w:pPr>
              <w:jc w:val="both"/>
              <w:rPr>
                <w:bCs/>
                <w:color w:val="000000"/>
              </w:rPr>
            </w:pPr>
            <w:r>
              <w:rPr>
                <w:color w:val="000000" w:themeColor="text1"/>
              </w:rPr>
              <w:t>Likumprojekta mērķis ir p</w:t>
            </w:r>
            <w:r w:rsidRPr="003F0C6D">
              <w:rPr>
                <w:color w:val="000000"/>
              </w:rPr>
              <w:t>apildināt likuma „Par nodokļiem un nodevām” 8.</w:t>
            </w:r>
            <w:r w:rsidR="003E37EC">
              <w:rPr>
                <w:color w:val="000000"/>
              </w:rPr>
              <w:t> </w:t>
            </w:r>
            <w:r w:rsidRPr="003F0C6D">
              <w:rPr>
                <w:color w:val="000000"/>
              </w:rPr>
              <w:t>pantu ar 15.</w:t>
            </w:r>
            <w:r w:rsidR="003E37EC">
              <w:rPr>
                <w:color w:val="000000"/>
              </w:rPr>
              <w:t> </w:t>
            </w:r>
            <w:r w:rsidRPr="003F0C6D">
              <w:rPr>
                <w:color w:val="000000"/>
              </w:rPr>
              <w:t>punktu, paredzot SEN</w:t>
            </w:r>
            <w:r w:rsidR="00CA6BA3">
              <w:rPr>
                <w:color w:val="000000"/>
              </w:rPr>
              <w:t xml:space="preserve">, kā arī 20.pantu ar 15.punktu, nodrošinot SEN administrēšanai iestādi – Valsts ieņēmumu dienests. </w:t>
            </w:r>
            <w:r w:rsidR="00CA6BA3" w:rsidRPr="003F0C6D">
              <w:rPr>
                <w:color w:val="000000"/>
              </w:rPr>
              <w:t xml:space="preserve"> </w:t>
            </w:r>
            <w:r w:rsidR="00CA6BA3">
              <w:rPr>
                <w:color w:val="000000"/>
              </w:rPr>
              <w:t>SEN</w:t>
            </w:r>
            <w:r w:rsidR="00CA6BA3" w:rsidRPr="003F0C6D">
              <w:rPr>
                <w:color w:val="000000"/>
              </w:rPr>
              <w:t xml:space="preserve"> </w:t>
            </w:r>
            <w:r w:rsidRPr="003F0C6D">
              <w:rPr>
                <w:color w:val="000000"/>
              </w:rPr>
              <w:t xml:space="preserve">likmes un </w:t>
            </w:r>
            <w:r>
              <w:rPr>
                <w:color w:val="000000"/>
              </w:rPr>
              <w:t xml:space="preserve">detalizētāks </w:t>
            </w:r>
            <w:r w:rsidRPr="003F0C6D">
              <w:rPr>
                <w:color w:val="000000"/>
              </w:rPr>
              <w:t xml:space="preserve">apliekamais objekts noteikts </w:t>
            </w:r>
            <w:r w:rsidR="00CA6BA3">
              <w:rPr>
                <w:color w:val="000000"/>
              </w:rPr>
              <w:t>likumprojektā „</w:t>
            </w:r>
            <w:r w:rsidRPr="003F0C6D">
              <w:t xml:space="preserve">Subsidētās elektroenerģijas nodokļa </w:t>
            </w:r>
            <w:r w:rsidR="00CA6BA3" w:rsidRPr="003F0C6D">
              <w:t>likum</w:t>
            </w:r>
            <w:r w:rsidR="00CA6BA3">
              <w:t>s” un tam pakārtotajos Ministru kabineta noteikumu projektos</w:t>
            </w:r>
            <w:r w:rsidRPr="003F0C6D">
              <w:rPr>
                <w:bCs/>
                <w:color w:val="000000"/>
              </w:rPr>
              <w:t xml:space="preserve">. </w:t>
            </w:r>
          </w:p>
          <w:p w:rsidR="00C0060B" w:rsidRPr="00975CD1" w:rsidRDefault="00C0060B" w:rsidP="003F0C6D">
            <w:pPr>
              <w:jc w:val="both"/>
              <w:rPr>
                <w:color w:val="000000" w:themeColor="text1"/>
              </w:rPr>
            </w:pPr>
            <w:r w:rsidRPr="007C1BFA">
              <w:rPr>
                <w:bCs/>
                <w:color w:val="000000" w:themeColor="text1"/>
                <w:szCs w:val="28"/>
              </w:rPr>
              <w:t xml:space="preserve">SEN </w:t>
            </w:r>
            <w:r w:rsidRPr="00975CD1">
              <w:rPr>
                <w:bCs/>
                <w:color w:val="000000" w:themeColor="text1"/>
                <w:szCs w:val="28"/>
              </w:rPr>
              <w:t xml:space="preserve">ieturēšanu OI maksājumu un garantētās maksas par uzstādīto jaudu izmaksu </w:t>
            </w:r>
            <w:r w:rsidR="00975CD1" w:rsidRPr="00975CD1">
              <w:rPr>
                <w:bCs/>
                <w:color w:val="000000" w:themeColor="text1"/>
                <w:szCs w:val="28"/>
              </w:rPr>
              <w:t xml:space="preserve">ražotājiem </w:t>
            </w:r>
            <w:r w:rsidRPr="00975CD1">
              <w:rPr>
                <w:bCs/>
                <w:color w:val="000000" w:themeColor="text1"/>
                <w:szCs w:val="28"/>
              </w:rPr>
              <w:t>un maksāšanu (pārskaitīšanu budžetā) veic ELAF.</w:t>
            </w:r>
          </w:p>
          <w:p w:rsidR="005A22AB" w:rsidRDefault="00F012CC" w:rsidP="00F012CC">
            <w:pPr>
              <w:pStyle w:val="tv2131"/>
              <w:spacing w:before="0" w:line="240" w:lineRule="auto"/>
              <w:ind w:firstLine="0"/>
              <w:rPr>
                <w:rFonts w:ascii="Times New Roman" w:hAnsi="Times New Roman"/>
                <w:color w:val="000000" w:themeColor="text1"/>
                <w:sz w:val="24"/>
                <w:szCs w:val="24"/>
              </w:rPr>
            </w:pPr>
            <w:r w:rsidRPr="00975CD1">
              <w:rPr>
                <w:rFonts w:ascii="Times New Roman" w:hAnsi="Times New Roman"/>
                <w:color w:val="000000" w:themeColor="text1"/>
                <w:sz w:val="24"/>
                <w:szCs w:val="24"/>
              </w:rPr>
              <w:t>P</w:t>
            </w:r>
            <w:r w:rsidR="003F0C6D" w:rsidRPr="00975CD1">
              <w:rPr>
                <w:rFonts w:ascii="Times New Roman" w:hAnsi="Times New Roman"/>
                <w:color w:val="000000" w:themeColor="text1"/>
                <w:sz w:val="24"/>
                <w:szCs w:val="24"/>
              </w:rPr>
              <w:t>aredzēts, ka a</w:t>
            </w:r>
            <w:r w:rsidR="00BB5CAF" w:rsidRPr="00975CD1">
              <w:rPr>
                <w:rFonts w:ascii="Times New Roman" w:hAnsi="Times New Roman"/>
                <w:color w:val="000000" w:themeColor="text1"/>
                <w:sz w:val="24"/>
                <w:szCs w:val="24"/>
              </w:rPr>
              <w:t xml:space="preserve">r SEN apliekami </w:t>
            </w:r>
            <w:r w:rsidRPr="00975CD1">
              <w:rPr>
                <w:rFonts w:ascii="Times New Roman" w:hAnsi="Times New Roman"/>
                <w:color w:val="000000" w:themeColor="text1"/>
                <w:sz w:val="24"/>
                <w:szCs w:val="24"/>
              </w:rPr>
              <w:t xml:space="preserve">to </w:t>
            </w:r>
            <w:r w:rsidR="00BB5CAF" w:rsidRPr="00975CD1">
              <w:rPr>
                <w:rFonts w:ascii="Times New Roman" w:hAnsi="Times New Roman"/>
                <w:color w:val="000000" w:themeColor="text1"/>
                <w:sz w:val="24"/>
                <w:szCs w:val="24"/>
              </w:rPr>
              <w:t>elektroenerģijas</w:t>
            </w:r>
            <w:r w:rsidR="00BB5CAF" w:rsidRPr="003F0C6D">
              <w:rPr>
                <w:rFonts w:ascii="Times New Roman" w:hAnsi="Times New Roman"/>
                <w:color w:val="000000" w:themeColor="text1"/>
                <w:sz w:val="24"/>
                <w:szCs w:val="24"/>
              </w:rPr>
              <w:t xml:space="preserve"> ražotāju, kas saņēmuši tiesības pārdot elektroenerģiju OI ietvaros vai tiesības saņemt garantēto maksu par uzstādīto jaudu, kā arī to enerģijas ražotāju, kas saņēmuši līdzvērtīgas tiesības saskaņā ar normatīvajiem aktiem, kas bija spēkā pirms Elektroenerģijas</w:t>
            </w:r>
            <w:r w:rsidR="00031170" w:rsidRPr="003F0C6D">
              <w:rPr>
                <w:rFonts w:ascii="Times New Roman" w:hAnsi="Times New Roman"/>
                <w:color w:val="000000" w:themeColor="text1"/>
                <w:sz w:val="24"/>
                <w:szCs w:val="24"/>
              </w:rPr>
              <w:t xml:space="preserve"> tirgus likuma spēkā stāšanās (</w:t>
            </w:r>
            <w:proofErr w:type="spellStart"/>
            <w:r w:rsidR="00BB5CAF" w:rsidRPr="003F0C6D">
              <w:rPr>
                <w:rFonts w:ascii="Times New Roman" w:hAnsi="Times New Roman"/>
                <w:color w:val="000000" w:themeColor="text1"/>
                <w:sz w:val="24"/>
                <w:szCs w:val="24"/>
              </w:rPr>
              <w:t>t.i</w:t>
            </w:r>
            <w:proofErr w:type="spellEnd"/>
            <w:r w:rsidR="00BB5CAF" w:rsidRPr="003F0C6D">
              <w:rPr>
                <w:rFonts w:ascii="Times New Roman" w:hAnsi="Times New Roman"/>
                <w:color w:val="000000" w:themeColor="text1"/>
                <w:sz w:val="24"/>
                <w:szCs w:val="24"/>
              </w:rPr>
              <w:t>., 14 vēja elektrostacijas, kuras elektroenerģijas ražošanu uzsāka līdz 2002. gadam decembrim), ieņēmumi par pārdoto elektroenerģiju OI ietvaros</w:t>
            </w:r>
            <w:r>
              <w:rPr>
                <w:rFonts w:ascii="Times New Roman" w:hAnsi="Times New Roman"/>
                <w:color w:val="000000" w:themeColor="text1"/>
                <w:sz w:val="24"/>
                <w:szCs w:val="24"/>
              </w:rPr>
              <w:t xml:space="preserve"> vai tam līdzvērtīga iepirkuma ietvaros</w:t>
            </w:r>
            <w:r w:rsidR="00BB5CAF" w:rsidRPr="003F0C6D">
              <w:rPr>
                <w:rFonts w:ascii="Times New Roman" w:hAnsi="Times New Roman"/>
                <w:color w:val="000000" w:themeColor="text1"/>
                <w:sz w:val="24"/>
                <w:szCs w:val="24"/>
              </w:rPr>
              <w:t xml:space="preserve">, kā arī ieņēmumi no garantētās maksas par stacijā uzstādīto </w:t>
            </w:r>
            <w:r w:rsidR="00BB5CAF" w:rsidRPr="006442DC">
              <w:rPr>
                <w:rFonts w:ascii="Times New Roman" w:hAnsi="Times New Roman"/>
                <w:color w:val="000000" w:themeColor="text1"/>
                <w:sz w:val="24"/>
                <w:szCs w:val="24"/>
              </w:rPr>
              <w:t>elektrisko jaudu.</w:t>
            </w:r>
            <w:r w:rsidR="00BB5CAF" w:rsidRPr="003F0C6D">
              <w:rPr>
                <w:rFonts w:ascii="Times New Roman" w:hAnsi="Times New Roman"/>
                <w:color w:val="000000" w:themeColor="text1"/>
                <w:sz w:val="24"/>
                <w:szCs w:val="24"/>
              </w:rPr>
              <w:t xml:space="preserve"> </w:t>
            </w:r>
          </w:p>
          <w:p w:rsidR="00802846" w:rsidRPr="003F0C6D" w:rsidRDefault="005A22AB" w:rsidP="00E263E8">
            <w:pPr>
              <w:jc w:val="both"/>
              <w:rPr>
                <w:color w:val="000000" w:themeColor="text1"/>
              </w:rPr>
            </w:pPr>
            <w:r>
              <w:rPr>
                <w:color w:val="000000" w:themeColor="text1"/>
              </w:rPr>
              <w:t xml:space="preserve">Paredzēts, ka Ekonomikas ministrija ir atbildīga par publiska reģistra administrēšanu, kurā tiek atainota informācija par </w:t>
            </w:r>
            <w:r w:rsidRPr="00C962CC">
              <w:rPr>
                <w:color w:val="000000" w:themeColor="text1"/>
              </w:rPr>
              <w:t xml:space="preserve"> </w:t>
            </w:r>
            <w:r>
              <w:rPr>
                <w:color w:val="000000" w:themeColor="text1"/>
              </w:rPr>
              <w:t xml:space="preserve">komersantam piemēroto nodokļa likmi, kuru SEN administrēšana izmanto Valsts ieņēmumu dienests un AS „Latvenergo” nodokļa piemērošanas un </w:t>
            </w:r>
            <w:r w:rsidR="00E263E8">
              <w:rPr>
                <w:color w:val="000000" w:themeColor="text1"/>
              </w:rPr>
              <w:t>aprēķināšanas</w:t>
            </w:r>
            <w:r>
              <w:rPr>
                <w:color w:val="000000" w:themeColor="text1"/>
              </w:rPr>
              <w:t xml:space="preserve"> procesā.</w:t>
            </w:r>
            <w:r w:rsidR="00BB5CAF" w:rsidRPr="003F0C6D">
              <w:rPr>
                <w:color w:val="000000" w:themeColor="text1"/>
              </w:rPr>
              <w:t xml:space="preserve"> </w:t>
            </w:r>
          </w:p>
        </w:tc>
      </w:tr>
      <w:tr w:rsidR="00802846" w:rsidRPr="00A666C2" w:rsidTr="00605624">
        <w:tc>
          <w:tcPr>
            <w:tcW w:w="153"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5.</w:t>
            </w:r>
          </w:p>
        </w:tc>
        <w:tc>
          <w:tcPr>
            <w:tcW w:w="1023" w:type="pct"/>
            <w:tcBorders>
              <w:top w:val="outset" w:sz="6" w:space="0" w:color="000000"/>
              <w:left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Projekta izstrādē iesaistītās institūcijas</w:t>
            </w:r>
          </w:p>
        </w:tc>
        <w:tc>
          <w:tcPr>
            <w:tcW w:w="3824" w:type="pct"/>
            <w:tcBorders>
              <w:top w:val="outset" w:sz="6" w:space="0" w:color="000000"/>
              <w:left w:val="outset" w:sz="6" w:space="0" w:color="000000"/>
              <w:bottom w:val="outset" w:sz="6" w:space="0" w:color="000000"/>
            </w:tcBorders>
          </w:tcPr>
          <w:p w:rsidR="00802846" w:rsidRPr="000052F5" w:rsidRDefault="00A957F3" w:rsidP="00644D85">
            <w:pPr>
              <w:spacing w:before="100" w:beforeAutospacing="1" w:after="100" w:afterAutospacing="1"/>
              <w:jc w:val="both"/>
              <w:rPr>
                <w:color w:val="000000" w:themeColor="text1"/>
              </w:rPr>
            </w:pPr>
            <w:r>
              <w:rPr>
                <w:color w:val="000000" w:themeColor="text1"/>
              </w:rPr>
              <w:t>Ekonomikas ministrija, Finanšu ministrija, Tieslietu ministrija, Sabiedrisko p</w:t>
            </w:r>
            <w:r w:rsidR="00C0060B">
              <w:rPr>
                <w:color w:val="000000" w:themeColor="text1"/>
              </w:rPr>
              <w:t>akalpojumu regulēšanas komisija</w:t>
            </w:r>
            <w:r w:rsidR="00702105">
              <w:rPr>
                <w:color w:val="000000" w:themeColor="text1"/>
              </w:rPr>
              <w:t>.</w:t>
            </w:r>
          </w:p>
        </w:tc>
      </w:tr>
      <w:tr w:rsidR="00802846" w:rsidRPr="00A666C2" w:rsidTr="00605624">
        <w:tc>
          <w:tcPr>
            <w:tcW w:w="153" w:type="pct"/>
            <w:tcBorders>
              <w:top w:val="outset" w:sz="6" w:space="0" w:color="000000"/>
              <w:bottom w:val="outset" w:sz="6" w:space="0" w:color="000000"/>
              <w:right w:val="outset" w:sz="6" w:space="0" w:color="000000"/>
            </w:tcBorders>
          </w:tcPr>
          <w:p w:rsidR="00802846" w:rsidRPr="001E1797" w:rsidRDefault="00802846" w:rsidP="000D7206">
            <w:pPr>
              <w:spacing w:before="100" w:beforeAutospacing="1" w:after="100" w:afterAutospacing="1"/>
            </w:pPr>
            <w:r w:rsidRPr="001E1797">
              <w:t>6.</w:t>
            </w:r>
          </w:p>
        </w:tc>
        <w:tc>
          <w:tcPr>
            <w:tcW w:w="1023" w:type="pct"/>
            <w:tcBorders>
              <w:top w:val="outset" w:sz="6" w:space="0" w:color="000000"/>
              <w:left w:val="outset" w:sz="6" w:space="0" w:color="000000"/>
              <w:bottom w:val="outset" w:sz="6" w:space="0" w:color="000000"/>
              <w:right w:val="outset" w:sz="6" w:space="0" w:color="000000"/>
            </w:tcBorders>
          </w:tcPr>
          <w:p w:rsidR="00802846" w:rsidRPr="001E1797" w:rsidRDefault="00802846" w:rsidP="000D7206">
            <w:pPr>
              <w:spacing w:before="100" w:beforeAutospacing="1" w:after="100" w:afterAutospacing="1"/>
            </w:pPr>
            <w:r w:rsidRPr="001E1797">
              <w:t>Iemesli, kādēļ netika nodrošināta sabiedrības līdzdalība</w:t>
            </w:r>
          </w:p>
        </w:tc>
        <w:tc>
          <w:tcPr>
            <w:tcW w:w="3824" w:type="pct"/>
            <w:tcBorders>
              <w:top w:val="outset" w:sz="6" w:space="0" w:color="000000"/>
              <w:left w:val="outset" w:sz="6" w:space="0" w:color="000000"/>
              <w:bottom w:val="outset" w:sz="6" w:space="0" w:color="000000"/>
            </w:tcBorders>
          </w:tcPr>
          <w:p w:rsidR="00802846" w:rsidRPr="001E1797" w:rsidRDefault="000052F5" w:rsidP="00975CD1">
            <w:pPr>
              <w:jc w:val="both"/>
              <w:rPr>
                <w:color w:val="000000" w:themeColor="text1"/>
              </w:rPr>
            </w:pPr>
            <w:r w:rsidRPr="00975CD1">
              <w:rPr>
                <w:color w:val="000000" w:themeColor="text1"/>
              </w:rPr>
              <w:t>Jautājum</w:t>
            </w:r>
            <w:r w:rsidR="002267D5" w:rsidRPr="00975CD1">
              <w:rPr>
                <w:color w:val="000000" w:themeColor="text1"/>
              </w:rPr>
              <w:t>u</w:t>
            </w:r>
            <w:r w:rsidRPr="00975CD1">
              <w:rPr>
                <w:color w:val="000000" w:themeColor="text1"/>
              </w:rPr>
              <w:t xml:space="preserve"> par kompleksiem risinājumiem elektroenerģijas tirgus problemātikai (</w:t>
            </w:r>
            <w:proofErr w:type="spellStart"/>
            <w:r w:rsidRPr="00975CD1">
              <w:rPr>
                <w:color w:val="000000" w:themeColor="text1"/>
              </w:rPr>
              <w:t>t.sk</w:t>
            </w:r>
            <w:proofErr w:type="spellEnd"/>
            <w:r w:rsidRPr="00975CD1">
              <w:rPr>
                <w:color w:val="000000" w:themeColor="text1"/>
              </w:rPr>
              <w:t>.</w:t>
            </w:r>
            <w:r w:rsidR="008952C9" w:rsidRPr="00975CD1">
              <w:rPr>
                <w:color w:val="000000" w:themeColor="text1"/>
              </w:rPr>
              <w:t>,</w:t>
            </w:r>
            <w:r w:rsidRPr="00975CD1">
              <w:rPr>
                <w:color w:val="000000" w:themeColor="text1"/>
              </w:rPr>
              <w:t xml:space="preserve"> SEN ieviešana) tiek turpināts izskatīt Ministru kabinetā valsts budžeta projekta 2014. gadam sagatavošanas procesā.</w:t>
            </w:r>
            <w:r w:rsidR="00C0060B" w:rsidRPr="00975CD1">
              <w:rPr>
                <w:color w:val="000000" w:themeColor="text1"/>
              </w:rPr>
              <w:t xml:space="preserve"> Vienlaikus par likumprojektu </w:t>
            </w:r>
            <w:r w:rsidR="00644D85" w:rsidRPr="00975CD1">
              <w:rPr>
                <w:color w:val="000000" w:themeColor="text1"/>
              </w:rPr>
              <w:t xml:space="preserve">notikušas </w:t>
            </w:r>
            <w:r w:rsidR="00C0060B" w:rsidRPr="00975CD1">
              <w:rPr>
                <w:color w:val="000000" w:themeColor="text1"/>
              </w:rPr>
              <w:t xml:space="preserve">diskusijas Tautsaimniecības padomes Enerģētikas </w:t>
            </w:r>
            <w:r w:rsidR="00C0060B" w:rsidRPr="00975CD1">
              <w:rPr>
                <w:color w:val="000000" w:themeColor="text1"/>
              </w:rPr>
              <w:lastRenderedPageBreak/>
              <w:t>komitej</w:t>
            </w:r>
            <w:r w:rsidR="00644D85" w:rsidRPr="00975CD1">
              <w:rPr>
                <w:color w:val="000000" w:themeColor="text1"/>
              </w:rPr>
              <w:t>ā</w:t>
            </w:r>
            <w:r w:rsidR="00C0060B" w:rsidRPr="00975CD1">
              <w:rPr>
                <w:color w:val="000000" w:themeColor="text1"/>
              </w:rPr>
              <w:t>.</w:t>
            </w:r>
            <w:r w:rsidR="00702105">
              <w:rPr>
                <w:color w:val="000000" w:themeColor="text1"/>
              </w:rPr>
              <w:t xml:space="preserve"> </w:t>
            </w:r>
          </w:p>
        </w:tc>
      </w:tr>
      <w:tr w:rsidR="00802846" w:rsidRPr="00A666C2" w:rsidTr="00605624">
        <w:tc>
          <w:tcPr>
            <w:tcW w:w="153"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lastRenderedPageBreak/>
              <w:t>7.</w:t>
            </w:r>
          </w:p>
        </w:tc>
        <w:tc>
          <w:tcPr>
            <w:tcW w:w="1023" w:type="pct"/>
            <w:tcBorders>
              <w:top w:val="outset" w:sz="6" w:space="0" w:color="000000"/>
              <w:left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Cita informācija</w:t>
            </w:r>
          </w:p>
        </w:tc>
        <w:tc>
          <w:tcPr>
            <w:tcW w:w="3824" w:type="pct"/>
            <w:tcBorders>
              <w:top w:val="outset" w:sz="6" w:space="0" w:color="000000"/>
              <w:left w:val="outset" w:sz="6" w:space="0" w:color="000000"/>
              <w:bottom w:val="outset" w:sz="6" w:space="0" w:color="000000"/>
            </w:tcBorders>
          </w:tcPr>
          <w:p w:rsidR="00802846" w:rsidRPr="00A666C2" w:rsidRDefault="00BC0265" w:rsidP="000D7206">
            <w:pPr>
              <w:jc w:val="both"/>
              <w:rPr>
                <w:iCs/>
              </w:rPr>
            </w:pPr>
            <w:r w:rsidRPr="00C962CC">
              <w:rPr>
                <w:color w:val="000000" w:themeColor="text1"/>
                <w:szCs w:val="28"/>
              </w:rPr>
              <w:t xml:space="preserve">Vērtējot citu valstu pieredzi, kā mazināt subsidētās enerģijas ietekmi uz elektroenerģijas lietotāju maksājumiem, tika konstatēts, ka, piemēram, Čehija 2011. gadā ieviesa nodokli elektroenerģijai ražošanu, izmantojot saules enerģiju, lai novērstu atbalsta saņēmēju nepamatoto virspeļņu un samazinātu valsts izdevumus atbalstam. Ar nodokli tiek aplikta elektroenerģija, kas ražota izmantojot saules enerģiju, proti, nodokļa maksātāji ir elektroenerģijas ražotāji, kas ražošanai izmanto saules enerģiju. Šādā veidā tiek panākta sabiedrības kopēja iesaiste atbalsta problēmas risinājumā. Nodoklis ir noteikts 26% apmērā no ieņēmumiem, ko komersants gūst, pārdodot elektroenerģiju par paaugstinātu fiksētu cenu, </w:t>
            </w:r>
            <w:proofErr w:type="spellStart"/>
            <w:r w:rsidRPr="00C962CC">
              <w:rPr>
                <w:color w:val="000000" w:themeColor="text1"/>
                <w:szCs w:val="28"/>
              </w:rPr>
              <w:t>t.i</w:t>
            </w:r>
            <w:proofErr w:type="spellEnd"/>
            <w:r w:rsidRPr="00C962CC">
              <w:rPr>
                <w:color w:val="000000" w:themeColor="text1"/>
                <w:szCs w:val="28"/>
              </w:rPr>
              <w:t>., 26% no katras pārdotās kilovatstundas cenas. Sākotnēji nodoklis tika ieviests uz diviem gadiem, taču pašlaik tā darbības termiņš ir pagarināts līdz 2015. gadam. Arī Spānijā līdz ar citām reformām 2013. gada sākumā tika ieviests elektroenerģijas ražošanas nodoklis ar likmi 7%. Tas tika attiecināts vienlīdz uz elektroenerģiju, kas ražota, izmantojot AER un konvencionālos energoresursus.</w:t>
            </w:r>
          </w:p>
        </w:tc>
      </w:tr>
    </w:tbl>
    <w:p w:rsidR="00802846" w:rsidRPr="00A666C2" w:rsidRDefault="00802846" w:rsidP="001A56AB"/>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1"/>
        <w:gridCol w:w="3747"/>
        <w:gridCol w:w="5450"/>
      </w:tblGrid>
      <w:tr w:rsidR="00802846" w:rsidRPr="00A666C2" w:rsidTr="00975CD1">
        <w:tc>
          <w:tcPr>
            <w:tcW w:w="5000" w:type="pct"/>
            <w:gridSpan w:val="3"/>
            <w:tcBorders>
              <w:top w:val="single" w:sz="6" w:space="0" w:color="auto"/>
              <w:left w:val="single" w:sz="6" w:space="0" w:color="auto"/>
              <w:bottom w:val="outset" w:sz="6" w:space="0" w:color="000000"/>
              <w:right w:val="single" w:sz="6" w:space="0" w:color="auto"/>
            </w:tcBorders>
            <w:vAlign w:val="center"/>
          </w:tcPr>
          <w:p w:rsidR="00802846" w:rsidRPr="00A666C2" w:rsidRDefault="00802846" w:rsidP="000D7206">
            <w:pPr>
              <w:spacing w:before="100" w:beforeAutospacing="1" w:after="100" w:afterAutospacing="1"/>
              <w:jc w:val="center"/>
              <w:rPr>
                <w:b/>
                <w:bCs/>
              </w:rPr>
            </w:pPr>
            <w:r w:rsidRPr="00A666C2">
              <w:rPr>
                <w:b/>
                <w:bCs/>
              </w:rPr>
              <w:t>II. Tiesību akta projekta ietekme uz sabiedrību</w:t>
            </w:r>
          </w:p>
        </w:tc>
      </w:tr>
      <w:tr w:rsidR="00802846" w:rsidRPr="00A666C2" w:rsidTr="00975CD1">
        <w:tc>
          <w:tcPr>
            <w:tcW w:w="258"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1.</w:t>
            </w:r>
          </w:p>
        </w:tc>
        <w:tc>
          <w:tcPr>
            <w:tcW w:w="1932" w:type="pct"/>
            <w:tcBorders>
              <w:top w:val="outset" w:sz="6" w:space="0" w:color="000000"/>
              <w:left w:val="outset" w:sz="6" w:space="0" w:color="000000"/>
              <w:bottom w:val="outset" w:sz="6" w:space="0" w:color="000000"/>
              <w:right w:val="outset" w:sz="6" w:space="0" w:color="000000"/>
            </w:tcBorders>
          </w:tcPr>
          <w:p w:rsidR="00802846" w:rsidRPr="000052F5" w:rsidRDefault="00802846" w:rsidP="000D7206">
            <w:pPr>
              <w:spacing w:before="100" w:beforeAutospacing="1" w:after="100" w:afterAutospacing="1"/>
            </w:pPr>
            <w:r w:rsidRPr="000052F5">
              <w:t>Sabiedrības mērķgrupa</w:t>
            </w:r>
          </w:p>
        </w:tc>
        <w:tc>
          <w:tcPr>
            <w:tcW w:w="2810" w:type="pct"/>
            <w:tcBorders>
              <w:top w:val="outset" w:sz="6" w:space="0" w:color="000000"/>
              <w:left w:val="outset" w:sz="6" w:space="0" w:color="000000"/>
              <w:bottom w:val="outset" w:sz="6" w:space="0" w:color="000000"/>
            </w:tcBorders>
          </w:tcPr>
          <w:p w:rsidR="00802846" w:rsidRPr="000052F5" w:rsidRDefault="000052F5" w:rsidP="000052F5">
            <w:pPr>
              <w:pStyle w:val="tv2131"/>
              <w:spacing w:before="0" w:line="240" w:lineRule="auto"/>
              <w:ind w:firstLine="0"/>
              <w:rPr>
                <w:sz w:val="24"/>
                <w:szCs w:val="24"/>
              </w:rPr>
            </w:pPr>
            <w:r w:rsidRPr="000052F5">
              <w:rPr>
                <w:rFonts w:ascii="Times New Roman" w:hAnsi="Times New Roman"/>
                <w:color w:val="000000" w:themeColor="text1"/>
                <w:sz w:val="24"/>
                <w:szCs w:val="24"/>
              </w:rPr>
              <w:t>Ar SEN apliekami elektroenerģijas ražotāju, kas saņēmuši tiesības pārdot elektroenerģiju OI ietvaros vai tiesības saņemt garantēto maksu par uzstādīto jaudu, kā arī to enerģijas ražotāju, kas saņēmuši līdzvērtīgas tiesības saskaņā ar normatīvajiem aktiem, kas bija spēkā pirms Elektroenerģijas tirgus likuma spēkā stāšanās (</w:t>
            </w:r>
            <w:proofErr w:type="spellStart"/>
            <w:r w:rsidRPr="000052F5">
              <w:rPr>
                <w:rFonts w:ascii="Times New Roman" w:hAnsi="Times New Roman"/>
                <w:color w:val="000000" w:themeColor="text1"/>
                <w:sz w:val="24"/>
                <w:szCs w:val="24"/>
              </w:rPr>
              <w:t>t.i</w:t>
            </w:r>
            <w:proofErr w:type="spellEnd"/>
            <w:r w:rsidRPr="000052F5">
              <w:rPr>
                <w:rFonts w:ascii="Times New Roman" w:hAnsi="Times New Roman"/>
                <w:color w:val="000000" w:themeColor="text1"/>
                <w:sz w:val="24"/>
                <w:szCs w:val="24"/>
              </w:rPr>
              <w:t xml:space="preserve">., 14 vēja elektrostacijas, kuras elektroenerģijas ražošanu uzsāka līdz 2002. gadam decembrim). </w:t>
            </w:r>
          </w:p>
        </w:tc>
      </w:tr>
      <w:tr w:rsidR="00802846" w:rsidRPr="00A666C2" w:rsidTr="00975CD1">
        <w:tc>
          <w:tcPr>
            <w:tcW w:w="258"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2.</w:t>
            </w:r>
          </w:p>
        </w:tc>
        <w:tc>
          <w:tcPr>
            <w:tcW w:w="1932" w:type="pct"/>
            <w:tcBorders>
              <w:top w:val="outset" w:sz="6" w:space="0" w:color="000000"/>
              <w:left w:val="outset" w:sz="6" w:space="0" w:color="000000"/>
              <w:bottom w:val="outset" w:sz="6" w:space="0" w:color="000000"/>
              <w:right w:val="outset" w:sz="6" w:space="0" w:color="000000"/>
            </w:tcBorders>
          </w:tcPr>
          <w:p w:rsidR="00802846" w:rsidRPr="00C0060B" w:rsidRDefault="00802846" w:rsidP="00702105">
            <w:r w:rsidRPr="00C0060B">
              <w:t>Citas sabiedrības grupas (bez mērķgrupas), kuras tiesiskais regulējums arī ietekmē vai varētu ietekmēt</w:t>
            </w:r>
          </w:p>
        </w:tc>
        <w:tc>
          <w:tcPr>
            <w:tcW w:w="2810" w:type="pct"/>
            <w:tcBorders>
              <w:top w:val="outset" w:sz="6" w:space="0" w:color="000000"/>
              <w:left w:val="outset" w:sz="6" w:space="0" w:color="000000"/>
              <w:bottom w:val="outset" w:sz="6" w:space="0" w:color="000000"/>
            </w:tcBorders>
          </w:tcPr>
          <w:p w:rsidR="00702105" w:rsidRPr="00975CD1" w:rsidRDefault="00C0060B" w:rsidP="00702105">
            <w:pPr>
              <w:jc w:val="both"/>
              <w:rPr>
                <w:color w:val="000000" w:themeColor="text1"/>
              </w:rPr>
            </w:pPr>
            <w:r w:rsidRPr="00975CD1">
              <w:rPr>
                <w:color w:val="000000" w:themeColor="text1"/>
              </w:rPr>
              <w:t xml:space="preserve">SEN nodokļa ieviešanā tiek piedāvātas </w:t>
            </w:r>
            <w:r w:rsidR="00644D85" w:rsidRPr="00975CD1">
              <w:rPr>
                <w:color w:val="000000" w:themeColor="text1"/>
              </w:rPr>
              <w:t xml:space="preserve">trīs </w:t>
            </w:r>
            <w:r w:rsidRPr="00975CD1">
              <w:rPr>
                <w:color w:val="000000" w:themeColor="text1"/>
              </w:rPr>
              <w:t xml:space="preserve">diferencētas likmes (15% – dabasgāzes stacijām, 10% – atjaunojamos energoresursus izmantojošām stacijām, 5% – stacijām, kas nodrošina ar siltumenerģiju centralizētās sistēmas un kuru SEN likmei ir tieša ietekme uz siltumenerģijas gala tarifu </w:t>
            </w:r>
            <w:r w:rsidR="00644D85" w:rsidRPr="00975CD1">
              <w:rPr>
                <w:color w:val="000000" w:themeColor="text1"/>
              </w:rPr>
              <w:t>lietotājam</w:t>
            </w:r>
            <w:r w:rsidR="00702105" w:rsidRPr="00975CD1">
              <w:rPr>
                <w:color w:val="000000" w:themeColor="text1"/>
              </w:rPr>
              <w:t xml:space="preserve">, tādejādi mazinot risku, ka </w:t>
            </w:r>
            <w:proofErr w:type="spellStart"/>
            <w:r w:rsidR="00702105" w:rsidRPr="00975CD1">
              <w:rPr>
                <w:color w:val="000000" w:themeColor="text1"/>
              </w:rPr>
              <w:t>šķērsubsīdiju</w:t>
            </w:r>
            <w:proofErr w:type="spellEnd"/>
            <w:r w:rsidR="00702105" w:rsidRPr="00975CD1">
              <w:rPr>
                <w:color w:val="000000" w:themeColor="text1"/>
              </w:rPr>
              <w:t xml:space="preserve"> ietekmē varētu būtiski pieaugt siltumenerģijas gala cena siltumenerģijas lietotājiem.</w:t>
            </w:r>
          </w:p>
          <w:p w:rsidR="00802846" w:rsidRPr="00C0060B" w:rsidRDefault="00C0060B" w:rsidP="00702105">
            <w:pPr>
              <w:jc w:val="both"/>
            </w:pPr>
            <w:r w:rsidRPr="00975CD1">
              <w:rPr>
                <w:color w:val="000000" w:themeColor="text1"/>
              </w:rPr>
              <w:t>Vienlaikus SEN ieviešanas rezultātā tiks samazināt</w:t>
            </w:r>
            <w:r w:rsidR="00702105" w:rsidRPr="00975CD1">
              <w:rPr>
                <w:color w:val="000000" w:themeColor="text1"/>
              </w:rPr>
              <w:t>i</w:t>
            </w:r>
            <w:r w:rsidRPr="00975CD1">
              <w:rPr>
                <w:color w:val="000000" w:themeColor="text1"/>
              </w:rPr>
              <w:t xml:space="preserve"> nākotnes elektroenerģijas kopējas cenas pieauguma riski, kas </w:t>
            </w:r>
            <w:r w:rsidR="00702105" w:rsidRPr="00975CD1">
              <w:rPr>
                <w:color w:val="000000" w:themeColor="text1"/>
              </w:rPr>
              <w:t xml:space="preserve">atstāt pozitīvu ietekmi visiem elektroenerģijas lietotājiem, </w:t>
            </w:r>
            <w:r w:rsidR="00702105" w:rsidRPr="00975CD1">
              <w:rPr>
                <w:color w:val="000000" w:themeColor="text1"/>
                <w:szCs w:val="28"/>
              </w:rPr>
              <w:t>nodrošinot tautsaimniecības konkurētspēju un nepalielinātu mājsaimniecību enerģētisko nabadzību</w:t>
            </w:r>
            <w:r w:rsidR="00702105" w:rsidRPr="00975CD1">
              <w:rPr>
                <w:color w:val="000000" w:themeColor="text1"/>
              </w:rPr>
              <w:t>.</w:t>
            </w:r>
          </w:p>
        </w:tc>
      </w:tr>
      <w:tr w:rsidR="00802846" w:rsidRPr="00860BD2" w:rsidTr="00975CD1">
        <w:tc>
          <w:tcPr>
            <w:tcW w:w="258"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3.</w:t>
            </w:r>
          </w:p>
        </w:tc>
        <w:tc>
          <w:tcPr>
            <w:tcW w:w="1932" w:type="pct"/>
            <w:tcBorders>
              <w:top w:val="outset" w:sz="6" w:space="0" w:color="000000"/>
              <w:left w:val="outset" w:sz="6" w:space="0" w:color="000000"/>
              <w:bottom w:val="outset" w:sz="6" w:space="0" w:color="000000"/>
              <w:right w:val="outset" w:sz="6" w:space="0" w:color="000000"/>
            </w:tcBorders>
          </w:tcPr>
          <w:p w:rsidR="00802846" w:rsidRPr="00A03E92" w:rsidRDefault="00802846" w:rsidP="000D7206">
            <w:pPr>
              <w:spacing w:before="100" w:beforeAutospacing="1" w:after="100" w:afterAutospacing="1"/>
              <w:rPr>
                <w:color w:val="000000" w:themeColor="text1"/>
              </w:rPr>
            </w:pPr>
            <w:r w:rsidRPr="00A03E92">
              <w:rPr>
                <w:color w:val="000000" w:themeColor="text1"/>
              </w:rPr>
              <w:t>Tiesiskā regulējuma finansiālā ietekme</w:t>
            </w:r>
          </w:p>
        </w:tc>
        <w:tc>
          <w:tcPr>
            <w:tcW w:w="2810" w:type="pct"/>
            <w:tcBorders>
              <w:top w:val="outset" w:sz="6" w:space="0" w:color="000000"/>
              <w:left w:val="outset" w:sz="6" w:space="0" w:color="000000"/>
              <w:bottom w:val="outset" w:sz="6" w:space="0" w:color="000000"/>
            </w:tcBorders>
          </w:tcPr>
          <w:p w:rsidR="00916D60" w:rsidRPr="00C962CC" w:rsidRDefault="00916D60" w:rsidP="00916D60">
            <w:pPr>
              <w:ind w:right="93"/>
              <w:jc w:val="both"/>
              <w:rPr>
                <w:color w:val="000000" w:themeColor="text1"/>
              </w:rPr>
            </w:pPr>
            <w:r w:rsidRPr="00C962CC">
              <w:rPr>
                <w:color w:val="000000" w:themeColor="text1"/>
              </w:rPr>
              <w:t xml:space="preserve">SEN nodrošina ieņēmumus valsts budžetam. </w:t>
            </w:r>
          </w:p>
          <w:p w:rsidR="00B64436" w:rsidRPr="00A03E92" w:rsidRDefault="00916D60" w:rsidP="00F012CC">
            <w:pPr>
              <w:jc w:val="both"/>
              <w:rPr>
                <w:color w:val="000000" w:themeColor="text1"/>
              </w:rPr>
            </w:pPr>
            <w:r w:rsidRPr="00C962CC">
              <w:rPr>
                <w:color w:val="000000" w:themeColor="text1"/>
                <w:szCs w:val="28"/>
              </w:rPr>
              <w:t>SEN ieviešana kopumā gan īstermiņā, gan ilgtermiņā atstās pozitīvu ietekmi uz Latvijas tautsaimniecību, dodot pozitīvu signālu gan enerģijas ražotājiem, gan lietotājiem, tai skaitā Latvijas uzņēmumiem, kuriem elektroenerģijas cena tirgū ir viens no to konkurētspēju noteicošajiem faktoriem</w:t>
            </w:r>
            <w:r>
              <w:rPr>
                <w:color w:val="000000" w:themeColor="text1"/>
              </w:rPr>
              <w:t>.</w:t>
            </w:r>
          </w:p>
        </w:tc>
      </w:tr>
      <w:tr w:rsidR="00802846" w:rsidRPr="00A666C2" w:rsidTr="00975CD1">
        <w:tc>
          <w:tcPr>
            <w:tcW w:w="258" w:type="pct"/>
            <w:tcBorders>
              <w:top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lastRenderedPageBreak/>
              <w:t>4.</w:t>
            </w:r>
          </w:p>
        </w:tc>
        <w:tc>
          <w:tcPr>
            <w:tcW w:w="1932" w:type="pct"/>
            <w:tcBorders>
              <w:top w:val="outset" w:sz="6" w:space="0" w:color="000000"/>
              <w:left w:val="outset" w:sz="6" w:space="0" w:color="000000"/>
              <w:bottom w:val="outset" w:sz="6" w:space="0" w:color="000000"/>
              <w:right w:val="outset" w:sz="6" w:space="0" w:color="000000"/>
            </w:tcBorders>
          </w:tcPr>
          <w:p w:rsidR="00802846" w:rsidRPr="00A666C2" w:rsidRDefault="00802846" w:rsidP="000D7206">
            <w:pPr>
              <w:spacing w:before="100" w:beforeAutospacing="1" w:after="100" w:afterAutospacing="1"/>
            </w:pPr>
            <w:r w:rsidRPr="00A666C2">
              <w:t>Tiesiskā regulējuma nefinansiālā ietekme</w:t>
            </w:r>
          </w:p>
        </w:tc>
        <w:tc>
          <w:tcPr>
            <w:tcW w:w="2810" w:type="pct"/>
            <w:tcBorders>
              <w:top w:val="outset" w:sz="6" w:space="0" w:color="000000"/>
              <w:left w:val="outset" w:sz="6" w:space="0" w:color="000000"/>
              <w:bottom w:val="outset" w:sz="6" w:space="0" w:color="000000"/>
            </w:tcBorders>
          </w:tcPr>
          <w:p w:rsidR="00916D60" w:rsidRPr="003F0C6D" w:rsidRDefault="00916D60" w:rsidP="00916D60">
            <w:pPr>
              <w:jc w:val="both"/>
            </w:pPr>
            <w:r w:rsidRPr="003F0C6D">
              <w:t>Paredzams, ka nodoklis tiks ieviests uz laiku līdz 2017.</w:t>
            </w:r>
            <w:r>
              <w:t> </w:t>
            </w:r>
            <w:r w:rsidRPr="003F0C6D">
              <w:t xml:space="preserve">gada beigām, paredzot tā samazinājumu vai izbeigšanu, ja tiek faktiski panākts </w:t>
            </w:r>
            <w:r>
              <w:t xml:space="preserve">obligātā iepirkuma komponentes </w:t>
            </w:r>
            <w:r w:rsidRPr="003F0C6D">
              <w:t xml:space="preserve">ietvaros izmaksājamo subsīdiju apjoma samazinājums. Jau šogad pavasarī uzsāktais darbs pie atbalsta intensitātes pārskatīšanas tiek turpināts, tomēr, ņemot vērā tās juridisko un tehnisko sarežģītību, </w:t>
            </w:r>
            <w:r>
              <w:t>paredzams, ka</w:t>
            </w:r>
            <w:r w:rsidRPr="003F0C6D">
              <w:t xml:space="preserve"> elektr</w:t>
            </w:r>
            <w:r>
              <w:t>oenerģijas</w:t>
            </w:r>
            <w:r w:rsidRPr="003F0C6D">
              <w:t xml:space="preserve"> cenu samazinošs efekts </w:t>
            </w:r>
            <w:r>
              <w:t>lietotājiem</w:t>
            </w:r>
            <w:r w:rsidRPr="003F0C6D">
              <w:t xml:space="preserve"> varētu būt jūtams tikai 2015. – 2016. gadā. Turpretim SEN</w:t>
            </w:r>
            <w:r>
              <w:t xml:space="preserve"> </w:t>
            </w:r>
            <w:r w:rsidRPr="003F0C6D">
              <w:t xml:space="preserve">ir juridiski korekts risinājums, kas pietiekami ātrā un efektīvā veidā ļauj apturēt </w:t>
            </w:r>
            <w:r>
              <w:t>obligātā iepirkuma komponentes</w:t>
            </w:r>
            <w:r w:rsidRPr="003F0C6D">
              <w:t xml:space="preserve"> pieaugumu jau no 2014.</w:t>
            </w:r>
            <w:r>
              <w:t xml:space="preserve"> </w:t>
            </w:r>
            <w:r w:rsidRPr="003F0C6D">
              <w:t>gada.</w:t>
            </w:r>
          </w:p>
          <w:p w:rsidR="00802846" w:rsidRPr="00A666C2" w:rsidRDefault="00916D60" w:rsidP="00916D60">
            <w:pPr>
              <w:jc w:val="both"/>
              <w:rPr>
                <w:color w:val="FF0000"/>
              </w:rPr>
            </w:pPr>
            <w:r>
              <w:t xml:space="preserve">Vienlaikus SEN nodrošinātu līdzekļus atbalstam, kura </w:t>
            </w:r>
            <w:r w:rsidRPr="003F0C6D">
              <w:t xml:space="preserve"> mērķis ir panākt, lai iedzīvotājiem ar zemu maksātspēju arī pēc elektrības cenas izmaiņām tiktu nodrošināts sociālā atbalsta instruments, kas saglabātu maksājumus AS “Latvenergo” </w:t>
            </w:r>
            <w:r w:rsidRPr="00605624">
              <w:rPr>
                <w:i/>
              </w:rPr>
              <w:t>Starta tarifa</w:t>
            </w:r>
            <w:r w:rsidRPr="003F0C6D">
              <w:t xml:space="preserve"> līmenī (8,18 santīmi par kilovatstundu). Paredzēts, ka līdzekļu avots sociālā atbalsta sniegšanai būs valsts budžeta ieņēmumi no SEN</w:t>
            </w:r>
            <w:r>
              <w:t>. Savukārt</w:t>
            </w:r>
            <w:r w:rsidRPr="003F0C6D">
              <w:t xml:space="preserve"> atbalsta sniegšanu </w:t>
            </w:r>
            <w:r>
              <w:t xml:space="preserve">iedzīvotājiem ar zemu maksātspēju </w:t>
            </w:r>
            <w:r w:rsidRPr="003F0C6D">
              <w:t>administrēs pašvaldīb</w:t>
            </w:r>
            <w:r>
              <w:t>as</w:t>
            </w:r>
            <w:r w:rsidRPr="003F0C6D">
              <w:t>. Īstenojot šo sociālā atbalsta instrumentu un izveidojot Elektroenerģijas lietotāju atbalsta fondu, elektroenerģijas tirgus liberalizācija mājsaimniecībām Latvijā tiktu plānota 2014.</w:t>
            </w:r>
            <w:r>
              <w:t> </w:t>
            </w:r>
            <w:r w:rsidRPr="003F0C6D">
              <w:t>gada pavasarī, izvairoties no sociāli nelabvēlīgām sekām.</w:t>
            </w:r>
          </w:p>
        </w:tc>
      </w:tr>
      <w:tr w:rsidR="00802846" w:rsidRPr="00A666C2" w:rsidTr="00975CD1">
        <w:tc>
          <w:tcPr>
            <w:tcW w:w="258" w:type="pct"/>
            <w:tcBorders>
              <w:top w:val="outset" w:sz="6" w:space="0" w:color="000000"/>
              <w:bottom w:val="outset" w:sz="6" w:space="0" w:color="000000"/>
              <w:right w:val="outset" w:sz="6" w:space="0" w:color="000000"/>
            </w:tcBorders>
          </w:tcPr>
          <w:p w:rsidR="00802846" w:rsidRPr="00A666C2" w:rsidRDefault="00802846" w:rsidP="005F0330">
            <w:pPr>
              <w:spacing w:after="100" w:afterAutospacing="1"/>
            </w:pPr>
            <w:r w:rsidRPr="00A666C2">
              <w:t>5.</w:t>
            </w:r>
          </w:p>
        </w:tc>
        <w:tc>
          <w:tcPr>
            <w:tcW w:w="1932" w:type="pct"/>
            <w:tcBorders>
              <w:top w:val="outset" w:sz="6" w:space="0" w:color="000000"/>
              <w:left w:val="outset" w:sz="6" w:space="0" w:color="000000"/>
              <w:bottom w:val="outset" w:sz="6" w:space="0" w:color="000000"/>
              <w:right w:val="outset" w:sz="6" w:space="0" w:color="000000"/>
            </w:tcBorders>
          </w:tcPr>
          <w:p w:rsidR="00802846" w:rsidRPr="00A666C2" w:rsidRDefault="00802846" w:rsidP="005F0330">
            <w:pPr>
              <w:spacing w:after="100" w:afterAutospacing="1"/>
            </w:pPr>
            <w:r w:rsidRPr="00A666C2">
              <w:t>Administratīvās procedūras raksturojums</w:t>
            </w:r>
          </w:p>
        </w:tc>
        <w:tc>
          <w:tcPr>
            <w:tcW w:w="2810" w:type="pct"/>
            <w:tcBorders>
              <w:top w:val="outset" w:sz="6" w:space="0" w:color="000000"/>
              <w:left w:val="outset" w:sz="6" w:space="0" w:color="000000"/>
              <w:bottom w:val="outset" w:sz="6" w:space="0" w:color="000000"/>
            </w:tcBorders>
          </w:tcPr>
          <w:p w:rsidR="00C71286" w:rsidRDefault="00C71286" w:rsidP="00C71286">
            <w:pPr>
              <w:jc w:val="both"/>
              <w:rPr>
                <w:color w:val="000000" w:themeColor="text1"/>
              </w:rPr>
            </w:pPr>
            <w:r w:rsidRPr="007C1BFA">
              <w:rPr>
                <w:bCs/>
                <w:color w:val="000000" w:themeColor="text1"/>
                <w:szCs w:val="28"/>
              </w:rPr>
              <w:t xml:space="preserve">SEN </w:t>
            </w:r>
            <w:r w:rsidRPr="00512135">
              <w:rPr>
                <w:bCs/>
                <w:color w:val="000000" w:themeColor="text1"/>
                <w:szCs w:val="28"/>
              </w:rPr>
              <w:t>ieturēšanu</w:t>
            </w:r>
            <w:r>
              <w:rPr>
                <w:bCs/>
                <w:color w:val="000000" w:themeColor="text1"/>
                <w:szCs w:val="28"/>
              </w:rPr>
              <w:t xml:space="preserve"> OI maksājumu un garantētās maksas</w:t>
            </w:r>
            <w:r w:rsidRPr="00F5080A">
              <w:rPr>
                <w:bCs/>
                <w:color w:val="000000" w:themeColor="text1"/>
                <w:szCs w:val="28"/>
              </w:rPr>
              <w:t xml:space="preserve"> par uzstādīto jaudu </w:t>
            </w:r>
            <w:r>
              <w:rPr>
                <w:bCs/>
                <w:color w:val="000000" w:themeColor="text1"/>
                <w:szCs w:val="28"/>
              </w:rPr>
              <w:t>izmaksu vietā</w:t>
            </w:r>
            <w:r w:rsidRPr="00512135">
              <w:rPr>
                <w:bCs/>
                <w:color w:val="000000" w:themeColor="text1"/>
                <w:szCs w:val="28"/>
              </w:rPr>
              <w:t xml:space="preserve"> un maksāšanu (pārskaitīšanu budžetā)</w:t>
            </w:r>
            <w:r>
              <w:rPr>
                <w:bCs/>
                <w:color w:val="000000" w:themeColor="text1"/>
                <w:szCs w:val="28"/>
              </w:rPr>
              <w:t xml:space="preserve"> veic </w:t>
            </w:r>
            <w:r w:rsidRPr="008010E4">
              <w:rPr>
                <w:bCs/>
                <w:color w:val="000000" w:themeColor="text1"/>
                <w:szCs w:val="28"/>
              </w:rPr>
              <w:t xml:space="preserve">Elektroenerģijas lietotāju atbalsta fonds </w:t>
            </w:r>
            <w:r>
              <w:rPr>
                <w:bCs/>
                <w:color w:val="000000" w:themeColor="text1"/>
                <w:szCs w:val="28"/>
              </w:rPr>
              <w:t>(</w:t>
            </w:r>
            <w:r w:rsidRPr="007C1BFA">
              <w:rPr>
                <w:bCs/>
                <w:color w:val="000000" w:themeColor="text1"/>
                <w:szCs w:val="28"/>
              </w:rPr>
              <w:t>ELAF</w:t>
            </w:r>
            <w:r>
              <w:rPr>
                <w:bCs/>
                <w:color w:val="000000" w:themeColor="text1"/>
                <w:szCs w:val="28"/>
              </w:rPr>
              <w:t>), kura detalizētāka darbība aprakstīta saistītā</w:t>
            </w:r>
            <w:r w:rsidRPr="00A666C2">
              <w:t xml:space="preserve"> politikas ietekmes novērtējumi</w:t>
            </w:r>
            <w:r>
              <w:rPr>
                <w:bCs/>
                <w:color w:val="000000" w:themeColor="text1"/>
                <w:szCs w:val="28"/>
              </w:rPr>
              <w:t xml:space="preserve"> Ziņojuma 4. nodaļā.</w:t>
            </w:r>
            <w:r w:rsidRPr="007C1BFA">
              <w:rPr>
                <w:bCs/>
                <w:color w:val="000000" w:themeColor="text1"/>
                <w:szCs w:val="28"/>
              </w:rPr>
              <w:t xml:space="preserve"> </w:t>
            </w:r>
            <w:r w:rsidRPr="007C1BFA">
              <w:rPr>
                <w:color w:val="000000" w:themeColor="text1"/>
                <w:szCs w:val="28"/>
              </w:rPr>
              <w:t xml:space="preserve">SEN </w:t>
            </w:r>
            <w:r>
              <w:rPr>
                <w:color w:val="000000" w:themeColor="text1"/>
                <w:szCs w:val="28"/>
              </w:rPr>
              <w:t>t</w:t>
            </w:r>
            <w:r w:rsidRPr="007C1BFA">
              <w:rPr>
                <w:color w:val="000000" w:themeColor="text1"/>
                <w:szCs w:val="28"/>
              </w:rPr>
              <w:t xml:space="preserve">aksācijas periods </w:t>
            </w:r>
            <w:r w:rsidR="00E140F3">
              <w:rPr>
                <w:color w:val="000000" w:themeColor="text1"/>
                <w:szCs w:val="28"/>
              </w:rPr>
              <w:t>ir</w:t>
            </w:r>
            <w:r w:rsidR="00E140F3" w:rsidRPr="007C1BFA">
              <w:rPr>
                <w:color w:val="000000" w:themeColor="text1"/>
                <w:szCs w:val="28"/>
              </w:rPr>
              <w:t xml:space="preserve"> </w:t>
            </w:r>
            <w:r w:rsidRPr="007C1BFA">
              <w:rPr>
                <w:color w:val="000000" w:themeColor="text1"/>
                <w:szCs w:val="28"/>
              </w:rPr>
              <w:t xml:space="preserve">viens kalendāra </w:t>
            </w:r>
            <w:r w:rsidRPr="008010E4">
              <w:rPr>
                <w:color w:val="000000" w:themeColor="text1"/>
              </w:rPr>
              <w:t>mēnesis. SEN administrē</w:t>
            </w:r>
            <w:r w:rsidR="003F4B23">
              <w:rPr>
                <w:color w:val="000000" w:themeColor="text1"/>
              </w:rPr>
              <w:t>tu</w:t>
            </w:r>
            <w:r w:rsidRPr="008010E4">
              <w:rPr>
                <w:color w:val="000000" w:themeColor="text1"/>
              </w:rPr>
              <w:t xml:space="preserve"> Valsts ieņēmumu dienests.</w:t>
            </w:r>
          </w:p>
          <w:p w:rsidR="00C71286" w:rsidRDefault="00C71286" w:rsidP="00C71286">
            <w:pPr>
              <w:jc w:val="both"/>
            </w:pPr>
            <w:r>
              <w:t>SEN</w:t>
            </w:r>
            <w:r w:rsidRPr="005D3543">
              <w:t xml:space="preserve"> aprēķināšanu, ieturēšanu un pārskaitīšanu valsts budžetā veic publiskais tirgotājs, kurš nodokļa maksātājam taksācijas periodā izmaksā apliekamo ienākumu. </w:t>
            </w:r>
          </w:p>
          <w:p w:rsidR="00C71286" w:rsidRDefault="00C71286" w:rsidP="00C71286">
            <w:pPr>
              <w:jc w:val="both"/>
            </w:pPr>
            <w:r w:rsidRPr="005D3543">
              <w:t xml:space="preserve">Ieturamo </w:t>
            </w:r>
            <w:r>
              <w:t xml:space="preserve">SEN </w:t>
            </w:r>
            <w:r w:rsidRPr="005D3543">
              <w:t>aprēķina, reizinot taksācijas periodā izmaksājam</w:t>
            </w:r>
            <w:r>
              <w:t>ā</w:t>
            </w:r>
            <w:r w:rsidRPr="005D3543">
              <w:t xml:space="preserve"> apliekam</w:t>
            </w:r>
            <w:r>
              <w:t>ā</w:t>
            </w:r>
            <w:r w:rsidRPr="005D3543">
              <w:t xml:space="preserve"> ienākum</w:t>
            </w:r>
            <w:r>
              <w:t>a</w:t>
            </w:r>
            <w:r w:rsidRPr="005D3543">
              <w:t xml:space="preserve"> summu ar </w:t>
            </w:r>
            <w:r>
              <w:t xml:space="preserve"> attiecīgajam apliekamajam ienākumam </w:t>
            </w:r>
            <w:r w:rsidRPr="005D3543">
              <w:t>piemērojamo nodokļa likmi.</w:t>
            </w:r>
          </w:p>
          <w:p w:rsidR="00C71286" w:rsidRPr="008010E4" w:rsidRDefault="00C71286" w:rsidP="00C71286">
            <w:pPr>
              <w:jc w:val="both"/>
              <w:rPr>
                <w:b/>
                <w:color w:val="000000" w:themeColor="text1"/>
              </w:rPr>
            </w:pPr>
            <w:r>
              <w:t>Savukārt p</w:t>
            </w:r>
            <w:r w:rsidRPr="005D3543">
              <w:t>ubliskais tirgotājs, kurš taksācijas periodā nodokļu maksātajam izmaksā apliekam</w:t>
            </w:r>
            <w:r>
              <w:t>u</w:t>
            </w:r>
            <w:r w:rsidRPr="005D3543">
              <w:t xml:space="preserve">s ienākumus, ietur nodokli ienākumu izmaksas brīdī un iemaksā nodokli valsts budžetā </w:t>
            </w:r>
            <w:r>
              <w:t>1</w:t>
            </w:r>
            <w:r w:rsidRPr="005D3543">
              <w:t>5 dienu laikā pēc taksācijas perioda beigām.</w:t>
            </w:r>
          </w:p>
          <w:p w:rsidR="00802846" w:rsidRPr="00A666C2" w:rsidRDefault="00C71286" w:rsidP="00C71286">
            <w:pPr>
              <w:pStyle w:val="tv2131"/>
              <w:spacing w:before="0" w:line="240" w:lineRule="auto"/>
              <w:ind w:firstLine="0"/>
              <w:rPr>
                <w:color w:val="FF0000"/>
              </w:rPr>
            </w:pPr>
            <w:r w:rsidRPr="008010E4">
              <w:rPr>
                <w:rFonts w:ascii="Times New Roman" w:hAnsi="Times New Roman"/>
                <w:color w:val="000000" w:themeColor="text1"/>
                <w:sz w:val="24"/>
                <w:szCs w:val="24"/>
              </w:rPr>
              <w:t>SEN paredzēts piemērot no 2014. gada 1. janvāra līdz 2017. gada 31. decembrim. Pēc 2017. gada SEN piemērošanu var pārskatīt.</w:t>
            </w:r>
          </w:p>
        </w:tc>
      </w:tr>
      <w:tr w:rsidR="00802846" w:rsidRPr="00A666C2" w:rsidTr="00975CD1">
        <w:tc>
          <w:tcPr>
            <w:tcW w:w="258" w:type="pct"/>
            <w:tcBorders>
              <w:top w:val="outset" w:sz="6" w:space="0" w:color="000000"/>
              <w:bottom w:val="outset" w:sz="6" w:space="0" w:color="000000"/>
              <w:right w:val="outset" w:sz="6" w:space="0" w:color="000000"/>
            </w:tcBorders>
          </w:tcPr>
          <w:p w:rsidR="00802846" w:rsidRPr="00A666C2" w:rsidRDefault="00802846" w:rsidP="005F0330">
            <w:pPr>
              <w:spacing w:after="100" w:afterAutospacing="1"/>
            </w:pPr>
            <w:r w:rsidRPr="00A666C2">
              <w:t>6.</w:t>
            </w:r>
          </w:p>
        </w:tc>
        <w:tc>
          <w:tcPr>
            <w:tcW w:w="1932" w:type="pct"/>
            <w:tcBorders>
              <w:top w:val="outset" w:sz="6" w:space="0" w:color="000000"/>
              <w:left w:val="outset" w:sz="6" w:space="0" w:color="000000"/>
              <w:bottom w:val="outset" w:sz="6" w:space="0" w:color="000000"/>
              <w:right w:val="outset" w:sz="6" w:space="0" w:color="000000"/>
            </w:tcBorders>
          </w:tcPr>
          <w:p w:rsidR="00802846" w:rsidRPr="00A666C2" w:rsidRDefault="00802846" w:rsidP="005F0330">
            <w:pPr>
              <w:spacing w:after="100" w:afterAutospacing="1"/>
            </w:pPr>
            <w:r w:rsidRPr="00A666C2">
              <w:t xml:space="preserve">Administratīvo izmaksu monetārs </w:t>
            </w:r>
            <w:r w:rsidRPr="00A666C2">
              <w:lastRenderedPageBreak/>
              <w:t>novērtējums</w:t>
            </w:r>
          </w:p>
        </w:tc>
        <w:tc>
          <w:tcPr>
            <w:tcW w:w="2810" w:type="pct"/>
            <w:tcBorders>
              <w:top w:val="outset" w:sz="6" w:space="0" w:color="000000"/>
              <w:left w:val="outset" w:sz="6" w:space="0" w:color="000000"/>
              <w:bottom w:val="outset" w:sz="6" w:space="0" w:color="000000"/>
            </w:tcBorders>
          </w:tcPr>
          <w:p w:rsidR="00802846" w:rsidRPr="00A666C2" w:rsidRDefault="00802846" w:rsidP="005F0330">
            <w:pPr>
              <w:spacing w:after="100" w:afterAutospacing="1"/>
              <w:rPr>
                <w:color w:val="FF0000"/>
              </w:rPr>
            </w:pPr>
            <w:r w:rsidRPr="00A666C2">
              <w:lastRenderedPageBreak/>
              <w:t>Projekts šo jomu neskar.</w:t>
            </w:r>
          </w:p>
        </w:tc>
      </w:tr>
      <w:tr w:rsidR="00802846" w:rsidRPr="00A666C2" w:rsidTr="00975CD1">
        <w:tc>
          <w:tcPr>
            <w:tcW w:w="258" w:type="pct"/>
            <w:tcBorders>
              <w:top w:val="outset" w:sz="6" w:space="0" w:color="000000"/>
              <w:bottom w:val="outset" w:sz="6" w:space="0" w:color="000000"/>
              <w:right w:val="outset" w:sz="6" w:space="0" w:color="000000"/>
            </w:tcBorders>
          </w:tcPr>
          <w:p w:rsidR="00802846" w:rsidRPr="00A666C2" w:rsidRDefault="00802846" w:rsidP="005F0330">
            <w:pPr>
              <w:spacing w:after="100" w:afterAutospacing="1"/>
            </w:pPr>
            <w:r w:rsidRPr="00A666C2">
              <w:lastRenderedPageBreak/>
              <w:t>7.</w:t>
            </w:r>
          </w:p>
        </w:tc>
        <w:tc>
          <w:tcPr>
            <w:tcW w:w="1932" w:type="pct"/>
            <w:tcBorders>
              <w:top w:val="outset" w:sz="6" w:space="0" w:color="000000"/>
              <w:left w:val="outset" w:sz="6" w:space="0" w:color="000000"/>
              <w:bottom w:val="outset" w:sz="6" w:space="0" w:color="000000"/>
              <w:right w:val="outset" w:sz="6" w:space="0" w:color="000000"/>
            </w:tcBorders>
          </w:tcPr>
          <w:p w:rsidR="00802846" w:rsidRPr="00A666C2" w:rsidRDefault="00802846" w:rsidP="005F0330">
            <w:pPr>
              <w:spacing w:after="100" w:afterAutospacing="1"/>
            </w:pPr>
            <w:r w:rsidRPr="00A666C2">
              <w:t>Cita informācija</w:t>
            </w:r>
          </w:p>
        </w:tc>
        <w:tc>
          <w:tcPr>
            <w:tcW w:w="2810" w:type="pct"/>
            <w:tcBorders>
              <w:top w:val="outset" w:sz="6" w:space="0" w:color="000000"/>
              <w:left w:val="outset" w:sz="6" w:space="0" w:color="000000"/>
              <w:bottom w:val="outset" w:sz="6" w:space="0" w:color="000000"/>
            </w:tcBorders>
          </w:tcPr>
          <w:p w:rsidR="00802846" w:rsidRPr="00A666C2" w:rsidRDefault="00802846" w:rsidP="005F0330">
            <w:pPr>
              <w:spacing w:after="100" w:afterAutospacing="1"/>
              <w:rPr>
                <w:color w:val="FF0000"/>
              </w:rPr>
            </w:pPr>
            <w:r w:rsidRPr="00A666C2">
              <w:t>Nav</w:t>
            </w:r>
          </w:p>
        </w:tc>
      </w:tr>
    </w:tbl>
    <w:p w:rsidR="00802846" w:rsidRDefault="00802846" w:rsidP="001A56AB"/>
    <w:tbl>
      <w:tblPr>
        <w:tblW w:w="5011"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3405"/>
        <w:gridCol w:w="741"/>
        <w:gridCol w:w="1889"/>
        <w:gridCol w:w="1228"/>
        <w:gridCol w:w="1228"/>
        <w:gridCol w:w="1228"/>
      </w:tblGrid>
      <w:tr w:rsidR="00916D60" w:rsidRPr="00C962CC" w:rsidTr="009A10F7">
        <w:tc>
          <w:tcPr>
            <w:tcW w:w="5000" w:type="pct"/>
            <w:gridSpan w:val="6"/>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before="100" w:beforeAutospacing="1" w:after="100" w:afterAutospacing="1"/>
              <w:jc w:val="center"/>
              <w:rPr>
                <w:color w:val="000000" w:themeColor="text1"/>
              </w:rPr>
            </w:pPr>
            <w:r w:rsidRPr="00C962CC">
              <w:rPr>
                <w:b/>
                <w:bCs/>
                <w:color w:val="000000" w:themeColor="text1"/>
              </w:rPr>
              <w:t>III. Tiesību akta projekta ietekme uz valsts budžetu un pašvaldību budžetiem</w:t>
            </w:r>
          </w:p>
        </w:tc>
      </w:tr>
      <w:tr w:rsidR="00916D60" w:rsidRPr="00C962CC" w:rsidTr="00A14953">
        <w:tc>
          <w:tcPr>
            <w:tcW w:w="1751" w:type="pct"/>
            <w:vMerge w:val="restar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b/>
                <w:bCs/>
                <w:color w:val="000000" w:themeColor="text1"/>
              </w:rPr>
              <w:t>Rādītāji</w:t>
            </w:r>
          </w:p>
        </w:tc>
        <w:tc>
          <w:tcPr>
            <w:tcW w:w="1353" w:type="pct"/>
            <w:gridSpan w:val="2"/>
            <w:vMerge w:val="restar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b/>
                <w:bCs/>
                <w:color w:val="000000" w:themeColor="text1"/>
              </w:rPr>
              <w:t>2013. gads</w:t>
            </w:r>
          </w:p>
        </w:tc>
        <w:tc>
          <w:tcPr>
            <w:tcW w:w="1896" w:type="pct"/>
            <w:gridSpan w:val="3"/>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Turpmākie trīs gadi (</w:t>
            </w:r>
            <w:r w:rsidRPr="00E5243C">
              <w:rPr>
                <w:b/>
                <w:color w:val="000000" w:themeColor="text1"/>
              </w:rPr>
              <w:t>milj.LVL</w:t>
            </w:r>
            <w:r w:rsidRPr="00C962CC">
              <w:rPr>
                <w:color w:val="000000" w:themeColor="text1"/>
              </w:rPr>
              <w:t>)</w:t>
            </w:r>
          </w:p>
        </w:tc>
      </w:tr>
      <w:tr w:rsidR="00916D60" w:rsidRPr="00C962CC" w:rsidTr="00A14953">
        <w:tc>
          <w:tcPr>
            <w:tcW w:w="1751" w:type="pct"/>
            <w:vMerge/>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rPr>
                <w:color w:val="000000" w:themeColor="text1"/>
              </w:rPr>
            </w:pPr>
          </w:p>
        </w:tc>
        <w:tc>
          <w:tcPr>
            <w:tcW w:w="1353" w:type="pct"/>
            <w:gridSpan w:val="2"/>
            <w:vMerge/>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b/>
                <w:bCs/>
                <w:color w:val="000000" w:themeColor="text1"/>
              </w:rPr>
              <w:t>2014.</w:t>
            </w:r>
          </w:p>
        </w:tc>
        <w:tc>
          <w:tcPr>
            <w:tcW w:w="63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b/>
                <w:bCs/>
                <w:color w:val="000000" w:themeColor="text1"/>
              </w:rPr>
              <w:t>2015.</w:t>
            </w:r>
          </w:p>
        </w:tc>
        <w:tc>
          <w:tcPr>
            <w:tcW w:w="633"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b/>
                <w:bCs/>
                <w:color w:val="000000" w:themeColor="text1"/>
              </w:rPr>
              <w:t>2016.</w:t>
            </w:r>
          </w:p>
        </w:tc>
      </w:tr>
      <w:tr w:rsidR="00916D60" w:rsidRPr="00C962CC" w:rsidTr="00A14953">
        <w:tc>
          <w:tcPr>
            <w:tcW w:w="1751" w:type="pct"/>
            <w:vMerge/>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rPr>
                <w:color w:val="000000" w:themeColor="text1"/>
              </w:rPr>
            </w:pPr>
          </w:p>
        </w:tc>
        <w:tc>
          <w:tcPr>
            <w:tcW w:w="381"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Saskaņā ar valsts budžetu kārtējam gadam</w:t>
            </w:r>
          </w:p>
        </w:tc>
        <w:tc>
          <w:tcPr>
            <w:tcW w:w="97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Izmaiņas kārtējā gadā, salīdzinot ar budžetu kārtējam gadam</w:t>
            </w:r>
          </w:p>
        </w:tc>
        <w:tc>
          <w:tcPr>
            <w:tcW w:w="63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Izmaiņas, salīdzinot ar kārtējo (n) gadu</w:t>
            </w:r>
          </w:p>
        </w:tc>
        <w:tc>
          <w:tcPr>
            <w:tcW w:w="63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Izmaiņas, salīdzinot ar kārtējo (n) gadu</w:t>
            </w:r>
          </w:p>
        </w:tc>
        <w:tc>
          <w:tcPr>
            <w:tcW w:w="633"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Izmaiņas, salīdzinot ar kārtējo (n) gadu</w:t>
            </w:r>
          </w:p>
        </w:tc>
      </w:tr>
      <w:tr w:rsidR="00916D60" w:rsidRPr="00C962CC" w:rsidTr="00A14953">
        <w:tc>
          <w:tcPr>
            <w:tcW w:w="1751"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1</w:t>
            </w:r>
          </w:p>
        </w:tc>
        <w:tc>
          <w:tcPr>
            <w:tcW w:w="381"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2</w:t>
            </w:r>
          </w:p>
        </w:tc>
        <w:tc>
          <w:tcPr>
            <w:tcW w:w="97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3</w:t>
            </w:r>
          </w:p>
        </w:tc>
        <w:tc>
          <w:tcPr>
            <w:tcW w:w="63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4</w:t>
            </w:r>
          </w:p>
        </w:tc>
        <w:tc>
          <w:tcPr>
            <w:tcW w:w="632"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5</w:t>
            </w:r>
          </w:p>
        </w:tc>
        <w:tc>
          <w:tcPr>
            <w:tcW w:w="633" w:type="pct"/>
            <w:tcBorders>
              <w:top w:val="single" w:sz="4" w:space="0" w:color="auto"/>
              <w:left w:val="single" w:sz="4" w:space="0" w:color="auto"/>
              <w:bottom w:val="single" w:sz="4" w:space="0" w:color="auto"/>
              <w:right w:val="single" w:sz="4" w:space="0" w:color="auto"/>
            </w:tcBorders>
            <w:vAlign w:val="center"/>
          </w:tcPr>
          <w:p w:rsidR="00916D60" w:rsidRPr="00C962CC" w:rsidRDefault="00916D60" w:rsidP="009A10F7">
            <w:pPr>
              <w:spacing w:before="100" w:beforeAutospacing="1" w:after="100" w:afterAutospacing="1"/>
              <w:jc w:val="center"/>
              <w:rPr>
                <w:color w:val="000000" w:themeColor="text1"/>
              </w:rPr>
            </w:pPr>
            <w:r w:rsidRPr="00C962CC">
              <w:rPr>
                <w:color w:val="000000" w:themeColor="text1"/>
              </w:rPr>
              <w:t>6</w:t>
            </w: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1. Budžeta ieņēmumi:</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+ 29 000</w:t>
            </w:r>
          </w:p>
          <w:p w:rsidR="00762E81" w:rsidRPr="00841859" w:rsidRDefault="00762E81" w:rsidP="00762E81">
            <w:pPr>
              <w:rPr>
                <w:b/>
                <w:color w:val="000000" w:themeColor="text1"/>
              </w:rPr>
            </w:pPr>
            <w:r w:rsidRPr="00841859">
              <w:rPr>
                <w:color w:val="000000" w:themeColor="text1"/>
              </w:rPr>
              <w:t xml:space="preserve">(+ </w:t>
            </w:r>
            <w:r w:rsidRPr="00841859">
              <w:rPr>
                <w:b/>
                <w:color w:val="000000" w:themeColor="text1"/>
              </w:rPr>
              <w:t>41 263,3</w:t>
            </w:r>
          </w:p>
          <w:p w:rsidR="00762E81" w:rsidRPr="00841859" w:rsidRDefault="00762E81" w:rsidP="00762E81">
            <w:pPr>
              <w:rPr>
                <w:color w:val="000000" w:themeColor="text1"/>
                <w:sz w:val="20"/>
                <w:szCs w:val="20"/>
              </w:rPr>
            </w:pPr>
            <w:r w:rsidRPr="00841859">
              <w:rPr>
                <w:i/>
                <w:color w:val="000000" w:themeColor="text1"/>
              </w:rPr>
              <w:t>euro</w:t>
            </w:r>
            <w:r w:rsidRPr="00841859">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+ 37 500</w:t>
            </w:r>
          </w:p>
          <w:p w:rsidR="00762E81" w:rsidRPr="00841859" w:rsidRDefault="00762E81" w:rsidP="00762E81">
            <w:pPr>
              <w:jc w:val="center"/>
              <w:rPr>
                <w:color w:val="000000" w:themeColor="text1"/>
              </w:rPr>
            </w:pPr>
            <w:r w:rsidRPr="00841859">
              <w:rPr>
                <w:color w:val="000000" w:themeColor="text1"/>
              </w:rPr>
              <w:t>(</w:t>
            </w:r>
            <w:r w:rsidRPr="00841859">
              <w:rPr>
                <w:b/>
                <w:color w:val="000000" w:themeColor="text1"/>
              </w:rPr>
              <w:t>+</w:t>
            </w:r>
            <w:r>
              <w:rPr>
                <w:b/>
                <w:color w:val="000000" w:themeColor="text1"/>
              </w:rPr>
              <w:t xml:space="preserve"> </w:t>
            </w:r>
            <w:r w:rsidRPr="00841859">
              <w:rPr>
                <w:b/>
                <w:color w:val="000000" w:themeColor="text1"/>
              </w:rPr>
              <w:t xml:space="preserve">53357,7 </w:t>
            </w:r>
            <w:r w:rsidRPr="00841859">
              <w:rPr>
                <w:i/>
                <w:color w:val="000000" w:themeColor="text1"/>
              </w:rPr>
              <w:t>euro</w:t>
            </w:r>
            <w:r w:rsidRPr="00841859">
              <w:rPr>
                <w:color w:val="000000" w:themeColor="text1"/>
              </w:rPr>
              <w:t>)</w:t>
            </w:r>
          </w:p>
        </w:tc>
        <w:tc>
          <w:tcPr>
            <w:tcW w:w="633"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+ 43 000</w:t>
            </w:r>
          </w:p>
          <w:p w:rsidR="00762E81" w:rsidRPr="00C962CC" w:rsidRDefault="00762E81" w:rsidP="00762E81">
            <w:pPr>
              <w:jc w:val="center"/>
              <w:rPr>
                <w:color w:val="000000" w:themeColor="text1"/>
              </w:rPr>
            </w:pPr>
            <w:r>
              <w:rPr>
                <w:color w:val="000000" w:themeColor="text1"/>
              </w:rPr>
              <w:t>(</w:t>
            </w:r>
            <w:r w:rsidRPr="00841859">
              <w:rPr>
                <w:b/>
                <w:color w:val="000000" w:themeColor="text1"/>
              </w:rPr>
              <w:t xml:space="preserve">+ 61 183,4 </w:t>
            </w:r>
            <w:r w:rsidRPr="00841859">
              <w:rPr>
                <w:i/>
                <w:color w:val="000000" w:themeColor="text1"/>
              </w:rPr>
              <w:t>euro</w:t>
            </w:r>
            <w:r>
              <w:rPr>
                <w:color w:val="000000" w:themeColor="text1"/>
              </w:rPr>
              <w:t>)</w:t>
            </w: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1.1. valsts pamatbudžets, tai skaitā ieņēmumi no maksas pakalpojumiem un citi pašu ieņēmumi</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+ 29 000</w:t>
            </w:r>
          </w:p>
          <w:p w:rsidR="00762E81" w:rsidRPr="00841859" w:rsidRDefault="00762E81" w:rsidP="00762E81">
            <w:pPr>
              <w:rPr>
                <w:b/>
                <w:color w:val="000000" w:themeColor="text1"/>
              </w:rPr>
            </w:pPr>
            <w:r w:rsidRPr="00841859">
              <w:rPr>
                <w:color w:val="000000" w:themeColor="text1"/>
              </w:rPr>
              <w:t xml:space="preserve">(+ </w:t>
            </w:r>
            <w:r w:rsidRPr="00841859">
              <w:rPr>
                <w:b/>
                <w:color w:val="000000" w:themeColor="text1"/>
              </w:rPr>
              <w:t>41 263,3</w:t>
            </w:r>
          </w:p>
          <w:p w:rsidR="00762E81" w:rsidRPr="00C962CC" w:rsidRDefault="00762E81" w:rsidP="00762E81">
            <w:pPr>
              <w:rPr>
                <w:color w:val="000000" w:themeColor="text1"/>
              </w:rPr>
            </w:pPr>
            <w:r w:rsidRPr="00841859">
              <w:rPr>
                <w:i/>
                <w:color w:val="000000" w:themeColor="text1"/>
              </w:rPr>
              <w:t>euro</w:t>
            </w:r>
            <w:r w:rsidRPr="00841859">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+ 37 500</w:t>
            </w:r>
          </w:p>
          <w:p w:rsidR="00762E81" w:rsidRPr="00C962CC" w:rsidRDefault="00762E81" w:rsidP="00762E81">
            <w:pPr>
              <w:jc w:val="center"/>
              <w:rPr>
                <w:color w:val="000000" w:themeColor="text1"/>
              </w:rPr>
            </w:pPr>
            <w:r w:rsidRPr="00841859">
              <w:rPr>
                <w:color w:val="000000" w:themeColor="text1"/>
              </w:rPr>
              <w:t>(</w:t>
            </w:r>
            <w:r w:rsidRPr="00841859">
              <w:rPr>
                <w:b/>
                <w:color w:val="000000" w:themeColor="text1"/>
              </w:rPr>
              <w:t>+</w:t>
            </w:r>
            <w:r>
              <w:rPr>
                <w:b/>
                <w:color w:val="000000" w:themeColor="text1"/>
              </w:rPr>
              <w:t xml:space="preserve"> </w:t>
            </w:r>
            <w:r w:rsidRPr="00841859">
              <w:rPr>
                <w:b/>
                <w:color w:val="000000" w:themeColor="text1"/>
              </w:rPr>
              <w:t xml:space="preserve">53357,7 </w:t>
            </w:r>
            <w:r w:rsidRPr="00841859">
              <w:rPr>
                <w:i/>
                <w:color w:val="000000" w:themeColor="text1"/>
              </w:rPr>
              <w:t>euro</w:t>
            </w:r>
            <w:r w:rsidRPr="00841859">
              <w:rPr>
                <w:color w:val="000000" w:themeColor="text1"/>
              </w:rPr>
              <w:t>)</w:t>
            </w:r>
          </w:p>
        </w:tc>
        <w:tc>
          <w:tcPr>
            <w:tcW w:w="633"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+ 43 000</w:t>
            </w:r>
          </w:p>
          <w:p w:rsidR="00762E81" w:rsidRPr="00C962CC" w:rsidRDefault="00762E81" w:rsidP="00762E81">
            <w:pPr>
              <w:jc w:val="center"/>
              <w:rPr>
                <w:color w:val="000000" w:themeColor="text1"/>
              </w:rPr>
            </w:pPr>
            <w:r>
              <w:rPr>
                <w:color w:val="000000" w:themeColor="text1"/>
              </w:rPr>
              <w:t>(</w:t>
            </w:r>
            <w:r w:rsidRPr="00841859">
              <w:rPr>
                <w:b/>
                <w:color w:val="000000" w:themeColor="text1"/>
              </w:rPr>
              <w:t xml:space="preserve">+ 61 183,4 </w:t>
            </w:r>
            <w:r w:rsidRPr="00841859">
              <w:rPr>
                <w:i/>
                <w:color w:val="000000" w:themeColor="text1"/>
              </w:rPr>
              <w:t>euro</w:t>
            </w:r>
            <w:r>
              <w:rPr>
                <w:color w:val="000000" w:themeColor="text1"/>
              </w:rPr>
              <w:t>)</w:t>
            </w: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1.2. valsts speciālais budžets</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3"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1.3. pašvaldību budžets</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3"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2. Budžeta izdevumi:</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- 30,1</w:t>
            </w:r>
          </w:p>
          <w:p w:rsidR="00762E81" w:rsidRPr="00C962CC" w:rsidRDefault="00762E81" w:rsidP="00762E81">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- 23 286</w:t>
            </w:r>
          </w:p>
          <w:p w:rsidR="00762E81" w:rsidRPr="00C962CC" w:rsidRDefault="00762E81" w:rsidP="00762E81">
            <w:pPr>
              <w:jc w:val="center"/>
              <w:rPr>
                <w:color w:val="000000" w:themeColor="text1"/>
              </w:rPr>
            </w:pPr>
            <w:r>
              <w:rPr>
                <w:color w:val="000000" w:themeColor="text1"/>
              </w:rPr>
              <w:t xml:space="preserve">(- </w:t>
            </w:r>
            <w:r w:rsidRPr="00561A01">
              <w:rPr>
                <w:b/>
                <w:color w:val="000000" w:themeColor="text1"/>
              </w:rPr>
              <w:t>33 133,0</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- 37 182</w:t>
            </w:r>
          </w:p>
          <w:p w:rsidR="00762E81" w:rsidRPr="00C962CC" w:rsidRDefault="00762E81" w:rsidP="00762E81">
            <w:pPr>
              <w:jc w:val="center"/>
              <w:rPr>
                <w:color w:val="000000" w:themeColor="text1"/>
              </w:rPr>
            </w:pPr>
            <w:r>
              <w:rPr>
                <w:color w:val="000000" w:themeColor="text1"/>
              </w:rPr>
              <w:t>(-</w:t>
            </w:r>
            <w:r w:rsidRPr="00561A01">
              <w:rPr>
                <w:b/>
                <w:color w:val="000000" w:themeColor="text1"/>
              </w:rPr>
              <w:t>52 905,2</w:t>
            </w:r>
            <w:r>
              <w:rPr>
                <w:color w:val="000000" w:themeColor="text1"/>
              </w:rPr>
              <w:t xml:space="preserve"> </w:t>
            </w:r>
            <w:r w:rsidRPr="00561A01">
              <w:rPr>
                <w:i/>
                <w:color w:val="000000" w:themeColor="text1"/>
              </w:rPr>
              <w:t>euro</w:t>
            </w:r>
            <w:r>
              <w:rPr>
                <w:color w:val="000000" w:themeColor="text1"/>
              </w:rPr>
              <w:t>)</w:t>
            </w:r>
          </w:p>
        </w:tc>
        <w:tc>
          <w:tcPr>
            <w:tcW w:w="633"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- 43 082</w:t>
            </w:r>
          </w:p>
          <w:p w:rsidR="00762E81" w:rsidRPr="00C962CC" w:rsidRDefault="00762E81" w:rsidP="00762E81">
            <w:pPr>
              <w:jc w:val="center"/>
              <w:rPr>
                <w:color w:val="000000" w:themeColor="text1"/>
              </w:rPr>
            </w:pPr>
            <w:r>
              <w:rPr>
                <w:color w:val="000000" w:themeColor="text1"/>
              </w:rPr>
              <w:t xml:space="preserve">(- </w:t>
            </w:r>
            <w:r w:rsidRPr="00561A01">
              <w:rPr>
                <w:b/>
                <w:color w:val="000000" w:themeColor="text1"/>
              </w:rPr>
              <w:t>61 300,2</w:t>
            </w:r>
            <w:r>
              <w:rPr>
                <w:color w:val="000000" w:themeColor="text1"/>
              </w:rPr>
              <w:t xml:space="preserve"> </w:t>
            </w:r>
            <w:r w:rsidRPr="00561A01">
              <w:rPr>
                <w:i/>
                <w:color w:val="000000" w:themeColor="text1"/>
              </w:rPr>
              <w:t>euro</w:t>
            </w:r>
            <w:r>
              <w:rPr>
                <w:color w:val="000000" w:themeColor="text1"/>
              </w:rPr>
              <w:t>)</w:t>
            </w: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2.1. valsts pamatbudžets</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- 30,1</w:t>
            </w:r>
          </w:p>
          <w:p w:rsidR="00762E81" w:rsidRPr="00C962CC" w:rsidRDefault="00762E81" w:rsidP="00762E81">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- 23 286</w:t>
            </w:r>
          </w:p>
          <w:p w:rsidR="00762E81" w:rsidRPr="00C962CC" w:rsidRDefault="00762E81" w:rsidP="00762E81">
            <w:pPr>
              <w:jc w:val="center"/>
              <w:rPr>
                <w:color w:val="000000" w:themeColor="text1"/>
              </w:rPr>
            </w:pPr>
            <w:r>
              <w:rPr>
                <w:color w:val="000000" w:themeColor="text1"/>
              </w:rPr>
              <w:t xml:space="preserve">(- </w:t>
            </w:r>
            <w:r w:rsidRPr="00561A01">
              <w:rPr>
                <w:b/>
                <w:color w:val="000000" w:themeColor="text1"/>
              </w:rPr>
              <w:t>33 133,0</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- 37 182</w:t>
            </w:r>
          </w:p>
          <w:p w:rsidR="00762E81" w:rsidRPr="00C962CC" w:rsidRDefault="00762E81" w:rsidP="00762E81">
            <w:pPr>
              <w:jc w:val="center"/>
              <w:rPr>
                <w:color w:val="000000" w:themeColor="text1"/>
              </w:rPr>
            </w:pPr>
            <w:r>
              <w:rPr>
                <w:color w:val="000000" w:themeColor="text1"/>
              </w:rPr>
              <w:t>(-</w:t>
            </w:r>
            <w:r w:rsidRPr="00561A01">
              <w:rPr>
                <w:b/>
                <w:color w:val="000000" w:themeColor="text1"/>
              </w:rPr>
              <w:t>52 905,2</w:t>
            </w:r>
            <w:r>
              <w:rPr>
                <w:color w:val="000000" w:themeColor="text1"/>
              </w:rPr>
              <w:t xml:space="preserve"> </w:t>
            </w:r>
            <w:r w:rsidRPr="00561A01">
              <w:rPr>
                <w:i/>
                <w:color w:val="000000" w:themeColor="text1"/>
              </w:rPr>
              <w:t>euro</w:t>
            </w:r>
            <w:r>
              <w:rPr>
                <w:color w:val="000000" w:themeColor="text1"/>
              </w:rPr>
              <w:t>)</w:t>
            </w:r>
          </w:p>
        </w:tc>
        <w:tc>
          <w:tcPr>
            <w:tcW w:w="633"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- 43 082</w:t>
            </w:r>
          </w:p>
          <w:p w:rsidR="00762E81" w:rsidRPr="00C962CC" w:rsidRDefault="00762E81" w:rsidP="00762E81">
            <w:pPr>
              <w:jc w:val="center"/>
              <w:rPr>
                <w:color w:val="000000" w:themeColor="text1"/>
              </w:rPr>
            </w:pPr>
            <w:r>
              <w:rPr>
                <w:color w:val="000000" w:themeColor="text1"/>
              </w:rPr>
              <w:t xml:space="preserve">(- </w:t>
            </w:r>
            <w:r w:rsidRPr="00561A01">
              <w:rPr>
                <w:b/>
                <w:color w:val="000000" w:themeColor="text1"/>
              </w:rPr>
              <w:t>61 300,2</w:t>
            </w:r>
            <w:r>
              <w:rPr>
                <w:color w:val="000000" w:themeColor="text1"/>
              </w:rPr>
              <w:t xml:space="preserve"> </w:t>
            </w:r>
            <w:r w:rsidRPr="00561A01">
              <w:rPr>
                <w:i/>
                <w:color w:val="000000" w:themeColor="text1"/>
              </w:rPr>
              <w:t>euro</w:t>
            </w:r>
            <w:r>
              <w:rPr>
                <w:color w:val="000000" w:themeColor="text1"/>
              </w:rPr>
              <w:t>)</w:t>
            </w: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2.2. valsts speciālais budžets</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3"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2.3. pašvaldību budžets</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c>
          <w:tcPr>
            <w:tcW w:w="633"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rPr>
                <w:color w:val="000000" w:themeColor="text1"/>
              </w:rPr>
            </w:pP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3. Finansiālā ietekme:</w:t>
            </w:r>
          </w:p>
        </w:tc>
        <w:tc>
          <w:tcPr>
            <w:tcW w:w="381" w:type="pct"/>
            <w:tcBorders>
              <w:top w:val="single" w:sz="4" w:space="0" w:color="auto"/>
              <w:left w:val="single" w:sz="4" w:space="0" w:color="auto"/>
              <w:bottom w:val="single" w:sz="4" w:space="0" w:color="auto"/>
              <w:right w:val="single" w:sz="4" w:space="0" w:color="auto"/>
            </w:tcBorders>
            <w:vAlign w:val="center"/>
          </w:tcPr>
          <w:p w:rsidR="00762E81" w:rsidRPr="00C962CC" w:rsidRDefault="00762E81" w:rsidP="009A10F7">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- 30,1</w:t>
            </w:r>
          </w:p>
          <w:p w:rsidR="00762E81" w:rsidRPr="00C962CC" w:rsidRDefault="00762E81" w:rsidP="00762E81">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3"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r>
      <w:tr w:rsidR="00762E81" w:rsidRPr="00C962CC" w:rsidTr="00A14953">
        <w:tc>
          <w:tcPr>
            <w:tcW w:w="175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before="100" w:beforeAutospacing="1" w:after="100" w:afterAutospacing="1"/>
              <w:rPr>
                <w:color w:val="000000" w:themeColor="text1"/>
              </w:rPr>
            </w:pPr>
            <w:r w:rsidRPr="00C962CC">
              <w:rPr>
                <w:color w:val="000000" w:themeColor="text1"/>
              </w:rPr>
              <w:t>3.1. valsts pamatbudžets</w:t>
            </w:r>
          </w:p>
        </w:tc>
        <w:tc>
          <w:tcPr>
            <w:tcW w:w="381" w:type="pct"/>
            <w:tcBorders>
              <w:top w:val="single" w:sz="4" w:space="0" w:color="auto"/>
              <w:left w:val="single" w:sz="4" w:space="0" w:color="auto"/>
              <w:bottom w:val="single" w:sz="4" w:space="0" w:color="auto"/>
              <w:right w:val="single" w:sz="4" w:space="0" w:color="auto"/>
            </w:tcBorders>
          </w:tcPr>
          <w:p w:rsidR="00762E81" w:rsidRPr="00C962CC" w:rsidRDefault="00762E81" w:rsidP="009A10F7">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762E81" w:rsidRDefault="00762E81" w:rsidP="00762E81">
            <w:pPr>
              <w:jc w:val="center"/>
              <w:rPr>
                <w:color w:val="000000" w:themeColor="text1"/>
              </w:rPr>
            </w:pPr>
            <w:r>
              <w:rPr>
                <w:color w:val="000000" w:themeColor="text1"/>
              </w:rPr>
              <w:t>- 30,1</w:t>
            </w:r>
          </w:p>
          <w:p w:rsidR="00762E81" w:rsidRPr="00C962CC" w:rsidRDefault="00762E81" w:rsidP="00762E81">
            <w:pPr>
              <w:jc w:val="center"/>
              <w:rPr>
                <w:color w:val="000000" w:themeColor="text1"/>
              </w:rPr>
            </w:pPr>
            <w:r>
              <w:rPr>
                <w:color w:val="000000" w:themeColor="text1"/>
              </w:rPr>
              <w:t>(-</w:t>
            </w:r>
            <w:r w:rsidRPr="00561A01">
              <w:rPr>
                <w:b/>
                <w:color w:val="000000" w:themeColor="text1"/>
              </w:rPr>
              <w:t>42,8</w:t>
            </w:r>
            <w:r>
              <w:rPr>
                <w:color w:val="000000" w:themeColor="text1"/>
              </w:rPr>
              <w:t xml:space="preserve"> </w:t>
            </w:r>
            <w:r w:rsidRPr="00561A01">
              <w:rPr>
                <w:i/>
                <w:color w:val="000000" w:themeColor="text1"/>
              </w:rPr>
              <w:t>euro</w:t>
            </w:r>
            <w:r>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c>
          <w:tcPr>
            <w:tcW w:w="633" w:type="pct"/>
            <w:tcBorders>
              <w:top w:val="single" w:sz="4" w:space="0" w:color="auto"/>
              <w:left w:val="single" w:sz="4" w:space="0" w:color="auto"/>
              <w:bottom w:val="single" w:sz="4" w:space="0" w:color="auto"/>
              <w:right w:val="single" w:sz="4" w:space="0" w:color="auto"/>
            </w:tcBorders>
          </w:tcPr>
          <w:p w:rsidR="00762E81" w:rsidRPr="00C962CC" w:rsidRDefault="00762E81" w:rsidP="00762E81">
            <w:pPr>
              <w:jc w:val="center"/>
              <w:rPr>
                <w:color w:val="000000" w:themeColor="text1"/>
              </w:rPr>
            </w:pPr>
          </w:p>
        </w:tc>
      </w:tr>
      <w:tr w:rsidR="00916D60" w:rsidRPr="00C962CC" w:rsidTr="00A14953">
        <w:tc>
          <w:tcPr>
            <w:tcW w:w="175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before="100" w:beforeAutospacing="1" w:after="100" w:afterAutospacing="1"/>
              <w:rPr>
                <w:color w:val="000000" w:themeColor="text1"/>
              </w:rPr>
            </w:pPr>
            <w:r w:rsidRPr="00C962CC">
              <w:rPr>
                <w:color w:val="000000" w:themeColor="text1"/>
              </w:rPr>
              <w:t>3.2. speciālais budžets</w:t>
            </w:r>
          </w:p>
        </w:tc>
        <w:tc>
          <w:tcPr>
            <w:tcW w:w="38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97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3"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r>
      <w:tr w:rsidR="00916D60" w:rsidRPr="00C962CC" w:rsidTr="00A14953">
        <w:tc>
          <w:tcPr>
            <w:tcW w:w="175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before="100" w:beforeAutospacing="1" w:after="100" w:afterAutospacing="1"/>
              <w:rPr>
                <w:color w:val="000000" w:themeColor="text1"/>
              </w:rPr>
            </w:pPr>
            <w:r w:rsidRPr="00C962CC">
              <w:rPr>
                <w:color w:val="000000" w:themeColor="text1"/>
              </w:rPr>
              <w:t>3.3. pašvaldību budžets</w:t>
            </w:r>
          </w:p>
        </w:tc>
        <w:tc>
          <w:tcPr>
            <w:tcW w:w="38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97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3"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r>
      <w:tr w:rsidR="00916D60" w:rsidRPr="00C962CC" w:rsidTr="00A14953">
        <w:tc>
          <w:tcPr>
            <w:tcW w:w="175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before="100" w:beforeAutospacing="1" w:after="100" w:afterAutospacing="1"/>
              <w:rPr>
                <w:color w:val="000000" w:themeColor="text1"/>
              </w:rPr>
            </w:pPr>
            <w:r w:rsidRPr="00C962CC">
              <w:rPr>
                <w:color w:val="000000" w:themeColor="text1"/>
              </w:rPr>
              <w:t>4. Prognozējamie kompensējošie pasākumi papildu izdevumu finansēšanai</w:t>
            </w:r>
          </w:p>
        </w:tc>
        <w:tc>
          <w:tcPr>
            <w:tcW w:w="38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97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c>
          <w:tcPr>
            <w:tcW w:w="633"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spacing w:line="360" w:lineRule="auto"/>
              <w:jc w:val="center"/>
              <w:rPr>
                <w:color w:val="000000" w:themeColor="text1"/>
              </w:rPr>
            </w:pPr>
            <w:r w:rsidRPr="00C962CC">
              <w:rPr>
                <w:color w:val="000000" w:themeColor="text1"/>
              </w:rPr>
              <w:t>0</w:t>
            </w:r>
          </w:p>
        </w:tc>
      </w:tr>
      <w:tr w:rsidR="00916D60" w:rsidRPr="00C962CC" w:rsidTr="00A14953">
        <w:tc>
          <w:tcPr>
            <w:tcW w:w="1751" w:type="pct"/>
            <w:tcBorders>
              <w:top w:val="single" w:sz="4" w:space="0" w:color="auto"/>
              <w:left w:val="single" w:sz="4" w:space="0" w:color="auto"/>
              <w:bottom w:val="single" w:sz="4" w:space="0" w:color="auto"/>
              <w:right w:val="single" w:sz="4" w:space="0" w:color="auto"/>
            </w:tcBorders>
          </w:tcPr>
          <w:p w:rsidR="00916D60" w:rsidRPr="00C962CC" w:rsidRDefault="00916D60" w:rsidP="009A10F7">
            <w:pPr>
              <w:rPr>
                <w:color w:val="000000" w:themeColor="text1"/>
              </w:rPr>
            </w:pPr>
            <w:r w:rsidRPr="00C962CC">
              <w:rPr>
                <w:color w:val="000000" w:themeColor="text1"/>
              </w:rPr>
              <w:t>5. Detalizēts ieņēmumu un izdevu</w:t>
            </w:r>
            <w:r w:rsidRPr="00C962CC">
              <w:rPr>
                <w:color w:val="000000" w:themeColor="text1"/>
              </w:rPr>
              <w:softHyphen/>
              <w:t>mu aprēķins</w:t>
            </w:r>
          </w:p>
        </w:tc>
        <w:tc>
          <w:tcPr>
            <w:tcW w:w="3249" w:type="pct"/>
            <w:gridSpan w:val="5"/>
            <w:tcBorders>
              <w:top w:val="single" w:sz="4" w:space="0" w:color="auto"/>
              <w:left w:val="single" w:sz="4" w:space="0" w:color="auto"/>
              <w:bottom w:val="single" w:sz="4" w:space="0" w:color="auto"/>
              <w:right w:val="single" w:sz="4" w:space="0" w:color="auto"/>
            </w:tcBorders>
            <w:vAlign w:val="center"/>
          </w:tcPr>
          <w:p w:rsidR="004A7B7C" w:rsidRPr="002E7F2F" w:rsidRDefault="004A7B7C" w:rsidP="004A7B7C">
            <w:pPr>
              <w:jc w:val="both"/>
              <w:rPr>
                <w:i/>
                <w:color w:val="000000" w:themeColor="text1"/>
                <w:sz w:val="20"/>
                <w:szCs w:val="20"/>
              </w:rPr>
            </w:pPr>
            <w:r w:rsidRPr="002E7F2F">
              <w:rPr>
                <w:i/>
                <w:color w:val="000000" w:themeColor="text1"/>
                <w:sz w:val="20"/>
                <w:szCs w:val="20"/>
              </w:rPr>
              <w:t>Ziņojuma 2. tabulā tika norādīts ELAF un sociālā atbalsta instrumentam nepieciešamais finansējums un iespējamie finanšu avoti</w:t>
            </w:r>
            <w:r w:rsidR="00A14953">
              <w:rPr>
                <w:i/>
                <w:color w:val="000000" w:themeColor="text1"/>
                <w:sz w:val="20"/>
                <w:szCs w:val="20"/>
              </w:rPr>
              <w:t xml:space="preserve"> (</w:t>
            </w:r>
            <w:r w:rsidR="00A14953" w:rsidRPr="00A14953">
              <w:rPr>
                <w:b/>
                <w:i/>
                <w:color w:val="000000" w:themeColor="text1"/>
                <w:sz w:val="20"/>
                <w:szCs w:val="20"/>
              </w:rPr>
              <w:t>milj.LVL</w:t>
            </w:r>
            <w:r w:rsidR="00A14953">
              <w:rPr>
                <w:i/>
                <w:color w:val="000000" w:themeColor="text1"/>
                <w:sz w:val="20"/>
                <w:szCs w:val="20"/>
              </w:rPr>
              <w:t>)</w:t>
            </w:r>
            <w:r w:rsidRPr="002E7F2F">
              <w:rPr>
                <w:i/>
                <w:color w:val="000000" w:themeColor="text1"/>
                <w:sz w:val="20"/>
                <w:szCs w:val="20"/>
              </w:rPr>
              <w:t>.</w:t>
            </w:r>
          </w:p>
          <w:tbl>
            <w:tblPr>
              <w:tblW w:w="5894" w:type="dxa"/>
              <w:jc w:val="center"/>
              <w:tblInd w:w="2160" w:type="dxa"/>
              <w:tblLayout w:type="fixed"/>
              <w:tblLook w:val="04A0" w:firstRow="1" w:lastRow="0" w:firstColumn="1" w:lastColumn="0" w:noHBand="0" w:noVBand="1"/>
            </w:tblPr>
            <w:tblGrid>
              <w:gridCol w:w="2480"/>
              <w:gridCol w:w="827"/>
              <w:gridCol w:w="831"/>
              <w:gridCol w:w="846"/>
              <w:gridCol w:w="910"/>
            </w:tblGrid>
            <w:tr w:rsidR="004A7B7C" w:rsidRPr="007C1BFA" w:rsidTr="00151888">
              <w:trPr>
                <w:trHeight w:val="60"/>
                <w:jc w:val="center"/>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7B7C" w:rsidRPr="00572A45" w:rsidRDefault="004A7B7C" w:rsidP="00151888">
                  <w:pPr>
                    <w:jc w:val="center"/>
                    <w:rPr>
                      <w:color w:val="000000" w:themeColor="text1"/>
                    </w:rPr>
                  </w:pP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4A7B7C" w:rsidRPr="00572A45" w:rsidRDefault="004A7B7C" w:rsidP="00151888">
                  <w:pPr>
                    <w:jc w:val="center"/>
                    <w:rPr>
                      <w:b/>
                      <w:color w:val="000000" w:themeColor="text1"/>
                    </w:rPr>
                  </w:pPr>
                  <w:r w:rsidRPr="00572A45">
                    <w:rPr>
                      <w:b/>
                      <w:color w:val="000000" w:themeColor="text1"/>
                    </w:rPr>
                    <w:t>2014</w:t>
                  </w:r>
                </w:p>
              </w:tc>
              <w:tc>
                <w:tcPr>
                  <w:tcW w:w="831" w:type="dxa"/>
                  <w:tcBorders>
                    <w:top w:val="single" w:sz="8" w:space="0" w:color="auto"/>
                    <w:left w:val="nil"/>
                    <w:bottom w:val="single" w:sz="8" w:space="0" w:color="auto"/>
                    <w:right w:val="single" w:sz="8" w:space="0" w:color="auto"/>
                  </w:tcBorders>
                  <w:shd w:val="clear" w:color="auto" w:fill="auto"/>
                  <w:noWrap/>
                  <w:vAlign w:val="center"/>
                  <w:hideMark/>
                </w:tcPr>
                <w:p w:rsidR="004A7B7C" w:rsidRPr="00572A45" w:rsidRDefault="004A7B7C" w:rsidP="00151888">
                  <w:pPr>
                    <w:jc w:val="center"/>
                    <w:rPr>
                      <w:b/>
                      <w:color w:val="000000" w:themeColor="text1"/>
                    </w:rPr>
                  </w:pPr>
                  <w:r w:rsidRPr="00572A45">
                    <w:rPr>
                      <w:b/>
                      <w:color w:val="000000" w:themeColor="text1"/>
                    </w:rPr>
                    <w:t>2015</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4A7B7C" w:rsidRPr="00572A45" w:rsidRDefault="004A7B7C" w:rsidP="00151888">
                  <w:pPr>
                    <w:jc w:val="center"/>
                    <w:rPr>
                      <w:b/>
                      <w:color w:val="000000" w:themeColor="text1"/>
                    </w:rPr>
                  </w:pPr>
                  <w:r w:rsidRPr="00572A45">
                    <w:rPr>
                      <w:b/>
                      <w:color w:val="000000" w:themeColor="text1"/>
                    </w:rPr>
                    <w:t>2016</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rsidR="004A7B7C" w:rsidRPr="00572A45" w:rsidRDefault="00C01B73" w:rsidP="00151888">
                  <w:pPr>
                    <w:jc w:val="center"/>
                    <w:rPr>
                      <w:b/>
                      <w:color w:val="000000" w:themeColor="text1"/>
                    </w:rPr>
                  </w:pPr>
                  <w:r>
                    <w:rPr>
                      <w:b/>
                      <w:color w:val="000000" w:themeColor="text1"/>
                    </w:rPr>
                    <w:t>Kopā</w:t>
                  </w:r>
                </w:p>
              </w:tc>
            </w:tr>
            <w:tr w:rsidR="004A7B7C" w:rsidRPr="007C1BFA" w:rsidTr="00151888">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4A7B7C" w:rsidRPr="00C01B73" w:rsidRDefault="004A7B7C" w:rsidP="00151888">
                  <w:pPr>
                    <w:rPr>
                      <w:color w:val="000000" w:themeColor="text1"/>
                    </w:rPr>
                  </w:pPr>
                  <w:r w:rsidRPr="00C01B73">
                    <w:rPr>
                      <w:color w:val="000000" w:themeColor="text1"/>
                    </w:rPr>
                    <w:lastRenderedPageBreak/>
                    <w:t>ELAF</w:t>
                  </w:r>
                </w:p>
              </w:tc>
              <w:tc>
                <w:tcPr>
                  <w:tcW w:w="827"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-20,5</w:t>
                  </w:r>
                </w:p>
              </w:tc>
              <w:tc>
                <w:tcPr>
                  <w:tcW w:w="831"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-33,5</w:t>
                  </w:r>
                </w:p>
              </w:tc>
              <w:tc>
                <w:tcPr>
                  <w:tcW w:w="846"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-39,4</w:t>
                  </w:r>
                </w:p>
              </w:tc>
              <w:tc>
                <w:tcPr>
                  <w:tcW w:w="910"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-93,4</w:t>
                  </w:r>
                </w:p>
              </w:tc>
            </w:tr>
            <w:tr w:rsidR="004A7B7C" w:rsidRPr="007C1BFA" w:rsidTr="00151888">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4A7B7C" w:rsidRPr="00C01B73" w:rsidRDefault="004A7B7C" w:rsidP="00151888">
                  <w:pPr>
                    <w:rPr>
                      <w:color w:val="000000" w:themeColor="text1"/>
                    </w:rPr>
                  </w:pPr>
                  <w:r w:rsidRPr="00C01B73">
                    <w:rPr>
                      <w:color w:val="000000" w:themeColor="text1"/>
                    </w:rPr>
                    <w:t xml:space="preserve">Sociālais atbalsts </w:t>
                  </w:r>
                </w:p>
              </w:tc>
              <w:tc>
                <w:tcPr>
                  <w:tcW w:w="827"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-2,7</w:t>
                  </w:r>
                </w:p>
              </w:tc>
              <w:tc>
                <w:tcPr>
                  <w:tcW w:w="831"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-3,6</w:t>
                  </w:r>
                </w:p>
              </w:tc>
              <w:tc>
                <w:tcPr>
                  <w:tcW w:w="846"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-3,6</w:t>
                  </w:r>
                </w:p>
              </w:tc>
              <w:tc>
                <w:tcPr>
                  <w:tcW w:w="910"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-9,9</w:t>
                  </w:r>
                </w:p>
              </w:tc>
            </w:tr>
            <w:tr w:rsidR="004A7B7C" w:rsidRPr="007C1BFA" w:rsidTr="00151888">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4A7B7C" w:rsidRPr="00C01B73" w:rsidRDefault="004A7B7C" w:rsidP="00151888">
                  <w:pPr>
                    <w:rPr>
                      <w:color w:val="000000" w:themeColor="text1"/>
                    </w:rPr>
                  </w:pPr>
                  <w:r w:rsidRPr="00C01B73">
                    <w:rPr>
                      <w:color w:val="000000" w:themeColor="text1"/>
                    </w:rPr>
                    <w:t>Subsidētas enerģijas nodoklis</w:t>
                  </w:r>
                </w:p>
              </w:tc>
              <w:tc>
                <w:tcPr>
                  <w:tcW w:w="827"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24,0</w:t>
                  </w:r>
                </w:p>
              </w:tc>
              <w:tc>
                <w:tcPr>
                  <w:tcW w:w="831"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25,9</w:t>
                  </w:r>
                </w:p>
              </w:tc>
              <w:tc>
                <w:tcPr>
                  <w:tcW w:w="846"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27,9</w:t>
                  </w:r>
                </w:p>
              </w:tc>
              <w:tc>
                <w:tcPr>
                  <w:tcW w:w="910"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77,7</w:t>
                  </w:r>
                </w:p>
              </w:tc>
            </w:tr>
            <w:tr w:rsidR="004A7B7C" w:rsidRPr="007C1BFA" w:rsidTr="00151888">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4A7B7C" w:rsidRPr="00C01B73" w:rsidRDefault="004A7B7C" w:rsidP="00151888">
                  <w:pPr>
                    <w:rPr>
                      <w:color w:val="000000" w:themeColor="text1"/>
                    </w:rPr>
                  </w:pPr>
                  <w:r w:rsidRPr="00C01B73">
                    <w:rPr>
                      <w:color w:val="000000" w:themeColor="text1"/>
                    </w:rPr>
                    <w:t>PVN ieņēmumu pieaugums</w:t>
                  </w:r>
                </w:p>
              </w:tc>
              <w:tc>
                <w:tcPr>
                  <w:tcW w:w="827"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5</w:t>
                  </w:r>
                </w:p>
              </w:tc>
              <w:tc>
                <w:tcPr>
                  <w:tcW w:w="831"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6,7</w:t>
                  </w:r>
                </w:p>
              </w:tc>
              <w:tc>
                <w:tcPr>
                  <w:tcW w:w="846"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6,7</w:t>
                  </w:r>
                </w:p>
              </w:tc>
              <w:tc>
                <w:tcPr>
                  <w:tcW w:w="910"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18,4</w:t>
                  </w:r>
                </w:p>
              </w:tc>
            </w:tr>
            <w:tr w:rsidR="004A7B7C" w:rsidRPr="007C1BFA" w:rsidTr="00151888">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4A7B7C" w:rsidRPr="00C01B73" w:rsidRDefault="004A7B7C" w:rsidP="00151888">
                  <w:pPr>
                    <w:rPr>
                      <w:color w:val="000000" w:themeColor="text1"/>
                    </w:rPr>
                  </w:pPr>
                  <w:r w:rsidRPr="00C01B73">
                    <w:rPr>
                      <w:color w:val="000000" w:themeColor="text1"/>
                    </w:rPr>
                    <w:t>Efekts no Latvenergo dividenžu  pieauguma</w:t>
                  </w:r>
                </w:p>
              </w:tc>
              <w:tc>
                <w:tcPr>
                  <w:tcW w:w="827"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p>
              </w:tc>
              <w:tc>
                <w:tcPr>
                  <w:tcW w:w="831"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4,9</w:t>
                  </w:r>
                </w:p>
              </w:tc>
              <w:tc>
                <w:tcPr>
                  <w:tcW w:w="846"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8,4</w:t>
                  </w:r>
                </w:p>
              </w:tc>
              <w:tc>
                <w:tcPr>
                  <w:tcW w:w="910" w:type="dxa"/>
                  <w:tcBorders>
                    <w:top w:val="nil"/>
                    <w:left w:val="nil"/>
                    <w:bottom w:val="single" w:sz="8" w:space="0" w:color="auto"/>
                    <w:right w:val="single" w:sz="8" w:space="0" w:color="auto"/>
                  </w:tcBorders>
                  <w:shd w:val="clear" w:color="auto" w:fill="auto"/>
                  <w:noWrap/>
                </w:tcPr>
                <w:p w:rsidR="004A7B7C" w:rsidRPr="000B6C91" w:rsidRDefault="004A7B7C" w:rsidP="00151888">
                  <w:pPr>
                    <w:jc w:val="center"/>
                    <w:rPr>
                      <w:color w:val="000000" w:themeColor="text1"/>
                    </w:rPr>
                  </w:pPr>
                  <w:r w:rsidRPr="000B6C91">
                    <w:t>13,3</w:t>
                  </w:r>
                </w:p>
              </w:tc>
            </w:tr>
            <w:tr w:rsidR="004A7B7C" w:rsidRPr="007C1BFA" w:rsidTr="00151888">
              <w:trPr>
                <w:trHeight w:val="113"/>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4A7B7C" w:rsidRPr="00C01B73" w:rsidRDefault="00C01B73" w:rsidP="00151888">
                  <w:pPr>
                    <w:jc w:val="right"/>
                    <w:rPr>
                      <w:color w:val="000000" w:themeColor="text1"/>
                    </w:rPr>
                  </w:pPr>
                  <w:r w:rsidRPr="00C01B73">
                    <w:rPr>
                      <w:color w:val="000000" w:themeColor="text1"/>
                    </w:rPr>
                    <w:t>Bilance</w:t>
                  </w:r>
                </w:p>
              </w:tc>
              <w:tc>
                <w:tcPr>
                  <w:tcW w:w="827" w:type="dxa"/>
                  <w:tcBorders>
                    <w:top w:val="nil"/>
                    <w:left w:val="nil"/>
                    <w:bottom w:val="single" w:sz="8" w:space="0" w:color="auto"/>
                    <w:right w:val="single" w:sz="8" w:space="0" w:color="auto"/>
                  </w:tcBorders>
                  <w:shd w:val="clear" w:color="auto" w:fill="auto"/>
                  <w:noWrap/>
                  <w:hideMark/>
                </w:tcPr>
                <w:p w:rsidR="004A7B7C" w:rsidRPr="00C01B73" w:rsidRDefault="004A7B7C" w:rsidP="00151888">
                  <w:pPr>
                    <w:jc w:val="center"/>
                    <w:rPr>
                      <w:color w:val="000000" w:themeColor="text1"/>
                    </w:rPr>
                  </w:pPr>
                  <w:r w:rsidRPr="00C01B73">
                    <w:t>5,8</w:t>
                  </w:r>
                </w:p>
              </w:tc>
              <w:tc>
                <w:tcPr>
                  <w:tcW w:w="831" w:type="dxa"/>
                  <w:tcBorders>
                    <w:top w:val="nil"/>
                    <w:left w:val="nil"/>
                    <w:bottom w:val="single" w:sz="8" w:space="0" w:color="auto"/>
                    <w:right w:val="single" w:sz="8" w:space="0" w:color="auto"/>
                  </w:tcBorders>
                  <w:shd w:val="clear" w:color="auto" w:fill="auto"/>
                  <w:noWrap/>
                  <w:hideMark/>
                </w:tcPr>
                <w:p w:rsidR="004A7B7C" w:rsidRPr="00C01B73" w:rsidRDefault="004A7B7C" w:rsidP="00151888">
                  <w:pPr>
                    <w:jc w:val="center"/>
                    <w:rPr>
                      <w:color w:val="000000" w:themeColor="text1"/>
                    </w:rPr>
                  </w:pPr>
                  <w:r w:rsidRPr="00C01B73">
                    <w:t>0,4</w:t>
                  </w:r>
                </w:p>
              </w:tc>
              <w:tc>
                <w:tcPr>
                  <w:tcW w:w="846" w:type="dxa"/>
                  <w:tcBorders>
                    <w:top w:val="nil"/>
                    <w:left w:val="nil"/>
                    <w:bottom w:val="single" w:sz="8" w:space="0" w:color="auto"/>
                    <w:right w:val="single" w:sz="8" w:space="0" w:color="auto"/>
                  </w:tcBorders>
                  <w:shd w:val="clear" w:color="auto" w:fill="auto"/>
                  <w:noWrap/>
                  <w:hideMark/>
                </w:tcPr>
                <w:p w:rsidR="004A7B7C" w:rsidRPr="00C01B73" w:rsidRDefault="004A7B7C" w:rsidP="00151888">
                  <w:pPr>
                    <w:jc w:val="center"/>
                    <w:rPr>
                      <w:color w:val="000000" w:themeColor="text1"/>
                    </w:rPr>
                  </w:pPr>
                  <w:r w:rsidRPr="00C01B73">
                    <w:t>0,0</w:t>
                  </w:r>
                </w:p>
              </w:tc>
              <w:tc>
                <w:tcPr>
                  <w:tcW w:w="910" w:type="dxa"/>
                  <w:tcBorders>
                    <w:top w:val="nil"/>
                    <w:left w:val="nil"/>
                    <w:bottom w:val="single" w:sz="8" w:space="0" w:color="auto"/>
                    <w:right w:val="single" w:sz="8" w:space="0" w:color="auto"/>
                  </w:tcBorders>
                  <w:shd w:val="clear" w:color="auto" w:fill="auto"/>
                  <w:noWrap/>
                  <w:hideMark/>
                </w:tcPr>
                <w:p w:rsidR="004A7B7C" w:rsidRPr="00C01B73" w:rsidRDefault="004A7B7C" w:rsidP="00151888">
                  <w:pPr>
                    <w:jc w:val="center"/>
                    <w:rPr>
                      <w:color w:val="000000" w:themeColor="text1"/>
                    </w:rPr>
                  </w:pPr>
                  <w:r w:rsidRPr="00C01B73">
                    <w:t>6,1</w:t>
                  </w:r>
                </w:p>
              </w:tc>
            </w:tr>
          </w:tbl>
          <w:p w:rsidR="004A7B7C" w:rsidRDefault="004A7B7C" w:rsidP="004A7B7C">
            <w:pPr>
              <w:jc w:val="both"/>
              <w:rPr>
                <w:color w:val="000000" w:themeColor="text1"/>
                <w:szCs w:val="28"/>
              </w:rPr>
            </w:pPr>
            <w:r>
              <w:rPr>
                <w:color w:val="000000" w:themeColor="text1"/>
                <w:szCs w:val="28"/>
              </w:rPr>
              <w:t xml:space="preserve">Ņemot vērā, ka </w:t>
            </w:r>
            <w:r w:rsidRPr="00D95700">
              <w:t>elektroenerģijas tirgus problemātikai</w:t>
            </w:r>
            <w:r>
              <w:t xml:space="preserve"> tiek piedāvāti kompleksi</w:t>
            </w:r>
            <w:r w:rsidRPr="00D95700">
              <w:t xml:space="preserve"> risinājumi</w:t>
            </w:r>
            <w:r>
              <w:t>, arī ietekmi uz valsts budžeta ieņēmumu un izdevumu pozīcijām ir nepieciešams skatīt kompleksi un vienoti.</w:t>
            </w:r>
          </w:p>
          <w:p w:rsidR="004A7B7C" w:rsidRDefault="004A7B7C" w:rsidP="004A7B7C">
            <w:pPr>
              <w:jc w:val="both"/>
              <w:rPr>
                <w:color w:val="000000" w:themeColor="text1"/>
              </w:rPr>
            </w:pPr>
            <w:r w:rsidRPr="00572A45">
              <w:rPr>
                <w:color w:val="000000" w:themeColor="text1"/>
                <w:szCs w:val="28"/>
              </w:rPr>
              <w:t xml:space="preserve">Elektroenerģijas apjoms, kas ražots no fosilajiem energoresursiem, salīdzinot ar elektroenerģijas apjomu, kas saražots no AER, ir vairāk kā divas reizes lielāks, kas ietekmē arī katra energoresursa veida daļu OIK. </w:t>
            </w:r>
            <w:r w:rsidRPr="00572A45">
              <w:rPr>
                <w:color w:val="000000" w:themeColor="text1"/>
              </w:rPr>
              <w:t>Laika posmā no 2014.-201</w:t>
            </w:r>
            <w:r>
              <w:rPr>
                <w:color w:val="000000" w:themeColor="text1"/>
              </w:rPr>
              <w:t>7</w:t>
            </w:r>
            <w:r w:rsidRPr="00572A45">
              <w:rPr>
                <w:color w:val="000000" w:themeColor="text1"/>
              </w:rPr>
              <w:t xml:space="preserve">. gadam </w:t>
            </w:r>
            <w:r w:rsidRPr="00C01B73">
              <w:rPr>
                <w:b/>
                <w:color w:val="000000" w:themeColor="text1"/>
              </w:rPr>
              <w:t xml:space="preserve">SEN iemaksas budžetā veidos 105,6 </w:t>
            </w:r>
            <w:proofErr w:type="spellStart"/>
            <w:r w:rsidRPr="00C01B73">
              <w:rPr>
                <w:b/>
                <w:color w:val="000000" w:themeColor="text1"/>
              </w:rPr>
              <w:t>milj</w:t>
            </w:r>
            <w:proofErr w:type="spellEnd"/>
            <w:r w:rsidRPr="00C01B73">
              <w:rPr>
                <w:b/>
                <w:color w:val="000000" w:themeColor="text1"/>
              </w:rPr>
              <w:t>. LVL</w:t>
            </w:r>
            <w:r>
              <w:rPr>
                <w:color w:val="000000" w:themeColor="text1"/>
              </w:rPr>
              <w:t xml:space="preserve"> (2014. </w:t>
            </w:r>
            <w:proofErr w:type="spellStart"/>
            <w:r>
              <w:rPr>
                <w:color w:val="000000" w:themeColor="text1"/>
              </w:rPr>
              <w:t>g</w:t>
            </w:r>
            <w:proofErr w:type="spellEnd"/>
            <w:r>
              <w:rPr>
                <w:color w:val="000000" w:themeColor="text1"/>
              </w:rPr>
              <w:t xml:space="preserve">. – 24,0 </w:t>
            </w:r>
            <w:proofErr w:type="spellStart"/>
            <w:r>
              <w:rPr>
                <w:color w:val="000000" w:themeColor="text1"/>
              </w:rPr>
              <w:t>milj</w:t>
            </w:r>
            <w:proofErr w:type="spellEnd"/>
            <w:r>
              <w:rPr>
                <w:color w:val="000000" w:themeColor="text1"/>
              </w:rPr>
              <w:t>. LVL; 2015. </w:t>
            </w:r>
            <w:proofErr w:type="spellStart"/>
            <w:r>
              <w:rPr>
                <w:color w:val="000000" w:themeColor="text1"/>
              </w:rPr>
              <w:t>g</w:t>
            </w:r>
            <w:proofErr w:type="spellEnd"/>
            <w:r>
              <w:rPr>
                <w:color w:val="000000" w:themeColor="text1"/>
              </w:rPr>
              <w:t xml:space="preserve">. – 25,9 </w:t>
            </w:r>
            <w:proofErr w:type="spellStart"/>
            <w:r>
              <w:rPr>
                <w:color w:val="000000" w:themeColor="text1"/>
              </w:rPr>
              <w:t>milj</w:t>
            </w:r>
            <w:proofErr w:type="spellEnd"/>
            <w:r>
              <w:rPr>
                <w:color w:val="000000" w:themeColor="text1"/>
              </w:rPr>
              <w:t>. LVL;</w:t>
            </w:r>
            <w:r w:rsidRPr="00572A45">
              <w:rPr>
                <w:color w:val="000000" w:themeColor="text1"/>
              </w:rPr>
              <w:t xml:space="preserve"> </w:t>
            </w:r>
            <w:r>
              <w:rPr>
                <w:color w:val="000000" w:themeColor="text1"/>
              </w:rPr>
              <w:t>2016. </w:t>
            </w:r>
            <w:proofErr w:type="spellStart"/>
            <w:r>
              <w:rPr>
                <w:color w:val="000000" w:themeColor="text1"/>
              </w:rPr>
              <w:t>g</w:t>
            </w:r>
            <w:proofErr w:type="spellEnd"/>
            <w:r>
              <w:rPr>
                <w:color w:val="000000" w:themeColor="text1"/>
              </w:rPr>
              <w:t xml:space="preserve">. – 27,9 </w:t>
            </w:r>
            <w:proofErr w:type="spellStart"/>
            <w:r>
              <w:rPr>
                <w:color w:val="000000" w:themeColor="text1"/>
              </w:rPr>
              <w:t>milj</w:t>
            </w:r>
            <w:proofErr w:type="spellEnd"/>
            <w:r>
              <w:rPr>
                <w:color w:val="000000" w:themeColor="text1"/>
              </w:rPr>
              <w:t xml:space="preserve">. </w:t>
            </w:r>
            <w:r w:rsidRPr="00D8294A">
              <w:rPr>
                <w:color w:val="000000" w:themeColor="text1"/>
              </w:rPr>
              <w:t xml:space="preserve">LVL; 2017.g. – 27,9 </w:t>
            </w:r>
            <w:proofErr w:type="spellStart"/>
            <w:r w:rsidRPr="00D8294A">
              <w:rPr>
                <w:color w:val="000000" w:themeColor="text1"/>
              </w:rPr>
              <w:t>milj</w:t>
            </w:r>
            <w:proofErr w:type="spellEnd"/>
            <w:r w:rsidRPr="00D8294A">
              <w:rPr>
                <w:color w:val="000000" w:themeColor="text1"/>
              </w:rPr>
              <w:t>. LVL).</w:t>
            </w:r>
          </w:p>
          <w:p w:rsidR="00A14953" w:rsidRPr="00D8294A" w:rsidRDefault="00A14953" w:rsidP="00A14953">
            <w:pPr>
              <w:jc w:val="both"/>
              <w:rPr>
                <w:color w:val="000000" w:themeColor="text1"/>
              </w:rPr>
            </w:pPr>
            <w:r>
              <w:rPr>
                <w:color w:val="000000" w:themeColor="text1"/>
              </w:rPr>
              <w:t xml:space="preserve">Jeb izskatot </w:t>
            </w:r>
            <w:r w:rsidRPr="001A5804">
              <w:rPr>
                <w:i/>
                <w:color w:val="000000" w:themeColor="text1"/>
              </w:rPr>
              <w:t>euro</w:t>
            </w:r>
            <w:r>
              <w:rPr>
                <w:color w:val="000000" w:themeColor="text1"/>
              </w:rPr>
              <w:t xml:space="preserve"> valūtā l</w:t>
            </w:r>
            <w:r w:rsidRPr="00572A45">
              <w:rPr>
                <w:color w:val="000000" w:themeColor="text1"/>
              </w:rPr>
              <w:t>aika posmā no 2014.-201</w:t>
            </w:r>
            <w:r>
              <w:rPr>
                <w:color w:val="000000" w:themeColor="text1"/>
              </w:rPr>
              <w:t>7</w:t>
            </w:r>
            <w:r w:rsidRPr="00572A45">
              <w:rPr>
                <w:color w:val="000000" w:themeColor="text1"/>
              </w:rPr>
              <w:t xml:space="preserve">. gadam </w:t>
            </w:r>
            <w:r w:rsidRPr="00CD7869">
              <w:rPr>
                <w:b/>
                <w:color w:val="000000" w:themeColor="text1"/>
              </w:rPr>
              <w:t>SEN iemaksas budžetā veidos 1</w:t>
            </w:r>
            <w:r>
              <w:rPr>
                <w:b/>
                <w:color w:val="000000" w:themeColor="text1"/>
              </w:rPr>
              <w:t xml:space="preserve">50,3 </w:t>
            </w:r>
            <w:proofErr w:type="spellStart"/>
            <w:r w:rsidRPr="00CD7869">
              <w:rPr>
                <w:b/>
                <w:color w:val="000000" w:themeColor="text1"/>
              </w:rPr>
              <w:t>milj</w:t>
            </w:r>
            <w:proofErr w:type="spellEnd"/>
            <w:r w:rsidRPr="00CD7869">
              <w:rPr>
                <w:b/>
                <w:color w:val="000000" w:themeColor="text1"/>
              </w:rPr>
              <w:t xml:space="preserve">. </w:t>
            </w:r>
            <w:r>
              <w:rPr>
                <w:b/>
                <w:color w:val="000000" w:themeColor="text1"/>
              </w:rPr>
              <w:t>euro</w:t>
            </w:r>
            <w:r>
              <w:rPr>
                <w:color w:val="000000" w:themeColor="text1"/>
              </w:rPr>
              <w:t xml:space="preserve"> (2014. gadā – 34,1 </w:t>
            </w:r>
            <w:proofErr w:type="spellStart"/>
            <w:r>
              <w:rPr>
                <w:color w:val="000000" w:themeColor="text1"/>
              </w:rPr>
              <w:t>milj</w:t>
            </w:r>
            <w:proofErr w:type="spellEnd"/>
            <w:r>
              <w:rPr>
                <w:color w:val="000000" w:themeColor="text1"/>
              </w:rPr>
              <w:t xml:space="preserve">. </w:t>
            </w:r>
            <w:r w:rsidRPr="001A5804">
              <w:rPr>
                <w:i/>
                <w:color w:val="000000" w:themeColor="text1"/>
              </w:rPr>
              <w:t>euro</w:t>
            </w:r>
            <w:r>
              <w:rPr>
                <w:color w:val="000000" w:themeColor="text1"/>
              </w:rPr>
              <w:t xml:space="preserve">; 2015. gadā – 36,8 </w:t>
            </w:r>
            <w:proofErr w:type="spellStart"/>
            <w:r>
              <w:rPr>
                <w:color w:val="000000" w:themeColor="text1"/>
              </w:rPr>
              <w:t>milj</w:t>
            </w:r>
            <w:proofErr w:type="spellEnd"/>
            <w:r>
              <w:rPr>
                <w:color w:val="000000" w:themeColor="text1"/>
              </w:rPr>
              <w:t xml:space="preserve">. </w:t>
            </w:r>
            <w:r w:rsidRPr="00A554BF">
              <w:rPr>
                <w:i/>
                <w:color w:val="000000" w:themeColor="text1"/>
              </w:rPr>
              <w:t>euro</w:t>
            </w:r>
            <w:r>
              <w:rPr>
                <w:color w:val="000000" w:themeColor="text1"/>
              </w:rPr>
              <w:t>;</w:t>
            </w:r>
            <w:r w:rsidRPr="00572A45">
              <w:rPr>
                <w:color w:val="000000" w:themeColor="text1"/>
              </w:rPr>
              <w:t xml:space="preserve"> </w:t>
            </w:r>
            <w:r>
              <w:rPr>
                <w:color w:val="000000" w:themeColor="text1"/>
              </w:rPr>
              <w:t xml:space="preserve">2016. gadā – 39,7 </w:t>
            </w:r>
            <w:proofErr w:type="spellStart"/>
            <w:r>
              <w:rPr>
                <w:color w:val="000000" w:themeColor="text1"/>
              </w:rPr>
              <w:t>milj</w:t>
            </w:r>
            <w:proofErr w:type="spellEnd"/>
            <w:r>
              <w:rPr>
                <w:color w:val="000000" w:themeColor="text1"/>
              </w:rPr>
              <w:t xml:space="preserve">. </w:t>
            </w:r>
            <w:r w:rsidRPr="00A554BF">
              <w:rPr>
                <w:i/>
                <w:color w:val="000000" w:themeColor="text1"/>
              </w:rPr>
              <w:t>euro</w:t>
            </w:r>
            <w:r w:rsidRPr="00D8294A">
              <w:rPr>
                <w:color w:val="000000" w:themeColor="text1"/>
              </w:rPr>
              <w:t>; 2017.</w:t>
            </w:r>
            <w:r>
              <w:rPr>
                <w:color w:val="000000" w:themeColor="text1"/>
              </w:rPr>
              <w:t xml:space="preserve"> gadā</w:t>
            </w:r>
            <w:r w:rsidRPr="00D8294A">
              <w:rPr>
                <w:color w:val="000000" w:themeColor="text1"/>
              </w:rPr>
              <w:t xml:space="preserve"> – </w:t>
            </w:r>
            <w:r>
              <w:rPr>
                <w:color w:val="000000" w:themeColor="text1"/>
              </w:rPr>
              <w:t>39,7</w:t>
            </w:r>
            <w:r w:rsidRPr="00D8294A">
              <w:rPr>
                <w:color w:val="000000" w:themeColor="text1"/>
              </w:rPr>
              <w:t xml:space="preserve"> </w:t>
            </w:r>
            <w:proofErr w:type="spellStart"/>
            <w:r w:rsidRPr="00D8294A">
              <w:rPr>
                <w:color w:val="000000" w:themeColor="text1"/>
              </w:rPr>
              <w:t>milj</w:t>
            </w:r>
            <w:proofErr w:type="spellEnd"/>
            <w:r w:rsidRPr="00D8294A">
              <w:rPr>
                <w:color w:val="000000" w:themeColor="text1"/>
              </w:rPr>
              <w:t xml:space="preserve">. </w:t>
            </w:r>
            <w:r w:rsidRPr="00A554BF">
              <w:rPr>
                <w:i/>
                <w:color w:val="000000" w:themeColor="text1"/>
              </w:rPr>
              <w:t>euro</w:t>
            </w:r>
            <w:r w:rsidRPr="00D8294A">
              <w:rPr>
                <w:color w:val="000000" w:themeColor="text1"/>
              </w:rPr>
              <w:t>).</w:t>
            </w:r>
          </w:p>
          <w:p w:rsidR="004A7B7C" w:rsidRDefault="004A7B7C" w:rsidP="004A7B7C">
            <w:pPr>
              <w:pStyle w:val="NormalWeb"/>
              <w:spacing w:before="0" w:beforeAutospacing="0" w:after="0" w:afterAutospacing="0"/>
              <w:jc w:val="both"/>
              <w:rPr>
                <w:bCs/>
                <w:color w:val="000000" w:themeColor="text1"/>
              </w:rPr>
            </w:pPr>
            <w:r w:rsidRPr="00D8294A">
              <w:rPr>
                <w:color w:val="000000" w:themeColor="text1"/>
              </w:rPr>
              <w:t>Ņemot vērā minēto un izvērtējot enerģētikas politikas prioritātes atbilstoši Latvijas enerģētikas politikas attīstībā – „Enerģētikas ilgtermiņa stratēģija 2030 – konkurētspējīga enerģētika sabiedrībai” (Izskatīts Ministru kabinetā 28.05.2013. (</w:t>
            </w:r>
            <w:proofErr w:type="spellStart"/>
            <w:r w:rsidRPr="00D8294A">
              <w:rPr>
                <w:color w:val="000000" w:themeColor="text1"/>
              </w:rPr>
              <w:t>prot</w:t>
            </w:r>
            <w:proofErr w:type="spellEnd"/>
            <w:r w:rsidRPr="00D8294A">
              <w:rPr>
                <w:color w:val="000000" w:themeColor="text1"/>
              </w:rPr>
              <w:t xml:space="preserve">. Nr.32 59.§)) minētajam, SEN nodokļa ieviešanā tiek piedāvātas 3 diferencētas likmes (15% – dabasgāzes stacijām, 10% – </w:t>
            </w:r>
            <w:r>
              <w:rPr>
                <w:color w:val="000000" w:themeColor="text1"/>
              </w:rPr>
              <w:t>atjaunojamo energoresursu</w:t>
            </w:r>
            <w:r w:rsidRPr="00D8294A">
              <w:rPr>
                <w:color w:val="000000" w:themeColor="text1"/>
              </w:rPr>
              <w:t xml:space="preserve"> stacijām, 5% – stacijām, kas nodrošina ar siltumenerģiju centralizētās sistēmas un kuru SEN likmei ir tieša ietekme uz siltumenerģijas gala tarifu </w:t>
            </w:r>
            <w:r w:rsidR="001F1255">
              <w:rPr>
                <w:color w:val="000000" w:themeColor="text1"/>
              </w:rPr>
              <w:t>lietotājam</w:t>
            </w:r>
            <w:r w:rsidRPr="00D8294A">
              <w:rPr>
                <w:color w:val="000000" w:themeColor="text1"/>
              </w:rPr>
              <w:t xml:space="preserve">). </w:t>
            </w:r>
            <w:r w:rsidRPr="00D8294A">
              <w:rPr>
                <w:bCs/>
                <w:color w:val="000000" w:themeColor="text1"/>
              </w:rPr>
              <w:t xml:space="preserve">Ņemot vērā, ka turpmāk Latvijā tiks likts lielāks uzsvars uz siltumenerģijas sektoru, lai sasniegtu </w:t>
            </w:r>
            <w:r w:rsidRPr="007C1BFA">
              <w:rPr>
                <w:color w:val="000000" w:themeColor="text1"/>
                <w:szCs w:val="28"/>
              </w:rPr>
              <w:t>Eiropas Parlamenta un Padomes 2009. gada 23. aprīļa Direktīv</w:t>
            </w:r>
            <w:r>
              <w:rPr>
                <w:color w:val="000000" w:themeColor="text1"/>
                <w:szCs w:val="28"/>
              </w:rPr>
              <w:t xml:space="preserve">ā </w:t>
            </w:r>
            <w:r w:rsidRPr="007C1BFA">
              <w:rPr>
                <w:color w:val="000000" w:themeColor="text1"/>
                <w:szCs w:val="28"/>
              </w:rPr>
              <w:t xml:space="preserve">2009/28/EK atjaunojamo energoresursu izmantošanas veicināšanu un ar ko groza un sekojoši atceļ Direktīvu 2001/77/EK un 2003/30/EK </w:t>
            </w:r>
            <w:r w:rsidRPr="00D8294A">
              <w:rPr>
                <w:color w:val="000000" w:themeColor="text1"/>
              </w:rPr>
              <w:t xml:space="preserve">noteikto saistošo mērķi – 2020.gadā palielināt no </w:t>
            </w:r>
            <w:r>
              <w:rPr>
                <w:color w:val="000000" w:themeColor="text1"/>
              </w:rPr>
              <w:t>atjaunojamiem energoresursiem</w:t>
            </w:r>
            <w:r w:rsidRPr="00D8294A">
              <w:rPr>
                <w:color w:val="000000" w:themeColor="text1"/>
              </w:rPr>
              <w:t xml:space="preserve"> saražotās enerģijas īpatsvaru līdz 40% kopējā enerģijas bruto galapatēriņā, </w:t>
            </w:r>
            <w:r w:rsidRPr="00D8294A">
              <w:rPr>
                <w:bCs/>
                <w:color w:val="000000" w:themeColor="text1"/>
              </w:rPr>
              <w:t xml:space="preserve">SEN ietekme uz mērķa izpildi būs nebūtiska. </w:t>
            </w:r>
          </w:p>
          <w:p w:rsidR="004A7B7C" w:rsidRDefault="004A7B7C" w:rsidP="004A7B7C">
            <w:pPr>
              <w:pStyle w:val="NormalWeb"/>
              <w:spacing w:before="0" w:beforeAutospacing="0" w:after="0" w:afterAutospacing="0"/>
              <w:jc w:val="both"/>
              <w:rPr>
                <w:color w:val="000000" w:themeColor="text1"/>
              </w:rPr>
            </w:pPr>
            <w:r>
              <w:rPr>
                <w:color w:val="000000" w:themeColor="text1"/>
              </w:rPr>
              <w:t>Pie izdevumu pozīcijas, ir divi virzieni, kam tiktu paredzēti no SEN valsts budžetā gūtie ienākumu sadale.</w:t>
            </w:r>
          </w:p>
          <w:p w:rsidR="004A7B7C" w:rsidRDefault="004A7B7C" w:rsidP="004A7B7C">
            <w:pPr>
              <w:jc w:val="both"/>
              <w:rPr>
                <w:color w:val="000000" w:themeColor="text1"/>
              </w:rPr>
            </w:pPr>
            <w:r w:rsidRPr="00BA79BC">
              <w:rPr>
                <w:b/>
                <w:color w:val="000000" w:themeColor="text1"/>
              </w:rPr>
              <w:t>1)</w:t>
            </w:r>
            <w:r>
              <w:rPr>
                <w:color w:val="000000" w:themeColor="text1"/>
              </w:rPr>
              <w:t xml:space="preserve"> </w:t>
            </w:r>
            <w:r w:rsidRPr="00A84869">
              <w:rPr>
                <w:color w:val="000000" w:themeColor="text1"/>
                <w:szCs w:val="28"/>
              </w:rPr>
              <w:t xml:space="preserve">Pēc pilnīgas elektroenerģijas tirgus liberalizācijas AS „Latvenergo” vairs nevajadzētu pildīt sociālās palīdzības funkcijas, līdz ar to pašvaldībām būs nepieciešami papildu līdzekļi sociāli mazāk aizsargāto iedzīvotāju atbalstam. </w:t>
            </w:r>
            <w:r w:rsidR="00C37F85">
              <w:rPr>
                <w:color w:val="000000" w:themeColor="text1"/>
                <w:szCs w:val="28"/>
              </w:rPr>
              <w:t>Maznodrošinātām</w:t>
            </w:r>
            <w:r w:rsidRPr="00A84869">
              <w:rPr>
                <w:color w:val="000000" w:themeColor="text1"/>
                <w:szCs w:val="28"/>
              </w:rPr>
              <w:t xml:space="preserve"> mājsaimniecībām vajadzētu kompensēt elektroenerģijas cenas pieaugumu, kur attiecīgi izmaksājam</w:t>
            </w:r>
            <w:r w:rsidR="001F1255">
              <w:rPr>
                <w:color w:val="000000" w:themeColor="text1"/>
                <w:szCs w:val="28"/>
              </w:rPr>
              <w:t>o</w:t>
            </w:r>
            <w:r w:rsidRPr="00A84869">
              <w:rPr>
                <w:color w:val="000000" w:themeColor="text1"/>
                <w:szCs w:val="28"/>
              </w:rPr>
              <w:t xml:space="preserve"> starpība starp </w:t>
            </w:r>
            <w:r w:rsidRPr="00A84869">
              <w:rPr>
                <w:i/>
                <w:color w:val="000000" w:themeColor="text1"/>
                <w:szCs w:val="28"/>
              </w:rPr>
              <w:t>Starta tarifu</w:t>
            </w:r>
            <w:r w:rsidRPr="00A84869">
              <w:rPr>
                <w:color w:val="000000" w:themeColor="text1"/>
                <w:szCs w:val="28"/>
              </w:rPr>
              <w:t xml:space="preserve"> un </w:t>
            </w:r>
            <w:r w:rsidRPr="00A84869">
              <w:rPr>
                <w:i/>
                <w:color w:val="000000" w:themeColor="text1"/>
                <w:szCs w:val="28"/>
              </w:rPr>
              <w:t>elektroenerģijas kopējo cenu</w:t>
            </w:r>
            <w:r>
              <w:rPr>
                <w:i/>
                <w:color w:val="000000" w:themeColor="text1"/>
                <w:szCs w:val="28"/>
              </w:rPr>
              <w:t xml:space="preserve">. </w:t>
            </w:r>
            <w:r w:rsidRPr="00670EE3">
              <w:rPr>
                <w:color w:val="000000" w:themeColor="text1"/>
              </w:rPr>
              <w:lastRenderedPageBreak/>
              <w:t xml:space="preserve">Kopumā plānotais </w:t>
            </w:r>
            <w:r w:rsidRPr="007343EF">
              <w:rPr>
                <w:color w:val="000000" w:themeColor="text1"/>
              </w:rPr>
              <w:t>sociālā atbalsta instrumentam laika periodam līdz 2016. gadam būs nepieciešami</w:t>
            </w:r>
            <w:r w:rsidRPr="006F5442">
              <w:rPr>
                <w:b/>
                <w:color w:val="000000" w:themeColor="text1"/>
              </w:rPr>
              <w:t xml:space="preserve"> 9,9 </w:t>
            </w:r>
            <w:proofErr w:type="spellStart"/>
            <w:r w:rsidRPr="006F5442">
              <w:rPr>
                <w:b/>
                <w:color w:val="000000" w:themeColor="text1"/>
              </w:rPr>
              <w:t>milj</w:t>
            </w:r>
            <w:proofErr w:type="spellEnd"/>
            <w:r w:rsidRPr="006F5442">
              <w:rPr>
                <w:b/>
                <w:color w:val="000000" w:themeColor="text1"/>
              </w:rPr>
              <w:t>. LVL</w:t>
            </w:r>
            <w:r w:rsidRPr="00670EE3">
              <w:rPr>
                <w:color w:val="000000" w:themeColor="text1"/>
              </w:rPr>
              <w:t xml:space="preserve">, no kuriem 2,7 </w:t>
            </w:r>
            <w:proofErr w:type="spellStart"/>
            <w:r w:rsidRPr="00670EE3">
              <w:rPr>
                <w:color w:val="000000" w:themeColor="text1"/>
              </w:rPr>
              <w:t>milj</w:t>
            </w:r>
            <w:proofErr w:type="spellEnd"/>
            <w:r w:rsidRPr="00670EE3">
              <w:rPr>
                <w:color w:val="000000" w:themeColor="text1"/>
              </w:rPr>
              <w:t xml:space="preserve">. LVL tiktu izmaksāti 2014. gadā, sākot ar 1. aprīli, kad tiks atvērts elektroenerģijas tirgus un stāsies spēkā jaunā OIK, un 3,6 </w:t>
            </w:r>
            <w:proofErr w:type="spellStart"/>
            <w:r w:rsidRPr="00670EE3">
              <w:rPr>
                <w:color w:val="000000" w:themeColor="text1"/>
              </w:rPr>
              <w:t>milj</w:t>
            </w:r>
            <w:proofErr w:type="spellEnd"/>
            <w:r w:rsidRPr="00670EE3">
              <w:rPr>
                <w:color w:val="000000" w:themeColor="text1"/>
              </w:rPr>
              <w:t xml:space="preserve">. LVL 2015. gadā un 3,6 </w:t>
            </w:r>
            <w:proofErr w:type="spellStart"/>
            <w:r w:rsidRPr="00670EE3">
              <w:rPr>
                <w:color w:val="000000" w:themeColor="text1"/>
              </w:rPr>
              <w:t>milj</w:t>
            </w:r>
            <w:proofErr w:type="spellEnd"/>
            <w:r w:rsidRPr="00670EE3">
              <w:rPr>
                <w:color w:val="000000" w:themeColor="text1"/>
              </w:rPr>
              <w:t xml:space="preserve">. LVL 2016. gadā. </w:t>
            </w:r>
          </w:p>
          <w:p w:rsidR="004A7B7C" w:rsidRDefault="004A7B7C" w:rsidP="004A7B7C">
            <w:pPr>
              <w:jc w:val="both"/>
            </w:pPr>
            <w:r>
              <w:t>Paredzēts,  ka p</w:t>
            </w:r>
            <w:r w:rsidRPr="00F840BC">
              <w:t xml:space="preserve">ašvaldība ik gadu pirms valsts budžeta projekta izstrādāšanas apkopo datus par personu skaitu, kam sedzama maksa par elektroenerģiju un sastāda budžeta pieprasījumu izdevumu segšanai no valsts budžeta līdzekļiem mērķdotāciju veidā pašvaldībām. </w:t>
            </w:r>
          </w:p>
          <w:p w:rsidR="004A7B7C" w:rsidRPr="00670EE3" w:rsidRDefault="004A7B7C" w:rsidP="004A7B7C">
            <w:pPr>
              <w:jc w:val="both"/>
              <w:rPr>
                <w:color w:val="000000" w:themeColor="text1"/>
              </w:rPr>
            </w:pPr>
            <w:r w:rsidRPr="00F840BC">
              <w:t>Savukārt atbildīgā ministrija apkopo minētos budžeta pieprasījumus un iesniedz tos iekļaušanai valsts budžeta projektā par katru nākamo gadu.</w:t>
            </w:r>
          </w:p>
          <w:p w:rsidR="004A7B7C" w:rsidRPr="007C1BFA" w:rsidRDefault="004A7B7C" w:rsidP="004A7B7C">
            <w:pPr>
              <w:jc w:val="both"/>
              <w:rPr>
                <w:color w:val="000000" w:themeColor="text1"/>
                <w:szCs w:val="28"/>
              </w:rPr>
            </w:pPr>
            <w:r w:rsidRPr="00BA79BC">
              <w:rPr>
                <w:b/>
                <w:color w:val="000000" w:themeColor="text1"/>
              </w:rPr>
              <w:t>2)</w:t>
            </w:r>
            <w:r>
              <w:rPr>
                <w:color w:val="000000" w:themeColor="text1"/>
              </w:rPr>
              <w:t xml:space="preserve"> </w:t>
            </w:r>
            <w:r>
              <w:rPr>
                <w:color w:val="000000" w:themeColor="text1"/>
                <w:szCs w:val="28"/>
              </w:rPr>
              <w:t>Valsts pienākums ir veikt pasākumus sociāla taisnīguma un ekonomiskas labklājības nodrošināšanai un veicināšanai, un šī pienākuma īstenošanā valstij ir plaša lēmumu pieņemšanas un rīcības brīvība. EM ieskatā optimāls risinājums</w:t>
            </w:r>
            <w:r w:rsidRPr="007C1BFA">
              <w:rPr>
                <w:color w:val="000000" w:themeColor="text1"/>
                <w:szCs w:val="28"/>
              </w:rPr>
              <w:t xml:space="preserve"> </w:t>
            </w:r>
            <w:r>
              <w:rPr>
                <w:color w:val="000000" w:themeColor="text1"/>
                <w:szCs w:val="28"/>
              </w:rPr>
              <w:t xml:space="preserve">OIK turpmāka pieauguma radīto seku novēršanai, kas pilnībā iekļautos valsts rīcības brīvības robežās, ir </w:t>
            </w:r>
            <w:r w:rsidRPr="007C1BFA">
              <w:rPr>
                <w:color w:val="000000" w:themeColor="text1"/>
                <w:szCs w:val="28"/>
              </w:rPr>
              <w:t>atsevišķ</w:t>
            </w:r>
            <w:r>
              <w:rPr>
                <w:color w:val="000000" w:themeColor="text1"/>
                <w:szCs w:val="28"/>
              </w:rPr>
              <w:t>a</w:t>
            </w:r>
            <w:r w:rsidRPr="007C1BFA">
              <w:rPr>
                <w:color w:val="000000" w:themeColor="text1"/>
                <w:szCs w:val="28"/>
              </w:rPr>
              <w:t xml:space="preserve"> mehānism</w:t>
            </w:r>
            <w:r>
              <w:rPr>
                <w:color w:val="000000" w:themeColor="text1"/>
                <w:szCs w:val="28"/>
              </w:rPr>
              <w:t>a</w:t>
            </w:r>
            <w:r w:rsidRPr="007C1BFA">
              <w:rPr>
                <w:color w:val="000000" w:themeColor="text1"/>
                <w:szCs w:val="28"/>
              </w:rPr>
              <w:t>, kurā attiecīgi saplūstu gan lietotāju maksājumi, gan maksājumi no valsts budžeta</w:t>
            </w:r>
            <w:r>
              <w:rPr>
                <w:color w:val="000000" w:themeColor="text1"/>
                <w:szCs w:val="28"/>
              </w:rPr>
              <w:t>, izveidošana</w:t>
            </w:r>
            <w:r w:rsidRPr="007C1BFA">
              <w:rPr>
                <w:color w:val="000000" w:themeColor="text1"/>
                <w:szCs w:val="28"/>
              </w:rPr>
              <w:t>.</w:t>
            </w:r>
            <w:r>
              <w:rPr>
                <w:color w:val="000000" w:themeColor="text1"/>
                <w:szCs w:val="28"/>
              </w:rPr>
              <w:t xml:space="preserve"> </w:t>
            </w:r>
            <w:r w:rsidRPr="007C1BFA">
              <w:rPr>
                <w:color w:val="000000" w:themeColor="text1"/>
                <w:szCs w:val="28"/>
              </w:rPr>
              <w:t xml:space="preserve"> </w:t>
            </w:r>
          </w:p>
          <w:p w:rsidR="004A7B7C" w:rsidRDefault="004A7B7C" w:rsidP="004A7B7C">
            <w:pPr>
              <w:jc w:val="both"/>
              <w:rPr>
                <w:color w:val="000000" w:themeColor="text1"/>
                <w:szCs w:val="28"/>
              </w:rPr>
            </w:pPr>
            <w:r>
              <w:rPr>
                <w:color w:val="000000" w:themeColor="text1"/>
                <w:szCs w:val="28"/>
              </w:rPr>
              <w:t>Pēc rūpniecības uzņēmumu vērtējuma pašreizējam</w:t>
            </w:r>
            <w:r w:rsidRPr="007C1BFA">
              <w:rPr>
                <w:color w:val="000000" w:themeColor="text1"/>
                <w:szCs w:val="28"/>
              </w:rPr>
              <w:t xml:space="preserve"> OIK </w:t>
            </w:r>
            <w:r>
              <w:rPr>
                <w:color w:val="000000" w:themeColor="text1"/>
                <w:szCs w:val="28"/>
              </w:rPr>
              <w:t>līmenim</w:t>
            </w:r>
            <w:r w:rsidRPr="007C1BFA">
              <w:rPr>
                <w:color w:val="000000" w:themeColor="text1"/>
                <w:szCs w:val="28"/>
              </w:rPr>
              <w:t xml:space="preserve"> (1,89 </w:t>
            </w:r>
            <w:proofErr w:type="spellStart"/>
            <w:r w:rsidRPr="007C1BFA">
              <w:rPr>
                <w:color w:val="000000" w:themeColor="text1"/>
                <w:szCs w:val="28"/>
              </w:rPr>
              <w:t>sant</w:t>
            </w:r>
            <w:proofErr w:type="spellEnd"/>
            <w:r w:rsidRPr="007C1BFA">
              <w:rPr>
                <w:color w:val="000000" w:themeColor="text1"/>
                <w:szCs w:val="28"/>
              </w:rPr>
              <w:t xml:space="preserve">./kWh) </w:t>
            </w:r>
            <w:r w:rsidR="001F1255">
              <w:rPr>
                <w:color w:val="000000" w:themeColor="text1"/>
                <w:szCs w:val="28"/>
              </w:rPr>
              <w:t>nav pieļaujams</w:t>
            </w:r>
            <w:r>
              <w:rPr>
                <w:color w:val="000000" w:themeColor="text1"/>
                <w:szCs w:val="28"/>
              </w:rPr>
              <w:t xml:space="preserve"> pieaug</w:t>
            </w:r>
            <w:r w:rsidR="001F1255">
              <w:rPr>
                <w:color w:val="000000" w:themeColor="text1"/>
                <w:szCs w:val="28"/>
              </w:rPr>
              <w:t>ums</w:t>
            </w:r>
            <w:r>
              <w:rPr>
                <w:color w:val="000000" w:themeColor="text1"/>
                <w:szCs w:val="28"/>
              </w:rPr>
              <w:t>, lai saglabātu tautsaimniecības</w:t>
            </w:r>
            <w:r w:rsidRPr="007C1BFA">
              <w:rPr>
                <w:color w:val="000000" w:themeColor="text1"/>
                <w:szCs w:val="28"/>
              </w:rPr>
              <w:t xml:space="preserve"> konkurētspēju. </w:t>
            </w:r>
            <w:r>
              <w:rPr>
                <w:color w:val="000000" w:themeColor="text1"/>
                <w:szCs w:val="28"/>
              </w:rPr>
              <w:t>Kā minēts, t</w:t>
            </w:r>
            <w:r w:rsidRPr="007C1BFA">
              <w:rPr>
                <w:color w:val="000000" w:themeColor="text1"/>
                <w:szCs w:val="28"/>
              </w:rPr>
              <w:t>urpmāks OIK pieaugums negatīvi ietekmētu gan rūpnieciskos ražotājus, gan mājsaimniecības. T</w:t>
            </w:r>
            <w:r>
              <w:rPr>
                <w:color w:val="000000" w:themeColor="text1"/>
                <w:szCs w:val="28"/>
              </w:rPr>
              <w:t>ai pat laikā jānorāda</w:t>
            </w:r>
            <w:r w:rsidRPr="007C1BFA">
              <w:rPr>
                <w:color w:val="000000" w:themeColor="text1"/>
                <w:szCs w:val="28"/>
              </w:rPr>
              <w:t xml:space="preserve">, </w:t>
            </w:r>
            <w:r>
              <w:rPr>
                <w:color w:val="000000" w:themeColor="text1"/>
                <w:szCs w:val="28"/>
              </w:rPr>
              <w:t xml:space="preserve">ka, </w:t>
            </w:r>
            <w:r w:rsidRPr="007C1BFA">
              <w:rPr>
                <w:color w:val="000000" w:themeColor="text1"/>
                <w:szCs w:val="28"/>
              </w:rPr>
              <w:t xml:space="preserve">saglabājot OIK </w:t>
            </w:r>
            <w:r>
              <w:rPr>
                <w:color w:val="000000" w:themeColor="text1"/>
                <w:szCs w:val="28"/>
              </w:rPr>
              <w:t>2013.gada</w:t>
            </w:r>
            <w:r w:rsidRPr="007C1BFA">
              <w:rPr>
                <w:color w:val="000000" w:themeColor="text1"/>
                <w:szCs w:val="28"/>
              </w:rPr>
              <w:t xml:space="preserve"> līmenī, netiktu nodrošināts nepieciešamais atbalsta </w:t>
            </w:r>
            <w:r>
              <w:rPr>
                <w:color w:val="000000" w:themeColor="text1"/>
                <w:szCs w:val="28"/>
              </w:rPr>
              <w:t>apjoms</w:t>
            </w:r>
            <w:r w:rsidRPr="007C1BFA">
              <w:rPr>
                <w:color w:val="000000" w:themeColor="text1"/>
                <w:szCs w:val="28"/>
              </w:rPr>
              <w:t xml:space="preserve"> elektroenerģijas ražotājiem, kas saņēmuši tiesības pārdot elektroenerģiju OI ietvaros vai tiesības saņemt garantēto maksu par uzstādīto jaudu. Tāpēc pēc </w:t>
            </w:r>
            <w:r>
              <w:rPr>
                <w:color w:val="000000" w:themeColor="text1"/>
                <w:szCs w:val="28"/>
              </w:rPr>
              <w:t>Ekonomikas ministrijas</w:t>
            </w:r>
            <w:r w:rsidRPr="007C1BFA">
              <w:rPr>
                <w:color w:val="000000" w:themeColor="text1"/>
                <w:szCs w:val="28"/>
              </w:rPr>
              <w:t xml:space="preserve"> provizoriska vērtējuma, lai trīs gadu periodā</w:t>
            </w:r>
            <w:r>
              <w:rPr>
                <w:color w:val="000000" w:themeColor="text1"/>
                <w:szCs w:val="28"/>
              </w:rPr>
              <w:t xml:space="preserve"> no 2014. gada 1. aprīļa līdz </w:t>
            </w:r>
            <w:r w:rsidRPr="00EB5FBB">
              <w:rPr>
                <w:color w:val="000000" w:themeColor="text1"/>
                <w:szCs w:val="28"/>
                <w:u w:val="single"/>
              </w:rPr>
              <w:t>2017.</w:t>
            </w:r>
            <w:r>
              <w:rPr>
                <w:color w:val="000000" w:themeColor="text1"/>
                <w:szCs w:val="28"/>
                <w:u w:val="single"/>
              </w:rPr>
              <w:t> </w:t>
            </w:r>
            <w:r w:rsidRPr="00EB5FBB">
              <w:rPr>
                <w:color w:val="000000" w:themeColor="text1"/>
                <w:szCs w:val="28"/>
                <w:u w:val="single"/>
              </w:rPr>
              <w:t>gada 31.</w:t>
            </w:r>
            <w:r>
              <w:rPr>
                <w:color w:val="000000" w:themeColor="text1"/>
                <w:szCs w:val="28"/>
                <w:u w:val="single"/>
              </w:rPr>
              <w:t> </w:t>
            </w:r>
            <w:r w:rsidRPr="00EB5FBB">
              <w:rPr>
                <w:color w:val="000000" w:themeColor="text1"/>
                <w:szCs w:val="28"/>
                <w:u w:val="single"/>
              </w:rPr>
              <w:t>martam</w:t>
            </w:r>
            <w:r w:rsidRPr="007C1BFA">
              <w:rPr>
                <w:color w:val="000000" w:themeColor="text1"/>
                <w:szCs w:val="28"/>
              </w:rPr>
              <w:t xml:space="preserve"> OIK saglabātu 1,89 </w:t>
            </w:r>
            <w:proofErr w:type="spellStart"/>
            <w:r w:rsidRPr="007C1BFA">
              <w:rPr>
                <w:color w:val="000000" w:themeColor="text1"/>
                <w:szCs w:val="28"/>
              </w:rPr>
              <w:t>sant</w:t>
            </w:r>
            <w:proofErr w:type="spellEnd"/>
            <w:r w:rsidRPr="007C1BFA">
              <w:rPr>
                <w:color w:val="000000" w:themeColor="text1"/>
                <w:szCs w:val="28"/>
              </w:rPr>
              <w:t>./kWh līmenī</w:t>
            </w:r>
            <w:r w:rsidR="001F1255">
              <w:rPr>
                <w:color w:val="000000" w:themeColor="text1"/>
                <w:szCs w:val="28"/>
              </w:rPr>
              <w:t>,</w:t>
            </w:r>
            <w:r w:rsidRPr="00990F71">
              <w:rPr>
                <w:color w:val="000000" w:themeColor="text1"/>
                <w:szCs w:val="28"/>
              </w:rPr>
              <w:t xml:space="preserve"> </w:t>
            </w:r>
            <w:r w:rsidRPr="007C1BFA">
              <w:rPr>
                <w:color w:val="000000" w:themeColor="text1"/>
                <w:szCs w:val="28"/>
              </w:rPr>
              <w:t xml:space="preserve">kopā </w:t>
            </w:r>
            <w:r w:rsidRPr="006F5442">
              <w:rPr>
                <w:b/>
                <w:color w:val="000000" w:themeColor="text1"/>
                <w:szCs w:val="28"/>
              </w:rPr>
              <w:t xml:space="preserve">papildus nepieciešami līdzekļi 103,6 </w:t>
            </w:r>
            <w:proofErr w:type="spellStart"/>
            <w:r w:rsidRPr="006F5442">
              <w:rPr>
                <w:b/>
                <w:color w:val="000000" w:themeColor="text1"/>
                <w:szCs w:val="28"/>
              </w:rPr>
              <w:t>milj</w:t>
            </w:r>
            <w:proofErr w:type="spellEnd"/>
            <w:r w:rsidRPr="006F5442">
              <w:rPr>
                <w:b/>
                <w:color w:val="000000" w:themeColor="text1"/>
                <w:szCs w:val="28"/>
              </w:rPr>
              <w:t>. LVL apjomā</w:t>
            </w:r>
            <w:r>
              <w:rPr>
                <w:color w:val="000000" w:themeColor="text1"/>
                <w:szCs w:val="28"/>
              </w:rPr>
              <w:t xml:space="preserve"> -</w:t>
            </w:r>
            <w:r w:rsidRPr="007C1BFA">
              <w:rPr>
                <w:color w:val="000000" w:themeColor="text1"/>
                <w:szCs w:val="28"/>
              </w:rPr>
              <w:t xml:space="preserve"> 2014. gadā 2</w:t>
            </w:r>
            <w:r>
              <w:rPr>
                <w:color w:val="000000" w:themeColor="text1"/>
                <w:szCs w:val="28"/>
              </w:rPr>
              <w:t>0</w:t>
            </w:r>
            <w:r w:rsidRPr="007C1BFA">
              <w:rPr>
                <w:color w:val="000000" w:themeColor="text1"/>
                <w:szCs w:val="28"/>
              </w:rPr>
              <w:t>,</w:t>
            </w:r>
            <w:r>
              <w:rPr>
                <w:color w:val="000000" w:themeColor="text1"/>
                <w:szCs w:val="28"/>
              </w:rPr>
              <w:t>5</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xml:space="preserve">. LVL, 2015. gadā </w:t>
            </w:r>
            <w:r>
              <w:rPr>
                <w:color w:val="000000" w:themeColor="text1"/>
                <w:szCs w:val="28"/>
              </w:rPr>
              <w:t>33,5</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xml:space="preserve">. LVL, 2016. gadā </w:t>
            </w:r>
            <w:r>
              <w:rPr>
                <w:color w:val="000000" w:themeColor="text1"/>
                <w:szCs w:val="28"/>
              </w:rPr>
              <w:t>39,4</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LVL, savukārt 2017. gadā 1</w:t>
            </w:r>
            <w:r>
              <w:rPr>
                <w:color w:val="000000" w:themeColor="text1"/>
                <w:szCs w:val="28"/>
              </w:rPr>
              <w:t>0</w:t>
            </w:r>
            <w:r w:rsidRPr="007C1BFA">
              <w:rPr>
                <w:color w:val="000000" w:themeColor="text1"/>
                <w:szCs w:val="28"/>
              </w:rPr>
              <w:t>,</w:t>
            </w:r>
            <w:r>
              <w:rPr>
                <w:color w:val="000000" w:themeColor="text1"/>
                <w:szCs w:val="28"/>
              </w:rPr>
              <w:t>2</w:t>
            </w:r>
            <w:r w:rsidRPr="007C1BFA">
              <w:rPr>
                <w:color w:val="000000" w:themeColor="text1"/>
                <w:szCs w:val="28"/>
              </w:rPr>
              <w:t xml:space="preserve"> </w:t>
            </w:r>
            <w:proofErr w:type="spellStart"/>
            <w:r w:rsidRPr="007C1BFA">
              <w:rPr>
                <w:color w:val="000000" w:themeColor="text1"/>
                <w:szCs w:val="28"/>
              </w:rPr>
              <w:t>milj</w:t>
            </w:r>
            <w:proofErr w:type="spellEnd"/>
            <w:r w:rsidRPr="007C1BFA">
              <w:rPr>
                <w:color w:val="000000" w:themeColor="text1"/>
                <w:szCs w:val="28"/>
              </w:rPr>
              <w:t xml:space="preserve">. LVL. Periodā no 2014. līdz 2016. gadam nepieciešamais papildu </w:t>
            </w:r>
            <w:r w:rsidRPr="009B58D0">
              <w:rPr>
                <w:color w:val="000000" w:themeColor="text1"/>
                <w:szCs w:val="28"/>
              </w:rPr>
              <w:t xml:space="preserve">finansējums ir </w:t>
            </w:r>
            <w:r>
              <w:rPr>
                <w:color w:val="000000" w:themeColor="text1"/>
                <w:szCs w:val="28"/>
              </w:rPr>
              <w:t>93</w:t>
            </w:r>
            <w:r w:rsidRPr="009B58D0">
              <w:rPr>
                <w:color w:val="000000" w:themeColor="text1"/>
                <w:szCs w:val="28"/>
              </w:rPr>
              <w:t>,</w:t>
            </w:r>
            <w:r>
              <w:rPr>
                <w:color w:val="000000" w:themeColor="text1"/>
                <w:szCs w:val="28"/>
              </w:rPr>
              <w:t>4</w:t>
            </w:r>
            <w:r w:rsidRPr="009B58D0">
              <w:rPr>
                <w:color w:val="000000" w:themeColor="text1"/>
                <w:szCs w:val="28"/>
              </w:rPr>
              <w:t xml:space="preserve"> </w:t>
            </w:r>
            <w:proofErr w:type="spellStart"/>
            <w:r w:rsidRPr="009B58D0">
              <w:rPr>
                <w:color w:val="000000" w:themeColor="text1"/>
                <w:szCs w:val="28"/>
              </w:rPr>
              <w:t>milj</w:t>
            </w:r>
            <w:proofErr w:type="spellEnd"/>
            <w:r w:rsidRPr="009B58D0">
              <w:rPr>
                <w:color w:val="000000" w:themeColor="text1"/>
                <w:szCs w:val="28"/>
              </w:rPr>
              <w:t>. LVL.</w:t>
            </w:r>
            <w:r w:rsidRPr="007C1BFA">
              <w:rPr>
                <w:color w:val="000000" w:themeColor="text1"/>
                <w:szCs w:val="28"/>
              </w:rPr>
              <w:t xml:space="preserve"> </w:t>
            </w:r>
          </w:p>
          <w:p w:rsidR="004A7B7C" w:rsidRDefault="004A7B7C" w:rsidP="004A7B7C">
            <w:pPr>
              <w:pStyle w:val="NormalWeb"/>
              <w:spacing w:before="0" w:beforeAutospacing="0" w:after="0" w:afterAutospacing="0"/>
              <w:jc w:val="both"/>
              <w:rPr>
                <w:color w:val="000000" w:themeColor="text1"/>
              </w:rPr>
            </w:pPr>
            <w:r>
              <w:rPr>
                <w:color w:val="000000" w:themeColor="text1"/>
              </w:rPr>
              <w:t xml:space="preserve">Kopumā izdevumu pozīcija </w:t>
            </w:r>
            <w:r w:rsidRPr="00572A45">
              <w:rPr>
                <w:color w:val="000000" w:themeColor="text1"/>
              </w:rPr>
              <w:t>2014.-201</w:t>
            </w:r>
            <w:r>
              <w:rPr>
                <w:color w:val="000000" w:themeColor="text1"/>
              </w:rPr>
              <w:t>7</w:t>
            </w:r>
            <w:r w:rsidRPr="00572A45">
              <w:rPr>
                <w:color w:val="000000" w:themeColor="text1"/>
              </w:rPr>
              <w:t>. </w:t>
            </w:r>
            <w:r w:rsidR="001F1255" w:rsidRPr="00572A45">
              <w:rPr>
                <w:color w:val="000000" w:themeColor="text1"/>
              </w:rPr>
              <w:t>G</w:t>
            </w:r>
            <w:r w:rsidRPr="00572A45">
              <w:rPr>
                <w:color w:val="000000" w:themeColor="text1"/>
              </w:rPr>
              <w:t>adam</w:t>
            </w:r>
            <w:r w:rsidR="001F1255">
              <w:rPr>
                <w:color w:val="000000" w:themeColor="text1"/>
              </w:rPr>
              <w:t>,</w:t>
            </w:r>
            <w:r>
              <w:rPr>
                <w:color w:val="000000" w:themeColor="text1"/>
              </w:rPr>
              <w:t xml:space="preserve"> ņemot vērā iepriekš aprakstītos divus virzienus</w:t>
            </w:r>
            <w:r w:rsidR="001F1255">
              <w:rPr>
                <w:color w:val="000000" w:themeColor="text1"/>
              </w:rPr>
              <w:t>,</w:t>
            </w:r>
            <w:r>
              <w:rPr>
                <w:color w:val="000000" w:themeColor="text1"/>
              </w:rPr>
              <w:t xml:space="preserve"> veidotu </w:t>
            </w:r>
            <w:r w:rsidRPr="006F5442">
              <w:rPr>
                <w:b/>
                <w:color w:val="000000" w:themeColor="text1"/>
              </w:rPr>
              <w:t>113,5 milj.LVL</w:t>
            </w:r>
            <w:r>
              <w:rPr>
                <w:color w:val="000000" w:themeColor="text1"/>
              </w:rPr>
              <w:t xml:space="preserve">, kas pa gadiem sadalītos šādi: 2014. gadā – 23,2 </w:t>
            </w:r>
            <w:proofErr w:type="spellStart"/>
            <w:r>
              <w:rPr>
                <w:color w:val="000000" w:themeColor="text1"/>
              </w:rPr>
              <w:t>milj</w:t>
            </w:r>
            <w:proofErr w:type="spellEnd"/>
            <w:r>
              <w:rPr>
                <w:color w:val="000000" w:themeColor="text1"/>
              </w:rPr>
              <w:t>. LVL; 2015. gadā – 37,1 milj.LVL 2016. gadā – 43,0 milj.LVL, 2017. gadā – 10,2 milj.LVL.</w:t>
            </w:r>
          </w:p>
          <w:p w:rsidR="004A7B7C" w:rsidRDefault="004A7B7C" w:rsidP="004A7B7C">
            <w:pPr>
              <w:pStyle w:val="NormalWeb"/>
              <w:spacing w:before="0" w:beforeAutospacing="0" w:after="0" w:afterAutospacing="0"/>
              <w:jc w:val="both"/>
              <w:rPr>
                <w:bCs/>
                <w:color w:val="000000" w:themeColor="text1"/>
                <w:szCs w:val="28"/>
              </w:rPr>
            </w:pPr>
          </w:p>
          <w:p w:rsidR="004A7B7C" w:rsidRPr="00923749" w:rsidRDefault="004A7B7C" w:rsidP="004A7B7C">
            <w:pPr>
              <w:pStyle w:val="NormalWeb"/>
              <w:spacing w:before="0" w:beforeAutospacing="0" w:after="0" w:afterAutospacing="0"/>
              <w:jc w:val="both"/>
              <w:rPr>
                <w:color w:val="000000" w:themeColor="text1"/>
              </w:rPr>
            </w:pPr>
            <w:r>
              <w:rPr>
                <w:bCs/>
                <w:color w:val="000000" w:themeColor="text1"/>
                <w:szCs w:val="28"/>
              </w:rPr>
              <w:t>Vienlaikus</w:t>
            </w:r>
            <w:r w:rsidR="001F1255">
              <w:rPr>
                <w:bCs/>
                <w:color w:val="000000" w:themeColor="text1"/>
                <w:szCs w:val="28"/>
              </w:rPr>
              <w:t>,</w:t>
            </w:r>
            <w:r>
              <w:rPr>
                <w:bCs/>
                <w:color w:val="000000" w:themeColor="text1"/>
                <w:szCs w:val="28"/>
              </w:rPr>
              <w:t xml:space="preserve"> p</w:t>
            </w:r>
            <w:r w:rsidRPr="007C1BFA">
              <w:rPr>
                <w:bCs/>
                <w:color w:val="000000" w:themeColor="text1"/>
                <w:szCs w:val="28"/>
              </w:rPr>
              <w:t xml:space="preserve">ieaugot elektroenerģijas kopējai cenai, proporcionāli palielinās arī aprēķināmā pievienotās vērtības nodokļa (turpmāk – PVN) summa (šobrīd elektroenerģijas piegādēm piemēro PVN </w:t>
            </w:r>
            <w:proofErr w:type="spellStart"/>
            <w:r w:rsidRPr="007C1BFA">
              <w:rPr>
                <w:bCs/>
                <w:color w:val="000000" w:themeColor="text1"/>
                <w:szCs w:val="28"/>
              </w:rPr>
              <w:t>standartlikmi</w:t>
            </w:r>
            <w:proofErr w:type="spellEnd"/>
            <w:r w:rsidRPr="007C1BFA">
              <w:rPr>
                <w:bCs/>
                <w:color w:val="000000" w:themeColor="text1"/>
                <w:szCs w:val="28"/>
              </w:rPr>
              <w:t xml:space="preserve"> 21 procenta apmērā)</w:t>
            </w:r>
            <w:r w:rsidRPr="007C1BFA">
              <w:rPr>
                <w:color w:val="000000" w:themeColor="text1"/>
                <w:szCs w:val="28"/>
              </w:rPr>
              <w:t xml:space="preserve">. Paredzēts, ka pie kopējās cenas </w:t>
            </w:r>
            <w:r w:rsidRPr="007C1BFA">
              <w:rPr>
                <w:bCs/>
                <w:color w:val="000000" w:themeColor="text1"/>
                <w:szCs w:val="28"/>
              </w:rPr>
              <w:t>ar PVN</w:t>
            </w:r>
            <w:r w:rsidRPr="007C1BFA">
              <w:rPr>
                <w:color w:val="000000" w:themeColor="text1"/>
                <w:szCs w:val="28"/>
              </w:rPr>
              <w:t xml:space="preserve"> 11,30 </w:t>
            </w:r>
            <w:proofErr w:type="spellStart"/>
            <w:r w:rsidRPr="007C1BFA">
              <w:rPr>
                <w:color w:val="000000" w:themeColor="text1"/>
                <w:szCs w:val="28"/>
              </w:rPr>
              <w:t>sant</w:t>
            </w:r>
            <w:proofErr w:type="spellEnd"/>
            <w:r w:rsidRPr="007C1BFA">
              <w:rPr>
                <w:color w:val="000000" w:themeColor="text1"/>
                <w:szCs w:val="28"/>
              </w:rPr>
              <w:t xml:space="preserve">./kWh PVN </w:t>
            </w:r>
            <w:r w:rsidRPr="007C1BFA">
              <w:rPr>
                <w:bCs/>
                <w:color w:val="000000" w:themeColor="text1"/>
                <w:szCs w:val="28"/>
              </w:rPr>
              <w:t>summa</w:t>
            </w:r>
            <w:r w:rsidRPr="007C1BFA">
              <w:rPr>
                <w:color w:val="000000" w:themeColor="text1"/>
                <w:szCs w:val="28"/>
              </w:rPr>
              <w:t xml:space="preserve"> sastādīs 1,96 </w:t>
            </w:r>
            <w:proofErr w:type="spellStart"/>
            <w:r w:rsidRPr="007C1BFA">
              <w:rPr>
                <w:color w:val="000000" w:themeColor="text1"/>
                <w:szCs w:val="28"/>
              </w:rPr>
              <w:t>sant</w:t>
            </w:r>
            <w:proofErr w:type="spellEnd"/>
            <w:r w:rsidRPr="007C1BFA">
              <w:rPr>
                <w:color w:val="000000" w:themeColor="text1"/>
                <w:szCs w:val="28"/>
              </w:rPr>
              <w:t xml:space="preserve">., kas, salīdzinot ar PVN </w:t>
            </w:r>
            <w:r w:rsidRPr="007C1BFA">
              <w:rPr>
                <w:bCs/>
                <w:color w:val="000000" w:themeColor="text1"/>
                <w:szCs w:val="28"/>
              </w:rPr>
              <w:t xml:space="preserve">summu, kas ietilpst </w:t>
            </w:r>
            <w:r w:rsidRPr="007C1BFA">
              <w:rPr>
                <w:bCs/>
                <w:i/>
                <w:color w:val="000000" w:themeColor="text1"/>
                <w:szCs w:val="28"/>
              </w:rPr>
              <w:t>Starta tarifā</w:t>
            </w:r>
            <w:r w:rsidRPr="007C1BFA">
              <w:rPr>
                <w:bCs/>
                <w:color w:val="000000" w:themeColor="text1"/>
                <w:szCs w:val="28"/>
              </w:rPr>
              <w:t>,</w:t>
            </w:r>
            <w:r w:rsidRPr="007C1BFA">
              <w:rPr>
                <w:color w:val="000000" w:themeColor="text1"/>
                <w:szCs w:val="28"/>
              </w:rPr>
              <w:t xml:space="preserve"> nozīmē </w:t>
            </w:r>
            <w:r w:rsidRPr="007C1BFA">
              <w:rPr>
                <w:bCs/>
                <w:color w:val="000000" w:themeColor="text1"/>
                <w:szCs w:val="28"/>
              </w:rPr>
              <w:t>PVN summas</w:t>
            </w:r>
            <w:r w:rsidRPr="007C1BFA">
              <w:rPr>
                <w:color w:val="000000" w:themeColor="text1"/>
                <w:szCs w:val="28"/>
              </w:rPr>
              <w:t xml:space="preserve"> pieaugumu par 0,54 santīmiem. Gada griezumā kopējais </w:t>
            </w:r>
            <w:r w:rsidRPr="007C1BFA">
              <w:rPr>
                <w:bCs/>
                <w:color w:val="000000" w:themeColor="text1"/>
                <w:szCs w:val="28"/>
              </w:rPr>
              <w:t>elektroenerģijas cenas</w:t>
            </w:r>
            <w:r w:rsidRPr="007C1BFA">
              <w:rPr>
                <w:color w:val="000000" w:themeColor="text1"/>
                <w:szCs w:val="28"/>
              </w:rPr>
              <w:t xml:space="preserve"> pieaugums veidos papildus PVN </w:t>
            </w:r>
            <w:r w:rsidRPr="007C1BFA">
              <w:rPr>
                <w:bCs/>
                <w:color w:val="000000" w:themeColor="text1"/>
                <w:szCs w:val="28"/>
              </w:rPr>
              <w:t>maksājumus</w:t>
            </w:r>
            <w:r>
              <w:rPr>
                <w:color w:val="000000" w:themeColor="text1"/>
                <w:szCs w:val="28"/>
              </w:rPr>
              <w:t xml:space="preserve"> aptuveni 5.milj. </w:t>
            </w:r>
            <w:r>
              <w:rPr>
                <w:color w:val="000000" w:themeColor="text1"/>
                <w:szCs w:val="28"/>
              </w:rPr>
              <w:lastRenderedPageBreak/>
              <w:t xml:space="preserve">LVL 2014.gadā, bet 2015.-2017. gadā un </w:t>
            </w:r>
            <w:r w:rsidRPr="00923749">
              <w:rPr>
                <w:color w:val="000000" w:themeColor="text1"/>
              </w:rPr>
              <w:t xml:space="preserve">turpmākajos gados aptuveni 6,7 </w:t>
            </w:r>
            <w:proofErr w:type="spellStart"/>
            <w:r w:rsidRPr="00923749">
              <w:rPr>
                <w:color w:val="000000" w:themeColor="text1"/>
              </w:rPr>
              <w:t>milj</w:t>
            </w:r>
            <w:proofErr w:type="spellEnd"/>
            <w:r w:rsidRPr="00923749">
              <w:rPr>
                <w:color w:val="000000" w:themeColor="text1"/>
              </w:rPr>
              <w:t>. LVL apmērā katru gadu.</w:t>
            </w:r>
          </w:p>
          <w:p w:rsidR="004A7B7C" w:rsidRPr="00923749" w:rsidRDefault="004A7B7C" w:rsidP="004A7B7C">
            <w:pPr>
              <w:pStyle w:val="NormalWeb"/>
              <w:spacing w:before="0" w:beforeAutospacing="0" w:after="0" w:afterAutospacing="0"/>
              <w:jc w:val="both"/>
              <w:rPr>
                <w:color w:val="000000" w:themeColor="text1"/>
              </w:rPr>
            </w:pPr>
          </w:p>
          <w:p w:rsidR="004A7B7C" w:rsidRPr="00923749" w:rsidRDefault="004A7B7C" w:rsidP="004A7B7C">
            <w:pPr>
              <w:pStyle w:val="NormalWeb"/>
              <w:spacing w:before="0" w:beforeAutospacing="0" w:after="0" w:afterAutospacing="0"/>
              <w:jc w:val="both"/>
              <w:rPr>
                <w:color w:val="000000" w:themeColor="text1"/>
              </w:rPr>
            </w:pPr>
            <w:r w:rsidRPr="00923749">
              <w:rPr>
                <w:color w:val="000000" w:themeColor="text1"/>
              </w:rPr>
              <w:t>Savukārt efekts no AS „Latvenergo” dividenžu iemaks</w:t>
            </w:r>
            <w:r>
              <w:rPr>
                <w:color w:val="000000" w:themeColor="text1"/>
              </w:rPr>
              <w:t>u pieaugumu</w:t>
            </w:r>
            <w:r w:rsidRPr="00923749">
              <w:rPr>
                <w:color w:val="000000" w:themeColor="text1"/>
              </w:rPr>
              <w:t xml:space="preserve"> valsts budžetā veidos 4,9 </w:t>
            </w:r>
            <w:proofErr w:type="spellStart"/>
            <w:r w:rsidRPr="00923749">
              <w:rPr>
                <w:color w:val="000000" w:themeColor="text1"/>
              </w:rPr>
              <w:t>milj</w:t>
            </w:r>
            <w:proofErr w:type="spellEnd"/>
            <w:r w:rsidRPr="00923749">
              <w:rPr>
                <w:color w:val="000000" w:themeColor="text1"/>
              </w:rPr>
              <w:t>. LVL 2015.gadā un attiecīgi 8,4 milj.LVL 2016. un 2017.</w:t>
            </w:r>
            <w:r>
              <w:rPr>
                <w:color w:val="000000" w:themeColor="text1"/>
              </w:rPr>
              <w:t> </w:t>
            </w:r>
            <w:r w:rsidRPr="00923749">
              <w:rPr>
                <w:color w:val="000000" w:themeColor="text1"/>
              </w:rPr>
              <w:t>gadā.</w:t>
            </w:r>
          </w:p>
          <w:p w:rsidR="004A7B7C" w:rsidRPr="00923749" w:rsidRDefault="004A7B7C" w:rsidP="004A7B7C">
            <w:pPr>
              <w:pStyle w:val="NormalWeb"/>
              <w:spacing w:before="0" w:beforeAutospacing="0" w:after="0" w:afterAutospacing="0"/>
              <w:jc w:val="both"/>
              <w:rPr>
                <w:color w:val="000000" w:themeColor="text1"/>
              </w:rPr>
            </w:pPr>
          </w:p>
          <w:p w:rsidR="004A7B7C" w:rsidRPr="00EB5FBB" w:rsidRDefault="004A7B7C" w:rsidP="004A7B7C">
            <w:pPr>
              <w:jc w:val="both"/>
              <w:rPr>
                <w:color w:val="000000" w:themeColor="text1"/>
              </w:rPr>
            </w:pPr>
            <w:r w:rsidRPr="00EB5FBB">
              <w:rPr>
                <w:color w:val="000000" w:themeColor="text1"/>
              </w:rPr>
              <w:t xml:space="preserve">Ministru kabineta 2013. gada 27. augusta protokollēmuma Nr.46, </w:t>
            </w:r>
            <w:r w:rsidRPr="00EB5FBB">
              <w:rPr>
                <w:bCs/>
                <w:color w:val="000000" w:themeColor="text1"/>
              </w:rPr>
              <w:t>102. § 17. punkt</w:t>
            </w:r>
            <w:r>
              <w:rPr>
                <w:bCs/>
                <w:color w:val="000000" w:themeColor="text1"/>
              </w:rPr>
              <w:t>s</w:t>
            </w:r>
            <w:r w:rsidRPr="00EB5FBB">
              <w:rPr>
                <w:bCs/>
                <w:color w:val="000000" w:themeColor="text1"/>
              </w:rPr>
              <w:t xml:space="preserve"> nosaka - </w:t>
            </w:r>
            <w:r w:rsidRPr="00EB5FBB">
              <w:rPr>
                <w:color w:val="000000" w:themeColor="text1"/>
              </w:rPr>
              <w:t>Atbalstīt Ekonomikas ministrijas priekšlikumu palielināt valsts pamatbudžeta ieņēmumus no subsidētās enerģijas nodokļa 2014.</w:t>
            </w:r>
            <w:r>
              <w:rPr>
                <w:color w:val="000000" w:themeColor="text1"/>
              </w:rPr>
              <w:t> </w:t>
            </w:r>
            <w:r w:rsidRPr="00EB5FBB">
              <w:rPr>
                <w:color w:val="000000" w:themeColor="text1"/>
              </w:rPr>
              <w:t>gadā 24 000 000 latu apmērā, 2015.</w:t>
            </w:r>
            <w:r>
              <w:rPr>
                <w:color w:val="000000" w:themeColor="text1"/>
              </w:rPr>
              <w:t> </w:t>
            </w:r>
            <w:r w:rsidRPr="00EB5FBB">
              <w:rPr>
                <w:color w:val="000000" w:themeColor="text1"/>
              </w:rPr>
              <w:t>gadā 25 900 000 latu apmērā un 2016.</w:t>
            </w:r>
            <w:r>
              <w:rPr>
                <w:color w:val="000000" w:themeColor="text1"/>
              </w:rPr>
              <w:t> </w:t>
            </w:r>
            <w:r w:rsidRPr="00EB5FBB">
              <w:rPr>
                <w:color w:val="000000" w:themeColor="text1"/>
              </w:rPr>
              <w:t>gadā 27 900 000 latu apmērā, no pievienotās vērtības nodokļa 2014.gadā 5 000 000 latu apmērā, 2015. un 2016.gadā 6 700 000 latu apmērā katru gadu un no valsts akciju sabiedrības „Latvenergo” maksājumiem par valsts kapitāla izmantošanu (ieņēmumus no dividendēm) 2015.</w:t>
            </w:r>
            <w:r>
              <w:rPr>
                <w:color w:val="000000" w:themeColor="text1"/>
              </w:rPr>
              <w:t> </w:t>
            </w:r>
            <w:r w:rsidRPr="00EB5FBB">
              <w:rPr>
                <w:color w:val="000000" w:themeColor="text1"/>
              </w:rPr>
              <w:t>gadā 4 900 000 latu apmērā un 2016.gadā 8 400 000 latu apmērā, vienlaicīgi palielinot Ekonomikas ministrijai dotāciju no vispārējiem ieņēmumiem un izdevumus Elektroenerģijas lietotāju atbalsta fonda darbībai un sociālo pabalstu elektroenerģijas izmaksu segšanai 2014.</w:t>
            </w:r>
            <w:r>
              <w:rPr>
                <w:color w:val="000000" w:themeColor="text1"/>
              </w:rPr>
              <w:t> </w:t>
            </w:r>
            <w:r w:rsidRPr="00EB5FBB">
              <w:rPr>
                <w:color w:val="000000" w:themeColor="text1"/>
              </w:rPr>
              <w:t>gadā – 23 286 970 latu apmērā, 2015.</w:t>
            </w:r>
            <w:r>
              <w:rPr>
                <w:color w:val="000000" w:themeColor="text1"/>
              </w:rPr>
              <w:t> </w:t>
            </w:r>
            <w:r w:rsidRPr="00EB5FBB">
              <w:rPr>
                <w:color w:val="000000" w:themeColor="text1"/>
              </w:rPr>
              <w:t>gadā – 37 182 970 latu apmērā, 2016.</w:t>
            </w:r>
            <w:r>
              <w:rPr>
                <w:color w:val="000000" w:themeColor="text1"/>
              </w:rPr>
              <w:t> </w:t>
            </w:r>
            <w:r w:rsidRPr="00EB5FBB">
              <w:rPr>
                <w:color w:val="000000" w:themeColor="text1"/>
              </w:rPr>
              <w:t>gadā – 43 082 970 latu apmērā un ēku energoefektivitātes uzlabošanas pārejas risinājumam 2014.</w:t>
            </w:r>
            <w:r>
              <w:rPr>
                <w:color w:val="000000" w:themeColor="text1"/>
              </w:rPr>
              <w:t> </w:t>
            </w:r>
            <w:r w:rsidRPr="00EB5FBB">
              <w:rPr>
                <w:color w:val="000000" w:themeColor="text1"/>
              </w:rPr>
              <w:t xml:space="preserve">gadā 4 212 826 latu apmērā. Noteikt, ka līdzekļi plānojami atsevišķā budžeta apakšprogrammā (29.02.00 „Elektroenerģijas lietotāju atbalsts”). </w:t>
            </w:r>
          </w:p>
          <w:p w:rsidR="004A7B7C" w:rsidRDefault="004A7B7C" w:rsidP="004A7B7C">
            <w:pPr>
              <w:pStyle w:val="NormalWeb"/>
              <w:spacing w:before="0" w:beforeAutospacing="0" w:after="0" w:afterAutospacing="0"/>
              <w:jc w:val="both"/>
              <w:rPr>
                <w:color w:val="000000" w:themeColor="text1"/>
              </w:rPr>
            </w:pPr>
          </w:p>
          <w:p w:rsidR="00CD647E" w:rsidRPr="00E3705C" w:rsidRDefault="004A7B7C" w:rsidP="004A7B7C">
            <w:pPr>
              <w:pStyle w:val="NormalWeb"/>
              <w:spacing w:before="0" w:beforeAutospacing="0" w:after="0" w:afterAutospacing="0"/>
              <w:jc w:val="both"/>
              <w:rPr>
                <w:color w:val="000000" w:themeColor="text1"/>
              </w:rPr>
            </w:pPr>
            <w:r w:rsidRPr="00923749">
              <w:rPr>
                <w:color w:val="000000" w:themeColor="text1"/>
              </w:rPr>
              <w:t>Nepieciešamā finansējuma apjoms 2015. gadā un turpmākajos gados ELAF</w:t>
            </w:r>
            <w:r>
              <w:rPr>
                <w:color w:val="000000" w:themeColor="text1"/>
              </w:rPr>
              <w:t xml:space="preserve"> nepieciešams finansējums un ikgadējs SEN ieņēmumu apjoms</w:t>
            </w:r>
            <w:r w:rsidRPr="00923749">
              <w:rPr>
                <w:color w:val="000000" w:themeColor="text1"/>
              </w:rPr>
              <w:t xml:space="preserve"> </w:t>
            </w:r>
            <w:r>
              <w:rPr>
                <w:color w:val="000000" w:themeColor="text1"/>
              </w:rPr>
              <w:t xml:space="preserve">ir mainīgi lielumi, kas </w:t>
            </w:r>
            <w:r w:rsidRPr="00923749">
              <w:rPr>
                <w:color w:val="000000" w:themeColor="text1"/>
              </w:rPr>
              <w:t>var mainīties atkarīb</w:t>
            </w:r>
            <w:r>
              <w:rPr>
                <w:color w:val="000000" w:themeColor="text1"/>
              </w:rPr>
              <w:t xml:space="preserve">ā </w:t>
            </w:r>
            <w:r w:rsidRPr="00923749">
              <w:rPr>
                <w:color w:val="000000" w:themeColor="text1"/>
              </w:rPr>
              <w:t xml:space="preserve">jaunu staciju darbības uzsākšanas, kas ir saņēmušas tiesības pārdot saražoto elektroenerģiju obligātajā iepirkuma ietvaros vai tiesības saņemt garantēto maksu un attiecīgi minēto staciju publiskajam tirgotājam pārdoto kilovatstundu apjoma, </w:t>
            </w:r>
            <w:r w:rsidRPr="00E3705C">
              <w:rPr>
                <w:color w:val="000000" w:themeColor="text1"/>
              </w:rPr>
              <w:t>kas savukārt atstātu iespaidu uz OIK pieaugumu.</w:t>
            </w:r>
          </w:p>
          <w:p w:rsidR="00E3705C" w:rsidRPr="00E3705C" w:rsidRDefault="00E3705C" w:rsidP="004A7B7C">
            <w:pPr>
              <w:pStyle w:val="NormalWeb"/>
              <w:spacing w:before="0" w:beforeAutospacing="0" w:after="0" w:afterAutospacing="0"/>
              <w:jc w:val="both"/>
              <w:rPr>
                <w:color w:val="000000" w:themeColor="text1"/>
              </w:rPr>
            </w:pPr>
          </w:p>
          <w:p w:rsidR="00E3705C" w:rsidRPr="00E3705C" w:rsidRDefault="00E3705C" w:rsidP="00E3705C">
            <w:pPr>
              <w:pStyle w:val="NormalWeb"/>
              <w:spacing w:before="0" w:beforeAutospacing="0" w:after="0" w:afterAutospacing="0"/>
              <w:jc w:val="both"/>
            </w:pPr>
            <w:r w:rsidRPr="00E3705C">
              <w:t xml:space="preserve">Paredzamās Valsts ieņēmumu dienesta (turpmāk – VID) izmaksas izmaiņām Informācijas sistēmām ir 30,19 tūkstoši LVL, </w:t>
            </w:r>
            <w:proofErr w:type="spellStart"/>
            <w:r w:rsidRPr="00E3705C">
              <w:t>t.sk</w:t>
            </w:r>
            <w:proofErr w:type="spellEnd"/>
            <w:r w:rsidRPr="00E3705C">
              <w:t>.:</w:t>
            </w:r>
          </w:p>
          <w:p w:rsidR="00E3705C" w:rsidRPr="00E3705C" w:rsidRDefault="00E3705C" w:rsidP="00E3705C">
            <w:pPr>
              <w:pStyle w:val="NormalWeb"/>
              <w:numPr>
                <w:ilvl w:val="0"/>
                <w:numId w:val="48"/>
              </w:numPr>
              <w:spacing w:before="0" w:beforeAutospacing="0" w:after="0" w:afterAutospacing="0"/>
              <w:jc w:val="both"/>
            </w:pPr>
            <w:r w:rsidRPr="00E3705C">
              <w:t>izmaiņas VID Nodokļu informācijas sistēmā (NIS) - jauna (vienkāršas vai vidējas sarežģītības) pirmdokumenta saraksta un formas loga izstrāde, ieskaitot aprēķina operāciju  veidošanu -  19,95 tūkstoši LVL.</w:t>
            </w:r>
          </w:p>
          <w:p w:rsidR="00E3705C" w:rsidRPr="00E3705C" w:rsidRDefault="00E3705C" w:rsidP="00E3705C">
            <w:pPr>
              <w:pStyle w:val="NormalWeb"/>
              <w:numPr>
                <w:ilvl w:val="0"/>
                <w:numId w:val="48"/>
              </w:numPr>
              <w:spacing w:before="0" w:beforeAutospacing="0" w:after="0" w:afterAutospacing="0"/>
              <w:jc w:val="both"/>
            </w:pPr>
            <w:r w:rsidRPr="00E3705C">
              <w:t>izmaiņas VID Datu noliktavas sistēmā (</w:t>
            </w:r>
            <w:r w:rsidRPr="00E3705C">
              <w:rPr>
                <w:u w:val="single"/>
              </w:rPr>
              <w:t>j</w:t>
            </w:r>
            <w:r w:rsidRPr="00E3705C">
              <w:t>auno dokumentu izveidošana un apstrāde – 10,24 tūkstoši LVL.</w:t>
            </w:r>
          </w:p>
          <w:p w:rsidR="00E3705C" w:rsidRPr="00E3705C" w:rsidRDefault="00E3705C" w:rsidP="00E3705C">
            <w:pPr>
              <w:jc w:val="both"/>
            </w:pPr>
            <w:r w:rsidRPr="00E3705C">
              <w:t>Izmaksas atbilstošo izmaiņu ieviešanai Audita atbalsta informācijas sistēmā (ASIS) pašlaik vēl nav iespējams vērtēt.</w:t>
            </w:r>
          </w:p>
          <w:p w:rsidR="00E3705C" w:rsidRPr="00C962CC" w:rsidRDefault="00E3705C" w:rsidP="00E3705C">
            <w:pPr>
              <w:pStyle w:val="NormalWeb"/>
              <w:spacing w:before="0" w:beforeAutospacing="0" w:after="0" w:afterAutospacing="0"/>
              <w:jc w:val="both"/>
              <w:rPr>
                <w:color w:val="000000" w:themeColor="text1"/>
              </w:rPr>
            </w:pPr>
            <w:r w:rsidRPr="00E3705C">
              <w:t>Ja tiek veiktas izmaiņas Elektroniskās deklarēšanas sistēmā (EDS)</w:t>
            </w:r>
            <w:r w:rsidRPr="00E3705C">
              <w:rPr>
                <w:u w:val="single"/>
              </w:rPr>
              <w:t xml:space="preserve"> </w:t>
            </w:r>
            <w:r w:rsidRPr="00E3705C">
              <w:t xml:space="preserve">(jauna EDS dokumenta  ievadformas izstrāde un nodrošināta lietotāju iesniegto deklarāciju izvietošana NIS datubāzē), VID būs nepieciešams vēl papildus finansējums </w:t>
            </w:r>
            <w:r w:rsidRPr="00E3705C">
              <w:lastRenderedPageBreak/>
              <w:t>12,79 tūkstošu LVL apmērā.</w:t>
            </w:r>
          </w:p>
        </w:tc>
      </w:tr>
      <w:tr w:rsidR="00802846" w:rsidRPr="00717EA4" w:rsidTr="00A14953">
        <w:tc>
          <w:tcPr>
            <w:tcW w:w="1750" w:type="pct"/>
            <w:tcBorders>
              <w:top w:val="single" w:sz="4" w:space="0" w:color="auto"/>
              <w:left w:val="single" w:sz="4" w:space="0" w:color="auto"/>
              <w:bottom w:val="single" w:sz="4" w:space="0" w:color="auto"/>
              <w:right w:val="single" w:sz="4" w:space="0" w:color="auto"/>
            </w:tcBorders>
          </w:tcPr>
          <w:p w:rsidR="00802846" w:rsidRPr="00CB1AD2" w:rsidRDefault="00802846" w:rsidP="00DE33E0">
            <w:pPr>
              <w:spacing w:before="100" w:beforeAutospacing="1" w:after="100" w:afterAutospacing="1"/>
            </w:pPr>
            <w:r w:rsidRPr="00CB1AD2">
              <w:lastRenderedPageBreak/>
              <w:t>6. Cita informācija</w:t>
            </w:r>
          </w:p>
        </w:tc>
        <w:tc>
          <w:tcPr>
            <w:tcW w:w="3250" w:type="pct"/>
            <w:gridSpan w:val="5"/>
            <w:tcBorders>
              <w:top w:val="single" w:sz="4" w:space="0" w:color="auto"/>
              <w:left w:val="single" w:sz="4" w:space="0" w:color="auto"/>
              <w:bottom w:val="single" w:sz="4" w:space="0" w:color="auto"/>
              <w:right w:val="single" w:sz="4" w:space="0" w:color="auto"/>
            </w:tcBorders>
          </w:tcPr>
          <w:p w:rsidR="00802846" w:rsidRDefault="00916D60" w:rsidP="00DE33E0">
            <w:pPr>
              <w:jc w:val="both"/>
              <w:rPr>
                <w:color w:val="000000" w:themeColor="text1"/>
              </w:rPr>
            </w:pPr>
            <w:r w:rsidRPr="00C962CC">
              <w:rPr>
                <w:color w:val="000000" w:themeColor="text1"/>
              </w:rPr>
              <w:t xml:space="preserve">Atbilstoši </w:t>
            </w:r>
            <w:r w:rsidRPr="00C962CC">
              <w:rPr>
                <w:bCs/>
                <w:color w:val="000000" w:themeColor="text1"/>
              </w:rPr>
              <w:t>Direktīvas</w:t>
            </w:r>
            <w:r w:rsidRPr="00C962CC">
              <w:rPr>
                <w:color w:val="000000" w:themeColor="text1"/>
              </w:rPr>
              <w:t xml:space="preserve"> 2003/96/EK</w:t>
            </w:r>
            <w:r w:rsidRPr="00C962CC">
              <w:rPr>
                <w:bCs/>
                <w:color w:val="000000" w:themeColor="text1"/>
              </w:rPr>
              <w:t xml:space="preserve"> prasības par minimālajiem nodokļu līmeņiem</w:t>
            </w:r>
            <w:r w:rsidRPr="00C962CC">
              <w:rPr>
                <w:color w:val="000000" w:themeColor="text1"/>
              </w:rPr>
              <w:t xml:space="preserve"> attiecībā uz energoproduktiem un elektroenerģiju, bet ne uz siltumu (turpmāk – Direktīva 2003/96/EK) 4. pantam un I Pielikumam nodoklis elektroenerģijai no 2010. gada 1. janvāra piemērojams ne mazāk kā 1 EUR (0,702804 LVL) apjomā. Elektroenerģijas nodoklim apliekamā bāze ir enerģija, bet SEN – ieņēmumi, šeit neveidojas elektroenerģijas dubulta</w:t>
            </w:r>
            <w:r>
              <w:rPr>
                <w:color w:val="000000" w:themeColor="text1"/>
              </w:rPr>
              <w:t xml:space="preserve"> a</w:t>
            </w:r>
            <w:r w:rsidRPr="00C962CC">
              <w:rPr>
                <w:color w:val="000000" w:themeColor="text1"/>
              </w:rPr>
              <w:t xml:space="preserve">plikšana ar nodokli. Vienlaikus Direktīvas 2003/96/EK 15. pants paredz, ka dalībvalstis, veicot fiskālo kontroli, var piemērot pilnīgus vai daļējus atbrīvojumus vai nodokļu līmeņa samazinājumus. Ņemot vērā minēto un izvērtējot enerģētikas politikas prioritātes atbilstoši Stratēģija 2030 minētajam, SEN nodokļa ieviešanā tiek piedāvātas </w:t>
            </w:r>
            <w:r>
              <w:rPr>
                <w:color w:val="000000" w:themeColor="text1"/>
              </w:rPr>
              <w:t>trīs</w:t>
            </w:r>
            <w:r w:rsidRPr="00C962CC">
              <w:rPr>
                <w:color w:val="000000" w:themeColor="text1"/>
              </w:rPr>
              <w:t xml:space="preserve"> diferencētas likmes (15% – dabasgāzes stacijām, 10% – AER stacijām, 5% – stacijām, kas nodrošina ar siltumenerģiju centralizētās sistēmas un kuru SEN likmei ir tieša ietekme uz siltumenerģijas gala tarifu patērētājam).</w:t>
            </w:r>
          </w:p>
          <w:p w:rsidR="00D87FE7" w:rsidRPr="00CB1AD2" w:rsidRDefault="00D87FE7" w:rsidP="00DE33E0">
            <w:pPr>
              <w:jc w:val="both"/>
            </w:pPr>
            <w:r>
              <w:t>M</w:t>
            </w:r>
            <w:r w:rsidRPr="00A0134F">
              <w:t>inimālo nodokļu līmeni elektroenerģijai nosaka atbilstoši Direktīvas 2003/96/EK 10.pantam un I pielikuma C tabulai, un, ņemot vērā pārejas periodu, no 2010.gada 1.janvāra Latvijā nodokļa līmenis elektroenerģijai ir  LVL 0,71 (EUR 1,01) par 1 MWh.</w:t>
            </w:r>
          </w:p>
        </w:tc>
      </w:tr>
    </w:tbl>
    <w:p w:rsidR="00802846" w:rsidRPr="00A666C2" w:rsidRDefault="00802846" w:rsidP="001A56AB">
      <w:pPr>
        <w:tabs>
          <w:tab w:val="left" w:pos="5940"/>
        </w:tabs>
      </w:pPr>
    </w:p>
    <w:p w:rsidR="00802846" w:rsidRPr="001A56AB" w:rsidRDefault="00802846" w:rsidP="001A56AB">
      <w:pPr>
        <w:rPr>
          <w:i/>
        </w:rPr>
      </w:pPr>
      <w:r w:rsidRPr="001A56AB">
        <w:rPr>
          <w:i/>
        </w:rPr>
        <w:t>Anotācijas IV, V, VI sadaļa – projekts šīs jomas neskar.</w:t>
      </w:r>
    </w:p>
    <w:tbl>
      <w:tblPr>
        <w:tblpPr w:leftFromText="180" w:rightFromText="180" w:vertAnchor="text" w:horzAnchor="margin" w:tblpY="65"/>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4186"/>
        <w:gridCol w:w="5272"/>
      </w:tblGrid>
      <w:tr w:rsidR="00802846" w:rsidRPr="00A666C2" w:rsidTr="00A84887">
        <w:tc>
          <w:tcPr>
            <w:tcW w:w="0" w:type="auto"/>
            <w:gridSpan w:val="3"/>
            <w:tcBorders>
              <w:top w:val="outset" w:sz="6" w:space="0" w:color="000000"/>
              <w:bottom w:val="outset" w:sz="6" w:space="0" w:color="000000"/>
            </w:tcBorders>
          </w:tcPr>
          <w:p w:rsidR="00802846" w:rsidRPr="00A666C2" w:rsidRDefault="00802846" w:rsidP="00A84887">
            <w:pPr>
              <w:jc w:val="center"/>
              <w:rPr>
                <w:b/>
                <w:bCs/>
              </w:rPr>
            </w:pPr>
            <w:r w:rsidRPr="00A666C2">
              <w:rPr>
                <w:b/>
                <w:bCs/>
              </w:rPr>
              <w:t>VII. Tiesību akta projekta izpildes nodrošināšana un tās ietekme uz institūcijām</w:t>
            </w:r>
          </w:p>
        </w:tc>
      </w:tr>
      <w:tr w:rsidR="0091663E" w:rsidRPr="00A666C2" w:rsidTr="00A14953">
        <w:tc>
          <w:tcPr>
            <w:tcW w:w="0" w:type="auto"/>
            <w:tcBorders>
              <w:top w:val="outset" w:sz="6" w:space="0" w:color="000000"/>
              <w:bottom w:val="outset" w:sz="6" w:space="0" w:color="000000"/>
              <w:right w:val="outset" w:sz="6" w:space="0" w:color="000000"/>
            </w:tcBorders>
          </w:tcPr>
          <w:p w:rsidR="00802846" w:rsidRPr="00A666C2" w:rsidRDefault="00802846" w:rsidP="00A84887">
            <w:r w:rsidRPr="00A666C2">
              <w:t>1.</w:t>
            </w:r>
          </w:p>
        </w:tc>
        <w:tc>
          <w:tcPr>
            <w:tcW w:w="2158" w:type="pct"/>
            <w:tcBorders>
              <w:top w:val="outset" w:sz="6" w:space="0" w:color="000000"/>
              <w:left w:val="outset" w:sz="6" w:space="0" w:color="000000"/>
              <w:bottom w:val="outset" w:sz="6" w:space="0" w:color="000000"/>
              <w:right w:val="outset" w:sz="6" w:space="0" w:color="000000"/>
            </w:tcBorders>
          </w:tcPr>
          <w:p w:rsidR="00802846" w:rsidRPr="00A666C2" w:rsidRDefault="00802846" w:rsidP="00A84887">
            <w:r w:rsidRPr="00A666C2">
              <w:t>Projekta izpildē iesaistītās institūcijas</w:t>
            </w:r>
          </w:p>
        </w:tc>
        <w:tc>
          <w:tcPr>
            <w:tcW w:w="2719" w:type="pct"/>
            <w:tcBorders>
              <w:top w:val="outset" w:sz="6" w:space="0" w:color="000000"/>
              <w:left w:val="outset" w:sz="6" w:space="0" w:color="000000"/>
              <w:bottom w:val="outset" w:sz="6" w:space="0" w:color="000000"/>
            </w:tcBorders>
          </w:tcPr>
          <w:p w:rsidR="00D76D93" w:rsidRPr="00B65111" w:rsidRDefault="00D76D93" w:rsidP="00D76D93">
            <w:pPr>
              <w:tabs>
                <w:tab w:val="left" w:pos="1134"/>
                <w:tab w:val="left" w:pos="1701"/>
                <w:tab w:val="left" w:pos="2268"/>
                <w:tab w:val="left" w:pos="3969"/>
              </w:tabs>
              <w:jc w:val="both"/>
              <w:rPr>
                <w:rFonts w:ascii="Korinna LRS" w:hAnsi="Korinna LRS"/>
                <w:noProof/>
                <w:color w:val="000000"/>
              </w:rPr>
            </w:pPr>
            <w:r w:rsidRPr="00B65111">
              <w:rPr>
                <w:rFonts w:ascii="Korinna LRS" w:hAnsi="Korinna LRS"/>
                <w:noProof/>
                <w:color w:val="000000"/>
              </w:rPr>
              <w:t>Likumprojekta izpildē ir iesaistī</w:t>
            </w:r>
            <w:r w:rsidR="00916D60">
              <w:rPr>
                <w:rFonts w:ascii="Korinna LRS" w:hAnsi="Korinna LRS"/>
                <w:noProof/>
                <w:color w:val="000000"/>
              </w:rPr>
              <w:t>ta</w:t>
            </w:r>
            <w:r w:rsidRPr="00B65111">
              <w:rPr>
                <w:rFonts w:ascii="Korinna LRS" w:hAnsi="Korinna LRS"/>
                <w:noProof/>
                <w:color w:val="000000"/>
              </w:rPr>
              <w:t xml:space="preserve"> </w:t>
            </w:r>
            <w:r w:rsidR="005A22AB">
              <w:rPr>
                <w:rFonts w:ascii="Korinna LRS" w:hAnsi="Korinna LRS"/>
                <w:noProof/>
                <w:color w:val="000000"/>
              </w:rPr>
              <w:t>Ekonomikas ministrija</w:t>
            </w:r>
            <w:r w:rsidR="00916D60">
              <w:rPr>
                <w:rFonts w:ascii="Korinna LRS" w:hAnsi="Korinna LRS"/>
                <w:noProof/>
                <w:color w:val="000000"/>
              </w:rPr>
              <w:t xml:space="preserve">, </w:t>
            </w:r>
            <w:r>
              <w:rPr>
                <w:rFonts w:ascii="Korinna LRS" w:hAnsi="Korinna LRS"/>
                <w:noProof/>
                <w:color w:val="000000"/>
              </w:rPr>
              <w:t>Valsts ieņēmumu dienests</w:t>
            </w:r>
            <w:r w:rsidR="00C0060B">
              <w:rPr>
                <w:rFonts w:ascii="Korinna LRS" w:hAnsi="Korinna LRS"/>
                <w:noProof/>
                <w:color w:val="000000"/>
              </w:rPr>
              <w:t>, publiskais tirgotājs un ELAF</w:t>
            </w:r>
            <w:r>
              <w:rPr>
                <w:rFonts w:ascii="Korinna LRS" w:hAnsi="Korinna LRS"/>
                <w:noProof/>
                <w:color w:val="000000"/>
              </w:rPr>
              <w:t>.</w:t>
            </w:r>
          </w:p>
          <w:p w:rsidR="00802846" w:rsidRPr="00A666C2" w:rsidRDefault="00802846" w:rsidP="00A84887"/>
        </w:tc>
      </w:tr>
      <w:tr w:rsidR="0091663E" w:rsidRPr="00A666C2" w:rsidTr="00A14953">
        <w:trPr>
          <w:trHeight w:val="42"/>
        </w:trPr>
        <w:tc>
          <w:tcPr>
            <w:tcW w:w="0" w:type="auto"/>
            <w:tcBorders>
              <w:top w:val="outset" w:sz="6" w:space="0" w:color="000000"/>
              <w:bottom w:val="outset" w:sz="6" w:space="0" w:color="000000"/>
              <w:right w:val="outset" w:sz="6" w:space="0" w:color="000000"/>
            </w:tcBorders>
          </w:tcPr>
          <w:p w:rsidR="00802846" w:rsidRPr="00A666C2" w:rsidRDefault="00802846" w:rsidP="00A84887">
            <w:r w:rsidRPr="00A666C2">
              <w:t>2.</w:t>
            </w:r>
          </w:p>
        </w:tc>
        <w:tc>
          <w:tcPr>
            <w:tcW w:w="2158" w:type="pct"/>
            <w:tcBorders>
              <w:top w:val="outset" w:sz="6" w:space="0" w:color="000000"/>
              <w:left w:val="outset" w:sz="6" w:space="0" w:color="000000"/>
              <w:bottom w:val="outset" w:sz="6" w:space="0" w:color="000000"/>
              <w:right w:val="outset" w:sz="6" w:space="0" w:color="000000"/>
            </w:tcBorders>
          </w:tcPr>
          <w:p w:rsidR="00802846" w:rsidRPr="00A666C2" w:rsidRDefault="00802846" w:rsidP="00C0060B">
            <w:r w:rsidRPr="00A666C2">
              <w:t>Projekta izpildes ietekme uz pārvaldes funkcijām</w:t>
            </w:r>
          </w:p>
        </w:tc>
        <w:tc>
          <w:tcPr>
            <w:tcW w:w="2719" w:type="pct"/>
            <w:tcBorders>
              <w:top w:val="outset" w:sz="6" w:space="0" w:color="000000"/>
              <w:left w:val="outset" w:sz="6" w:space="0" w:color="000000"/>
              <w:bottom w:val="outset" w:sz="6" w:space="0" w:color="000000"/>
            </w:tcBorders>
          </w:tcPr>
          <w:p w:rsidR="00C0060B" w:rsidRDefault="00C0060B" w:rsidP="00C0060B">
            <w:pPr>
              <w:jc w:val="both"/>
              <w:rPr>
                <w:color w:val="000000" w:themeColor="text1"/>
              </w:rPr>
            </w:pPr>
            <w:r>
              <w:rPr>
                <w:color w:val="000000" w:themeColor="text1"/>
              </w:rPr>
              <w:t>Likumprojekts</w:t>
            </w:r>
            <w:r w:rsidRPr="00C962CC">
              <w:rPr>
                <w:color w:val="000000" w:themeColor="text1"/>
              </w:rPr>
              <w:t xml:space="preserve"> paredz papildu pienākumus publiskajam tirgotājam un </w:t>
            </w:r>
            <w:r>
              <w:rPr>
                <w:color w:val="000000" w:themeColor="text1"/>
              </w:rPr>
              <w:t>Valsts ieņēmumu dienestam</w:t>
            </w:r>
            <w:r w:rsidRPr="00C962CC">
              <w:rPr>
                <w:color w:val="000000" w:themeColor="text1"/>
              </w:rPr>
              <w:t>.</w:t>
            </w:r>
            <w:r>
              <w:rPr>
                <w:color w:val="000000" w:themeColor="text1"/>
              </w:rPr>
              <w:t xml:space="preserve"> </w:t>
            </w:r>
          </w:p>
          <w:p w:rsidR="00C0060B" w:rsidRPr="007C1BFA" w:rsidRDefault="00C0060B" w:rsidP="00C0060B">
            <w:pPr>
              <w:jc w:val="both"/>
              <w:rPr>
                <w:b/>
                <w:color w:val="000000" w:themeColor="text1"/>
                <w:szCs w:val="28"/>
              </w:rPr>
            </w:pPr>
            <w:r w:rsidRPr="007C1BFA">
              <w:rPr>
                <w:bCs/>
                <w:color w:val="000000" w:themeColor="text1"/>
                <w:szCs w:val="28"/>
              </w:rPr>
              <w:t xml:space="preserve">SEN </w:t>
            </w:r>
            <w:r w:rsidRPr="00512135">
              <w:rPr>
                <w:bCs/>
                <w:color w:val="000000" w:themeColor="text1"/>
                <w:szCs w:val="28"/>
              </w:rPr>
              <w:t>ieturēšanu</w:t>
            </w:r>
            <w:r>
              <w:rPr>
                <w:bCs/>
                <w:color w:val="000000" w:themeColor="text1"/>
                <w:szCs w:val="28"/>
              </w:rPr>
              <w:t xml:space="preserve"> OI maksājumu un garantētās maksas</w:t>
            </w:r>
            <w:r w:rsidRPr="00F5080A">
              <w:rPr>
                <w:bCs/>
                <w:color w:val="000000" w:themeColor="text1"/>
                <w:szCs w:val="28"/>
              </w:rPr>
              <w:t xml:space="preserve"> par uzstādīto jaudu </w:t>
            </w:r>
            <w:r w:rsidRPr="00975CD1">
              <w:rPr>
                <w:bCs/>
                <w:color w:val="000000" w:themeColor="text1"/>
                <w:szCs w:val="28"/>
              </w:rPr>
              <w:t xml:space="preserve">izmaksu </w:t>
            </w:r>
            <w:r w:rsidR="00975CD1" w:rsidRPr="00975CD1">
              <w:rPr>
                <w:bCs/>
                <w:color w:val="000000" w:themeColor="text1"/>
                <w:szCs w:val="28"/>
              </w:rPr>
              <w:t xml:space="preserve"> ražotājiem un </w:t>
            </w:r>
            <w:r w:rsidRPr="00975CD1">
              <w:rPr>
                <w:bCs/>
                <w:color w:val="000000" w:themeColor="text1"/>
                <w:szCs w:val="28"/>
              </w:rPr>
              <w:t>maksāšanu</w:t>
            </w:r>
            <w:r w:rsidRPr="00512135">
              <w:rPr>
                <w:bCs/>
                <w:color w:val="000000" w:themeColor="text1"/>
                <w:szCs w:val="28"/>
              </w:rPr>
              <w:t xml:space="preserve"> (pārskaitīšanu budžetā)</w:t>
            </w:r>
            <w:r>
              <w:rPr>
                <w:bCs/>
                <w:color w:val="000000" w:themeColor="text1"/>
                <w:szCs w:val="28"/>
              </w:rPr>
              <w:t xml:space="preserve"> veic </w:t>
            </w:r>
            <w:r w:rsidRPr="007C1BFA">
              <w:rPr>
                <w:bCs/>
                <w:color w:val="000000" w:themeColor="text1"/>
                <w:szCs w:val="28"/>
              </w:rPr>
              <w:t>ELAF</w:t>
            </w:r>
            <w:r>
              <w:rPr>
                <w:bCs/>
                <w:color w:val="000000" w:themeColor="text1"/>
                <w:szCs w:val="28"/>
              </w:rPr>
              <w:t>.</w:t>
            </w:r>
            <w:r w:rsidRPr="007C1BFA">
              <w:rPr>
                <w:bCs/>
                <w:color w:val="000000" w:themeColor="text1"/>
                <w:szCs w:val="28"/>
              </w:rPr>
              <w:t xml:space="preserve"> </w:t>
            </w:r>
            <w:r>
              <w:rPr>
                <w:color w:val="000000" w:themeColor="text1"/>
                <w:szCs w:val="28"/>
              </w:rPr>
              <w:t>SEN administrē</w:t>
            </w:r>
            <w:r w:rsidR="0091663E">
              <w:rPr>
                <w:color w:val="000000" w:themeColor="text1"/>
                <w:szCs w:val="28"/>
              </w:rPr>
              <w:t>šana</w:t>
            </w:r>
            <w:r>
              <w:rPr>
                <w:color w:val="000000" w:themeColor="text1"/>
                <w:szCs w:val="28"/>
              </w:rPr>
              <w:t xml:space="preserve"> </w:t>
            </w:r>
            <w:r w:rsidRPr="00A0573D">
              <w:rPr>
                <w:color w:val="000000" w:themeColor="text1"/>
                <w:szCs w:val="28"/>
              </w:rPr>
              <w:t>Valst</w:t>
            </w:r>
            <w:r>
              <w:rPr>
                <w:color w:val="000000" w:themeColor="text1"/>
                <w:szCs w:val="28"/>
              </w:rPr>
              <w:t>s ieņēmumu dienest</w:t>
            </w:r>
            <w:r w:rsidR="0091663E">
              <w:rPr>
                <w:color w:val="000000" w:themeColor="text1"/>
                <w:szCs w:val="28"/>
              </w:rPr>
              <w:t>am ir jauna konkrētā SEN administrēšanas funkcija</w:t>
            </w:r>
            <w:r>
              <w:rPr>
                <w:color w:val="000000" w:themeColor="text1"/>
                <w:szCs w:val="28"/>
              </w:rPr>
              <w:t>.</w:t>
            </w:r>
          </w:p>
          <w:p w:rsidR="006C174D" w:rsidRDefault="006C174D" w:rsidP="006C174D">
            <w:pPr>
              <w:jc w:val="both"/>
              <w:rPr>
                <w:color w:val="000000" w:themeColor="text1"/>
              </w:rPr>
            </w:pPr>
            <w:r>
              <w:rPr>
                <w:color w:val="000000" w:themeColor="text1"/>
              </w:rPr>
              <w:t xml:space="preserve">Savukārt Ekonomikas ministrija ir atbildīga par publiska reģistra administrēšanu, kurā tiek atainota informācija par </w:t>
            </w:r>
            <w:r w:rsidRPr="00C962CC">
              <w:rPr>
                <w:color w:val="000000" w:themeColor="text1"/>
              </w:rPr>
              <w:t xml:space="preserve"> </w:t>
            </w:r>
            <w:r>
              <w:rPr>
                <w:color w:val="000000" w:themeColor="text1"/>
              </w:rPr>
              <w:t>komersantam piemēroto nodokļa likmi, kuru SEN administrēšana izmanto Valsts ieņēmumu dienests un publiskais tirgotājs</w:t>
            </w:r>
            <w:r w:rsidRPr="00E5665F">
              <w:rPr>
                <w:color w:val="000000" w:themeColor="text1"/>
              </w:rPr>
              <w:t xml:space="preserve"> nodokļa piemērošanas un administrēšanas procesā.</w:t>
            </w:r>
          </w:p>
          <w:p w:rsidR="00802846" w:rsidRPr="00A666C2" w:rsidRDefault="006C174D" w:rsidP="006C174D">
            <w:r w:rsidRPr="00E5665F">
              <w:t>Paredzēts, ka SEN ieturēšanu un pārskaitīšanu valsts budžetā veic publiskais tirgotājs, kurš nodokļa maksātājam taksācijas periodā izmaksā apliekamus ienākumus.</w:t>
            </w:r>
            <w:r>
              <w:t xml:space="preserve"> </w:t>
            </w:r>
            <w:r w:rsidRPr="00E5665F">
              <w:t>Publiskais tirgotājs ietur SEN ienākumu izmaksas brīdī un iemaksā nodokli valsts budžetā 20 dienu laikā pēc taksācijas perioda beigām.</w:t>
            </w:r>
          </w:p>
        </w:tc>
      </w:tr>
      <w:tr w:rsidR="0091663E" w:rsidRPr="00A666C2" w:rsidTr="00A14953">
        <w:tc>
          <w:tcPr>
            <w:tcW w:w="0" w:type="auto"/>
            <w:tcBorders>
              <w:top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lastRenderedPageBreak/>
              <w:t>3.</w:t>
            </w:r>
          </w:p>
        </w:tc>
        <w:tc>
          <w:tcPr>
            <w:tcW w:w="2158" w:type="pct"/>
            <w:tcBorders>
              <w:top w:val="outset" w:sz="6" w:space="0" w:color="000000"/>
              <w:left w:val="outset" w:sz="6" w:space="0" w:color="000000"/>
              <w:bottom w:val="outset" w:sz="6" w:space="0" w:color="000000"/>
              <w:right w:val="outset" w:sz="6" w:space="0" w:color="000000"/>
            </w:tcBorders>
          </w:tcPr>
          <w:p w:rsidR="00802846" w:rsidRPr="00A666C2" w:rsidRDefault="00802846" w:rsidP="00C0060B">
            <w:r w:rsidRPr="00A666C2">
              <w:t>Projekta izpildes ietekme uz pārvaldes institucionālo struktūru.</w:t>
            </w:r>
          </w:p>
          <w:p w:rsidR="00802846" w:rsidRPr="00A666C2" w:rsidRDefault="00802846" w:rsidP="00C0060B">
            <w:r w:rsidRPr="00A666C2">
              <w:t>Jaunu institūciju izveide</w:t>
            </w:r>
          </w:p>
        </w:tc>
        <w:tc>
          <w:tcPr>
            <w:tcW w:w="2719" w:type="pct"/>
            <w:tcBorders>
              <w:top w:val="outset" w:sz="6" w:space="0" w:color="000000"/>
              <w:left w:val="outset" w:sz="6" w:space="0" w:color="000000"/>
              <w:bottom w:val="outset" w:sz="6" w:space="0" w:color="000000"/>
            </w:tcBorders>
          </w:tcPr>
          <w:p w:rsidR="00802846" w:rsidRPr="00A666C2" w:rsidRDefault="00C0060B" w:rsidP="00C0060B">
            <w:r>
              <w:rPr>
                <w:color w:val="000000" w:themeColor="text1"/>
              </w:rPr>
              <w:t>Likumprojekts</w:t>
            </w:r>
            <w:r w:rsidRPr="00A666C2">
              <w:t xml:space="preserve"> </w:t>
            </w:r>
            <w:r w:rsidR="00802846" w:rsidRPr="00A666C2">
              <w:t xml:space="preserve"> neparedz ietekmi uz pārvaldes institucionālo struktūru.</w:t>
            </w:r>
          </w:p>
          <w:p w:rsidR="00802846" w:rsidRPr="00A666C2" w:rsidRDefault="00802846" w:rsidP="00C0060B">
            <w:r w:rsidRPr="00A666C2">
              <w:t>Jaunas institūcijas netiek paredzētas.</w:t>
            </w:r>
          </w:p>
        </w:tc>
      </w:tr>
      <w:tr w:rsidR="0091663E" w:rsidRPr="00A666C2" w:rsidTr="00A14953">
        <w:tc>
          <w:tcPr>
            <w:tcW w:w="0" w:type="auto"/>
            <w:tcBorders>
              <w:top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t>4.</w:t>
            </w:r>
          </w:p>
        </w:tc>
        <w:tc>
          <w:tcPr>
            <w:tcW w:w="2158" w:type="pct"/>
            <w:tcBorders>
              <w:top w:val="outset" w:sz="6" w:space="0" w:color="000000"/>
              <w:left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t>Projekta izpildes ietekme uz pārvaldes institucionālo struktūru.</w:t>
            </w:r>
          </w:p>
          <w:p w:rsidR="00802846" w:rsidRPr="00A666C2" w:rsidRDefault="00802846" w:rsidP="00A84887">
            <w:pPr>
              <w:spacing w:before="100" w:beforeAutospacing="1" w:after="100" w:afterAutospacing="1"/>
            </w:pPr>
            <w:r w:rsidRPr="00A666C2">
              <w:t>Esošu institūciju likvidācija</w:t>
            </w:r>
          </w:p>
        </w:tc>
        <w:tc>
          <w:tcPr>
            <w:tcW w:w="2719" w:type="pct"/>
            <w:tcBorders>
              <w:top w:val="outset" w:sz="6" w:space="0" w:color="000000"/>
              <w:left w:val="outset" w:sz="6" w:space="0" w:color="000000"/>
              <w:bottom w:val="outset" w:sz="6" w:space="0" w:color="000000"/>
            </w:tcBorders>
          </w:tcPr>
          <w:p w:rsidR="00802846" w:rsidRPr="00A666C2" w:rsidRDefault="00C0060B" w:rsidP="00A84887">
            <w:pPr>
              <w:spacing w:before="100" w:beforeAutospacing="1" w:after="100" w:afterAutospacing="1"/>
            </w:pPr>
            <w:r>
              <w:rPr>
                <w:color w:val="000000" w:themeColor="text1"/>
              </w:rPr>
              <w:t>Likumprojekts</w:t>
            </w:r>
            <w:r w:rsidRPr="00A666C2">
              <w:t xml:space="preserve"> </w:t>
            </w:r>
            <w:r w:rsidR="00802846" w:rsidRPr="00A666C2">
              <w:t xml:space="preserve"> neparedz ietekmi uz pārvaldes institucionālo sistēmu.</w:t>
            </w:r>
          </w:p>
          <w:p w:rsidR="00802846" w:rsidRPr="00A666C2" w:rsidRDefault="00802846" w:rsidP="00A84887">
            <w:pPr>
              <w:spacing w:before="100" w:beforeAutospacing="1" w:after="100" w:afterAutospacing="1"/>
            </w:pPr>
            <w:r w:rsidRPr="00A666C2">
              <w:t>Esošās institūcijas netiek likvidētas.</w:t>
            </w:r>
          </w:p>
        </w:tc>
      </w:tr>
      <w:tr w:rsidR="0091663E" w:rsidRPr="00A666C2" w:rsidTr="00A14953">
        <w:tc>
          <w:tcPr>
            <w:tcW w:w="0" w:type="auto"/>
            <w:tcBorders>
              <w:top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t>5.</w:t>
            </w:r>
          </w:p>
        </w:tc>
        <w:tc>
          <w:tcPr>
            <w:tcW w:w="2158" w:type="pct"/>
            <w:tcBorders>
              <w:top w:val="outset" w:sz="6" w:space="0" w:color="000000"/>
              <w:left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t>Projekta izpildes ietekme uz pārvaldes institucionālo struktūru.</w:t>
            </w:r>
          </w:p>
          <w:p w:rsidR="00802846" w:rsidRPr="00A666C2" w:rsidRDefault="00802846" w:rsidP="00A84887">
            <w:pPr>
              <w:spacing w:before="100" w:beforeAutospacing="1" w:after="100" w:afterAutospacing="1"/>
            </w:pPr>
            <w:r w:rsidRPr="00A666C2">
              <w:t>Esošu institūciju reorganizācija</w:t>
            </w:r>
          </w:p>
        </w:tc>
        <w:tc>
          <w:tcPr>
            <w:tcW w:w="2719" w:type="pct"/>
            <w:tcBorders>
              <w:top w:val="outset" w:sz="6" w:space="0" w:color="000000"/>
              <w:left w:val="outset" w:sz="6" w:space="0" w:color="000000"/>
              <w:bottom w:val="outset" w:sz="6" w:space="0" w:color="000000"/>
            </w:tcBorders>
          </w:tcPr>
          <w:p w:rsidR="00802846" w:rsidRPr="00A666C2" w:rsidRDefault="00C0060B" w:rsidP="00A84887">
            <w:pPr>
              <w:spacing w:before="100" w:beforeAutospacing="1" w:after="100" w:afterAutospacing="1"/>
            </w:pPr>
            <w:r>
              <w:rPr>
                <w:color w:val="000000" w:themeColor="text1"/>
              </w:rPr>
              <w:t>Likumprojekts</w:t>
            </w:r>
            <w:r w:rsidRPr="00A666C2">
              <w:t xml:space="preserve"> </w:t>
            </w:r>
            <w:r w:rsidR="00802846" w:rsidRPr="00A666C2">
              <w:t>neparedz ietekmi uz pārvaldes institucionālo struktūru.</w:t>
            </w:r>
          </w:p>
          <w:p w:rsidR="00802846" w:rsidRPr="00A666C2" w:rsidRDefault="00802846" w:rsidP="00A84887">
            <w:pPr>
              <w:spacing w:before="100" w:beforeAutospacing="1" w:after="100" w:afterAutospacing="1"/>
            </w:pPr>
            <w:r w:rsidRPr="00A666C2">
              <w:t>Esošās institūcijas netiek reorganizētas.</w:t>
            </w:r>
          </w:p>
        </w:tc>
      </w:tr>
      <w:tr w:rsidR="0091663E" w:rsidRPr="00A666C2" w:rsidTr="00A14953">
        <w:tc>
          <w:tcPr>
            <w:tcW w:w="0" w:type="auto"/>
            <w:tcBorders>
              <w:top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t>6.</w:t>
            </w:r>
          </w:p>
        </w:tc>
        <w:tc>
          <w:tcPr>
            <w:tcW w:w="2158" w:type="pct"/>
            <w:tcBorders>
              <w:top w:val="outset" w:sz="6" w:space="0" w:color="000000"/>
              <w:left w:val="outset" w:sz="6" w:space="0" w:color="000000"/>
              <w:bottom w:val="outset" w:sz="6" w:space="0" w:color="000000"/>
              <w:right w:val="outset" w:sz="6" w:space="0" w:color="000000"/>
            </w:tcBorders>
          </w:tcPr>
          <w:p w:rsidR="00802846" w:rsidRPr="00A666C2" w:rsidRDefault="00802846" w:rsidP="00A84887">
            <w:pPr>
              <w:spacing w:before="100" w:beforeAutospacing="1" w:after="100" w:afterAutospacing="1"/>
            </w:pPr>
            <w:r w:rsidRPr="00A666C2">
              <w:t>Cita informācija</w:t>
            </w:r>
          </w:p>
        </w:tc>
        <w:tc>
          <w:tcPr>
            <w:tcW w:w="2719" w:type="pct"/>
            <w:tcBorders>
              <w:top w:val="outset" w:sz="6" w:space="0" w:color="000000"/>
              <w:left w:val="outset" w:sz="6" w:space="0" w:color="000000"/>
              <w:bottom w:val="outset" w:sz="6" w:space="0" w:color="000000"/>
            </w:tcBorders>
          </w:tcPr>
          <w:p w:rsidR="00802846" w:rsidRPr="00A666C2" w:rsidRDefault="00802846" w:rsidP="00A84887">
            <w:pPr>
              <w:spacing w:before="100" w:beforeAutospacing="1" w:after="100" w:afterAutospacing="1"/>
            </w:pPr>
            <w:r w:rsidRPr="00A666C2">
              <w:t>Nav</w:t>
            </w:r>
          </w:p>
        </w:tc>
      </w:tr>
    </w:tbl>
    <w:p w:rsidR="00802846" w:rsidRDefault="00802846" w:rsidP="005F0330">
      <w:pPr>
        <w:tabs>
          <w:tab w:val="left" w:pos="5940"/>
        </w:tabs>
      </w:pPr>
    </w:p>
    <w:p w:rsidR="00E140F3" w:rsidRDefault="00E140F3" w:rsidP="005444C1">
      <w:pPr>
        <w:jc w:val="both"/>
        <w:rPr>
          <w:sz w:val="28"/>
          <w:szCs w:val="28"/>
        </w:rPr>
      </w:pPr>
    </w:p>
    <w:p w:rsidR="005444C1" w:rsidRDefault="005444C1" w:rsidP="005444C1">
      <w:pPr>
        <w:jc w:val="both"/>
        <w:rPr>
          <w:sz w:val="28"/>
          <w:szCs w:val="28"/>
        </w:rPr>
      </w:pPr>
      <w:r w:rsidRPr="00DE7125">
        <w:rPr>
          <w:sz w:val="28"/>
          <w:szCs w:val="28"/>
        </w:rPr>
        <w:t>Iesniedzējs:</w:t>
      </w:r>
      <w:r>
        <w:rPr>
          <w:sz w:val="28"/>
          <w:szCs w:val="28"/>
        </w:rPr>
        <w:t xml:space="preserve"> </w:t>
      </w:r>
    </w:p>
    <w:p w:rsidR="005444C1" w:rsidRDefault="005444C1" w:rsidP="005444C1">
      <w:pPr>
        <w:jc w:val="both"/>
        <w:rPr>
          <w:sz w:val="28"/>
          <w:szCs w:val="28"/>
        </w:rPr>
      </w:pPr>
      <w:r>
        <w:rPr>
          <w:sz w:val="28"/>
          <w:szCs w:val="28"/>
        </w:rPr>
        <w:t>e</w:t>
      </w:r>
      <w:r w:rsidRPr="00DE7125">
        <w:rPr>
          <w:sz w:val="28"/>
          <w:szCs w:val="28"/>
        </w:rPr>
        <w:t>konomikas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D.Pavļuts</w:t>
      </w:r>
    </w:p>
    <w:p w:rsidR="005444C1" w:rsidRDefault="005444C1" w:rsidP="005444C1">
      <w:pPr>
        <w:jc w:val="both"/>
        <w:rPr>
          <w:sz w:val="28"/>
          <w:szCs w:val="28"/>
        </w:rPr>
      </w:pPr>
    </w:p>
    <w:p w:rsidR="00BE0EE7" w:rsidRPr="00DE7125" w:rsidRDefault="00BE0EE7" w:rsidP="005444C1">
      <w:pPr>
        <w:jc w:val="both"/>
        <w:rPr>
          <w:sz w:val="28"/>
          <w:szCs w:val="28"/>
        </w:rPr>
      </w:pPr>
    </w:p>
    <w:p w:rsidR="008933A0" w:rsidRDefault="005444C1" w:rsidP="005444C1">
      <w:pPr>
        <w:jc w:val="both"/>
        <w:rPr>
          <w:sz w:val="28"/>
          <w:szCs w:val="28"/>
        </w:rPr>
      </w:pPr>
      <w:r w:rsidRPr="00DE7125">
        <w:rPr>
          <w:sz w:val="28"/>
          <w:szCs w:val="28"/>
        </w:rPr>
        <w:t xml:space="preserve">Vīza: </w:t>
      </w:r>
    </w:p>
    <w:p w:rsidR="005444C1" w:rsidRPr="00DE7125" w:rsidRDefault="00E140F3" w:rsidP="005444C1">
      <w:pPr>
        <w:jc w:val="both"/>
        <w:rPr>
          <w:sz w:val="28"/>
          <w:szCs w:val="28"/>
        </w:rPr>
      </w:pPr>
      <w:r>
        <w:rPr>
          <w:sz w:val="28"/>
          <w:szCs w:val="28"/>
        </w:rPr>
        <w:t>v</w:t>
      </w:r>
      <w:r w:rsidR="005444C1" w:rsidRPr="00DE7125">
        <w:rPr>
          <w:sz w:val="28"/>
          <w:szCs w:val="28"/>
        </w:rPr>
        <w:t>alsts sekretārs</w:t>
      </w:r>
      <w:r w:rsidR="005444C1" w:rsidRPr="00DE7125">
        <w:rPr>
          <w:sz w:val="28"/>
          <w:szCs w:val="28"/>
        </w:rPr>
        <w:tab/>
      </w:r>
      <w:r w:rsidR="005444C1" w:rsidRPr="00DE7125">
        <w:rPr>
          <w:sz w:val="28"/>
          <w:szCs w:val="28"/>
        </w:rPr>
        <w:tab/>
      </w:r>
      <w:r w:rsidR="005444C1" w:rsidRPr="00DE7125">
        <w:rPr>
          <w:sz w:val="28"/>
          <w:szCs w:val="28"/>
        </w:rPr>
        <w:tab/>
      </w:r>
      <w:r w:rsidR="005444C1" w:rsidRPr="00DE7125">
        <w:rPr>
          <w:sz w:val="28"/>
          <w:szCs w:val="28"/>
        </w:rPr>
        <w:tab/>
      </w:r>
      <w:r w:rsidR="005444C1" w:rsidRPr="00DE7125">
        <w:rPr>
          <w:sz w:val="28"/>
          <w:szCs w:val="28"/>
        </w:rPr>
        <w:tab/>
      </w:r>
      <w:r w:rsidR="008933A0">
        <w:rPr>
          <w:sz w:val="28"/>
          <w:szCs w:val="28"/>
        </w:rPr>
        <w:tab/>
      </w:r>
      <w:r w:rsidR="005444C1" w:rsidRPr="00DE7125">
        <w:rPr>
          <w:sz w:val="28"/>
          <w:szCs w:val="28"/>
        </w:rPr>
        <w:tab/>
      </w:r>
      <w:r w:rsidR="005444C1" w:rsidRPr="00DE7125">
        <w:rPr>
          <w:sz w:val="28"/>
          <w:szCs w:val="28"/>
        </w:rPr>
        <w:tab/>
      </w:r>
      <w:r w:rsidR="005444C1">
        <w:rPr>
          <w:sz w:val="28"/>
          <w:szCs w:val="28"/>
        </w:rPr>
        <w:t>J.Pūce</w:t>
      </w:r>
    </w:p>
    <w:p w:rsidR="005444C1" w:rsidRDefault="005444C1" w:rsidP="005444C1">
      <w:pPr>
        <w:pStyle w:val="NormalWeb"/>
        <w:spacing w:before="0" w:beforeAutospacing="0" w:after="0" w:afterAutospacing="0"/>
        <w:jc w:val="both"/>
        <w:rPr>
          <w:sz w:val="28"/>
          <w:szCs w:val="28"/>
        </w:rPr>
      </w:pPr>
    </w:p>
    <w:p w:rsidR="00E3705C" w:rsidRDefault="00E3705C"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6C43FB" w:rsidRDefault="006C43FB" w:rsidP="005444C1">
      <w:pPr>
        <w:pStyle w:val="NormalWeb"/>
        <w:spacing w:before="0" w:beforeAutospacing="0" w:after="0" w:afterAutospacing="0"/>
        <w:jc w:val="both"/>
        <w:rPr>
          <w:sz w:val="28"/>
          <w:szCs w:val="28"/>
        </w:rPr>
      </w:pPr>
    </w:p>
    <w:p w:rsidR="005444C1" w:rsidRPr="009A6124" w:rsidRDefault="00932528" w:rsidP="005444C1">
      <w:pPr>
        <w:jc w:val="both"/>
        <w:rPr>
          <w:color w:val="000000"/>
          <w:sz w:val="20"/>
          <w:szCs w:val="20"/>
        </w:rPr>
      </w:pPr>
      <w:r>
        <w:rPr>
          <w:color w:val="000000"/>
          <w:sz w:val="20"/>
          <w:szCs w:val="20"/>
        </w:rPr>
        <w:t>1</w:t>
      </w:r>
      <w:r w:rsidR="00915A91">
        <w:rPr>
          <w:color w:val="000000"/>
          <w:sz w:val="20"/>
          <w:szCs w:val="20"/>
        </w:rPr>
        <w:t>2</w:t>
      </w:r>
      <w:r w:rsidR="005444C1" w:rsidRPr="009A6124">
        <w:rPr>
          <w:color w:val="000000"/>
          <w:sz w:val="20"/>
          <w:szCs w:val="20"/>
        </w:rPr>
        <w:t>.0</w:t>
      </w:r>
      <w:r w:rsidR="00D76D93">
        <w:rPr>
          <w:color w:val="000000"/>
          <w:sz w:val="20"/>
          <w:szCs w:val="20"/>
        </w:rPr>
        <w:t>9</w:t>
      </w:r>
      <w:r w:rsidR="005444C1" w:rsidRPr="009A6124">
        <w:rPr>
          <w:color w:val="000000"/>
          <w:sz w:val="20"/>
          <w:szCs w:val="20"/>
        </w:rPr>
        <w:t>.2013.</w:t>
      </w:r>
      <w:r w:rsidR="008933A0">
        <w:rPr>
          <w:color w:val="000000"/>
          <w:sz w:val="20"/>
          <w:szCs w:val="20"/>
        </w:rPr>
        <w:t>1</w:t>
      </w:r>
      <w:r w:rsidR="00F74DE7">
        <w:rPr>
          <w:color w:val="000000"/>
          <w:sz w:val="20"/>
          <w:szCs w:val="20"/>
        </w:rPr>
        <w:t>5</w:t>
      </w:r>
      <w:r w:rsidR="005444C1" w:rsidRPr="009A6124">
        <w:rPr>
          <w:color w:val="000000"/>
          <w:sz w:val="20"/>
          <w:szCs w:val="20"/>
        </w:rPr>
        <w:t>:</w:t>
      </w:r>
      <w:r w:rsidR="001F1255">
        <w:rPr>
          <w:color w:val="000000"/>
          <w:sz w:val="20"/>
          <w:szCs w:val="20"/>
        </w:rPr>
        <w:t>42</w:t>
      </w:r>
      <w:bookmarkStart w:id="1" w:name="_GoBack"/>
      <w:bookmarkEnd w:id="1"/>
    </w:p>
    <w:p w:rsidR="005444C1" w:rsidRPr="009A6124" w:rsidRDefault="00630CC4" w:rsidP="005444C1">
      <w:pPr>
        <w:jc w:val="both"/>
        <w:rPr>
          <w:color w:val="000000"/>
          <w:sz w:val="20"/>
          <w:szCs w:val="20"/>
        </w:rPr>
      </w:pPr>
      <w:r>
        <w:rPr>
          <w:color w:val="000000"/>
          <w:sz w:val="20"/>
          <w:szCs w:val="20"/>
        </w:rPr>
        <w:t>3</w:t>
      </w:r>
      <w:r w:rsidR="00C37F85">
        <w:rPr>
          <w:color w:val="000000"/>
          <w:sz w:val="20"/>
          <w:szCs w:val="20"/>
        </w:rPr>
        <w:t>599</w:t>
      </w:r>
    </w:p>
    <w:p w:rsidR="005444C1" w:rsidRDefault="005444C1" w:rsidP="005444C1">
      <w:pPr>
        <w:pStyle w:val="NormalWeb"/>
        <w:spacing w:before="0" w:beforeAutospacing="0" w:after="0" w:afterAutospacing="0"/>
        <w:jc w:val="both"/>
        <w:rPr>
          <w:color w:val="000000"/>
          <w:sz w:val="20"/>
          <w:szCs w:val="20"/>
        </w:rPr>
      </w:pPr>
      <w:r w:rsidRPr="009A6124">
        <w:rPr>
          <w:color w:val="000000"/>
          <w:sz w:val="20"/>
          <w:szCs w:val="20"/>
        </w:rPr>
        <w:t>K.Piģēns,</w:t>
      </w:r>
    </w:p>
    <w:p w:rsidR="001B5777" w:rsidRDefault="001B5777" w:rsidP="005444C1">
      <w:pPr>
        <w:pStyle w:val="NormalWeb"/>
        <w:spacing w:before="0" w:beforeAutospacing="0" w:after="0" w:afterAutospacing="0"/>
        <w:jc w:val="both"/>
        <w:rPr>
          <w:color w:val="000000"/>
          <w:sz w:val="20"/>
          <w:szCs w:val="20"/>
        </w:rPr>
      </w:pPr>
      <w:r>
        <w:rPr>
          <w:color w:val="000000"/>
          <w:sz w:val="20"/>
          <w:szCs w:val="20"/>
        </w:rPr>
        <w:t>67013113</w:t>
      </w:r>
    </w:p>
    <w:sectPr w:rsidR="001B5777" w:rsidSect="00033EBA">
      <w:headerReference w:type="even" r:id="rId9"/>
      <w:headerReference w:type="default" r:id="rId10"/>
      <w:footerReference w:type="defaul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37" w:rsidRDefault="00E24637">
      <w:r>
        <w:separator/>
      </w:r>
    </w:p>
  </w:endnote>
  <w:endnote w:type="continuationSeparator" w:id="0">
    <w:p w:rsidR="00E24637" w:rsidRDefault="00E2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Nimbus Sans L">
    <w:altName w:val="MS Mincho"/>
    <w:charset w:val="80"/>
    <w:family w:val="auto"/>
    <w:pitch w:val="variable"/>
  </w:font>
  <w:font w:name="Korinna LR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232ADB" w:rsidRDefault="005444C1" w:rsidP="005444C1">
    <w:pPr>
      <w:jc w:val="both"/>
      <w:rPr>
        <w:sz w:val="20"/>
        <w:szCs w:val="20"/>
      </w:rPr>
    </w:pPr>
    <w:r w:rsidRPr="00232ADB">
      <w:rPr>
        <w:sz w:val="20"/>
        <w:szCs w:val="20"/>
      </w:rPr>
      <w:t>E</w:t>
    </w:r>
    <w:r w:rsidR="005A4E66" w:rsidRPr="00232ADB">
      <w:rPr>
        <w:sz w:val="20"/>
        <w:szCs w:val="20"/>
      </w:rPr>
      <w:t>MAnot_</w:t>
    </w:r>
    <w:r w:rsidR="00932528">
      <w:rPr>
        <w:sz w:val="20"/>
        <w:szCs w:val="20"/>
      </w:rPr>
      <w:t>1</w:t>
    </w:r>
    <w:r w:rsidR="00915A91">
      <w:rPr>
        <w:sz w:val="20"/>
        <w:szCs w:val="20"/>
      </w:rPr>
      <w:t>2</w:t>
    </w:r>
    <w:r w:rsidR="00D76D93">
      <w:rPr>
        <w:sz w:val="20"/>
        <w:szCs w:val="20"/>
      </w:rPr>
      <w:t>09</w:t>
    </w:r>
    <w:r w:rsidRPr="00232ADB">
      <w:rPr>
        <w:sz w:val="20"/>
        <w:szCs w:val="20"/>
      </w:rPr>
      <w:t>13</w:t>
    </w:r>
    <w:r w:rsidR="001A56AB" w:rsidRPr="00232ADB">
      <w:rPr>
        <w:sz w:val="20"/>
        <w:szCs w:val="20"/>
      </w:rPr>
      <w:t>_Lik_nodevas</w:t>
    </w:r>
    <w:r w:rsidR="005A4E66" w:rsidRPr="00232ADB">
      <w:rPr>
        <w:sz w:val="20"/>
        <w:szCs w:val="20"/>
      </w:rPr>
      <w:t>; Likumprojekta „</w:t>
    </w:r>
    <w:r w:rsidR="00605624" w:rsidRPr="00232ADB">
      <w:rPr>
        <w:sz w:val="20"/>
        <w:szCs w:val="20"/>
      </w:rPr>
      <w:t>Grozījum</w:t>
    </w:r>
    <w:r w:rsidR="00605624">
      <w:rPr>
        <w:sz w:val="20"/>
        <w:szCs w:val="20"/>
      </w:rPr>
      <w:t xml:space="preserve">i </w:t>
    </w:r>
    <w:r w:rsidR="005A4E66" w:rsidRPr="00232ADB">
      <w:rPr>
        <w:sz w:val="20"/>
        <w:szCs w:val="20"/>
      </w:rPr>
      <w:t xml:space="preserve">likumā „Par nodokļiem un nodevām”” </w:t>
    </w:r>
    <w:r w:rsidR="005A4E66" w:rsidRPr="00232ADB">
      <w:rPr>
        <w:bCs/>
        <w:sz w:val="20"/>
        <w:szCs w:val="20"/>
      </w:rPr>
      <w:t xml:space="preserve">sākotnējās ietekmes novērtējuma </w:t>
    </w:r>
    <w:smartTag w:uri="schemas-tilde-lv/tildestengine" w:element="veidnes">
      <w:smartTagPr>
        <w:attr w:name="text" w:val="ziņojums"/>
        <w:attr w:name="baseform" w:val="ziņojums"/>
        <w:attr w:name="id" w:val="-1"/>
      </w:smartTagPr>
      <w:r w:rsidR="005A4E66" w:rsidRPr="00232ADB">
        <w:rPr>
          <w:bCs/>
          <w:sz w:val="20"/>
          <w:szCs w:val="20"/>
        </w:rPr>
        <w:t>ziņojums</w:t>
      </w:r>
    </w:smartTag>
    <w:r w:rsidR="005A4E66" w:rsidRPr="00232ADB">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4C327F" w:rsidRDefault="005444C1" w:rsidP="00232ADB">
    <w:pPr>
      <w:jc w:val="both"/>
    </w:pPr>
    <w:r w:rsidRPr="00232ADB">
      <w:rPr>
        <w:sz w:val="20"/>
        <w:szCs w:val="20"/>
      </w:rPr>
      <w:t>EMAnot_</w:t>
    </w:r>
    <w:r w:rsidR="00932528">
      <w:rPr>
        <w:sz w:val="20"/>
        <w:szCs w:val="20"/>
      </w:rPr>
      <w:t>1</w:t>
    </w:r>
    <w:r w:rsidR="00915A91">
      <w:rPr>
        <w:sz w:val="20"/>
        <w:szCs w:val="20"/>
      </w:rPr>
      <w:t>2</w:t>
    </w:r>
    <w:r w:rsidR="00D76D93">
      <w:rPr>
        <w:sz w:val="20"/>
        <w:szCs w:val="20"/>
      </w:rPr>
      <w:t>09</w:t>
    </w:r>
    <w:r w:rsidRPr="00232ADB">
      <w:rPr>
        <w:sz w:val="20"/>
        <w:szCs w:val="20"/>
      </w:rPr>
      <w:t>13_Lik_nodevas; Likumprojekta „Grozījum</w:t>
    </w:r>
    <w:r w:rsidR="00605624">
      <w:rPr>
        <w:sz w:val="20"/>
        <w:szCs w:val="20"/>
      </w:rPr>
      <w:t>i</w:t>
    </w:r>
    <w:r w:rsidRPr="00232ADB">
      <w:rPr>
        <w:sz w:val="20"/>
        <w:szCs w:val="20"/>
      </w:rPr>
      <w:t xml:space="preserve"> likumā „Par nodokļiem un nodevām”” </w:t>
    </w:r>
    <w:r w:rsidRPr="00232ADB">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232ADB">
        <w:rPr>
          <w:bCs/>
          <w:sz w:val="20"/>
          <w:szCs w:val="20"/>
        </w:rPr>
        <w:t>ziņojums</w:t>
      </w:r>
    </w:smartTag>
    <w:r w:rsidRPr="00232ADB">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37" w:rsidRDefault="00E24637">
      <w:r>
        <w:separator/>
      </w:r>
    </w:p>
  </w:footnote>
  <w:footnote w:type="continuationSeparator" w:id="0">
    <w:p w:rsidR="00E24637" w:rsidRDefault="00E24637">
      <w:r>
        <w:continuationSeparator/>
      </w:r>
    </w:p>
  </w:footnote>
  <w:footnote w:id="1">
    <w:p w:rsidR="00EE3667" w:rsidRDefault="00EE3667" w:rsidP="00EE3667">
      <w:pPr>
        <w:pStyle w:val="FootnoteText"/>
      </w:pPr>
      <w:r>
        <w:rPr>
          <w:rStyle w:val="FootnoteReference"/>
        </w:rPr>
        <w:footnoteRef/>
      </w:r>
      <w:r>
        <w:t xml:space="preserve"> </w:t>
      </w:r>
      <w:r w:rsidRPr="00CD7869">
        <w:t>Centrālās statistikas pārvaldes datu bāze (LSS20. Siltumnīcu platības (</w:t>
      </w:r>
      <w:proofErr w:type="spellStart"/>
      <w:r w:rsidRPr="00CD7869">
        <w:t>tūkst</w:t>
      </w:r>
      <w:proofErr w:type="spellEnd"/>
      <w:r w:rsidRPr="00CD7869">
        <w:t>. m2))</w:t>
      </w:r>
    </w:p>
  </w:footnote>
  <w:footnote w:id="2">
    <w:p w:rsidR="00EE3667" w:rsidRDefault="00EE3667" w:rsidP="00EE3667">
      <w:pPr>
        <w:pStyle w:val="FootnoteText"/>
      </w:pPr>
      <w:r w:rsidRPr="00CD7869">
        <w:rPr>
          <w:rStyle w:val="FootnoteReference"/>
        </w:rPr>
        <w:footnoteRef/>
      </w:r>
      <w:r w:rsidRPr="00CD7869">
        <w:t xml:space="preserve"> Zemkopības ministrijas 2013. gada 5. septembrī sniegtā informācija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Default="00572FC3" w:rsidP="000D7206">
    <w:pPr>
      <w:pStyle w:val="Header"/>
      <w:framePr w:wrap="around" w:vAnchor="text" w:hAnchor="margin" w:xAlign="center" w:y="1"/>
      <w:rPr>
        <w:rStyle w:val="PageNumber"/>
      </w:rPr>
    </w:pPr>
    <w:r>
      <w:rPr>
        <w:rStyle w:val="PageNumber"/>
      </w:rPr>
      <w:fldChar w:fldCharType="begin"/>
    </w:r>
    <w:r w:rsidR="00802846">
      <w:rPr>
        <w:rStyle w:val="PageNumber"/>
      </w:rPr>
      <w:instrText xml:space="preserve">PAGE  </w:instrText>
    </w:r>
    <w:r>
      <w:rPr>
        <w:rStyle w:val="PageNumber"/>
      </w:rPr>
      <w:fldChar w:fldCharType="separate"/>
    </w:r>
    <w:r w:rsidR="00802846">
      <w:rPr>
        <w:rStyle w:val="PageNumber"/>
        <w:noProof/>
      </w:rPr>
      <w:t>10</w:t>
    </w:r>
    <w:r>
      <w:rPr>
        <w:rStyle w:val="PageNumber"/>
      </w:rPr>
      <w:fldChar w:fldCharType="end"/>
    </w:r>
  </w:p>
  <w:p w:rsidR="00802846" w:rsidRDefault="0080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DB073B" w:rsidRDefault="00572FC3" w:rsidP="000D7206">
    <w:pPr>
      <w:pStyle w:val="Header"/>
      <w:framePr w:wrap="around" w:vAnchor="text" w:hAnchor="margin" w:xAlign="center" w:y="1"/>
      <w:rPr>
        <w:rStyle w:val="PageNumber"/>
        <w:sz w:val="20"/>
        <w:szCs w:val="20"/>
      </w:rPr>
    </w:pPr>
    <w:r w:rsidRPr="00DB073B">
      <w:rPr>
        <w:rStyle w:val="PageNumber"/>
        <w:sz w:val="20"/>
        <w:szCs w:val="20"/>
      </w:rPr>
      <w:fldChar w:fldCharType="begin"/>
    </w:r>
    <w:r w:rsidR="00802846" w:rsidRPr="00DB073B">
      <w:rPr>
        <w:rStyle w:val="PageNumber"/>
        <w:sz w:val="20"/>
        <w:szCs w:val="20"/>
      </w:rPr>
      <w:instrText xml:space="preserve">PAGE  </w:instrText>
    </w:r>
    <w:r w:rsidRPr="00DB073B">
      <w:rPr>
        <w:rStyle w:val="PageNumber"/>
        <w:sz w:val="20"/>
        <w:szCs w:val="20"/>
      </w:rPr>
      <w:fldChar w:fldCharType="separate"/>
    </w:r>
    <w:r w:rsidR="001F1255">
      <w:rPr>
        <w:rStyle w:val="PageNumber"/>
        <w:noProof/>
        <w:sz w:val="20"/>
        <w:szCs w:val="20"/>
      </w:rPr>
      <w:t>11</w:t>
    </w:r>
    <w:r w:rsidRPr="00DB073B">
      <w:rPr>
        <w:rStyle w:val="PageNumber"/>
        <w:sz w:val="20"/>
        <w:szCs w:val="20"/>
      </w:rPr>
      <w:fldChar w:fldCharType="end"/>
    </w:r>
  </w:p>
  <w:p w:rsidR="00802846" w:rsidRDefault="0080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8685BE"/>
    <w:lvl w:ilvl="0">
      <w:start w:val="1"/>
      <w:numFmt w:val="bullet"/>
      <w:lvlText w:val=""/>
      <w:lvlJc w:val="left"/>
      <w:pPr>
        <w:tabs>
          <w:tab w:val="num" w:pos="360"/>
        </w:tabs>
        <w:ind w:left="360" w:hanging="360"/>
      </w:pPr>
      <w:rPr>
        <w:rFonts w:ascii="Symbol" w:hAnsi="Symbol" w:hint="default"/>
      </w:rPr>
    </w:lvl>
  </w:abstractNum>
  <w:abstractNum w:abstractNumId="1">
    <w:nsid w:val="0C542704"/>
    <w:multiLevelType w:val="hybridMultilevel"/>
    <w:tmpl w:val="1E6A2406"/>
    <w:lvl w:ilvl="0" w:tplc="24728AFA">
      <w:start w:val="1"/>
      <w:numFmt w:val="decimal"/>
      <w:lvlText w:val="%1."/>
      <w:lvlJc w:val="left"/>
      <w:pPr>
        <w:ind w:left="630" w:hanging="360"/>
      </w:pPr>
      <w:rPr>
        <w:rFonts w:cs="Times New Roman" w:hint="default"/>
      </w:rPr>
    </w:lvl>
    <w:lvl w:ilvl="1" w:tplc="04260019" w:tentative="1">
      <w:start w:val="1"/>
      <w:numFmt w:val="lowerLetter"/>
      <w:lvlText w:val="%2."/>
      <w:lvlJc w:val="left"/>
      <w:pPr>
        <w:ind w:left="1350" w:hanging="360"/>
      </w:pPr>
      <w:rPr>
        <w:rFonts w:cs="Times New Roman"/>
      </w:rPr>
    </w:lvl>
    <w:lvl w:ilvl="2" w:tplc="0426001B" w:tentative="1">
      <w:start w:val="1"/>
      <w:numFmt w:val="lowerRoman"/>
      <w:lvlText w:val="%3."/>
      <w:lvlJc w:val="right"/>
      <w:pPr>
        <w:ind w:left="2070" w:hanging="180"/>
      </w:pPr>
      <w:rPr>
        <w:rFonts w:cs="Times New Roman"/>
      </w:rPr>
    </w:lvl>
    <w:lvl w:ilvl="3" w:tplc="0426000F" w:tentative="1">
      <w:start w:val="1"/>
      <w:numFmt w:val="decimal"/>
      <w:lvlText w:val="%4."/>
      <w:lvlJc w:val="left"/>
      <w:pPr>
        <w:ind w:left="2790" w:hanging="360"/>
      </w:pPr>
      <w:rPr>
        <w:rFonts w:cs="Times New Roman"/>
      </w:rPr>
    </w:lvl>
    <w:lvl w:ilvl="4" w:tplc="04260019" w:tentative="1">
      <w:start w:val="1"/>
      <w:numFmt w:val="lowerLetter"/>
      <w:lvlText w:val="%5."/>
      <w:lvlJc w:val="left"/>
      <w:pPr>
        <w:ind w:left="3510" w:hanging="360"/>
      </w:pPr>
      <w:rPr>
        <w:rFonts w:cs="Times New Roman"/>
      </w:rPr>
    </w:lvl>
    <w:lvl w:ilvl="5" w:tplc="0426001B" w:tentative="1">
      <w:start w:val="1"/>
      <w:numFmt w:val="lowerRoman"/>
      <w:lvlText w:val="%6."/>
      <w:lvlJc w:val="right"/>
      <w:pPr>
        <w:ind w:left="4230" w:hanging="180"/>
      </w:pPr>
      <w:rPr>
        <w:rFonts w:cs="Times New Roman"/>
      </w:rPr>
    </w:lvl>
    <w:lvl w:ilvl="6" w:tplc="0426000F" w:tentative="1">
      <w:start w:val="1"/>
      <w:numFmt w:val="decimal"/>
      <w:lvlText w:val="%7."/>
      <w:lvlJc w:val="left"/>
      <w:pPr>
        <w:ind w:left="4950" w:hanging="360"/>
      </w:pPr>
      <w:rPr>
        <w:rFonts w:cs="Times New Roman"/>
      </w:rPr>
    </w:lvl>
    <w:lvl w:ilvl="7" w:tplc="04260019" w:tentative="1">
      <w:start w:val="1"/>
      <w:numFmt w:val="lowerLetter"/>
      <w:lvlText w:val="%8."/>
      <w:lvlJc w:val="left"/>
      <w:pPr>
        <w:ind w:left="5670" w:hanging="360"/>
      </w:pPr>
      <w:rPr>
        <w:rFonts w:cs="Times New Roman"/>
      </w:rPr>
    </w:lvl>
    <w:lvl w:ilvl="8" w:tplc="0426001B" w:tentative="1">
      <w:start w:val="1"/>
      <w:numFmt w:val="lowerRoman"/>
      <w:lvlText w:val="%9."/>
      <w:lvlJc w:val="right"/>
      <w:pPr>
        <w:ind w:left="6390" w:hanging="180"/>
      </w:pPr>
      <w:rPr>
        <w:rFonts w:cs="Times New Roman"/>
      </w:rPr>
    </w:lvl>
  </w:abstractNum>
  <w:abstractNum w:abstractNumId="2">
    <w:nsid w:val="0D367603"/>
    <w:multiLevelType w:val="hybridMultilevel"/>
    <w:tmpl w:val="451A742A"/>
    <w:lvl w:ilvl="0" w:tplc="6C406F74">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3">
    <w:nsid w:val="0F1D6FF4"/>
    <w:multiLevelType w:val="hybridMultilevel"/>
    <w:tmpl w:val="F3EEA8DE"/>
    <w:lvl w:ilvl="0" w:tplc="823CC22E">
      <w:start w:val="3"/>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10640DF5"/>
    <w:multiLevelType w:val="hybridMultilevel"/>
    <w:tmpl w:val="3FC4A9E8"/>
    <w:lvl w:ilvl="0" w:tplc="B7FE2394">
      <w:start w:val="1"/>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5">
    <w:nsid w:val="1137157F"/>
    <w:multiLevelType w:val="hybridMultilevel"/>
    <w:tmpl w:val="38AC8994"/>
    <w:lvl w:ilvl="0" w:tplc="8C66A2E8">
      <w:start w:val="1"/>
      <w:numFmt w:val="decimal"/>
      <w:lvlText w:val="%1."/>
      <w:lvlJc w:val="left"/>
      <w:pPr>
        <w:ind w:left="338" w:hanging="360"/>
      </w:pPr>
      <w:rPr>
        <w:rFonts w:cs="Times New Roman" w:hint="default"/>
        <w:color w:val="auto"/>
      </w:rPr>
    </w:lvl>
    <w:lvl w:ilvl="1" w:tplc="04260019" w:tentative="1">
      <w:start w:val="1"/>
      <w:numFmt w:val="lowerLetter"/>
      <w:lvlText w:val="%2."/>
      <w:lvlJc w:val="left"/>
      <w:pPr>
        <w:ind w:left="1058" w:hanging="360"/>
      </w:pPr>
      <w:rPr>
        <w:rFonts w:cs="Times New Roman"/>
      </w:rPr>
    </w:lvl>
    <w:lvl w:ilvl="2" w:tplc="0426001B" w:tentative="1">
      <w:start w:val="1"/>
      <w:numFmt w:val="lowerRoman"/>
      <w:lvlText w:val="%3."/>
      <w:lvlJc w:val="right"/>
      <w:pPr>
        <w:ind w:left="1778" w:hanging="180"/>
      </w:pPr>
      <w:rPr>
        <w:rFonts w:cs="Times New Roman"/>
      </w:rPr>
    </w:lvl>
    <w:lvl w:ilvl="3" w:tplc="0426000F" w:tentative="1">
      <w:start w:val="1"/>
      <w:numFmt w:val="decimal"/>
      <w:lvlText w:val="%4."/>
      <w:lvlJc w:val="left"/>
      <w:pPr>
        <w:ind w:left="2498" w:hanging="360"/>
      </w:pPr>
      <w:rPr>
        <w:rFonts w:cs="Times New Roman"/>
      </w:rPr>
    </w:lvl>
    <w:lvl w:ilvl="4" w:tplc="04260019" w:tentative="1">
      <w:start w:val="1"/>
      <w:numFmt w:val="lowerLetter"/>
      <w:lvlText w:val="%5."/>
      <w:lvlJc w:val="left"/>
      <w:pPr>
        <w:ind w:left="3218" w:hanging="360"/>
      </w:pPr>
      <w:rPr>
        <w:rFonts w:cs="Times New Roman"/>
      </w:rPr>
    </w:lvl>
    <w:lvl w:ilvl="5" w:tplc="0426001B" w:tentative="1">
      <w:start w:val="1"/>
      <w:numFmt w:val="lowerRoman"/>
      <w:lvlText w:val="%6."/>
      <w:lvlJc w:val="right"/>
      <w:pPr>
        <w:ind w:left="3938" w:hanging="180"/>
      </w:pPr>
      <w:rPr>
        <w:rFonts w:cs="Times New Roman"/>
      </w:rPr>
    </w:lvl>
    <w:lvl w:ilvl="6" w:tplc="0426000F" w:tentative="1">
      <w:start w:val="1"/>
      <w:numFmt w:val="decimal"/>
      <w:lvlText w:val="%7."/>
      <w:lvlJc w:val="left"/>
      <w:pPr>
        <w:ind w:left="4658" w:hanging="360"/>
      </w:pPr>
      <w:rPr>
        <w:rFonts w:cs="Times New Roman"/>
      </w:rPr>
    </w:lvl>
    <w:lvl w:ilvl="7" w:tplc="04260019" w:tentative="1">
      <w:start w:val="1"/>
      <w:numFmt w:val="lowerLetter"/>
      <w:lvlText w:val="%8."/>
      <w:lvlJc w:val="left"/>
      <w:pPr>
        <w:ind w:left="5378" w:hanging="360"/>
      </w:pPr>
      <w:rPr>
        <w:rFonts w:cs="Times New Roman"/>
      </w:rPr>
    </w:lvl>
    <w:lvl w:ilvl="8" w:tplc="0426001B" w:tentative="1">
      <w:start w:val="1"/>
      <w:numFmt w:val="lowerRoman"/>
      <w:lvlText w:val="%9."/>
      <w:lvlJc w:val="right"/>
      <w:pPr>
        <w:ind w:left="6098" w:hanging="180"/>
      </w:pPr>
      <w:rPr>
        <w:rFonts w:cs="Times New Roman"/>
      </w:rPr>
    </w:lvl>
  </w:abstractNum>
  <w:abstractNum w:abstractNumId="6">
    <w:nsid w:val="11DC554D"/>
    <w:multiLevelType w:val="hybridMultilevel"/>
    <w:tmpl w:val="CC3EF7FA"/>
    <w:lvl w:ilvl="0" w:tplc="D3064AB4">
      <w:start w:val="1"/>
      <w:numFmt w:val="decimal"/>
      <w:lvlText w:val="%1)"/>
      <w:lvlJc w:val="left"/>
      <w:pPr>
        <w:ind w:left="1429" w:hanging="360"/>
      </w:pPr>
      <w:rPr>
        <w:rFonts w:ascii="Times New Roman" w:eastAsia="Times New Roman" w:hAnsi="Times New Roman"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7">
    <w:nsid w:val="18466E43"/>
    <w:multiLevelType w:val="hybridMultilevel"/>
    <w:tmpl w:val="F6F48154"/>
    <w:lvl w:ilvl="0" w:tplc="BEB8360C">
      <w:start w:val="1"/>
      <w:numFmt w:val="decimal"/>
      <w:lvlText w:val="%1."/>
      <w:lvlJc w:val="left"/>
      <w:pPr>
        <w:ind w:left="660" w:hanging="36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8">
    <w:nsid w:val="1C870DA4"/>
    <w:multiLevelType w:val="hybridMultilevel"/>
    <w:tmpl w:val="B9F68BB6"/>
    <w:lvl w:ilvl="0" w:tplc="457E3FEA">
      <w:start w:val="1"/>
      <w:numFmt w:val="decimal"/>
      <w:lvlText w:val="%1)"/>
      <w:lvlJc w:val="left"/>
      <w:pPr>
        <w:ind w:left="928" w:hanging="360"/>
      </w:pPr>
      <w:rPr>
        <w:rFonts w:cs="Times New Roman" w:hint="default"/>
        <w:sz w:val="28"/>
        <w:szCs w:val="28"/>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FA65093"/>
    <w:multiLevelType w:val="multilevel"/>
    <w:tmpl w:val="3FC4A9E8"/>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nsid w:val="21783F0A"/>
    <w:multiLevelType w:val="hybridMultilevel"/>
    <w:tmpl w:val="76D8B5A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1BF4450"/>
    <w:multiLevelType w:val="hybridMultilevel"/>
    <w:tmpl w:val="CFF0A906"/>
    <w:lvl w:ilvl="0" w:tplc="F9781B20">
      <w:start w:val="1"/>
      <w:numFmt w:val="decimal"/>
      <w:lvlText w:val="%1)"/>
      <w:lvlJc w:val="left"/>
      <w:pPr>
        <w:ind w:left="1020" w:hanging="360"/>
      </w:pPr>
      <w:rPr>
        <w:rFonts w:ascii="Times New Roman" w:eastAsia="Times New Roman" w:hAnsi="Times New Roman" w:cs="Times New Roman"/>
        <w:color w:val="FF0000"/>
      </w:rPr>
    </w:lvl>
    <w:lvl w:ilvl="1" w:tplc="04260003" w:tentative="1">
      <w:start w:val="1"/>
      <w:numFmt w:val="bullet"/>
      <w:lvlText w:val="o"/>
      <w:lvlJc w:val="left"/>
      <w:pPr>
        <w:ind w:left="1740" w:hanging="360"/>
      </w:pPr>
      <w:rPr>
        <w:rFonts w:ascii="Courier New" w:hAnsi="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2">
    <w:nsid w:val="23F11419"/>
    <w:multiLevelType w:val="hybridMultilevel"/>
    <w:tmpl w:val="458445F2"/>
    <w:lvl w:ilvl="0" w:tplc="7DEC636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nsid w:val="26F37C58"/>
    <w:multiLevelType w:val="hybridMultilevel"/>
    <w:tmpl w:val="55668454"/>
    <w:lvl w:ilvl="0" w:tplc="91F4E74E">
      <w:start w:val="1"/>
      <w:numFmt w:val="decimal"/>
      <w:lvlText w:val="%1."/>
      <w:lvlJc w:val="left"/>
      <w:pPr>
        <w:ind w:left="780" w:hanging="48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4">
    <w:nsid w:val="275D4702"/>
    <w:multiLevelType w:val="hybridMultilevel"/>
    <w:tmpl w:val="A4549842"/>
    <w:lvl w:ilvl="0" w:tplc="04260001">
      <w:start w:val="1"/>
      <w:numFmt w:val="bullet"/>
      <w:lvlText w:val=""/>
      <w:lvlJc w:val="left"/>
      <w:pPr>
        <w:ind w:left="945" w:hanging="360"/>
      </w:pPr>
      <w:rPr>
        <w:rFonts w:ascii="Symbol" w:hAnsi="Symbol" w:hint="default"/>
      </w:rPr>
    </w:lvl>
    <w:lvl w:ilvl="1" w:tplc="04260003" w:tentative="1">
      <w:start w:val="1"/>
      <w:numFmt w:val="bullet"/>
      <w:lvlText w:val="o"/>
      <w:lvlJc w:val="left"/>
      <w:pPr>
        <w:ind w:left="1665" w:hanging="360"/>
      </w:pPr>
      <w:rPr>
        <w:rFonts w:ascii="Courier New" w:hAnsi="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15">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C3F1716"/>
    <w:multiLevelType w:val="hybridMultilevel"/>
    <w:tmpl w:val="A5EAB3C2"/>
    <w:lvl w:ilvl="0" w:tplc="C7ACAB0E">
      <w:start w:val="1"/>
      <w:numFmt w:val="decimal"/>
      <w:lvlText w:val="%1."/>
      <w:lvlJc w:val="left"/>
      <w:pPr>
        <w:ind w:left="2020" w:hanging="1185"/>
      </w:pPr>
      <w:rPr>
        <w:rFonts w:cs="Times New Roman" w:hint="default"/>
      </w:rPr>
    </w:lvl>
    <w:lvl w:ilvl="1" w:tplc="04260019" w:tentative="1">
      <w:start w:val="1"/>
      <w:numFmt w:val="lowerLetter"/>
      <w:lvlText w:val="%2."/>
      <w:lvlJc w:val="left"/>
      <w:pPr>
        <w:ind w:left="1915" w:hanging="360"/>
      </w:pPr>
      <w:rPr>
        <w:rFonts w:cs="Times New Roman"/>
      </w:rPr>
    </w:lvl>
    <w:lvl w:ilvl="2" w:tplc="0426001B" w:tentative="1">
      <w:start w:val="1"/>
      <w:numFmt w:val="lowerRoman"/>
      <w:lvlText w:val="%3."/>
      <w:lvlJc w:val="right"/>
      <w:pPr>
        <w:ind w:left="2635" w:hanging="180"/>
      </w:pPr>
      <w:rPr>
        <w:rFonts w:cs="Times New Roman"/>
      </w:rPr>
    </w:lvl>
    <w:lvl w:ilvl="3" w:tplc="0426000F" w:tentative="1">
      <w:start w:val="1"/>
      <w:numFmt w:val="decimal"/>
      <w:lvlText w:val="%4."/>
      <w:lvlJc w:val="left"/>
      <w:pPr>
        <w:ind w:left="3355" w:hanging="360"/>
      </w:pPr>
      <w:rPr>
        <w:rFonts w:cs="Times New Roman"/>
      </w:rPr>
    </w:lvl>
    <w:lvl w:ilvl="4" w:tplc="04260019" w:tentative="1">
      <w:start w:val="1"/>
      <w:numFmt w:val="lowerLetter"/>
      <w:lvlText w:val="%5."/>
      <w:lvlJc w:val="left"/>
      <w:pPr>
        <w:ind w:left="4075" w:hanging="360"/>
      </w:pPr>
      <w:rPr>
        <w:rFonts w:cs="Times New Roman"/>
      </w:rPr>
    </w:lvl>
    <w:lvl w:ilvl="5" w:tplc="0426001B" w:tentative="1">
      <w:start w:val="1"/>
      <w:numFmt w:val="lowerRoman"/>
      <w:lvlText w:val="%6."/>
      <w:lvlJc w:val="right"/>
      <w:pPr>
        <w:ind w:left="4795" w:hanging="180"/>
      </w:pPr>
      <w:rPr>
        <w:rFonts w:cs="Times New Roman"/>
      </w:rPr>
    </w:lvl>
    <w:lvl w:ilvl="6" w:tplc="0426000F" w:tentative="1">
      <w:start w:val="1"/>
      <w:numFmt w:val="decimal"/>
      <w:lvlText w:val="%7."/>
      <w:lvlJc w:val="left"/>
      <w:pPr>
        <w:ind w:left="5515" w:hanging="360"/>
      </w:pPr>
      <w:rPr>
        <w:rFonts w:cs="Times New Roman"/>
      </w:rPr>
    </w:lvl>
    <w:lvl w:ilvl="7" w:tplc="04260019" w:tentative="1">
      <w:start w:val="1"/>
      <w:numFmt w:val="lowerLetter"/>
      <w:lvlText w:val="%8."/>
      <w:lvlJc w:val="left"/>
      <w:pPr>
        <w:ind w:left="6235" w:hanging="360"/>
      </w:pPr>
      <w:rPr>
        <w:rFonts w:cs="Times New Roman"/>
      </w:rPr>
    </w:lvl>
    <w:lvl w:ilvl="8" w:tplc="0426001B" w:tentative="1">
      <w:start w:val="1"/>
      <w:numFmt w:val="lowerRoman"/>
      <w:lvlText w:val="%9."/>
      <w:lvlJc w:val="right"/>
      <w:pPr>
        <w:ind w:left="6955" w:hanging="180"/>
      </w:pPr>
      <w:rPr>
        <w:rFonts w:cs="Times New Roman"/>
      </w:rPr>
    </w:lvl>
  </w:abstractNum>
  <w:abstractNum w:abstractNumId="17">
    <w:nsid w:val="2E511572"/>
    <w:multiLevelType w:val="hybridMultilevel"/>
    <w:tmpl w:val="5524BD18"/>
    <w:lvl w:ilvl="0" w:tplc="13DAF534">
      <w:start w:val="1"/>
      <w:numFmt w:val="decimal"/>
      <w:lvlText w:val="%1."/>
      <w:lvlJc w:val="left"/>
      <w:pPr>
        <w:ind w:left="840" w:hanging="465"/>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8">
    <w:nsid w:val="331C66D8"/>
    <w:multiLevelType w:val="hybridMultilevel"/>
    <w:tmpl w:val="99026EC2"/>
    <w:lvl w:ilvl="0" w:tplc="0B8EB5B6">
      <w:start w:val="1"/>
      <w:numFmt w:val="decimal"/>
      <w:lvlText w:val="%1."/>
      <w:lvlJc w:val="left"/>
      <w:pPr>
        <w:ind w:left="1437" w:hanging="885"/>
      </w:pPr>
      <w:rPr>
        <w:rFonts w:cs="Times New Roman" w:hint="default"/>
      </w:rPr>
    </w:lvl>
    <w:lvl w:ilvl="1" w:tplc="04260019" w:tentative="1">
      <w:start w:val="1"/>
      <w:numFmt w:val="lowerLetter"/>
      <w:lvlText w:val="%2."/>
      <w:lvlJc w:val="left"/>
      <w:pPr>
        <w:ind w:left="1632" w:hanging="360"/>
      </w:pPr>
      <w:rPr>
        <w:rFonts w:cs="Times New Roman"/>
      </w:rPr>
    </w:lvl>
    <w:lvl w:ilvl="2" w:tplc="0426001B" w:tentative="1">
      <w:start w:val="1"/>
      <w:numFmt w:val="lowerRoman"/>
      <w:lvlText w:val="%3."/>
      <w:lvlJc w:val="right"/>
      <w:pPr>
        <w:ind w:left="2352" w:hanging="180"/>
      </w:pPr>
      <w:rPr>
        <w:rFonts w:cs="Times New Roman"/>
      </w:rPr>
    </w:lvl>
    <w:lvl w:ilvl="3" w:tplc="0426000F" w:tentative="1">
      <w:start w:val="1"/>
      <w:numFmt w:val="decimal"/>
      <w:lvlText w:val="%4."/>
      <w:lvlJc w:val="left"/>
      <w:pPr>
        <w:ind w:left="3072" w:hanging="360"/>
      </w:pPr>
      <w:rPr>
        <w:rFonts w:cs="Times New Roman"/>
      </w:rPr>
    </w:lvl>
    <w:lvl w:ilvl="4" w:tplc="04260019" w:tentative="1">
      <w:start w:val="1"/>
      <w:numFmt w:val="lowerLetter"/>
      <w:lvlText w:val="%5."/>
      <w:lvlJc w:val="left"/>
      <w:pPr>
        <w:ind w:left="3792" w:hanging="360"/>
      </w:pPr>
      <w:rPr>
        <w:rFonts w:cs="Times New Roman"/>
      </w:rPr>
    </w:lvl>
    <w:lvl w:ilvl="5" w:tplc="0426001B" w:tentative="1">
      <w:start w:val="1"/>
      <w:numFmt w:val="lowerRoman"/>
      <w:lvlText w:val="%6."/>
      <w:lvlJc w:val="right"/>
      <w:pPr>
        <w:ind w:left="4512" w:hanging="180"/>
      </w:pPr>
      <w:rPr>
        <w:rFonts w:cs="Times New Roman"/>
      </w:rPr>
    </w:lvl>
    <w:lvl w:ilvl="6" w:tplc="0426000F" w:tentative="1">
      <w:start w:val="1"/>
      <w:numFmt w:val="decimal"/>
      <w:lvlText w:val="%7."/>
      <w:lvlJc w:val="left"/>
      <w:pPr>
        <w:ind w:left="5232" w:hanging="360"/>
      </w:pPr>
      <w:rPr>
        <w:rFonts w:cs="Times New Roman"/>
      </w:rPr>
    </w:lvl>
    <w:lvl w:ilvl="7" w:tplc="04260019" w:tentative="1">
      <w:start w:val="1"/>
      <w:numFmt w:val="lowerLetter"/>
      <w:lvlText w:val="%8."/>
      <w:lvlJc w:val="left"/>
      <w:pPr>
        <w:ind w:left="5952" w:hanging="360"/>
      </w:pPr>
      <w:rPr>
        <w:rFonts w:cs="Times New Roman"/>
      </w:rPr>
    </w:lvl>
    <w:lvl w:ilvl="8" w:tplc="0426001B" w:tentative="1">
      <w:start w:val="1"/>
      <w:numFmt w:val="lowerRoman"/>
      <w:lvlText w:val="%9."/>
      <w:lvlJc w:val="right"/>
      <w:pPr>
        <w:ind w:left="6672" w:hanging="180"/>
      </w:pPr>
      <w:rPr>
        <w:rFonts w:cs="Times New Roman"/>
      </w:rPr>
    </w:lvl>
  </w:abstractNum>
  <w:abstractNum w:abstractNumId="19">
    <w:nsid w:val="33364E9F"/>
    <w:multiLevelType w:val="hybridMultilevel"/>
    <w:tmpl w:val="41861412"/>
    <w:lvl w:ilvl="0" w:tplc="CE96F518">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20">
    <w:nsid w:val="3B7C3B2E"/>
    <w:multiLevelType w:val="hybridMultilevel"/>
    <w:tmpl w:val="F63CE0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4C331D5"/>
    <w:multiLevelType w:val="hybridMultilevel"/>
    <w:tmpl w:val="8DE060D2"/>
    <w:lvl w:ilvl="0" w:tplc="BCE895E8">
      <w:start w:val="1"/>
      <w:numFmt w:val="decimal"/>
      <w:lvlText w:val="%1."/>
      <w:lvlJc w:val="left"/>
      <w:pPr>
        <w:ind w:left="855" w:hanging="49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5F468CA"/>
    <w:multiLevelType w:val="hybridMultilevel"/>
    <w:tmpl w:val="83CE0880"/>
    <w:lvl w:ilvl="0" w:tplc="37BA2986">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478922D6"/>
    <w:multiLevelType w:val="hybridMultilevel"/>
    <w:tmpl w:val="41861412"/>
    <w:lvl w:ilvl="0" w:tplc="CE96F518">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24">
    <w:nsid w:val="4C3C68D2"/>
    <w:multiLevelType w:val="hybridMultilevel"/>
    <w:tmpl w:val="ABBA9A46"/>
    <w:lvl w:ilvl="0" w:tplc="277AB5E6">
      <w:start w:val="1"/>
      <w:numFmt w:val="decimal"/>
      <w:lvlText w:val="%1)"/>
      <w:lvlJc w:val="left"/>
      <w:pPr>
        <w:tabs>
          <w:tab w:val="num" w:pos="1125"/>
        </w:tabs>
        <w:ind w:left="1125" w:hanging="690"/>
      </w:pPr>
      <w:rPr>
        <w:rFonts w:cs="Times New Roman" w:hint="default"/>
      </w:rPr>
    </w:lvl>
    <w:lvl w:ilvl="1" w:tplc="04260019" w:tentative="1">
      <w:start w:val="1"/>
      <w:numFmt w:val="lowerLetter"/>
      <w:lvlText w:val="%2."/>
      <w:lvlJc w:val="left"/>
      <w:pPr>
        <w:tabs>
          <w:tab w:val="num" w:pos="1515"/>
        </w:tabs>
        <w:ind w:left="1515" w:hanging="360"/>
      </w:pPr>
      <w:rPr>
        <w:rFonts w:cs="Times New Roman"/>
      </w:rPr>
    </w:lvl>
    <w:lvl w:ilvl="2" w:tplc="0426001B" w:tentative="1">
      <w:start w:val="1"/>
      <w:numFmt w:val="lowerRoman"/>
      <w:lvlText w:val="%3."/>
      <w:lvlJc w:val="right"/>
      <w:pPr>
        <w:tabs>
          <w:tab w:val="num" w:pos="2235"/>
        </w:tabs>
        <w:ind w:left="2235" w:hanging="180"/>
      </w:pPr>
      <w:rPr>
        <w:rFonts w:cs="Times New Roman"/>
      </w:rPr>
    </w:lvl>
    <w:lvl w:ilvl="3" w:tplc="0426000F" w:tentative="1">
      <w:start w:val="1"/>
      <w:numFmt w:val="decimal"/>
      <w:lvlText w:val="%4."/>
      <w:lvlJc w:val="left"/>
      <w:pPr>
        <w:tabs>
          <w:tab w:val="num" w:pos="2955"/>
        </w:tabs>
        <w:ind w:left="2955" w:hanging="360"/>
      </w:pPr>
      <w:rPr>
        <w:rFonts w:cs="Times New Roman"/>
      </w:rPr>
    </w:lvl>
    <w:lvl w:ilvl="4" w:tplc="04260019" w:tentative="1">
      <w:start w:val="1"/>
      <w:numFmt w:val="lowerLetter"/>
      <w:lvlText w:val="%5."/>
      <w:lvlJc w:val="left"/>
      <w:pPr>
        <w:tabs>
          <w:tab w:val="num" w:pos="3675"/>
        </w:tabs>
        <w:ind w:left="3675" w:hanging="360"/>
      </w:pPr>
      <w:rPr>
        <w:rFonts w:cs="Times New Roman"/>
      </w:rPr>
    </w:lvl>
    <w:lvl w:ilvl="5" w:tplc="0426001B" w:tentative="1">
      <w:start w:val="1"/>
      <w:numFmt w:val="lowerRoman"/>
      <w:lvlText w:val="%6."/>
      <w:lvlJc w:val="right"/>
      <w:pPr>
        <w:tabs>
          <w:tab w:val="num" w:pos="4395"/>
        </w:tabs>
        <w:ind w:left="4395" w:hanging="180"/>
      </w:pPr>
      <w:rPr>
        <w:rFonts w:cs="Times New Roman"/>
      </w:rPr>
    </w:lvl>
    <w:lvl w:ilvl="6" w:tplc="0426000F" w:tentative="1">
      <w:start w:val="1"/>
      <w:numFmt w:val="decimal"/>
      <w:lvlText w:val="%7."/>
      <w:lvlJc w:val="left"/>
      <w:pPr>
        <w:tabs>
          <w:tab w:val="num" w:pos="5115"/>
        </w:tabs>
        <w:ind w:left="5115" w:hanging="360"/>
      </w:pPr>
      <w:rPr>
        <w:rFonts w:cs="Times New Roman"/>
      </w:rPr>
    </w:lvl>
    <w:lvl w:ilvl="7" w:tplc="04260019" w:tentative="1">
      <w:start w:val="1"/>
      <w:numFmt w:val="lowerLetter"/>
      <w:lvlText w:val="%8."/>
      <w:lvlJc w:val="left"/>
      <w:pPr>
        <w:tabs>
          <w:tab w:val="num" w:pos="5835"/>
        </w:tabs>
        <w:ind w:left="5835" w:hanging="360"/>
      </w:pPr>
      <w:rPr>
        <w:rFonts w:cs="Times New Roman"/>
      </w:rPr>
    </w:lvl>
    <w:lvl w:ilvl="8" w:tplc="0426001B" w:tentative="1">
      <w:start w:val="1"/>
      <w:numFmt w:val="lowerRoman"/>
      <w:lvlText w:val="%9."/>
      <w:lvlJc w:val="right"/>
      <w:pPr>
        <w:tabs>
          <w:tab w:val="num" w:pos="6555"/>
        </w:tabs>
        <w:ind w:left="6555" w:hanging="180"/>
      </w:pPr>
      <w:rPr>
        <w:rFonts w:cs="Times New Roman"/>
      </w:rPr>
    </w:lvl>
  </w:abstractNum>
  <w:abstractNum w:abstractNumId="25">
    <w:nsid w:val="5456234A"/>
    <w:multiLevelType w:val="hybridMultilevel"/>
    <w:tmpl w:val="793C885E"/>
    <w:lvl w:ilvl="0" w:tplc="9FF4ED70">
      <w:start w:val="1"/>
      <w:numFmt w:val="decimal"/>
      <w:lvlText w:val="%1)"/>
      <w:lvlJc w:val="left"/>
      <w:pPr>
        <w:ind w:left="1221" w:hanging="810"/>
      </w:pPr>
      <w:rPr>
        <w:rFonts w:cs="Times New Roman" w:hint="default"/>
      </w:rPr>
    </w:lvl>
    <w:lvl w:ilvl="1" w:tplc="04260019" w:tentative="1">
      <w:start w:val="1"/>
      <w:numFmt w:val="lowerLetter"/>
      <w:lvlText w:val="%2."/>
      <w:lvlJc w:val="left"/>
      <w:pPr>
        <w:ind w:left="1491" w:hanging="360"/>
      </w:pPr>
      <w:rPr>
        <w:rFonts w:cs="Times New Roman"/>
      </w:rPr>
    </w:lvl>
    <w:lvl w:ilvl="2" w:tplc="0426001B" w:tentative="1">
      <w:start w:val="1"/>
      <w:numFmt w:val="lowerRoman"/>
      <w:lvlText w:val="%3."/>
      <w:lvlJc w:val="right"/>
      <w:pPr>
        <w:ind w:left="2211" w:hanging="180"/>
      </w:pPr>
      <w:rPr>
        <w:rFonts w:cs="Times New Roman"/>
      </w:rPr>
    </w:lvl>
    <w:lvl w:ilvl="3" w:tplc="0426000F" w:tentative="1">
      <w:start w:val="1"/>
      <w:numFmt w:val="decimal"/>
      <w:lvlText w:val="%4."/>
      <w:lvlJc w:val="left"/>
      <w:pPr>
        <w:ind w:left="2931" w:hanging="360"/>
      </w:pPr>
      <w:rPr>
        <w:rFonts w:cs="Times New Roman"/>
      </w:rPr>
    </w:lvl>
    <w:lvl w:ilvl="4" w:tplc="04260019" w:tentative="1">
      <w:start w:val="1"/>
      <w:numFmt w:val="lowerLetter"/>
      <w:lvlText w:val="%5."/>
      <w:lvlJc w:val="left"/>
      <w:pPr>
        <w:ind w:left="3651" w:hanging="360"/>
      </w:pPr>
      <w:rPr>
        <w:rFonts w:cs="Times New Roman"/>
      </w:rPr>
    </w:lvl>
    <w:lvl w:ilvl="5" w:tplc="0426001B" w:tentative="1">
      <w:start w:val="1"/>
      <w:numFmt w:val="lowerRoman"/>
      <w:lvlText w:val="%6."/>
      <w:lvlJc w:val="right"/>
      <w:pPr>
        <w:ind w:left="4371" w:hanging="180"/>
      </w:pPr>
      <w:rPr>
        <w:rFonts w:cs="Times New Roman"/>
      </w:rPr>
    </w:lvl>
    <w:lvl w:ilvl="6" w:tplc="0426000F" w:tentative="1">
      <w:start w:val="1"/>
      <w:numFmt w:val="decimal"/>
      <w:lvlText w:val="%7."/>
      <w:lvlJc w:val="left"/>
      <w:pPr>
        <w:ind w:left="5091" w:hanging="360"/>
      </w:pPr>
      <w:rPr>
        <w:rFonts w:cs="Times New Roman"/>
      </w:rPr>
    </w:lvl>
    <w:lvl w:ilvl="7" w:tplc="04260019" w:tentative="1">
      <w:start w:val="1"/>
      <w:numFmt w:val="lowerLetter"/>
      <w:lvlText w:val="%8."/>
      <w:lvlJc w:val="left"/>
      <w:pPr>
        <w:ind w:left="5811" w:hanging="360"/>
      </w:pPr>
      <w:rPr>
        <w:rFonts w:cs="Times New Roman"/>
      </w:rPr>
    </w:lvl>
    <w:lvl w:ilvl="8" w:tplc="0426001B" w:tentative="1">
      <w:start w:val="1"/>
      <w:numFmt w:val="lowerRoman"/>
      <w:lvlText w:val="%9."/>
      <w:lvlJc w:val="right"/>
      <w:pPr>
        <w:ind w:left="6531" w:hanging="180"/>
      </w:pPr>
      <w:rPr>
        <w:rFonts w:cs="Times New Roman"/>
      </w:rPr>
    </w:lvl>
  </w:abstractNum>
  <w:abstractNum w:abstractNumId="26">
    <w:nsid w:val="552D6DF9"/>
    <w:multiLevelType w:val="hybridMultilevel"/>
    <w:tmpl w:val="E6E8FEE8"/>
    <w:lvl w:ilvl="0" w:tplc="98C8CA7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7BF02D5"/>
    <w:multiLevelType w:val="hybridMultilevel"/>
    <w:tmpl w:val="C13482EE"/>
    <w:lvl w:ilvl="0" w:tplc="CEB6D93E">
      <w:start w:val="201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5E3F609C"/>
    <w:multiLevelType w:val="hybridMultilevel"/>
    <w:tmpl w:val="8DF8E964"/>
    <w:lvl w:ilvl="0" w:tplc="EE7826E6">
      <w:start w:val="1"/>
      <w:numFmt w:val="decimal"/>
      <w:lvlText w:val="%1."/>
      <w:lvlJc w:val="left"/>
      <w:pPr>
        <w:ind w:left="1713" w:hanging="102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29">
    <w:nsid w:val="625C2464"/>
    <w:multiLevelType w:val="hybridMultilevel"/>
    <w:tmpl w:val="3198F8B2"/>
    <w:lvl w:ilvl="0" w:tplc="0B4CBA22">
      <w:start w:val="1"/>
      <w:numFmt w:val="decimal"/>
      <w:lvlText w:val="%1)"/>
      <w:lvlJc w:val="left"/>
      <w:pPr>
        <w:ind w:left="900" w:hanging="360"/>
      </w:pPr>
      <w:rPr>
        <w:rFonts w:cs="Times New Roman" w:hint="default"/>
      </w:rPr>
    </w:lvl>
    <w:lvl w:ilvl="1" w:tplc="04260019" w:tentative="1">
      <w:start w:val="1"/>
      <w:numFmt w:val="lowerLetter"/>
      <w:lvlText w:val="%2."/>
      <w:lvlJc w:val="left"/>
      <w:pPr>
        <w:ind w:left="1620" w:hanging="360"/>
      </w:pPr>
      <w:rPr>
        <w:rFonts w:cs="Times New Roman"/>
      </w:rPr>
    </w:lvl>
    <w:lvl w:ilvl="2" w:tplc="0426001B" w:tentative="1">
      <w:start w:val="1"/>
      <w:numFmt w:val="lowerRoman"/>
      <w:lvlText w:val="%3."/>
      <w:lvlJc w:val="right"/>
      <w:pPr>
        <w:ind w:left="2340" w:hanging="180"/>
      </w:pPr>
      <w:rPr>
        <w:rFonts w:cs="Times New Roman"/>
      </w:rPr>
    </w:lvl>
    <w:lvl w:ilvl="3" w:tplc="0426000F" w:tentative="1">
      <w:start w:val="1"/>
      <w:numFmt w:val="decimal"/>
      <w:lvlText w:val="%4."/>
      <w:lvlJc w:val="left"/>
      <w:pPr>
        <w:ind w:left="3060" w:hanging="360"/>
      </w:pPr>
      <w:rPr>
        <w:rFonts w:cs="Times New Roman"/>
      </w:rPr>
    </w:lvl>
    <w:lvl w:ilvl="4" w:tplc="04260019" w:tentative="1">
      <w:start w:val="1"/>
      <w:numFmt w:val="lowerLetter"/>
      <w:lvlText w:val="%5."/>
      <w:lvlJc w:val="left"/>
      <w:pPr>
        <w:ind w:left="3780" w:hanging="360"/>
      </w:pPr>
      <w:rPr>
        <w:rFonts w:cs="Times New Roman"/>
      </w:rPr>
    </w:lvl>
    <w:lvl w:ilvl="5" w:tplc="0426001B" w:tentative="1">
      <w:start w:val="1"/>
      <w:numFmt w:val="lowerRoman"/>
      <w:lvlText w:val="%6."/>
      <w:lvlJc w:val="right"/>
      <w:pPr>
        <w:ind w:left="4500" w:hanging="180"/>
      </w:pPr>
      <w:rPr>
        <w:rFonts w:cs="Times New Roman"/>
      </w:rPr>
    </w:lvl>
    <w:lvl w:ilvl="6" w:tplc="0426000F" w:tentative="1">
      <w:start w:val="1"/>
      <w:numFmt w:val="decimal"/>
      <w:lvlText w:val="%7."/>
      <w:lvlJc w:val="left"/>
      <w:pPr>
        <w:ind w:left="5220" w:hanging="360"/>
      </w:pPr>
      <w:rPr>
        <w:rFonts w:cs="Times New Roman"/>
      </w:rPr>
    </w:lvl>
    <w:lvl w:ilvl="7" w:tplc="04260019" w:tentative="1">
      <w:start w:val="1"/>
      <w:numFmt w:val="lowerLetter"/>
      <w:lvlText w:val="%8."/>
      <w:lvlJc w:val="left"/>
      <w:pPr>
        <w:ind w:left="5940" w:hanging="360"/>
      </w:pPr>
      <w:rPr>
        <w:rFonts w:cs="Times New Roman"/>
      </w:rPr>
    </w:lvl>
    <w:lvl w:ilvl="8" w:tplc="0426001B" w:tentative="1">
      <w:start w:val="1"/>
      <w:numFmt w:val="lowerRoman"/>
      <w:lvlText w:val="%9."/>
      <w:lvlJc w:val="right"/>
      <w:pPr>
        <w:ind w:left="6660" w:hanging="180"/>
      </w:pPr>
      <w:rPr>
        <w:rFonts w:cs="Times New Roman"/>
      </w:rPr>
    </w:lvl>
  </w:abstractNum>
  <w:abstractNum w:abstractNumId="30">
    <w:nsid w:val="66465377"/>
    <w:multiLevelType w:val="hybridMultilevel"/>
    <w:tmpl w:val="F776193A"/>
    <w:lvl w:ilvl="0" w:tplc="137265D4">
      <w:start w:val="1"/>
      <w:numFmt w:val="decimal"/>
      <w:lvlText w:val="%1."/>
      <w:lvlJc w:val="left"/>
      <w:pPr>
        <w:ind w:left="1195" w:hanging="360"/>
      </w:pPr>
      <w:rPr>
        <w:rFonts w:cs="Times New Roman" w:hint="default"/>
      </w:rPr>
    </w:lvl>
    <w:lvl w:ilvl="1" w:tplc="04260019" w:tentative="1">
      <w:start w:val="1"/>
      <w:numFmt w:val="lowerLetter"/>
      <w:lvlText w:val="%2."/>
      <w:lvlJc w:val="left"/>
      <w:pPr>
        <w:ind w:left="1915" w:hanging="360"/>
      </w:pPr>
      <w:rPr>
        <w:rFonts w:cs="Times New Roman"/>
      </w:rPr>
    </w:lvl>
    <w:lvl w:ilvl="2" w:tplc="0426001B" w:tentative="1">
      <w:start w:val="1"/>
      <w:numFmt w:val="lowerRoman"/>
      <w:lvlText w:val="%3."/>
      <w:lvlJc w:val="right"/>
      <w:pPr>
        <w:ind w:left="2635" w:hanging="180"/>
      </w:pPr>
      <w:rPr>
        <w:rFonts w:cs="Times New Roman"/>
      </w:rPr>
    </w:lvl>
    <w:lvl w:ilvl="3" w:tplc="0426000F" w:tentative="1">
      <w:start w:val="1"/>
      <w:numFmt w:val="decimal"/>
      <w:lvlText w:val="%4."/>
      <w:lvlJc w:val="left"/>
      <w:pPr>
        <w:ind w:left="3355" w:hanging="360"/>
      </w:pPr>
      <w:rPr>
        <w:rFonts w:cs="Times New Roman"/>
      </w:rPr>
    </w:lvl>
    <w:lvl w:ilvl="4" w:tplc="04260019" w:tentative="1">
      <w:start w:val="1"/>
      <w:numFmt w:val="lowerLetter"/>
      <w:lvlText w:val="%5."/>
      <w:lvlJc w:val="left"/>
      <w:pPr>
        <w:ind w:left="4075" w:hanging="360"/>
      </w:pPr>
      <w:rPr>
        <w:rFonts w:cs="Times New Roman"/>
      </w:rPr>
    </w:lvl>
    <w:lvl w:ilvl="5" w:tplc="0426001B" w:tentative="1">
      <w:start w:val="1"/>
      <w:numFmt w:val="lowerRoman"/>
      <w:lvlText w:val="%6."/>
      <w:lvlJc w:val="right"/>
      <w:pPr>
        <w:ind w:left="4795" w:hanging="180"/>
      </w:pPr>
      <w:rPr>
        <w:rFonts w:cs="Times New Roman"/>
      </w:rPr>
    </w:lvl>
    <w:lvl w:ilvl="6" w:tplc="0426000F" w:tentative="1">
      <w:start w:val="1"/>
      <w:numFmt w:val="decimal"/>
      <w:lvlText w:val="%7."/>
      <w:lvlJc w:val="left"/>
      <w:pPr>
        <w:ind w:left="5515" w:hanging="360"/>
      </w:pPr>
      <w:rPr>
        <w:rFonts w:cs="Times New Roman"/>
      </w:rPr>
    </w:lvl>
    <w:lvl w:ilvl="7" w:tplc="04260019" w:tentative="1">
      <w:start w:val="1"/>
      <w:numFmt w:val="lowerLetter"/>
      <w:lvlText w:val="%8."/>
      <w:lvlJc w:val="left"/>
      <w:pPr>
        <w:ind w:left="6235" w:hanging="360"/>
      </w:pPr>
      <w:rPr>
        <w:rFonts w:cs="Times New Roman"/>
      </w:rPr>
    </w:lvl>
    <w:lvl w:ilvl="8" w:tplc="0426001B" w:tentative="1">
      <w:start w:val="1"/>
      <w:numFmt w:val="lowerRoman"/>
      <w:lvlText w:val="%9."/>
      <w:lvlJc w:val="right"/>
      <w:pPr>
        <w:ind w:left="6955" w:hanging="180"/>
      </w:pPr>
      <w:rPr>
        <w:rFonts w:cs="Times New Roman"/>
      </w:rPr>
    </w:lvl>
  </w:abstractNum>
  <w:abstractNum w:abstractNumId="31">
    <w:nsid w:val="67C42630"/>
    <w:multiLevelType w:val="hybridMultilevel"/>
    <w:tmpl w:val="6D7CC3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6B207EBE"/>
    <w:multiLevelType w:val="hybridMultilevel"/>
    <w:tmpl w:val="41861412"/>
    <w:lvl w:ilvl="0" w:tplc="CE96F518">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33">
    <w:nsid w:val="6F887BA2"/>
    <w:multiLevelType w:val="hybridMultilevel"/>
    <w:tmpl w:val="F754EDA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70390C18"/>
    <w:multiLevelType w:val="hybridMultilevel"/>
    <w:tmpl w:val="BE3236D0"/>
    <w:lvl w:ilvl="0" w:tplc="662C4522">
      <w:start w:val="2"/>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35">
    <w:nsid w:val="711164A5"/>
    <w:multiLevelType w:val="hybridMultilevel"/>
    <w:tmpl w:val="10B8DF8A"/>
    <w:lvl w:ilvl="0" w:tplc="AEC0998C">
      <w:start w:val="1"/>
      <w:numFmt w:val="decimal"/>
      <w:lvlText w:val="%1)"/>
      <w:lvlJc w:val="left"/>
      <w:pPr>
        <w:ind w:left="1714" w:hanging="100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6">
    <w:nsid w:val="716E5AB0"/>
    <w:multiLevelType w:val="hybridMultilevel"/>
    <w:tmpl w:val="BF7CA648"/>
    <w:lvl w:ilvl="0" w:tplc="08368444">
      <w:start w:val="1"/>
      <w:numFmt w:val="decimal"/>
      <w:lvlText w:val="%1)"/>
      <w:lvlJc w:val="left"/>
      <w:pPr>
        <w:ind w:left="1196" w:hanging="360"/>
      </w:pPr>
      <w:rPr>
        <w:rFonts w:cs="Times New Roman" w:hint="default"/>
      </w:rPr>
    </w:lvl>
    <w:lvl w:ilvl="1" w:tplc="04260019" w:tentative="1">
      <w:start w:val="1"/>
      <w:numFmt w:val="lowerLetter"/>
      <w:lvlText w:val="%2."/>
      <w:lvlJc w:val="left"/>
      <w:pPr>
        <w:ind w:left="1916" w:hanging="360"/>
      </w:pPr>
      <w:rPr>
        <w:rFonts w:cs="Times New Roman"/>
      </w:rPr>
    </w:lvl>
    <w:lvl w:ilvl="2" w:tplc="0426001B" w:tentative="1">
      <w:start w:val="1"/>
      <w:numFmt w:val="lowerRoman"/>
      <w:lvlText w:val="%3."/>
      <w:lvlJc w:val="right"/>
      <w:pPr>
        <w:ind w:left="2636" w:hanging="180"/>
      </w:pPr>
      <w:rPr>
        <w:rFonts w:cs="Times New Roman"/>
      </w:rPr>
    </w:lvl>
    <w:lvl w:ilvl="3" w:tplc="0426000F" w:tentative="1">
      <w:start w:val="1"/>
      <w:numFmt w:val="decimal"/>
      <w:lvlText w:val="%4."/>
      <w:lvlJc w:val="left"/>
      <w:pPr>
        <w:ind w:left="3356" w:hanging="360"/>
      </w:pPr>
      <w:rPr>
        <w:rFonts w:cs="Times New Roman"/>
      </w:rPr>
    </w:lvl>
    <w:lvl w:ilvl="4" w:tplc="04260019" w:tentative="1">
      <w:start w:val="1"/>
      <w:numFmt w:val="lowerLetter"/>
      <w:lvlText w:val="%5."/>
      <w:lvlJc w:val="left"/>
      <w:pPr>
        <w:ind w:left="4076" w:hanging="360"/>
      </w:pPr>
      <w:rPr>
        <w:rFonts w:cs="Times New Roman"/>
      </w:rPr>
    </w:lvl>
    <w:lvl w:ilvl="5" w:tplc="0426001B" w:tentative="1">
      <w:start w:val="1"/>
      <w:numFmt w:val="lowerRoman"/>
      <w:lvlText w:val="%6."/>
      <w:lvlJc w:val="right"/>
      <w:pPr>
        <w:ind w:left="4796" w:hanging="180"/>
      </w:pPr>
      <w:rPr>
        <w:rFonts w:cs="Times New Roman"/>
      </w:rPr>
    </w:lvl>
    <w:lvl w:ilvl="6" w:tplc="0426000F" w:tentative="1">
      <w:start w:val="1"/>
      <w:numFmt w:val="decimal"/>
      <w:lvlText w:val="%7."/>
      <w:lvlJc w:val="left"/>
      <w:pPr>
        <w:ind w:left="5516" w:hanging="360"/>
      </w:pPr>
      <w:rPr>
        <w:rFonts w:cs="Times New Roman"/>
      </w:rPr>
    </w:lvl>
    <w:lvl w:ilvl="7" w:tplc="04260019" w:tentative="1">
      <w:start w:val="1"/>
      <w:numFmt w:val="lowerLetter"/>
      <w:lvlText w:val="%8."/>
      <w:lvlJc w:val="left"/>
      <w:pPr>
        <w:ind w:left="6236" w:hanging="360"/>
      </w:pPr>
      <w:rPr>
        <w:rFonts w:cs="Times New Roman"/>
      </w:rPr>
    </w:lvl>
    <w:lvl w:ilvl="8" w:tplc="0426001B" w:tentative="1">
      <w:start w:val="1"/>
      <w:numFmt w:val="lowerRoman"/>
      <w:lvlText w:val="%9."/>
      <w:lvlJc w:val="right"/>
      <w:pPr>
        <w:ind w:left="6956" w:hanging="180"/>
      </w:pPr>
      <w:rPr>
        <w:rFonts w:cs="Times New Roman"/>
      </w:rPr>
    </w:lvl>
  </w:abstractNum>
  <w:abstractNum w:abstractNumId="37">
    <w:nsid w:val="725743A4"/>
    <w:multiLevelType w:val="hybridMultilevel"/>
    <w:tmpl w:val="41861412"/>
    <w:lvl w:ilvl="0" w:tplc="CE96F518">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38">
    <w:nsid w:val="72865097"/>
    <w:multiLevelType w:val="hybridMultilevel"/>
    <w:tmpl w:val="87EE1544"/>
    <w:lvl w:ilvl="0" w:tplc="F5D0E34C">
      <w:start w:val="1"/>
      <w:numFmt w:val="decimal"/>
      <w:lvlText w:val="%1)"/>
      <w:lvlJc w:val="left"/>
      <w:pPr>
        <w:ind w:left="795" w:hanging="360"/>
      </w:pPr>
      <w:rPr>
        <w:rFonts w:cs="Times New Roman" w:hint="default"/>
      </w:rPr>
    </w:lvl>
    <w:lvl w:ilvl="1" w:tplc="04260019" w:tentative="1">
      <w:start w:val="1"/>
      <w:numFmt w:val="lowerLetter"/>
      <w:lvlText w:val="%2."/>
      <w:lvlJc w:val="left"/>
      <w:pPr>
        <w:ind w:left="1515" w:hanging="360"/>
      </w:pPr>
      <w:rPr>
        <w:rFonts w:cs="Times New Roman"/>
      </w:rPr>
    </w:lvl>
    <w:lvl w:ilvl="2" w:tplc="0426001B" w:tentative="1">
      <w:start w:val="1"/>
      <w:numFmt w:val="lowerRoman"/>
      <w:lvlText w:val="%3."/>
      <w:lvlJc w:val="right"/>
      <w:pPr>
        <w:ind w:left="2235" w:hanging="180"/>
      </w:pPr>
      <w:rPr>
        <w:rFonts w:cs="Times New Roman"/>
      </w:rPr>
    </w:lvl>
    <w:lvl w:ilvl="3" w:tplc="0426000F" w:tentative="1">
      <w:start w:val="1"/>
      <w:numFmt w:val="decimal"/>
      <w:lvlText w:val="%4."/>
      <w:lvlJc w:val="left"/>
      <w:pPr>
        <w:ind w:left="2955" w:hanging="360"/>
      </w:pPr>
      <w:rPr>
        <w:rFonts w:cs="Times New Roman"/>
      </w:rPr>
    </w:lvl>
    <w:lvl w:ilvl="4" w:tplc="04260019" w:tentative="1">
      <w:start w:val="1"/>
      <w:numFmt w:val="lowerLetter"/>
      <w:lvlText w:val="%5."/>
      <w:lvlJc w:val="left"/>
      <w:pPr>
        <w:ind w:left="3675" w:hanging="360"/>
      </w:pPr>
      <w:rPr>
        <w:rFonts w:cs="Times New Roman"/>
      </w:rPr>
    </w:lvl>
    <w:lvl w:ilvl="5" w:tplc="0426001B" w:tentative="1">
      <w:start w:val="1"/>
      <w:numFmt w:val="lowerRoman"/>
      <w:lvlText w:val="%6."/>
      <w:lvlJc w:val="right"/>
      <w:pPr>
        <w:ind w:left="4395" w:hanging="180"/>
      </w:pPr>
      <w:rPr>
        <w:rFonts w:cs="Times New Roman"/>
      </w:rPr>
    </w:lvl>
    <w:lvl w:ilvl="6" w:tplc="0426000F" w:tentative="1">
      <w:start w:val="1"/>
      <w:numFmt w:val="decimal"/>
      <w:lvlText w:val="%7."/>
      <w:lvlJc w:val="left"/>
      <w:pPr>
        <w:ind w:left="5115" w:hanging="360"/>
      </w:pPr>
      <w:rPr>
        <w:rFonts w:cs="Times New Roman"/>
      </w:rPr>
    </w:lvl>
    <w:lvl w:ilvl="7" w:tplc="04260019" w:tentative="1">
      <w:start w:val="1"/>
      <w:numFmt w:val="lowerLetter"/>
      <w:lvlText w:val="%8."/>
      <w:lvlJc w:val="left"/>
      <w:pPr>
        <w:ind w:left="5835" w:hanging="360"/>
      </w:pPr>
      <w:rPr>
        <w:rFonts w:cs="Times New Roman"/>
      </w:rPr>
    </w:lvl>
    <w:lvl w:ilvl="8" w:tplc="0426001B" w:tentative="1">
      <w:start w:val="1"/>
      <w:numFmt w:val="lowerRoman"/>
      <w:lvlText w:val="%9."/>
      <w:lvlJc w:val="right"/>
      <w:pPr>
        <w:ind w:left="6555" w:hanging="180"/>
      </w:pPr>
      <w:rPr>
        <w:rFonts w:cs="Times New Roman"/>
      </w:rPr>
    </w:lvl>
  </w:abstractNum>
  <w:abstractNum w:abstractNumId="39">
    <w:nsid w:val="7A352617"/>
    <w:multiLevelType w:val="hybridMultilevel"/>
    <w:tmpl w:val="B13A724C"/>
    <w:lvl w:ilvl="0" w:tplc="C9F08D78">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40">
    <w:nsid w:val="7B4B45E0"/>
    <w:multiLevelType w:val="hybridMultilevel"/>
    <w:tmpl w:val="41861412"/>
    <w:lvl w:ilvl="0" w:tplc="CE96F518">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41">
    <w:nsid w:val="7D341A95"/>
    <w:multiLevelType w:val="hybridMultilevel"/>
    <w:tmpl w:val="451A742A"/>
    <w:lvl w:ilvl="0" w:tplc="6C406F74">
      <w:start w:val="1"/>
      <w:numFmt w:val="decimal"/>
      <w:lvlText w:val="%1)"/>
      <w:lvlJc w:val="left"/>
      <w:pPr>
        <w:ind w:left="1053" w:hanging="360"/>
      </w:pPr>
      <w:rPr>
        <w:rFonts w:cs="Times New Roman" w:hint="default"/>
      </w:rPr>
    </w:lvl>
    <w:lvl w:ilvl="1" w:tplc="04260019" w:tentative="1">
      <w:start w:val="1"/>
      <w:numFmt w:val="lowerLetter"/>
      <w:lvlText w:val="%2."/>
      <w:lvlJc w:val="left"/>
      <w:pPr>
        <w:ind w:left="1773" w:hanging="360"/>
      </w:pPr>
      <w:rPr>
        <w:rFonts w:cs="Times New Roman"/>
      </w:rPr>
    </w:lvl>
    <w:lvl w:ilvl="2" w:tplc="0426001B" w:tentative="1">
      <w:start w:val="1"/>
      <w:numFmt w:val="lowerRoman"/>
      <w:lvlText w:val="%3."/>
      <w:lvlJc w:val="right"/>
      <w:pPr>
        <w:ind w:left="2493" w:hanging="180"/>
      </w:pPr>
      <w:rPr>
        <w:rFonts w:cs="Times New Roman"/>
      </w:rPr>
    </w:lvl>
    <w:lvl w:ilvl="3" w:tplc="0426000F" w:tentative="1">
      <w:start w:val="1"/>
      <w:numFmt w:val="decimal"/>
      <w:lvlText w:val="%4."/>
      <w:lvlJc w:val="left"/>
      <w:pPr>
        <w:ind w:left="3213" w:hanging="360"/>
      </w:pPr>
      <w:rPr>
        <w:rFonts w:cs="Times New Roman"/>
      </w:rPr>
    </w:lvl>
    <w:lvl w:ilvl="4" w:tplc="04260019" w:tentative="1">
      <w:start w:val="1"/>
      <w:numFmt w:val="lowerLetter"/>
      <w:lvlText w:val="%5."/>
      <w:lvlJc w:val="left"/>
      <w:pPr>
        <w:ind w:left="3933" w:hanging="360"/>
      </w:pPr>
      <w:rPr>
        <w:rFonts w:cs="Times New Roman"/>
      </w:rPr>
    </w:lvl>
    <w:lvl w:ilvl="5" w:tplc="0426001B" w:tentative="1">
      <w:start w:val="1"/>
      <w:numFmt w:val="lowerRoman"/>
      <w:lvlText w:val="%6."/>
      <w:lvlJc w:val="right"/>
      <w:pPr>
        <w:ind w:left="4653" w:hanging="180"/>
      </w:pPr>
      <w:rPr>
        <w:rFonts w:cs="Times New Roman"/>
      </w:rPr>
    </w:lvl>
    <w:lvl w:ilvl="6" w:tplc="0426000F" w:tentative="1">
      <w:start w:val="1"/>
      <w:numFmt w:val="decimal"/>
      <w:lvlText w:val="%7."/>
      <w:lvlJc w:val="left"/>
      <w:pPr>
        <w:ind w:left="5373" w:hanging="360"/>
      </w:pPr>
      <w:rPr>
        <w:rFonts w:cs="Times New Roman"/>
      </w:rPr>
    </w:lvl>
    <w:lvl w:ilvl="7" w:tplc="04260019" w:tentative="1">
      <w:start w:val="1"/>
      <w:numFmt w:val="lowerLetter"/>
      <w:lvlText w:val="%8."/>
      <w:lvlJc w:val="left"/>
      <w:pPr>
        <w:ind w:left="6093" w:hanging="360"/>
      </w:pPr>
      <w:rPr>
        <w:rFonts w:cs="Times New Roman"/>
      </w:rPr>
    </w:lvl>
    <w:lvl w:ilvl="8" w:tplc="0426001B" w:tentative="1">
      <w:start w:val="1"/>
      <w:numFmt w:val="lowerRoman"/>
      <w:lvlText w:val="%9."/>
      <w:lvlJc w:val="right"/>
      <w:pPr>
        <w:ind w:left="6813" w:hanging="180"/>
      </w:pPr>
      <w:rPr>
        <w:rFonts w:cs="Times New Roman"/>
      </w:rPr>
    </w:lvl>
  </w:abstractNum>
  <w:abstractNum w:abstractNumId="42">
    <w:nsid w:val="7D794F74"/>
    <w:multiLevelType w:val="hybridMultilevel"/>
    <w:tmpl w:val="73C4C79E"/>
    <w:lvl w:ilvl="0" w:tplc="04260011">
      <w:start w:val="1"/>
      <w:numFmt w:val="decimal"/>
      <w:lvlText w:val="%1)"/>
      <w:lvlJc w:val="left"/>
      <w:pPr>
        <w:ind w:left="1778" w:hanging="360"/>
      </w:pPr>
      <w:rPr>
        <w:rFonts w:cs="Times New Roman" w:hint="default"/>
      </w:rPr>
    </w:lvl>
    <w:lvl w:ilvl="1" w:tplc="04260019" w:tentative="1">
      <w:start w:val="1"/>
      <w:numFmt w:val="lowerLetter"/>
      <w:lvlText w:val="%2."/>
      <w:lvlJc w:val="left"/>
      <w:pPr>
        <w:ind w:left="2498" w:hanging="360"/>
      </w:pPr>
      <w:rPr>
        <w:rFonts w:cs="Times New Roman"/>
      </w:rPr>
    </w:lvl>
    <w:lvl w:ilvl="2" w:tplc="0426001B" w:tentative="1">
      <w:start w:val="1"/>
      <w:numFmt w:val="lowerRoman"/>
      <w:lvlText w:val="%3."/>
      <w:lvlJc w:val="right"/>
      <w:pPr>
        <w:ind w:left="3218" w:hanging="180"/>
      </w:pPr>
      <w:rPr>
        <w:rFonts w:cs="Times New Roman"/>
      </w:rPr>
    </w:lvl>
    <w:lvl w:ilvl="3" w:tplc="0426000F" w:tentative="1">
      <w:start w:val="1"/>
      <w:numFmt w:val="decimal"/>
      <w:lvlText w:val="%4."/>
      <w:lvlJc w:val="left"/>
      <w:pPr>
        <w:ind w:left="3938" w:hanging="360"/>
      </w:pPr>
      <w:rPr>
        <w:rFonts w:cs="Times New Roman"/>
      </w:rPr>
    </w:lvl>
    <w:lvl w:ilvl="4" w:tplc="04260019" w:tentative="1">
      <w:start w:val="1"/>
      <w:numFmt w:val="lowerLetter"/>
      <w:lvlText w:val="%5."/>
      <w:lvlJc w:val="left"/>
      <w:pPr>
        <w:ind w:left="4658" w:hanging="360"/>
      </w:pPr>
      <w:rPr>
        <w:rFonts w:cs="Times New Roman"/>
      </w:rPr>
    </w:lvl>
    <w:lvl w:ilvl="5" w:tplc="0426001B" w:tentative="1">
      <w:start w:val="1"/>
      <w:numFmt w:val="lowerRoman"/>
      <w:lvlText w:val="%6."/>
      <w:lvlJc w:val="right"/>
      <w:pPr>
        <w:ind w:left="5378" w:hanging="180"/>
      </w:pPr>
      <w:rPr>
        <w:rFonts w:cs="Times New Roman"/>
      </w:rPr>
    </w:lvl>
    <w:lvl w:ilvl="6" w:tplc="0426000F" w:tentative="1">
      <w:start w:val="1"/>
      <w:numFmt w:val="decimal"/>
      <w:lvlText w:val="%7."/>
      <w:lvlJc w:val="left"/>
      <w:pPr>
        <w:ind w:left="6098" w:hanging="360"/>
      </w:pPr>
      <w:rPr>
        <w:rFonts w:cs="Times New Roman"/>
      </w:rPr>
    </w:lvl>
    <w:lvl w:ilvl="7" w:tplc="04260019" w:tentative="1">
      <w:start w:val="1"/>
      <w:numFmt w:val="lowerLetter"/>
      <w:lvlText w:val="%8."/>
      <w:lvlJc w:val="left"/>
      <w:pPr>
        <w:ind w:left="6818" w:hanging="360"/>
      </w:pPr>
      <w:rPr>
        <w:rFonts w:cs="Times New Roman"/>
      </w:rPr>
    </w:lvl>
    <w:lvl w:ilvl="8" w:tplc="0426001B" w:tentative="1">
      <w:start w:val="1"/>
      <w:numFmt w:val="lowerRoman"/>
      <w:lvlText w:val="%9."/>
      <w:lvlJc w:val="right"/>
      <w:pPr>
        <w:ind w:left="7538" w:hanging="180"/>
      </w:pPr>
      <w:rPr>
        <w:rFonts w:cs="Times New Roman"/>
      </w:rPr>
    </w:lvl>
  </w:abstractNum>
  <w:abstractNum w:abstractNumId="43">
    <w:nsid w:val="7D9226FE"/>
    <w:multiLevelType w:val="hybridMultilevel"/>
    <w:tmpl w:val="9268040C"/>
    <w:lvl w:ilvl="0" w:tplc="DA36D620">
      <w:start w:val="3"/>
      <w:numFmt w:val="decimal"/>
      <w:lvlText w:val="%1."/>
      <w:lvlJc w:val="left"/>
      <w:pPr>
        <w:tabs>
          <w:tab w:val="num" w:pos="720"/>
        </w:tabs>
        <w:ind w:left="720" w:hanging="360"/>
      </w:pPr>
      <w:rPr>
        <w:rFonts w:cs="Times New Roman" w:hint="default"/>
      </w:rPr>
    </w:lvl>
    <w:lvl w:ilvl="1" w:tplc="45BEE3C8">
      <w:numFmt w:val="none"/>
      <w:lvlText w:val=""/>
      <w:lvlJc w:val="left"/>
      <w:pPr>
        <w:tabs>
          <w:tab w:val="num" w:pos="360"/>
        </w:tabs>
      </w:pPr>
      <w:rPr>
        <w:rFonts w:cs="Times New Roman"/>
      </w:rPr>
    </w:lvl>
    <w:lvl w:ilvl="2" w:tplc="1F88FB8E">
      <w:numFmt w:val="none"/>
      <w:lvlText w:val=""/>
      <w:lvlJc w:val="left"/>
      <w:pPr>
        <w:tabs>
          <w:tab w:val="num" w:pos="360"/>
        </w:tabs>
      </w:pPr>
      <w:rPr>
        <w:rFonts w:cs="Times New Roman"/>
      </w:rPr>
    </w:lvl>
    <w:lvl w:ilvl="3" w:tplc="188C20AE">
      <w:numFmt w:val="none"/>
      <w:lvlText w:val=""/>
      <w:lvlJc w:val="left"/>
      <w:pPr>
        <w:tabs>
          <w:tab w:val="num" w:pos="360"/>
        </w:tabs>
      </w:pPr>
      <w:rPr>
        <w:rFonts w:cs="Times New Roman"/>
      </w:rPr>
    </w:lvl>
    <w:lvl w:ilvl="4" w:tplc="07849364">
      <w:numFmt w:val="none"/>
      <w:lvlText w:val=""/>
      <w:lvlJc w:val="left"/>
      <w:pPr>
        <w:tabs>
          <w:tab w:val="num" w:pos="360"/>
        </w:tabs>
      </w:pPr>
      <w:rPr>
        <w:rFonts w:cs="Times New Roman"/>
      </w:rPr>
    </w:lvl>
    <w:lvl w:ilvl="5" w:tplc="FDB82DD6">
      <w:numFmt w:val="none"/>
      <w:lvlText w:val=""/>
      <w:lvlJc w:val="left"/>
      <w:pPr>
        <w:tabs>
          <w:tab w:val="num" w:pos="360"/>
        </w:tabs>
      </w:pPr>
      <w:rPr>
        <w:rFonts w:cs="Times New Roman"/>
      </w:rPr>
    </w:lvl>
    <w:lvl w:ilvl="6" w:tplc="CECAB10E">
      <w:numFmt w:val="none"/>
      <w:lvlText w:val=""/>
      <w:lvlJc w:val="left"/>
      <w:pPr>
        <w:tabs>
          <w:tab w:val="num" w:pos="360"/>
        </w:tabs>
      </w:pPr>
      <w:rPr>
        <w:rFonts w:cs="Times New Roman"/>
      </w:rPr>
    </w:lvl>
    <w:lvl w:ilvl="7" w:tplc="E0084496">
      <w:numFmt w:val="none"/>
      <w:lvlText w:val=""/>
      <w:lvlJc w:val="left"/>
      <w:pPr>
        <w:tabs>
          <w:tab w:val="num" w:pos="360"/>
        </w:tabs>
      </w:pPr>
      <w:rPr>
        <w:rFonts w:cs="Times New Roman"/>
      </w:rPr>
    </w:lvl>
    <w:lvl w:ilvl="8" w:tplc="B456E8BE">
      <w:numFmt w:val="none"/>
      <w:lvlText w:val=""/>
      <w:lvlJc w:val="left"/>
      <w:pPr>
        <w:tabs>
          <w:tab w:val="num" w:pos="360"/>
        </w:tabs>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6"/>
  </w:num>
  <w:num w:numId="8">
    <w:abstractNumId w:val="12"/>
  </w:num>
  <w:num w:numId="9">
    <w:abstractNumId w:val="10"/>
  </w:num>
  <w:num w:numId="10">
    <w:abstractNumId w:val="9"/>
  </w:num>
  <w:num w:numId="11">
    <w:abstractNumId w:val="34"/>
  </w:num>
  <w:num w:numId="12">
    <w:abstractNumId w:val="7"/>
  </w:num>
  <w:num w:numId="13">
    <w:abstractNumId w:val="11"/>
  </w:num>
  <w:num w:numId="14">
    <w:abstractNumId w:val="22"/>
  </w:num>
  <w:num w:numId="15">
    <w:abstractNumId w:val="42"/>
  </w:num>
  <w:num w:numId="16">
    <w:abstractNumId w:val="28"/>
  </w:num>
  <w:num w:numId="17">
    <w:abstractNumId w:val="21"/>
  </w:num>
  <w:num w:numId="18">
    <w:abstractNumId w:val="3"/>
  </w:num>
  <w:num w:numId="19">
    <w:abstractNumId w:val="24"/>
  </w:num>
  <w:num w:numId="20">
    <w:abstractNumId w:val="14"/>
  </w:num>
  <w:num w:numId="21">
    <w:abstractNumId w:val="35"/>
  </w:num>
  <w:num w:numId="22">
    <w:abstractNumId w:val="33"/>
  </w:num>
  <w:num w:numId="23">
    <w:abstractNumId w:val="8"/>
  </w:num>
  <w:num w:numId="24">
    <w:abstractNumId w:val="29"/>
  </w:num>
  <w:num w:numId="25">
    <w:abstractNumId w:val="41"/>
  </w:num>
  <w:num w:numId="26">
    <w:abstractNumId w:val="39"/>
  </w:num>
  <w:num w:numId="27">
    <w:abstractNumId w:val="32"/>
  </w:num>
  <w:num w:numId="28">
    <w:abstractNumId w:val="31"/>
  </w:num>
  <w:num w:numId="29">
    <w:abstractNumId w:val="20"/>
  </w:num>
  <w:num w:numId="30">
    <w:abstractNumId w:val="18"/>
  </w:num>
  <w:num w:numId="31">
    <w:abstractNumId w:val="2"/>
  </w:num>
  <w:num w:numId="32">
    <w:abstractNumId w:val="19"/>
  </w:num>
  <w:num w:numId="33">
    <w:abstractNumId w:val="40"/>
  </w:num>
  <w:num w:numId="34">
    <w:abstractNumId w:val="37"/>
  </w:num>
  <w:num w:numId="35">
    <w:abstractNumId w:val="23"/>
  </w:num>
  <w:num w:numId="36">
    <w:abstractNumId w:val="13"/>
  </w:num>
  <w:num w:numId="37">
    <w:abstractNumId w:val="17"/>
  </w:num>
  <w:num w:numId="38">
    <w:abstractNumId w:val="16"/>
  </w:num>
  <w:num w:numId="39">
    <w:abstractNumId w:val="26"/>
  </w:num>
  <w:num w:numId="40">
    <w:abstractNumId w:val="30"/>
  </w:num>
  <w:num w:numId="41">
    <w:abstractNumId w:val="3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5"/>
  </w:num>
  <w:num w:numId="45">
    <w:abstractNumId w:val="25"/>
  </w:num>
  <w:num w:numId="46">
    <w:abstractNumId w:val="38"/>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06"/>
    <w:rsid w:val="0000249B"/>
    <w:rsid w:val="000052F5"/>
    <w:rsid w:val="00017828"/>
    <w:rsid w:val="00030BAC"/>
    <w:rsid w:val="00031170"/>
    <w:rsid w:val="00033EBA"/>
    <w:rsid w:val="000350E7"/>
    <w:rsid w:val="0003637D"/>
    <w:rsid w:val="00040C06"/>
    <w:rsid w:val="00050D1D"/>
    <w:rsid w:val="00056BC9"/>
    <w:rsid w:val="00065296"/>
    <w:rsid w:val="00072A95"/>
    <w:rsid w:val="00072B35"/>
    <w:rsid w:val="00072D25"/>
    <w:rsid w:val="00073C58"/>
    <w:rsid w:val="00075C8C"/>
    <w:rsid w:val="00076B8B"/>
    <w:rsid w:val="000A5A35"/>
    <w:rsid w:val="000B0CEC"/>
    <w:rsid w:val="000D0A3B"/>
    <w:rsid w:val="000D1BAA"/>
    <w:rsid w:val="000D50CB"/>
    <w:rsid w:val="000D7206"/>
    <w:rsid w:val="000E1AC9"/>
    <w:rsid w:val="000F149F"/>
    <w:rsid w:val="000F347B"/>
    <w:rsid w:val="00107369"/>
    <w:rsid w:val="00120BAF"/>
    <w:rsid w:val="0013046D"/>
    <w:rsid w:val="00136132"/>
    <w:rsid w:val="00143D6E"/>
    <w:rsid w:val="00170300"/>
    <w:rsid w:val="001716AA"/>
    <w:rsid w:val="00181C8E"/>
    <w:rsid w:val="0018691D"/>
    <w:rsid w:val="00186928"/>
    <w:rsid w:val="0018750E"/>
    <w:rsid w:val="001953A7"/>
    <w:rsid w:val="001A2C71"/>
    <w:rsid w:val="001A55E9"/>
    <w:rsid w:val="001A56AB"/>
    <w:rsid w:val="001A5BCF"/>
    <w:rsid w:val="001B5777"/>
    <w:rsid w:val="001D6357"/>
    <w:rsid w:val="001E0E24"/>
    <w:rsid w:val="001E1797"/>
    <w:rsid w:val="001F1255"/>
    <w:rsid w:val="001F5C4D"/>
    <w:rsid w:val="002035A8"/>
    <w:rsid w:val="00224779"/>
    <w:rsid w:val="002267D5"/>
    <w:rsid w:val="002325FD"/>
    <w:rsid w:val="00232ADB"/>
    <w:rsid w:val="00263450"/>
    <w:rsid w:val="0027189E"/>
    <w:rsid w:val="00287AA0"/>
    <w:rsid w:val="002A06E7"/>
    <w:rsid w:val="002B1DF6"/>
    <w:rsid w:val="002B6231"/>
    <w:rsid w:val="002C2F48"/>
    <w:rsid w:val="002C7EA2"/>
    <w:rsid w:val="002D668A"/>
    <w:rsid w:val="002D6FA7"/>
    <w:rsid w:val="002E0C2E"/>
    <w:rsid w:val="002E15F5"/>
    <w:rsid w:val="002E3A8A"/>
    <w:rsid w:val="002E3EBF"/>
    <w:rsid w:val="002E4ABC"/>
    <w:rsid w:val="002F38E8"/>
    <w:rsid w:val="002F79A5"/>
    <w:rsid w:val="003040EC"/>
    <w:rsid w:val="00306DB1"/>
    <w:rsid w:val="00310146"/>
    <w:rsid w:val="003166C0"/>
    <w:rsid w:val="00316CE7"/>
    <w:rsid w:val="00332494"/>
    <w:rsid w:val="00332E01"/>
    <w:rsid w:val="003344B0"/>
    <w:rsid w:val="003377B1"/>
    <w:rsid w:val="003527C3"/>
    <w:rsid w:val="00356035"/>
    <w:rsid w:val="00357928"/>
    <w:rsid w:val="00370392"/>
    <w:rsid w:val="00372F85"/>
    <w:rsid w:val="0039181A"/>
    <w:rsid w:val="003A74FC"/>
    <w:rsid w:val="003B30ED"/>
    <w:rsid w:val="003C19AA"/>
    <w:rsid w:val="003C5258"/>
    <w:rsid w:val="003E37EC"/>
    <w:rsid w:val="003F0C6D"/>
    <w:rsid w:val="003F4B23"/>
    <w:rsid w:val="00401EDE"/>
    <w:rsid w:val="00405E7C"/>
    <w:rsid w:val="00406B12"/>
    <w:rsid w:val="00410D68"/>
    <w:rsid w:val="0041456D"/>
    <w:rsid w:val="00417BB6"/>
    <w:rsid w:val="0042469B"/>
    <w:rsid w:val="00424C65"/>
    <w:rsid w:val="00441E59"/>
    <w:rsid w:val="00445F28"/>
    <w:rsid w:val="004501F7"/>
    <w:rsid w:val="00454E14"/>
    <w:rsid w:val="00457CDB"/>
    <w:rsid w:val="00471207"/>
    <w:rsid w:val="00497D66"/>
    <w:rsid w:val="004A4E7B"/>
    <w:rsid w:val="004A7B7C"/>
    <w:rsid w:val="004B6FC6"/>
    <w:rsid w:val="004C0972"/>
    <w:rsid w:val="004C327F"/>
    <w:rsid w:val="004C4DA5"/>
    <w:rsid w:val="004E6DAB"/>
    <w:rsid w:val="00513027"/>
    <w:rsid w:val="005163AB"/>
    <w:rsid w:val="00521234"/>
    <w:rsid w:val="005444C1"/>
    <w:rsid w:val="00557E6F"/>
    <w:rsid w:val="00560841"/>
    <w:rsid w:val="005705D5"/>
    <w:rsid w:val="00572D14"/>
    <w:rsid w:val="00572FC3"/>
    <w:rsid w:val="00576CAE"/>
    <w:rsid w:val="00584597"/>
    <w:rsid w:val="00591B85"/>
    <w:rsid w:val="00593890"/>
    <w:rsid w:val="005946C9"/>
    <w:rsid w:val="005A1726"/>
    <w:rsid w:val="005A20FE"/>
    <w:rsid w:val="005A22AB"/>
    <w:rsid w:val="005A4E66"/>
    <w:rsid w:val="005A6A4D"/>
    <w:rsid w:val="005C7B43"/>
    <w:rsid w:val="005D7454"/>
    <w:rsid w:val="005E1796"/>
    <w:rsid w:val="005F0330"/>
    <w:rsid w:val="005F468C"/>
    <w:rsid w:val="005F4E19"/>
    <w:rsid w:val="005F6DA0"/>
    <w:rsid w:val="00600C88"/>
    <w:rsid w:val="00605624"/>
    <w:rsid w:val="0061581F"/>
    <w:rsid w:val="00623D9F"/>
    <w:rsid w:val="00630CC4"/>
    <w:rsid w:val="00633906"/>
    <w:rsid w:val="006442DC"/>
    <w:rsid w:val="00644D85"/>
    <w:rsid w:val="00656772"/>
    <w:rsid w:val="00664531"/>
    <w:rsid w:val="0068607D"/>
    <w:rsid w:val="006879C3"/>
    <w:rsid w:val="0069330F"/>
    <w:rsid w:val="006A7B46"/>
    <w:rsid w:val="006B3376"/>
    <w:rsid w:val="006B3C53"/>
    <w:rsid w:val="006C174D"/>
    <w:rsid w:val="006C3222"/>
    <w:rsid w:val="006C43FB"/>
    <w:rsid w:val="006C4DA0"/>
    <w:rsid w:val="006C565A"/>
    <w:rsid w:val="006C7890"/>
    <w:rsid w:val="006D5BA0"/>
    <w:rsid w:val="00702105"/>
    <w:rsid w:val="00705FBD"/>
    <w:rsid w:val="0071479F"/>
    <w:rsid w:val="00717EA4"/>
    <w:rsid w:val="0072327F"/>
    <w:rsid w:val="007367CB"/>
    <w:rsid w:val="00736FF5"/>
    <w:rsid w:val="007620AA"/>
    <w:rsid w:val="00762990"/>
    <w:rsid w:val="00762E81"/>
    <w:rsid w:val="0076361B"/>
    <w:rsid w:val="0076684A"/>
    <w:rsid w:val="0078465C"/>
    <w:rsid w:val="007912B7"/>
    <w:rsid w:val="00797F33"/>
    <w:rsid w:val="007A2FDB"/>
    <w:rsid w:val="007C121D"/>
    <w:rsid w:val="007C2A09"/>
    <w:rsid w:val="007D0693"/>
    <w:rsid w:val="007E171E"/>
    <w:rsid w:val="007E41DD"/>
    <w:rsid w:val="007E7CC4"/>
    <w:rsid w:val="007F5AAC"/>
    <w:rsid w:val="0080017F"/>
    <w:rsid w:val="008010E4"/>
    <w:rsid w:val="00802846"/>
    <w:rsid w:val="00837343"/>
    <w:rsid w:val="00860B7A"/>
    <w:rsid w:val="00860BD2"/>
    <w:rsid w:val="00862A42"/>
    <w:rsid w:val="00880BD8"/>
    <w:rsid w:val="008815ED"/>
    <w:rsid w:val="0088311B"/>
    <w:rsid w:val="008910B7"/>
    <w:rsid w:val="008933A0"/>
    <w:rsid w:val="008952C9"/>
    <w:rsid w:val="008B1ECF"/>
    <w:rsid w:val="008D0667"/>
    <w:rsid w:val="009159AF"/>
    <w:rsid w:val="00915A91"/>
    <w:rsid w:val="0091625F"/>
    <w:rsid w:val="0091663E"/>
    <w:rsid w:val="00916D60"/>
    <w:rsid w:val="00921F77"/>
    <w:rsid w:val="00927015"/>
    <w:rsid w:val="00932528"/>
    <w:rsid w:val="00933626"/>
    <w:rsid w:val="00936D7B"/>
    <w:rsid w:val="009400C0"/>
    <w:rsid w:val="0094048C"/>
    <w:rsid w:val="0094450B"/>
    <w:rsid w:val="00975CD1"/>
    <w:rsid w:val="00984CA0"/>
    <w:rsid w:val="00992230"/>
    <w:rsid w:val="0099619E"/>
    <w:rsid w:val="00996B6B"/>
    <w:rsid w:val="009A729B"/>
    <w:rsid w:val="009B0169"/>
    <w:rsid w:val="009C5B07"/>
    <w:rsid w:val="009E29FF"/>
    <w:rsid w:val="009F24F4"/>
    <w:rsid w:val="009F7B47"/>
    <w:rsid w:val="00A006AF"/>
    <w:rsid w:val="00A03E92"/>
    <w:rsid w:val="00A04B24"/>
    <w:rsid w:val="00A1456E"/>
    <w:rsid w:val="00A14953"/>
    <w:rsid w:val="00A34EF5"/>
    <w:rsid w:val="00A51142"/>
    <w:rsid w:val="00A57BDA"/>
    <w:rsid w:val="00A604E8"/>
    <w:rsid w:val="00A662A2"/>
    <w:rsid w:val="00A666C2"/>
    <w:rsid w:val="00A84887"/>
    <w:rsid w:val="00A9194E"/>
    <w:rsid w:val="00A9237C"/>
    <w:rsid w:val="00A957F3"/>
    <w:rsid w:val="00A96158"/>
    <w:rsid w:val="00AA2B3F"/>
    <w:rsid w:val="00AA5E8B"/>
    <w:rsid w:val="00AB4CC9"/>
    <w:rsid w:val="00AE03A7"/>
    <w:rsid w:val="00AF5A4F"/>
    <w:rsid w:val="00B00617"/>
    <w:rsid w:val="00B10DA6"/>
    <w:rsid w:val="00B13790"/>
    <w:rsid w:val="00B177E4"/>
    <w:rsid w:val="00B24A17"/>
    <w:rsid w:val="00B252C8"/>
    <w:rsid w:val="00B35AAC"/>
    <w:rsid w:val="00B37D47"/>
    <w:rsid w:val="00B45FA1"/>
    <w:rsid w:val="00B5129C"/>
    <w:rsid w:val="00B517B4"/>
    <w:rsid w:val="00B53509"/>
    <w:rsid w:val="00B612CA"/>
    <w:rsid w:val="00B61AB4"/>
    <w:rsid w:val="00B63F96"/>
    <w:rsid w:val="00B64436"/>
    <w:rsid w:val="00B64EBA"/>
    <w:rsid w:val="00B82FAA"/>
    <w:rsid w:val="00BB223D"/>
    <w:rsid w:val="00BB46BB"/>
    <w:rsid w:val="00BB5CAF"/>
    <w:rsid w:val="00BB7D06"/>
    <w:rsid w:val="00BC0265"/>
    <w:rsid w:val="00BE0EE7"/>
    <w:rsid w:val="00BF6FFF"/>
    <w:rsid w:val="00C0060B"/>
    <w:rsid w:val="00C00896"/>
    <w:rsid w:val="00C01B73"/>
    <w:rsid w:val="00C03630"/>
    <w:rsid w:val="00C06778"/>
    <w:rsid w:val="00C12F5F"/>
    <w:rsid w:val="00C234BE"/>
    <w:rsid w:val="00C33976"/>
    <w:rsid w:val="00C37260"/>
    <w:rsid w:val="00C37F85"/>
    <w:rsid w:val="00C44A83"/>
    <w:rsid w:val="00C4518A"/>
    <w:rsid w:val="00C47F0D"/>
    <w:rsid w:val="00C71286"/>
    <w:rsid w:val="00C91C99"/>
    <w:rsid w:val="00C92BAA"/>
    <w:rsid w:val="00CA3011"/>
    <w:rsid w:val="00CA6BA3"/>
    <w:rsid w:val="00CB1AD2"/>
    <w:rsid w:val="00CB65F4"/>
    <w:rsid w:val="00CB684C"/>
    <w:rsid w:val="00CD647E"/>
    <w:rsid w:val="00CE609C"/>
    <w:rsid w:val="00CE6E43"/>
    <w:rsid w:val="00CF3A44"/>
    <w:rsid w:val="00CF5A90"/>
    <w:rsid w:val="00D12D78"/>
    <w:rsid w:val="00D1324A"/>
    <w:rsid w:val="00D16EAC"/>
    <w:rsid w:val="00D22685"/>
    <w:rsid w:val="00D42302"/>
    <w:rsid w:val="00D5074F"/>
    <w:rsid w:val="00D5192A"/>
    <w:rsid w:val="00D56915"/>
    <w:rsid w:val="00D60CD1"/>
    <w:rsid w:val="00D6104D"/>
    <w:rsid w:val="00D70324"/>
    <w:rsid w:val="00D76D93"/>
    <w:rsid w:val="00D77767"/>
    <w:rsid w:val="00D86B26"/>
    <w:rsid w:val="00D87FE7"/>
    <w:rsid w:val="00DA1200"/>
    <w:rsid w:val="00DA5C6E"/>
    <w:rsid w:val="00DB073B"/>
    <w:rsid w:val="00DB325C"/>
    <w:rsid w:val="00DB61E9"/>
    <w:rsid w:val="00DC2EEC"/>
    <w:rsid w:val="00DD1EBA"/>
    <w:rsid w:val="00DD70C8"/>
    <w:rsid w:val="00DE0324"/>
    <w:rsid w:val="00DE25D9"/>
    <w:rsid w:val="00DE33E0"/>
    <w:rsid w:val="00DF7F28"/>
    <w:rsid w:val="00E1386E"/>
    <w:rsid w:val="00E140F3"/>
    <w:rsid w:val="00E24637"/>
    <w:rsid w:val="00E263E8"/>
    <w:rsid w:val="00E3438D"/>
    <w:rsid w:val="00E35762"/>
    <w:rsid w:val="00E3705C"/>
    <w:rsid w:val="00E370E5"/>
    <w:rsid w:val="00E40400"/>
    <w:rsid w:val="00E40E06"/>
    <w:rsid w:val="00E40FD4"/>
    <w:rsid w:val="00E45EC9"/>
    <w:rsid w:val="00E46906"/>
    <w:rsid w:val="00E5458B"/>
    <w:rsid w:val="00E6512F"/>
    <w:rsid w:val="00E70136"/>
    <w:rsid w:val="00E72B15"/>
    <w:rsid w:val="00E95209"/>
    <w:rsid w:val="00EA3725"/>
    <w:rsid w:val="00EA3D27"/>
    <w:rsid w:val="00EA4A7A"/>
    <w:rsid w:val="00EA74D0"/>
    <w:rsid w:val="00EB4EA2"/>
    <w:rsid w:val="00EC60BF"/>
    <w:rsid w:val="00ED1C3E"/>
    <w:rsid w:val="00EE3667"/>
    <w:rsid w:val="00EF501E"/>
    <w:rsid w:val="00F012CC"/>
    <w:rsid w:val="00F179A1"/>
    <w:rsid w:val="00F32C3A"/>
    <w:rsid w:val="00F330DD"/>
    <w:rsid w:val="00F35800"/>
    <w:rsid w:val="00F43BEF"/>
    <w:rsid w:val="00F72402"/>
    <w:rsid w:val="00F74DE7"/>
    <w:rsid w:val="00F860A3"/>
    <w:rsid w:val="00F907EC"/>
    <w:rsid w:val="00F928A9"/>
    <w:rsid w:val="00F936EF"/>
    <w:rsid w:val="00FA2370"/>
    <w:rsid w:val="00FB0D17"/>
    <w:rsid w:val="00FB1FD6"/>
    <w:rsid w:val="00FE5453"/>
    <w:rsid w:val="00FF07BE"/>
    <w:rsid w:val="00FF0988"/>
    <w:rsid w:val="00FF71D6"/>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uiPriority w:val="99"/>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99"/>
    <w:qFormat/>
    <w:rsid w:val="000D7206"/>
    <w:pPr>
      <w:ind w:left="720"/>
      <w:contextualSpacing/>
    </w:pPr>
  </w:style>
  <w:style w:type="paragraph" w:customStyle="1" w:styleId="naisf">
    <w:name w:val="naisf"/>
    <w:basedOn w:val="Normal"/>
    <w:uiPriority w:val="99"/>
    <w:rsid w:val="000D7206"/>
    <w:pPr>
      <w:spacing w:before="75" w:after="75"/>
      <w:ind w:firstLine="375"/>
      <w:jc w:val="both"/>
    </w:pPr>
  </w:style>
  <w:style w:type="paragraph" w:styleId="CommentText">
    <w:name w:val="annotation text"/>
    <w:basedOn w:val="Normal"/>
    <w:link w:val="CommentTextChar"/>
    <w:uiPriority w:val="99"/>
    <w:rsid w:val="000D7206"/>
    <w:rPr>
      <w:sz w:val="20"/>
      <w:szCs w:val="20"/>
    </w:rPr>
  </w:style>
  <w:style w:type="character" w:customStyle="1" w:styleId="CommentTextChar">
    <w:name w:val="Comment Text Char"/>
    <w:link w:val="CommentText"/>
    <w:uiPriority w:val="99"/>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uiPriority w:val="99"/>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uiPriority w:val="99"/>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character" w:customStyle="1" w:styleId="msoins0">
    <w:name w:val="msoins"/>
    <w:basedOn w:val="DefaultParagraphFont"/>
    <w:rsid w:val="00F907EC"/>
  </w:style>
  <w:style w:type="paragraph" w:styleId="BodyText">
    <w:name w:val="Body Text"/>
    <w:basedOn w:val="Normal"/>
    <w:link w:val="BodyTextChar"/>
    <w:uiPriority w:val="99"/>
    <w:rsid w:val="00916D6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916D60"/>
    <w:rPr>
      <w:rFonts w:ascii="Times New Roman" w:eastAsia="Nimbus Sans L" w:hAnsi="Times New Roman" w:cs="Nimbus Sans L"/>
      <w:kern w:val="1"/>
      <w:sz w:val="28"/>
      <w:szCs w:val="24"/>
      <w:lang w:val="en-US" w:eastAsia="hi-IN" w:bidi="hi-IN"/>
    </w:rPr>
  </w:style>
  <w:style w:type="character" w:styleId="FootnoteReference">
    <w:name w:val="footnote reference"/>
    <w:basedOn w:val="DefaultParagraphFont"/>
    <w:uiPriority w:val="99"/>
    <w:semiHidden/>
    <w:unhideWhenUsed/>
    <w:rsid w:val="00CE60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uiPriority w:val="99"/>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99"/>
    <w:qFormat/>
    <w:rsid w:val="000D7206"/>
    <w:pPr>
      <w:ind w:left="720"/>
      <w:contextualSpacing/>
    </w:pPr>
  </w:style>
  <w:style w:type="paragraph" w:customStyle="1" w:styleId="naisf">
    <w:name w:val="naisf"/>
    <w:basedOn w:val="Normal"/>
    <w:uiPriority w:val="99"/>
    <w:rsid w:val="000D7206"/>
    <w:pPr>
      <w:spacing w:before="75" w:after="75"/>
      <w:ind w:firstLine="375"/>
      <w:jc w:val="both"/>
    </w:pPr>
  </w:style>
  <w:style w:type="paragraph" w:styleId="CommentText">
    <w:name w:val="annotation text"/>
    <w:basedOn w:val="Normal"/>
    <w:link w:val="CommentTextChar"/>
    <w:uiPriority w:val="99"/>
    <w:rsid w:val="000D7206"/>
    <w:rPr>
      <w:sz w:val="20"/>
      <w:szCs w:val="20"/>
    </w:rPr>
  </w:style>
  <w:style w:type="character" w:customStyle="1" w:styleId="CommentTextChar">
    <w:name w:val="Comment Text Char"/>
    <w:link w:val="CommentText"/>
    <w:uiPriority w:val="99"/>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uiPriority w:val="99"/>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uiPriority w:val="99"/>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character" w:customStyle="1" w:styleId="msoins0">
    <w:name w:val="msoins"/>
    <w:basedOn w:val="DefaultParagraphFont"/>
    <w:rsid w:val="00F907EC"/>
  </w:style>
  <w:style w:type="paragraph" w:styleId="BodyText">
    <w:name w:val="Body Text"/>
    <w:basedOn w:val="Normal"/>
    <w:link w:val="BodyTextChar"/>
    <w:uiPriority w:val="99"/>
    <w:rsid w:val="00916D6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916D60"/>
    <w:rPr>
      <w:rFonts w:ascii="Times New Roman" w:eastAsia="Nimbus Sans L" w:hAnsi="Times New Roman" w:cs="Nimbus Sans L"/>
      <w:kern w:val="1"/>
      <w:sz w:val="28"/>
      <w:szCs w:val="24"/>
      <w:lang w:val="en-US" w:eastAsia="hi-IN" w:bidi="hi-IN"/>
    </w:rPr>
  </w:style>
  <w:style w:type="character" w:styleId="FootnoteReference">
    <w:name w:val="footnote reference"/>
    <w:basedOn w:val="DefaultParagraphFont"/>
    <w:uiPriority w:val="99"/>
    <w:semiHidden/>
    <w:unhideWhenUsed/>
    <w:rsid w:val="00CE6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9819">
      <w:bodyDiv w:val="1"/>
      <w:marLeft w:val="0"/>
      <w:marRight w:val="0"/>
      <w:marTop w:val="0"/>
      <w:marBottom w:val="0"/>
      <w:divBdr>
        <w:top w:val="none" w:sz="0" w:space="0" w:color="auto"/>
        <w:left w:val="none" w:sz="0" w:space="0" w:color="auto"/>
        <w:bottom w:val="none" w:sz="0" w:space="0" w:color="auto"/>
        <w:right w:val="none" w:sz="0" w:space="0" w:color="auto"/>
      </w:divBdr>
      <w:divsChild>
        <w:div w:id="550963836">
          <w:marLeft w:val="0"/>
          <w:marRight w:val="0"/>
          <w:marTop w:val="0"/>
          <w:marBottom w:val="0"/>
          <w:divBdr>
            <w:top w:val="none" w:sz="0" w:space="0" w:color="auto"/>
            <w:left w:val="single" w:sz="18" w:space="5" w:color="FFFFFF"/>
            <w:bottom w:val="none" w:sz="0" w:space="0" w:color="auto"/>
            <w:right w:val="single" w:sz="18" w:space="5" w:color="FFFFFF"/>
          </w:divBdr>
          <w:divsChild>
            <w:div w:id="425882539">
              <w:marLeft w:val="300"/>
              <w:marRight w:val="225"/>
              <w:marTop w:val="0"/>
              <w:marBottom w:val="0"/>
              <w:divBdr>
                <w:top w:val="none" w:sz="0" w:space="0" w:color="auto"/>
                <w:left w:val="none" w:sz="0" w:space="0" w:color="auto"/>
                <w:bottom w:val="none" w:sz="0" w:space="0" w:color="auto"/>
                <w:right w:val="none" w:sz="0" w:space="0" w:color="auto"/>
              </w:divBdr>
              <w:divsChild>
                <w:div w:id="14143536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965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3701-E352-484A-9356-427086B5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18024</Words>
  <Characters>10274</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nodokļiem un nodevām””</vt:lpstr>
      <vt:lpstr/>
    </vt:vector>
  </TitlesOfParts>
  <Company>IeM</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nodokļiem un nodevām””</dc:title>
  <dc:subject/>
  <dc:creator>Kārlis Piģēns</dc:creator>
  <cp:keywords/>
  <dc:description>Kārlis Piģēns, 67013133</dc:description>
  <cp:lastModifiedBy>PigensK</cp:lastModifiedBy>
  <cp:revision>54</cp:revision>
  <cp:lastPrinted>2013-09-12T12:05:00Z</cp:lastPrinted>
  <dcterms:created xsi:type="dcterms:W3CDTF">2013-09-02T11:03:00Z</dcterms:created>
  <dcterms:modified xsi:type="dcterms:W3CDTF">2013-09-12T12:42:00Z</dcterms:modified>
</cp:coreProperties>
</file>