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D0" w:rsidRPr="009C58D5" w:rsidRDefault="002071EE" w:rsidP="008D1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OLE_LINK3"/>
      <w:bookmarkStart w:id="1" w:name="OLE_LINK4"/>
      <w:bookmarkStart w:id="2" w:name="OLE_LINK1"/>
      <w:bookmarkStart w:id="3" w:name="OLE_LINK2"/>
      <w:r w:rsidRPr="00CA5A7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Noteikumu projekta</w:t>
      </w:r>
      <w:r w:rsidR="008D13D0" w:rsidRPr="009C58D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</w:t>
      </w:r>
      <w:r w:rsidR="00CA5A71" w:rsidRPr="00CA5A7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Grozījumi </w:t>
      </w:r>
      <w:r w:rsidR="00CA5A71" w:rsidRPr="004646FA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Ministru kabineta </w:t>
      </w:r>
      <w:r w:rsidR="00CA5A71" w:rsidRPr="004646FA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201</w:t>
      </w:r>
      <w:r w:rsidR="00CA5A71" w:rsidRPr="00CA5A71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0</w:t>
      </w:r>
      <w:r w:rsidR="00CA5A71" w:rsidRPr="004646FA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.gada 2</w:t>
      </w:r>
      <w:r w:rsidR="00CA5A71" w:rsidRPr="00CA5A71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8</w:t>
      </w:r>
      <w:r w:rsidR="00CA5A71" w:rsidRPr="004646FA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</w:t>
      </w:r>
      <w:r w:rsidR="00CA5A71" w:rsidRPr="00CA5A71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decembra</w:t>
      </w:r>
      <w:r w:rsidR="00CA5A71" w:rsidRPr="004646FA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noteikum</w:t>
      </w:r>
      <w:r w:rsidR="00CA5A71" w:rsidRPr="00CA5A71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os </w:t>
      </w:r>
      <w:r w:rsidR="00CA5A71" w:rsidRPr="004646FA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Nr.</w:t>
      </w:r>
      <w:r w:rsidR="00CA5A71" w:rsidRPr="00CA5A71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1219</w:t>
      </w:r>
      <w:r w:rsidR="00CA5A71" w:rsidRPr="004646FA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„</w:t>
      </w:r>
      <w:r w:rsidR="00CA5A71" w:rsidRPr="00CA5A71">
        <w:rPr>
          <w:rFonts w:ascii="Times New Roman" w:hAnsi="Times New Roman" w:cs="Times New Roman"/>
          <w:b/>
          <w:sz w:val="26"/>
          <w:szCs w:val="26"/>
        </w:rPr>
        <w:t>Noteikumi par patērētāja kreditēšanu</w:t>
      </w:r>
      <w:r w:rsidR="00CA5A71" w:rsidRPr="004646FA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”</w:t>
      </w:r>
      <w:r w:rsidR="008D13D0" w:rsidRPr="009C58D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” </w:t>
      </w:r>
      <w:bookmarkEnd w:id="0"/>
      <w:bookmarkEnd w:id="1"/>
      <w:r w:rsidR="008D13D0" w:rsidRPr="009C58D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sākotnējās ietekmes novērtējuma ziņojums</w:t>
      </w:r>
      <w:bookmarkEnd w:id="2"/>
      <w:bookmarkEnd w:id="3"/>
    </w:p>
    <w:p w:rsidR="008D13D0" w:rsidRPr="009C58D5" w:rsidRDefault="008D13D0" w:rsidP="008D13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C58D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(anotācija)</w:t>
      </w:r>
    </w:p>
    <w:p w:rsidR="008D13D0" w:rsidRPr="009C58D5" w:rsidRDefault="008D13D0" w:rsidP="008D13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XSpec="center" w:tblpY="149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1435"/>
        <w:gridCol w:w="7560"/>
      </w:tblGrid>
      <w:tr w:rsidR="008D13D0" w:rsidRPr="009C58D5" w:rsidTr="001042F0">
        <w:tc>
          <w:tcPr>
            <w:tcW w:w="9480" w:type="dxa"/>
            <w:gridSpan w:val="3"/>
            <w:vAlign w:val="center"/>
          </w:tcPr>
          <w:p w:rsidR="008D13D0" w:rsidRPr="009C58D5" w:rsidRDefault="008D13D0" w:rsidP="0010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8D13D0" w:rsidRPr="009C58D5" w:rsidTr="001042F0">
        <w:trPr>
          <w:trHeight w:val="630"/>
        </w:trPr>
        <w:tc>
          <w:tcPr>
            <w:tcW w:w="485" w:type="dxa"/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35" w:type="dxa"/>
          </w:tcPr>
          <w:p w:rsidR="008D13D0" w:rsidRPr="009C58D5" w:rsidRDefault="008D13D0" w:rsidP="001042F0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7560" w:type="dxa"/>
          </w:tcPr>
          <w:p w:rsidR="008D13D0" w:rsidRPr="009C58D5" w:rsidRDefault="00B66218" w:rsidP="009D1C41">
            <w:pPr>
              <w:spacing w:after="0" w:line="240" w:lineRule="auto"/>
              <w:ind w:right="115" w:firstLine="49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B66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Noteikumu projekts sagatavots pēc Ekonomikas ministrijas iniciatīvas, lai novērstu praksē konstatētās problēmas </w:t>
            </w:r>
            <w:r w:rsidRPr="004646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Ministru kabineta </w:t>
            </w:r>
            <w:r w:rsidRPr="004646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201</w:t>
            </w:r>
            <w:r w:rsidRPr="00353E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0</w:t>
            </w:r>
            <w:r w:rsidRPr="004646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.gada 2</w:t>
            </w:r>
            <w:r w:rsidRPr="00353E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8</w:t>
            </w:r>
            <w:r w:rsidRPr="004646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.</w:t>
            </w:r>
            <w:r w:rsidRPr="00353E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decembra</w:t>
            </w:r>
            <w:r w:rsidRPr="004646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 noteikum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u</w:t>
            </w:r>
            <w:r w:rsidRPr="004646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Nr.</w:t>
            </w:r>
            <w:r w:rsidRPr="00353E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1219</w:t>
            </w:r>
            <w:r w:rsidRPr="004646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 „</w:t>
            </w:r>
            <w:r w:rsidRPr="00353EAE">
              <w:rPr>
                <w:rFonts w:ascii="Times New Roman" w:hAnsi="Times New Roman" w:cs="Times New Roman"/>
                <w:sz w:val="26"/>
                <w:szCs w:val="26"/>
              </w:rPr>
              <w:t>Noteikumi par patērētāja kreditēšanu</w:t>
            </w:r>
            <w:r w:rsidRPr="004646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  <w:r w:rsidR="001E75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(tālāk tekstā – Noteikumi)</w:t>
            </w:r>
            <w:r w:rsidR="001979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piemērošanā un veicinātu </w:t>
            </w:r>
            <w:r w:rsidR="009D1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patērētāju</w:t>
            </w:r>
            <w:r w:rsidR="001979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kreditēšanas tirgus sakārtošanu.</w:t>
            </w:r>
          </w:p>
        </w:tc>
      </w:tr>
      <w:tr w:rsidR="008D13D0" w:rsidRPr="009C58D5" w:rsidTr="001042F0">
        <w:trPr>
          <w:trHeight w:val="472"/>
        </w:trPr>
        <w:tc>
          <w:tcPr>
            <w:tcW w:w="485" w:type="dxa"/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35" w:type="dxa"/>
          </w:tcPr>
          <w:p w:rsidR="008D13D0" w:rsidRPr="009C58D5" w:rsidRDefault="008D13D0" w:rsidP="001042F0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</w:t>
            </w:r>
          </w:p>
        </w:tc>
        <w:tc>
          <w:tcPr>
            <w:tcW w:w="7560" w:type="dxa"/>
          </w:tcPr>
          <w:p w:rsidR="00FE3108" w:rsidRPr="00D34387" w:rsidRDefault="008D13D0" w:rsidP="00D34387">
            <w:pPr>
              <w:spacing w:after="0" w:line="240" w:lineRule="auto"/>
              <w:ind w:right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      </w:t>
            </w:r>
            <w:r w:rsidR="001E758E" w:rsidRPr="00433F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Noteikumu </w:t>
            </w:r>
            <w:r w:rsidR="001E758E" w:rsidRPr="00433F0C">
              <w:rPr>
                <w:rFonts w:ascii="Times New Roman" w:hAnsi="Times New Roman" w:cs="Times New Roman"/>
                <w:sz w:val="28"/>
                <w:szCs w:val="28"/>
              </w:rPr>
              <w:t xml:space="preserve">3.7.apakšpunkts paredz, ka Noteikumus  nepiemēro attiecībā uz </w:t>
            </w:r>
            <w:r w:rsidR="001E758E" w:rsidRPr="00433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kreditēšanas līgumiem, ar kuriem saskaņā kredīts tiek piešķirts, nemaksājot procentu likmi un citus papildu maksājumus. </w:t>
            </w:r>
            <w:r w:rsidR="00433F0C" w:rsidRPr="00433F0C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="001E758E" w:rsidRPr="00433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atērētāju kreditēšanas tirgū plaši tiek reklamēti </w:t>
            </w:r>
            <w:r w:rsidR="00433F0C">
              <w:rPr>
                <w:rFonts w:ascii="Times New Roman" w:eastAsia="Calibri" w:hAnsi="Times New Roman" w:cs="Times New Roman"/>
                <w:sz w:val="28"/>
                <w:szCs w:val="28"/>
              </w:rPr>
              <w:t>patērētāju</w:t>
            </w:r>
            <w:r w:rsidR="00433F0C" w:rsidRPr="00433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kreditēšanas pakalpojumi, kas aicina patērētājus pirmo kredītu saņemt</w:t>
            </w:r>
            <w:r w:rsidR="0007437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33F0C" w:rsidRPr="00433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nemaksājot procentus un citus papildu maksājumus.</w:t>
            </w:r>
            <w:r w:rsidR="00433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21F9E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="00621F9E" w:rsidRPr="00705F90">
              <w:rPr>
                <w:rFonts w:ascii="Times New Roman" w:hAnsi="Times New Roman" w:cs="Times New Roman"/>
                <w:sz w:val="28"/>
                <w:szCs w:val="28"/>
              </w:rPr>
              <w:t>arādos nonākošo patērētāju</w:t>
            </w:r>
            <w:r w:rsidR="00621F9E">
              <w:rPr>
                <w:rFonts w:ascii="Times New Roman" w:hAnsi="Times New Roman" w:cs="Times New Roman"/>
                <w:sz w:val="28"/>
                <w:szCs w:val="28"/>
              </w:rPr>
              <w:t xml:space="preserve"> skaits (33% no kopējo saistību apjoma ātrajiem kredītiem</w:t>
            </w:r>
            <w:r w:rsidR="005877B4">
              <w:rPr>
                <w:rFonts w:ascii="Times New Roman" w:hAnsi="Times New Roman" w:cs="Times New Roman"/>
                <w:sz w:val="28"/>
                <w:szCs w:val="28"/>
              </w:rPr>
              <w:t xml:space="preserve"> pēc Patērētāju tiesību aizsardzības centra datiem</w:t>
            </w:r>
            <w:r w:rsidR="00621F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21F9E" w:rsidRPr="00705F90">
              <w:rPr>
                <w:rFonts w:ascii="Times New Roman" w:hAnsi="Times New Roman" w:cs="Times New Roman"/>
                <w:sz w:val="28"/>
                <w:szCs w:val="28"/>
              </w:rPr>
              <w:t xml:space="preserve"> liecina par to, ka patērētājiem trūkst speciālo zināšanu patērētāju kreditēšanas pakalpojumu izmantošanā un tie </w:t>
            </w:r>
            <w:r w:rsidR="00074375">
              <w:rPr>
                <w:rFonts w:ascii="Times New Roman" w:hAnsi="Times New Roman" w:cs="Times New Roman"/>
                <w:sz w:val="28"/>
                <w:szCs w:val="28"/>
              </w:rPr>
              <w:t xml:space="preserve">pilnībā </w:t>
            </w:r>
            <w:r w:rsidR="00621F9E" w:rsidRPr="00705F90">
              <w:rPr>
                <w:rFonts w:ascii="Times New Roman" w:hAnsi="Times New Roman" w:cs="Times New Roman"/>
                <w:sz w:val="28"/>
                <w:szCs w:val="28"/>
              </w:rPr>
              <w:t>neapzinās no kreditēšanas līguma izrietošās sekas</w:t>
            </w:r>
            <w:r w:rsidR="00621F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3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Tā kā </w:t>
            </w:r>
            <w:r w:rsidR="002A7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šādi produkti </w:t>
            </w:r>
            <w:r w:rsidR="00433F0C">
              <w:rPr>
                <w:rFonts w:ascii="Times New Roman" w:eastAsia="Calibri" w:hAnsi="Times New Roman" w:cs="Times New Roman"/>
                <w:sz w:val="28"/>
                <w:szCs w:val="28"/>
              </w:rPr>
              <w:t>piesaista liel</w:t>
            </w:r>
            <w:r w:rsidR="002A7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u </w:t>
            </w:r>
            <w:r w:rsidR="00433F0C">
              <w:rPr>
                <w:rFonts w:ascii="Times New Roman" w:eastAsia="Calibri" w:hAnsi="Times New Roman" w:cs="Times New Roman"/>
                <w:sz w:val="28"/>
                <w:szCs w:val="28"/>
              </w:rPr>
              <w:t>skait</w:t>
            </w:r>
            <w:r w:rsidR="002A7055">
              <w:rPr>
                <w:rFonts w:ascii="Times New Roman" w:eastAsia="Calibri" w:hAnsi="Times New Roman" w:cs="Times New Roman"/>
                <w:sz w:val="28"/>
                <w:szCs w:val="28"/>
              </w:rPr>
              <w:t>u</w:t>
            </w:r>
            <w:r w:rsidR="00433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patērētāju kredītu pakalpojumu izmantošanai</w:t>
            </w:r>
            <w:r w:rsidR="0094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7055">
              <w:rPr>
                <w:rFonts w:ascii="Times New Roman" w:eastAsia="Calibri" w:hAnsi="Times New Roman" w:cs="Times New Roman"/>
                <w:sz w:val="28"/>
                <w:szCs w:val="28"/>
              </w:rPr>
              <w:t>atkārtoti</w:t>
            </w:r>
            <w:r w:rsidR="004521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un var veicināt bezatbildīgu aizņemšanos</w:t>
            </w:r>
            <w:r w:rsidR="0007437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A7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521CF">
              <w:rPr>
                <w:rFonts w:ascii="Times New Roman" w:eastAsia="Calibri" w:hAnsi="Times New Roman" w:cs="Times New Roman"/>
                <w:sz w:val="28"/>
                <w:szCs w:val="28"/>
              </w:rPr>
              <w:t>Noteikumu prasību kreditēšanas pakalpojumu</w:t>
            </w:r>
            <w:r w:rsidR="00946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521CF">
              <w:rPr>
                <w:rFonts w:ascii="Times New Roman" w:eastAsia="Calibri" w:hAnsi="Times New Roman" w:cs="Times New Roman"/>
                <w:sz w:val="28"/>
                <w:szCs w:val="28"/>
              </w:rPr>
              <w:t>rek</w:t>
            </w:r>
            <w:r w:rsidR="00074375">
              <w:rPr>
                <w:rFonts w:ascii="Times New Roman" w:eastAsia="Calibri" w:hAnsi="Times New Roman" w:cs="Times New Roman"/>
                <w:sz w:val="28"/>
                <w:szCs w:val="28"/>
              </w:rPr>
              <w:t>lāmai būtu vienlīdz attiecināma</w:t>
            </w:r>
            <w:r w:rsidR="004521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arī uz šādiem kredīta līgumiem.</w:t>
            </w:r>
            <w:r w:rsidR="00433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C95691" w:rsidRPr="00C3783B" w:rsidRDefault="00C3783B" w:rsidP="0021191A">
            <w:pPr>
              <w:spacing w:after="0" w:line="240" w:lineRule="auto"/>
              <w:ind w:right="115"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Saskaņā ar Noteikumu 11.punkta regulējumu patērētāju kreditēšanas reklāmā ir aizliegts veicināt bezatbildīgu aizņem</w:t>
            </w:r>
            <w:r w:rsidR="009B5CD3">
              <w:rPr>
                <w:rFonts w:ascii="Times New Roman" w:hAnsi="Times New Roman" w:cs="Times New Roman"/>
                <w:sz w:val="28"/>
                <w:szCs w:val="28"/>
              </w:rPr>
              <w:t>šanos, taču p</w:t>
            </w:r>
            <w:r w:rsidR="00B61A10">
              <w:rPr>
                <w:rFonts w:ascii="Times New Roman" w:hAnsi="Times New Roman" w:cs="Times New Roman"/>
                <w:sz w:val="28"/>
                <w:szCs w:val="28"/>
              </w:rPr>
              <w:t>ašreizējais regulējums</w:t>
            </w:r>
            <w:r w:rsidR="009B5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5CD3">
              <w:rPr>
                <w:rFonts w:ascii="Times New Roman" w:hAnsi="Times New Roman" w:cs="Times New Roman"/>
                <w:sz w:val="28"/>
                <w:szCs w:val="28"/>
              </w:rPr>
              <w:t>detalizētāk</w:t>
            </w:r>
            <w:proofErr w:type="spellEnd"/>
            <w:r w:rsidR="009B5CD3">
              <w:rPr>
                <w:rFonts w:ascii="Times New Roman" w:hAnsi="Times New Roman" w:cs="Times New Roman"/>
                <w:sz w:val="28"/>
                <w:szCs w:val="28"/>
              </w:rPr>
              <w:t xml:space="preserve"> neatklāj pašas normas saturu</w:t>
            </w:r>
            <w:r w:rsidR="00621F9E">
              <w:rPr>
                <w:rFonts w:ascii="Times New Roman" w:hAnsi="Times New Roman" w:cs="Times New Roman"/>
                <w:sz w:val="28"/>
                <w:szCs w:val="28"/>
              </w:rPr>
              <w:t xml:space="preserve">, kas liedz efektīvi izmantot šo normu. </w:t>
            </w:r>
            <w:r w:rsidR="00621F9E" w:rsidRPr="00705F90">
              <w:rPr>
                <w:rFonts w:ascii="Times New Roman" w:hAnsi="Times New Roman" w:cs="Times New Roman"/>
                <w:sz w:val="28"/>
                <w:szCs w:val="28"/>
              </w:rPr>
              <w:t xml:space="preserve">Patērētāju kreditēšanas reklāmas, kas aicina iesaistīt kreditēšanas pakalpojumu izmantošanā draugus, apgalvo, ka kreditēšanas pakalpojumu izmantošana ir bezrūpīga vai piedāvā saņemt dažādus labumus (koncertu biļetes, picas, </w:t>
            </w:r>
            <w:proofErr w:type="spellStart"/>
            <w:r w:rsidR="00621F9E" w:rsidRPr="00705F90">
              <w:rPr>
                <w:rFonts w:ascii="Times New Roman" w:hAnsi="Times New Roman" w:cs="Times New Roman"/>
                <w:sz w:val="28"/>
                <w:szCs w:val="28"/>
              </w:rPr>
              <w:t>u.tml</w:t>
            </w:r>
            <w:proofErr w:type="spellEnd"/>
            <w:r w:rsidR="00621F9E" w:rsidRPr="00705F90">
              <w:rPr>
                <w:rFonts w:ascii="Times New Roman" w:hAnsi="Times New Roman" w:cs="Times New Roman"/>
                <w:sz w:val="28"/>
                <w:szCs w:val="28"/>
              </w:rPr>
              <w:t xml:space="preserve">. labumus), apzināti mudina patērētāju izmantot patērētāju kreditēšanas pakalpojumus </w:t>
            </w:r>
            <w:r w:rsidR="00621F9E" w:rsidRPr="00705F90">
              <w:rPr>
                <w:rFonts w:ascii="Times New Roman" w:hAnsi="Times New Roman" w:cs="Times New Roman"/>
                <w:bCs/>
                <w:sz w:val="28"/>
                <w:szCs w:val="28"/>
              </w:rPr>
              <w:t>(aizņemties) bezatbildīgi</w:t>
            </w:r>
            <w:r w:rsidR="00621F9E" w:rsidRPr="00705F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1F9E">
              <w:rPr>
                <w:rFonts w:ascii="Times New Roman" w:hAnsi="Times New Roman" w:cs="Times New Roman"/>
                <w:sz w:val="28"/>
                <w:szCs w:val="28"/>
              </w:rPr>
              <w:t>Lai nodrošinātu šī normas efektīvāku piemērošanu</w:t>
            </w:r>
            <w:r w:rsidR="00074375">
              <w:rPr>
                <w:rFonts w:ascii="Times New Roman" w:hAnsi="Times New Roman" w:cs="Times New Roman"/>
                <w:sz w:val="28"/>
                <w:szCs w:val="28"/>
              </w:rPr>
              <w:t>, bezatbildīg</w:t>
            </w:r>
            <w:r w:rsidR="00907D9D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074375">
              <w:rPr>
                <w:rFonts w:ascii="Times New Roman" w:hAnsi="Times New Roman" w:cs="Times New Roman"/>
                <w:sz w:val="28"/>
                <w:szCs w:val="28"/>
              </w:rPr>
              <w:t xml:space="preserve"> aizņ</w:t>
            </w:r>
            <w:r w:rsidR="00621F9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074375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621F9E">
              <w:rPr>
                <w:rFonts w:ascii="Times New Roman" w:hAnsi="Times New Roman" w:cs="Times New Roman"/>
                <w:sz w:val="28"/>
                <w:szCs w:val="28"/>
              </w:rPr>
              <w:t>šanās jēdziens  normat</w:t>
            </w:r>
            <w:r w:rsidR="00CA5FB8">
              <w:rPr>
                <w:rFonts w:ascii="Times New Roman" w:hAnsi="Times New Roman" w:cs="Times New Roman"/>
                <w:sz w:val="28"/>
                <w:szCs w:val="28"/>
              </w:rPr>
              <w:t xml:space="preserve">īvajā aktā būtu skaidrojams </w:t>
            </w:r>
            <w:proofErr w:type="spellStart"/>
            <w:r w:rsidR="00CA5FB8">
              <w:rPr>
                <w:rFonts w:ascii="Times New Roman" w:hAnsi="Times New Roman" w:cs="Times New Roman"/>
                <w:sz w:val="28"/>
                <w:szCs w:val="28"/>
              </w:rPr>
              <w:t>detalizētāk</w:t>
            </w:r>
            <w:proofErr w:type="spellEnd"/>
            <w:r w:rsidR="00CA5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5FB8">
              <w:rPr>
                <w:rFonts w:ascii="Times New Roman" w:hAnsi="Times New Roman" w:cs="Times New Roman"/>
                <w:sz w:val="28"/>
                <w:szCs w:val="28"/>
              </w:rPr>
              <w:t>t.sk</w:t>
            </w:r>
            <w:proofErr w:type="spellEnd"/>
            <w:r w:rsidR="00CA5FB8">
              <w:rPr>
                <w:rFonts w:ascii="Times New Roman" w:hAnsi="Times New Roman" w:cs="Times New Roman"/>
                <w:sz w:val="28"/>
                <w:szCs w:val="28"/>
              </w:rPr>
              <w:t>. norādot gadījumus, kad reklāma</w:t>
            </w:r>
            <w:r w:rsidR="00074375">
              <w:rPr>
                <w:rFonts w:ascii="Times New Roman" w:hAnsi="Times New Roman" w:cs="Times New Roman"/>
                <w:sz w:val="28"/>
                <w:szCs w:val="28"/>
              </w:rPr>
              <w:t xml:space="preserve"> jebkurā gadījumā</w:t>
            </w:r>
            <w:r w:rsidR="00CA5FB8">
              <w:rPr>
                <w:rFonts w:ascii="Times New Roman" w:hAnsi="Times New Roman" w:cs="Times New Roman"/>
                <w:sz w:val="28"/>
                <w:szCs w:val="28"/>
              </w:rPr>
              <w:t xml:space="preserve"> būtu uzskatāma par bezatbildīg</w:t>
            </w:r>
            <w:r w:rsidR="001979F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CA5FB8">
              <w:rPr>
                <w:rFonts w:ascii="Times New Roman" w:hAnsi="Times New Roman" w:cs="Times New Roman"/>
                <w:sz w:val="28"/>
                <w:szCs w:val="28"/>
              </w:rPr>
              <w:t xml:space="preserve"> aizņemšan</w:t>
            </w:r>
            <w:r w:rsidR="001979F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CA5FB8">
              <w:rPr>
                <w:rFonts w:ascii="Times New Roman" w:hAnsi="Times New Roman" w:cs="Times New Roman"/>
                <w:sz w:val="28"/>
                <w:szCs w:val="28"/>
              </w:rPr>
              <w:t>s veicinošu.</w:t>
            </w:r>
            <w:r w:rsidR="00621F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D13D0" w:rsidRPr="009C58D5" w:rsidRDefault="008D13D0" w:rsidP="001042F0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8D13D0" w:rsidRPr="009C58D5" w:rsidTr="001042F0">
        <w:trPr>
          <w:trHeight w:val="530"/>
        </w:trPr>
        <w:tc>
          <w:tcPr>
            <w:tcW w:w="485" w:type="dxa"/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435" w:type="dxa"/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7560" w:type="dxa"/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 attiecināms.</w:t>
            </w:r>
          </w:p>
        </w:tc>
      </w:tr>
      <w:tr w:rsidR="008D13D0" w:rsidRPr="009C58D5" w:rsidTr="001042F0">
        <w:trPr>
          <w:trHeight w:val="384"/>
        </w:trPr>
        <w:tc>
          <w:tcPr>
            <w:tcW w:w="485" w:type="dxa"/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35" w:type="dxa"/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7560" w:type="dxa"/>
          </w:tcPr>
          <w:p w:rsidR="00B02F78" w:rsidRDefault="00CA5A71" w:rsidP="00B02F78">
            <w:pPr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Noteikumu </w:t>
            </w:r>
            <w:r w:rsidR="00B02F78">
              <w:rPr>
                <w:rFonts w:ascii="Times New Roman" w:hAnsi="Times New Roman" w:cs="Times New Roman"/>
                <w:sz w:val="28"/>
                <w:szCs w:val="28"/>
              </w:rPr>
              <w:t xml:space="preserve">projekts izstrādāts, lai nodrošinātu </w:t>
            </w:r>
            <w:r w:rsidR="001979FB">
              <w:rPr>
                <w:rFonts w:ascii="Times New Roman" w:hAnsi="Times New Roman" w:cs="Times New Roman"/>
                <w:sz w:val="28"/>
                <w:szCs w:val="28"/>
              </w:rPr>
              <w:t>stingrākus</w:t>
            </w:r>
            <w:r w:rsidR="00B02F78">
              <w:rPr>
                <w:rFonts w:ascii="Times New Roman" w:hAnsi="Times New Roman" w:cs="Times New Roman"/>
                <w:sz w:val="28"/>
                <w:szCs w:val="28"/>
              </w:rPr>
              <w:t xml:space="preserve"> noteikumus attiecībā uz patērētāju kreditēšanas reklāmu,  mazinātu spontānas un bezatbildīgas aizņemšanās risku un nodrošinātu efektīvāk</w:t>
            </w:r>
            <w:r w:rsidR="001979F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B02F78">
              <w:rPr>
                <w:rFonts w:ascii="Times New Roman" w:hAnsi="Times New Roman" w:cs="Times New Roman"/>
                <w:sz w:val="28"/>
                <w:szCs w:val="28"/>
              </w:rPr>
              <w:t xml:space="preserve"> patērētāju kreditēšanas reklāmas uzraudzību.</w:t>
            </w:r>
          </w:p>
          <w:p w:rsidR="0021191A" w:rsidRDefault="00B02F78" w:rsidP="009952A4">
            <w:pPr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Grozījums Noteikumu </w:t>
            </w:r>
            <w:r w:rsidR="00CA5A71">
              <w:rPr>
                <w:rFonts w:ascii="Times New Roman" w:hAnsi="Times New Roman" w:cs="Times New Roman"/>
                <w:sz w:val="28"/>
                <w:szCs w:val="28"/>
              </w:rPr>
              <w:t>3.7.apakšpunktā izstrādāt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A5A71">
              <w:rPr>
                <w:rFonts w:ascii="Times New Roman" w:hAnsi="Times New Roman" w:cs="Times New Roman"/>
                <w:sz w:val="28"/>
                <w:szCs w:val="28"/>
              </w:rPr>
              <w:t xml:space="preserve">, lai attiecinātu bezatbildīgas aizņemšanās veicināšanas reklāmas regulējumu uz patērētāju kreditēšanas līgumiem, </w:t>
            </w:r>
            <w:r w:rsidR="00CA5A71" w:rsidRPr="00433F0C">
              <w:rPr>
                <w:rFonts w:ascii="Times New Roman" w:eastAsia="Calibri" w:hAnsi="Times New Roman" w:cs="Times New Roman"/>
                <w:sz w:val="28"/>
                <w:szCs w:val="28"/>
              </w:rPr>
              <w:t>ar kuriem saskaņā kredīts tiek piešķirts, nemaksājot procentu likmi un citus papildu maksājumus.</w:t>
            </w:r>
            <w:r w:rsidR="00CA5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Šāds regulējums </w:t>
            </w:r>
            <w:r w:rsidR="001042F0">
              <w:rPr>
                <w:rFonts w:ascii="Times New Roman" w:eastAsia="Calibri" w:hAnsi="Times New Roman" w:cs="Times New Roman"/>
                <w:sz w:val="28"/>
                <w:szCs w:val="28"/>
              </w:rPr>
              <w:t>nodrošinās vienlīdzīgākus</w:t>
            </w:r>
            <w:r w:rsidR="00CA5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04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reklāmas pasniegšanas apstākļus patērētāju kreditēšanas pakalpojumu sniedzējiem un </w:t>
            </w:r>
            <w:r w:rsidR="001979FB">
              <w:rPr>
                <w:rFonts w:ascii="Times New Roman" w:eastAsia="Calibri" w:hAnsi="Times New Roman" w:cs="Times New Roman"/>
                <w:sz w:val="28"/>
                <w:szCs w:val="28"/>
              </w:rPr>
              <w:t>mazinās bezatbildīgas aizņemšanā</w:t>
            </w:r>
            <w:r w:rsidR="001042F0">
              <w:rPr>
                <w:rFonts w:ascii="Times New Roman" w:eastAsia="Calibri" w:hAnsi="Times New Roman" w:cs="Times New Roman"/>
                <w:sz w:val="28"/>
                <w:szCs w:val="28"/>
              </w:rPr>
              <w:t>s iespējas riskus.</w:t>
            </w:r>
          </w:p>
          <w:p w:rsidR="00B02F78" w:rsidRPr="00907D9D" w:rsidRDefault="00B02F78" w:rsidP="009A03F0">
            <w:pPr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Grozījum</w:t>
            </w:r>
            <w:r w:rsidR="00D60A2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Noteikumu </w:t>
            </w:r>
            <w:r w:rsidR="00D60A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.punktā izstrādāts</w:t>
            </w:r>
            <w:r w:rsidR="00D60A28">
              <w:rPr>
                <w:rFonts w:ascii="Times New Roman" w:hAnsi="Times New Roman" w:cs="Times New Roman"/>
                <w:sz w:val="28"/>
                <w:szCs w:val="28"/>
              </w:rPr>
              <w:t xml:space="preserve">, lai  nodrošinātu reklāmas, kas veicina bezatbildīgu aizņemšanos regulējuma efektīvāku piemērošanu, </w:t>
            </w:r>
            <w:proofErr w:type="spellStart"/>
            <w:r w:rsidR="00D60A28">
              <w:rPr>
                <w:rFonts w:ascii="Times New Roman" w:hAnsi="Times New Roman" w:cs="Times New Roman"/>
                <w:sz w:val="28"/>
                <w:szCs w:val="28"/>
              </w:rPr>
              <w:t>t.sk</w:t>
            </w:r>
            <w:proofErr w:type="spellEnd"/>
            <w:r w:rsidR="00D60A28">
              <w:rPr>
                <w:rFonts w:ascii="Times New Roman" w:hAnsi="Times New Roman" w:cs="Times New Roman"/>
                <w:sz w:val="28"/>
                <w:szCs w:val="28"/>
              </w:rPr>
              <w:t xml:space="preserve">. nosakot gadījumus kuros reklāma jebkurā gadījumā ir uzskatāma par tādu, kas veicina bezatbildīgu aizņemšanos. </w:t>
            </w:r>
            <w:r w:rsidR="00C41E72" w:rsidRPr="00907D9D">
              <w:rPr>
                <w:rFonts w:ascii="Times New Roman" w:hAnsi="Times New Roman" w:cs="Times New Roman"/>
                <w:sz w:val="28"/>
                <w:szCs w:val="28"/>
              </w:rPr>
              <w:t>Regulējumā iestrādātās reklāmas</w:t>
            </w:r>
            <w:r w:rsidR="00D60A28" w:rsidRPr="00907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E72" w:rsidRPr="00907D9D">
              <w:rPr>
                <w:rFonts w:ascii="Times New Roman" w:hAnsi="Times New Roman" w:cs="Times New Roman"/>
                <w:bCs/>
                <w:sz w:val="28"/>
                <w:szCs w:val="28"/>
              </w:rPr>
              <w:t>neitralitātes</w:t>
            </w:r>
            <w:r w:rsidR="00D60A28" w:rsidRPr="00907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41E72" w:rsidRPr="00907D9D">
              <w:rPr>
                <w:rFonts w:ascii="Times New Roman" w:hAnsi="Times New Roman" w:cs="Times New Roman"/>
                <w:bCs/>
                <w:sz w:val="28"/>
                <w:szCs w:val="28"/>
              </w:rPr>
              <w:t>objektivitātes</w:t>
            </w:r>
            <w:r w:rsidR="00D60A28" w:rsidRPr="00907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un paties</w:t>
            </w:r>
            <w:r w:rsidR="00C41E72" w:rsidRPr="00907D9D">
              <w:rPr>
                <w:rFonts w:ascii="Times New Roman" w:hAnsi="Times New Roman" w:cs="Times New Roman"/>
                <w:bCs/>
                <w:sz w:val="28"/>
                <w:szCs w:val="28"/>
              </w:rPr>
              <w:t>uma mērauklas, nodrošinās vispusīgākas informācijas saņemšanu par reklāmā piedāvāto patērētāja kreditēšanas pakalpojumu.</w:t>
            </w:r>
            <w:r w:rsidR="00D60A28" w:rsidRPr="00907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0A28" w:rsidRPr="00907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3D0" w:rsidRPr="009C58D5" w:rsidRDefault="008D13D0" w:rsidP="001042F0">
            <w:pPr>
              <w:spacing w:after="0" w:line="240" w:lineRule="auto"/>
              <w:ind w:left="70" w:righ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8D13D0" w:rsidRPr="009C58D5" w:rsidTr="001042F0">
        <w:trPr>
          <w:trHeight w:val="476"/>
        </w:trPr>
        <w:tc>
          <w:tcPr>
            <w:tcW w:w="485" w:type="dxa"/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35" w:type="dxa"/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7560" w:type="dxa"/>
          </w:tcPr>
          <w:p w:rsidR="00946408" w:rsidRPr="00946408" w:rsidRDefault="00946408" w:rsidP="00946408">
            <w:pPr>
              <w:spacing w:after="0" w:line="240" w:lineRule="auto"/>
              <w:ind w:right="113" w:firstLine="35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9464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Ar 2013.gada 5.februāra ekonomikas ministra rīkojumu Nr.29 „Par darba grupas izveidi patērētāju kreditēšanas jomas regulējuma pilnveidei” tika izveidota darba grupa, kuras sastāvā tika iekļauti pārstāvji no Ekonomikas ministrija</w:t>
            </w:r>
            <w:r w:rsidR="00907D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s</w:t>
            </w:r>
            <w:r w:rsidRPr="009464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, Finanšu ministrijas, Valsts ieņēmumu dienesta, Patērētāju tiesību aizsardzības centra, Latvijas Bankas, Finanšu un kapitāla tirgus komisijas, </w:t>
            </w:r>
            <w:r w:rsidRPr="0094640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Latvijas </w:t>
            </w:r>
            <w:proofErr w:type="spellStart"/>
            <w:r w:rsidRPr="0094640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Nebanku</w:t>
            </w:r>
            <w:proofErr w:type="spellEnd"/>
            <w:r w:rsidRPr="0094640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94640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Kred</w:t>
            </w:r>
            <w:r w:rsidR="00907D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ītdevēju</w:t>
            </w:r>
            <w:proofErr w:type="spellEnd"/>
            <w:r w:rsidR="00907D9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asociācijas, Latvijas K</w:t>
            </w:r>
            <w:r w:rsidRPr="0094640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omercbanku asociācijas, Latvijas Hipotekāro </w:t>
            </w:r>
            <w:proofErr w:type="spellStart"/>
            <w:r w:rsidRPr="0094640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nebanku</w:t>
            </w:r>
            <w:proofErr w:type="spellEnd"/>
            <w:r w:rsidRPr="0094640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aizdevēju asociācijas, Latvijas Līzinga devēju asociācijas, Latvijas Lombardu asociācijas, Latvijas Patērētāju interešu aizstāvības asociācijas, Latvijas Kredītņēmēju asociācijas, Latvijas Darba devēju konfederācijas.</w:t>
            </w:r>
            <w:r w:rsidRPr="009464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 Darba grupas ietvaros Ekonomikas ministrija sagatavoja noteikumu projektu. </w:t>
            </w:r>
            <w:r w:rsidR="006219B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Noteikumu projekts tika </w:t>
            </w:r>
            <w:r w:rsidRPr="0094640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skaņots ar </w:t>
            </w:r>
            <w:r w:rsidRPr="009464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 </w:t>
            </w:r>
            <w:r w:rsidRPr="0094640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darba grupu, kuras locekļi pārstāv gan nozari, gan patērētājus. </w:t>
            </w:r>
          </w:p>
          <w:p w:rsidR="008D13D0" w:rsidRPr="009C58D5" w:rsidRDefault="008D13D0" w:rsidP="0094640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D13D0" w:rsidRPr="009C58D5" w:rsidTr="001042F0">
        <w:trPr>
          <w:trHeight w:val="1340"/>
        </w:trPr>
        <w:tc>
          <w:tcPr>
            <w:tcW w:w="485" w:type="dxa"/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6.</w:t>
            </w:r>
          </w:p>
        </w:tc>
        <w:tc>
          <w:tcPr>
            <w:tcW w:w="1435" w:type="dxa"/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7560" w:type="dxa"/>
          </w:tcPr>
          <w:p w:rsidR="00946408" w:rsidRPr="00946408" w:rsidRDefault="00946408" w:rsidP="00946408">
            <w:pPr>
              <w:spacing w:after="0" w:line="240" w:lineRule="auto"/>
              <w:ind w:right="115" w:firstLine="49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</w:pPr>
            <w:r w:rsidRPr="0094640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Noteikumu projekts </w:t>
            </w:r>
            <w:r w:rsidR="004D642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izstrādāts un skaņots</w:t>
            </w:r>
            <w:r w:rsidRPr="0094640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ar </w:t>
            </w:r>
            <w:r w:rsidRPr="009464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 2013.gada 5.februāra ekonomikas ministra rīkojumu Nr.29 „Par darba grupas izveidi patērētāju kreditēšanas jomas </w:t>
            </w:r>
            <w:r w:rsidR="004D64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regulējuma pilnveidei” izveidotās</w:t>
            </w:r>
            <w:r w:rsidRPr="009464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 </w:t>
            </w:r>
            <w:r w:rsidRPr="0094640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darba grup</w:t>
            </w:r>
            <w:r w:rsidR="004D642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as</w:t>
            </w:r>
            <w:r w:rsidRPr="0094640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locekļi</w:t>
            </w:r>
            <w:r w:rsidR="00C567C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em, kas</w:t>
            </w:r>
            <w:r w:rsidRPr="0094640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pārstāv gan nozari, gan patērētājus. Darba grupas locekļu izteiktie viedokļi tika izvērtēti </w:t>
            </w:r>
            <w:r w:rsidR="004D642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un iespēju robežās ņemti vērā </w:t>
            </w:r>
            <w:r w:rsidRPr="0094640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projekta izstrādes gaitā. </w:t>
            </w:r>
          </w:p>
          <w:p w:rsidR="008D13D0" w:rsidRPr="009C58D5" w:rsidRDefault="008D13D0" w:rsidP="001042F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D13D0" w:rsidRPr="009C58D5" w:rsidTr="001042F0">
        <w:tc>
          <w:tcPr>
            <w:tcW w:w="485" w:type="dxa"/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435" w:type="dxa"/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7560" w:type="dxa"/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Nav </w:t>
            </w:r>
          </w:p>
        </w:tc>
      </w:tr>
    </w:tbl>
    <w:p w:rsidR="008D13D0" w:rsidRPr="009C58D5" w:rsidRDefault="008D13D0" w:rsidP="008D13D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tbl>
      <w:tblPr>
        <w:tblW w:w="5201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2819"/>
        <w:gridCol w:w="6096"/>
      </w:tblGrid>
      <w:tr w:rsidR="008D13D0" w:rsidRPr="009C58D5" w:rsidTr="001042F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:rsidR="008D13D0" w:rsidRPr="009C58D5" w:rsidRDefault="008D13D0" w:rsidP="0010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 Tiesību akta projekta ietekme uz sabiedrību</w:t>
            </w:r>
          </w:p>
        </w:tc>
      </w:tr>
      <w:tr w:rsidR="008D13D0" w:rsidRPr="009C58D5" w:rsidTr="001042F0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Sabiedrības </w:t>
            </w:r>
            <w:proofErr w:type="spellStart"/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mērķgrupa</w:t>
            </w:r>
            <w:proofErr w:type="spellEnd"/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0D24" w:rsidRPr="005A0D24" w:rsidRDefault="008D13D0" w:rsidP="005A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5A0D24" w:rsidRPr="00946408">
              <w:rPr>
                <w:rFonts w:ascii="Times New Roman" w:hAnsi="Times New Roman" w:cs="Times New Roman"/>
                <w:sz w:val="28"/>
                <w:szCs w:val="28"/>
              </w:rPr>
              <w:t>Patērētāju kreditēšanas pakalpojumu sniedzēji</w:t>
            </w:r>
            <w:r w:rsidR="005A0D24">
              <w:rPr>
                <w:rFonts w:ascii="Times New Roman" w:hAnsi="Times New Roman" w:cs="Times New Roman"/>
                <w:sz w:val="28"/>
                <w:szCs w:val="28"/>
              </w:rPr>
              <w:t xml:space="preserve"> (bankas un nebanku patērētāju kreditēšanas pakalpojumu sniedzēji).</w:t>
            </w:r>
          </w:p>
        </w:tc>
      </w:tr>
      <w:tr w:rsidR="008D13D0" w:rsidRPr="009C58D5" w:rsidTr="001042F0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Citas sabiedrības grupas (bez </w:t>
            </w:r>
            <w:proofErr w:type="spellStart"/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mērķgrupas</w:t>
            </w:r>
            <w:proofErr w:type="spellEnd"/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), kuras tiesiskais regulējums arī ietekmē vai varētu ietekmēt</w:t>
            </w:r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13D0" w:rsidRPr="00B317CF" w:rsidRDefault="008D13D0" w:rsidP="00A5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</w:t>
            </w:r>
            <w:r w:rsidR="00B317CF" w:rsidRPr="00B317CF">
              <w:rPr>
                <w:rFonts w:ascii="Times New Roman" w:hAnsi="Times New Roman" w:cs="Times New Roman"/>
                <w:sz w:val="28"/>
                <w:szCs w:val="28"/>
              </w:rPr>
              <w:t xml:space="preserve">Patērētāji, kas izmanto vai </w:t>
            </w:r>
            <w:r w:rsidR="00A525DC">
              <w:rPr>
                <w:rFonts w:ascii="Times New Roman" w:hAnsi="Times New Roman" w:cs="Times New Roman"/>
                <w:sz w:val="28"/>
                <w:szCs w:val="28"/>
              </w:rPr>
              <w:t>varētu</w:t>
            </w:r>
            <w:r w:rsidR="00B317CF" w:rsidRPr="00B317CF">
              <w:rPr>
                <w:rFonts w:ascii="Times New Roman" w:hAnsi="Times New Roman" w:cs="Times New Roman"/>
                <w:sz w:val="28"/>
                <w:szCs w:val="28"/>
              </w:rPr>
              <w:t xml:space="preserve"> izmantot patērētāju kreditēšanas pakalpojumus (~ 2</w:t>
            </w:r>
            <w:r w:rsidR="00A231A0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  <w:r w:rsidR="00B317CF" w:rsidRPr="00B317CF">
              <w:rPr>
                <w:rFonts w:ascii="Times New Roman" w:hAnsi="Times New Roman" w:cs="Times New Roman"/>
                <w:sz w:val="28"/>
                <w:szCs w:val="28"/>
              </w:rPr>
              <w:t xml:space="preserve"> Latvijas iedzīvotāju). </w:t>
            </w:r>
            <w:r w:rsidRPr="00B317C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8D13D0" w:rsidRPr="009C58D5" w:rsidTr="001042F0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finansiālā ietekme</w:t>
            </w:r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31A0" w:rsidRDefault="005877B4" w:rsidP="005877B4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</w:t>
            </w:r>
            <w:r w:rsidR="00A231A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Reklāmas satura ierobežojumu rezultāta varētu nākties pārstrādāt jau esošās reklāmas, kas varētu radīt papildus izdevumus.</w:t>
            </w:r>
          </w:p>
          <w:p w:rsidR="00382D48" w:rsidRDefault="00382D48" w:rsidP="001042F0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Noteikumu projektam nav tiešas finansiālās ietekmes uz patērētāju.</w:t>
            </w:r>
          </w:p>
          <w:p w:rsidR="008D13D0" w:rsidRPr="009C58D5" w:rsidRDefault="008D13D0" w:rsidP="00A231A0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D13D0" w:rsidRPr="009C58D5" w:rsidTr="001042F0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nefinansiālā ietekme</w:t>
            </w:r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13D0" w:rsidRPr="00D85B45" w:rsidRDefault="00B207F1" w:rsidP="0083569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85B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Noteikumu projekta</w:t>
            </w:r>
            <w:r w:rsidR="008D13D0" w:rsidRPr="00D85B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pieņemšana veicinās </w:t>
            </w:r>
            <w:r w:rsidRPr="00D85B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patērētāju tiesību aizsardzību</w:t>
            </w:r>
            <w:r w:rsidR="00D85B45" w:rsidRPr="00D85B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</w:t>
            </w:r>
            <w:r w:rsidR="00D85B45" w:rsidRPr="00D85B45">
              <w:rPr>
                <w:rFonts w:ascii="Times New Roman" w:hAnsi="Times New Roman" w:cs="Times New Roman"/>
                <w:sz w:val="28"/>
                <w:szCs w:val="28"/>
              </w:rPr>
              <w:t xml:space="preserve"> mazinās bezatbildīgu aizņemšanos, tādējādi potenciāli samazinot mājsaimniecību parāda slogu</w:t>
            </w:r>
            <w:r w:rsidR="00D257C8" w:rsidRPr="00D85B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  </w:t>
            </w:r>
            <w:r w:rsidR="00EC3179" w:rsidRPr="00D85B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</w:t>
            </w:r>
          </w:p>
          <w:p w:rsidR="00B207F1" w:rsidRDefault="00B207F1" w:rsidP="001042F0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Noteikumu projekts</w:t>
            </w:r>
            <w:r w:rsidR="008D13D0"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veicinās objektīvāku patērētāja kreditēšanas pakalpojum</w:t>
            </w:r>
            <w:r w:rsidR="00282B4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atspoguļošanu reklāmās.</w:t>
            </w:r>
          </w:p>
          <w:p w:rsidR="008D13D0" w:rsidRPr="009C58D5" w:rsidRDefault="008D13D0" w:rsidP="00B207F1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D13D0" w:rsidRPr="009C58D5" w:rsidTr="001042F0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Administratīvās procedūras raksturojums</w:t>
            </w:r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13D0" w:rsidRPr="009C58D5" w:rsidRDefault="008D09CC" w:rsidP="008D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8D13D0" w:rsidRPr="009C58D5" w:rsidTr="001042F0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13D0" w:rsidRPr="009C58D5" w:rsidRDefault="008D09CC" w:rsidP="008D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</w:t>
            </w:r>
            <w:r w:rsidR="008D13D0" w:rsidRPr="009C5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 </w:t>
            </w:r>
          </w:p>
        </w:tc>
      </w:tr>
      <w:tr w:rsidR="008D13D0" w:rsidRPr="009C58D5" w:rsidTr="001042F0"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13D0" w:rsidRPr="009C58D5" w:rsidRDefault="008D13D0" w:rsidP="0010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8D13D0" w:rsidRPr="00131FF1" w:rsidRDefault="008D13D0" w:rsidP="008D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131F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131FF1" w:rsidRPr="00131FF1">
        <w:rPr>
          <w:rFonts w:ascii="Times New Roman" w:hAnsi="Times New Roman" w:cs="Times New Roman"/>
          <w:sz w:val="26"/>
          <w:szCs w:val="26"/>
        </w:rPr>
        <w:t>Anotācijas III., IV., V. un VI. sadaļa – projekts šīs jomas neskar.</w:t>
      </w:r>
    </w:p>
    <w:p w:rsidR="008D13D0" w:rsidRPr="009C58D5" w:rsidRDefault="008D13D0" w:rsidP="00E91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C58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 xml:space="preserve">   </w:t>
      </w:r>
    </w:p>
    <w:tbl>
      <w:tblPr>
        <w:tblW w:w="9565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3057"/>
        <w:gridCol w:w="5958"/>
      </w:tblGrid>
      <w:tr w:rsidR="008D13D0" w:rsidRPr="009C58D5" w:rsidTr="001042F0">
        <w:trPr>
          <w:jc w:val="center"/>
        </w:trPr>
        <w:tc>
          <w:tcPr>
            <w:tcW w:w="9565" w:type="dxa"/>
            <w:gridSpan w:val="3"/>
            <w:tcBorders>
              <w:top w:val="single" w:sz="4" w:space="0" w:color="auto"/>
            </w:tcBorders>
          </w:tcPr>
          <w:p w:rsidR="008D13D0" w:rsidRPr="009C58D5" w:rsidRDefault="008D13D0" w:rsidP="001042F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8D13D0" w:rsidRPr="009C58D5" w:rsidTr="001042F0">
        <w:trPr>
          <w:trHeight w:val="427"/>
          <w:jc w:val="center"/>
        </w:trPr>
        <w:tc>
          <w:tcPr>
            <w:tcW w:w="550" w:type="dxa"/>
          </w:tcPr>
          <w:p w:rsidR="008D13D0" w:rsidRPr="009C58D5" w:rsidRDefault="008D13D0" w:rsidP="001042F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057" w:type="dxa"/>
          </w:tcPr>
          <w:p w:rsidR="008D13D0" w:rsidRPr="009C58D5" w:rsidRDefault="008D13D0" w:rsidP="001042F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Projekta izpildē iesaistītās institūcijas </w:t>
            </w:r>
          </w:p>
        </w:tc>
        <w:tc>
          <w:tcPr>
            <w:tcW w:w="5958" w:type="dxa"/>
          </w:tcPr>
          <w:p w:rsidR="008D13D0" w:rsidRPr="009C58D5" w:rsidRDefault="008D13D0" w:rsidP="001042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Projekta izpildi nodrošina Patērētāju tiesību aizsardzības centrs.</w:t>
            </w:r>
          </w:p>
        </w:tc>
      </w:tr>
      <w:tr w:rsidR="008D13D0" w:rsidRPr="009C58D5" w:rsidTr="001042F0">
        <w:trPr>
          <w:trHeight w:val="463"/>
          <w:jc w:val="center"/>
        </w:trPr>
        <w:tc>
          <w:tcPr>
            <w:tcW w:w="550" w:type="dxa"/>
          </w:tcPr>
          <w:p w:rsidR="008D13D0" w:rsidRPr="009C58D5" w:rsidRDefault="008D13D0" w:rsidP="001042F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057" w:type="dxa"/>
          </w:tcPr>
          <w:p w:rsidR="008D13D0" w:rsidRPr="009C58D5" w:rsidRDefault="008D13D0" w:rsidP="001042F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Projekta izpildes ietekme uz pārvaldes funkcijām </w:t>
            </w:r>
          </w:p>
        </w:tc>
        <w:tc>
          <w:tcPr>
            <w:tcW w:w="5958" w:type="dxa"/>
          </w:tcPr>
          <w:p w:rsidR="008D13D0" w:rsidRPr="009C58D5" w:rsidRDefault="008D13D0" w:rsidP="001042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Nav attiecināms.</w:t>
            </w:r>
          </w:p>
        </w:tc>
      </w:tr>
      <w:tr w:rsidR="008D13D0" w:rsidRPr="009C58D5" w:rsidTr="001042F0">
        <w:trPr>
          <w:trHeight w:val="725"/>
          <w:jc w:val="center"/>
        </w:trPr>
        <w:tc>
          <w:tcPr>
            <w:tcW w:w="550" w:type="dxa"/>
          </w:tcPr>
          <w:p w:rsidR="008D13D0" w:rsidRPr="009C58D5" w:rsidRDefault="008D13D0" w:rsidP="001042F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057" w:type="dxa"/>
          </w:tcPr>
          <w:p w:rsidR="008D13D0" w:rsidRPr="009C58D5" w:rsidRDefault="008D13D0" w:rsidP="001042F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</w:t>
            </w:r>
          </w:p>
          <w:p w:rsidR="008D13D0" w:rsidRPr="009C58D5" w:rsidRDefault="008D13D0" w:rsidP="001042F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Jaunu institūciju izveide</w:t>
            </w:r>
          </w:p>
        </w:tc>
        <w:tc>
          <w:tcPr>
            <w:tcW w:w="5958" w:type="dxa"/>
          </w:tcPr>
          <w:p w:rsidR="008D13D0" w:rsidRPr="009C58D5" w:rsidRDefault="008D13D0" w:rsidP="001042F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neparedz veidot jaunas valsts institūcijas.</w:t>
            </w:r>
          </w:p>
        </w:tc>
      </w:tr>
      <w:tr w:rsidR="008D13D0" w:rsidRPr="009C58D5" w:rsidTr="001042F0">
        <w:trPr>
          <w:trHeight w:val="780"/>
          <w:jc w:val="center"/>
        </w:trPr>
        <w:tc>
          <w:tcPr>
            <w:tcW w:w="550" w:type="dxa"/>
          </w:tcPr>
          <w:p w:rsidR="008D13D0" w:rsidRPr="009C58D5" w:rsidRDefault="008D13D0" w:rsidP="001042F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3057" w:type="dxa"/>
          </w:tcPr>
          <w:p w:rsidR="008D13D0" w:rsidRPr="009C58D5" w:rsidRDefault="008D13D0" w:rsidP="001042F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</w:t>
            </w:r>
          </w:p>
          <w:p w:rsidR="008D13D0" w:rsidRPr="009C58D5" w:rsidRDefault="008D13D0" w:rsidP="001042F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Esošu institūciju likvidācija</w:t>
            </w:r>
          </w:p>
        </w:tc>
        <w:tc>
          <w:tcPr>
            <w:tcW w:w="5958" w:type="dxa"/>
          </w:tcPr>
          <w:p w:rsidR="008D13D0" w:rsidRPr="009C58D5" w:rsidRDefault="008D13D0" w:rsidP="001042F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Nav attiecināms.</w:t>
            </w:r>
          </w:p>
        </w:tc>
      </w:tr>
      <w:tr w:rsidR="008D13D0" w:rsidRPr="009C58D5" w:rsidTr="001042F0">
        <w:trPr>
          <w:trHeight w:val="703"/>
          <w:jc w:val="center"/>
        </w:trPr>
        <w:tc>
          <w:tcPr>
            <w:tcW w:w="550" w:type="dxa"/>
          </w:tcPr>
          <w:p w:rsidR="008D13D0" w:rsidRPr="009C58D5" w:rsidRDefault="008D13D0" w:rsidP="001042F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3057" w:type="dxa"/>
          </w:tcPr>
          <w:p w:rsidR="008D13D0" w:rsidRPr="009C58D5" w:rsidRDefault="008D13D0" w:rsidP="001042F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institucionālo struktūru.</w:t>
            </w:r>
          </w:p>
          <w:p w:rsidR="008D13D0" w:rsidRPr="009C58D5" w:rsidRDefault="008D13D0" w:rsidP="001042F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Esošu institūciju reorganizācija</w:t>
            </w:r>
          </w:p>
        </w:tc>
        <w:tc>
          <w:tcPr>
            <w:tcW w:w="5958" w:type="dxa"/>
          </w:tcPr>
          <w:p w:rsidR="008D13D0" w:rsidRPr="009C58D5" w:rsidRDefault="008D13D0" w:rsidP="001042F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Nav attiecināms.</w:t>
            </w:r>
          </w:p>
        </w:tc>
      </w:tr>
      <w:tr w:rsidR="008D13D0" w:rsidRPr="009C58D5" w:rsidTr="001042F0">
        <w:trPr>
          <w:trHeight w:val="476"/>
          <w:jc w:val="center"/>
        </w:trPr>
        <w:tc>
          <w:tcPr>
            <w:tcW w:w="550" w:type="dxa"/>
          </w:tcPr>
          <w:p w:rsidR="008D13D0" w:rsidRPr="009C58D5" w:rsidRDefault="008D13D0" w:rsidP="001042F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3057" w:type="dxa"/>
          </w:tcPr>
          <w:p w:rsidR="008D13D0" w:rsidRPr="009C58D5" w:rsidRDefault="008D13D0" w:rsidP="001042F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5958" w:type="dxa"/>
          </w:tcPr>
          <w:p w:rsidR="008D13D0" w:rsidRPr="009C58D5" w:rsidRDefault="008D13D0" w:rsidP="001042F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C58D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8D13D0" w:rsidRPr="009C58D5" w:rsidRDefault="008D13D0" w:rsidP="008D1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91A68" w:rsidRDefault="00E91A68" w:rsidP="008D1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91A68" w:rsidRPr="00E91A68" w:rsidRDefault="00E91A68" w:rsidP="00755787">
      <w:pPr>
        <w:tabs>
          <w:tab w:val="left" w:pos="6804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1A68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E91A6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E91A68">
        <w:rPr>
          <w:rFonts w:ascii="Times New Roman" w:eastAsia="Times New Roman" w:hAnsi="Times New Roman" w:cs="Times New Roman"/>
          <w:sz w:val="28"/>
          <w:szCs w:val="28"/>
          <w:lang w:eastAsia="lv-LV"/>
        </w:rPr>
        <w:t>D.Pavļuts</w:t>
      </w:r>
      <w:proofErr w:type="spellEnd"/>
    </w:p>
    <w:p w:rsidR="00E91A68" w:rsidRPr="00E91A68" w:rsidRDefault="00E91A68" w:rsidP="00E91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E91A68" w:rsidRPr="00E91A68" w:rsidRDefault="00E91A68" w:rsidP="00E91A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91A6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Iesniedzējs:</w:t>
      </w:r>
    </w:p>
    <w:p w:rsidR="00E91A68" w:rsidRPr="00E91A68" w:rsidRDefault="00E91A68" w:rsidP="00E91A68">
      <w:pPr>
        <w:keepNext/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91A68" w:rsidRPr="00E91A68" w:rsidRDefault="00E91A68" w:rsidP="00755787">
      <w:pPr>
        <w:keepNext/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1A68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E91A6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E91A68">
        <w:rPr>
          <w:rFonts w:ascii="Times New Roman" w:eastAsia="Times New Roman" w:hAnsi="Times New Roman" w:cs="Times New Roman"/>
          <w:sz w:val="28"/>
          <w:szCs w:val="28"/>
          <w:lang w:eastAsia="lv-LV"/>
        </w:rPr>
        <w:t>D.Pavļuts</w:t>
      </w:r>
      <w:proofErr w:type="spellEnd"/>
    </w:p>
    <w:p w:rsidR="00E91A68" w:rsidRPr="00E91A68" w:rsidRDefault="00E91A68" w:rsidP="00E91A68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755787" w:rsidRDefault="00E91A68" w:rsidP="00E91A68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E91A6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Vīza: </w:t>
      </w:r>
      <w:r w:rsidR="007557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Valsts sekretāra pienākumu izpildītājs</w:t>
      </w:r>
      <w:r w:rsidR="00CE21E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-</w:t>
      </w:r>
    </w:p>
    <w:p w:rsidR="00E91A68" w:rsidRPr="00E91A68" w:rsidRDefault="00CE21E2" w:rsidP="0075578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</w:t>
      </w:r>
      <w:r w:rsidR="007557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alsts sekretāra vietnieks</w:t>
      </w:r>
      <w:r w:rsidR="00E91A68" w:rsidRPr="00E91A6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</w:r>
      <w:r w:rsidR="007557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E91A68" w:rsidRPr="00E91A6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75578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Liepiņš</w:t>
      </w:r>
    </w:p>
    <w:p w:rsidR="00E91A68" w:rsidRPr="00E91A68" w:rsidRDefault="00E91A68" w:rsidP="00E91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E91A68" w:rsidRPr="00E91A68" w:rsidRDefault="00E91A68" w:rsidP="00E91A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bookmarkStart w:id="4" w:name="_GoBack"/>
      <w:bookmarkEnd w:id="4"/>
    </w:p>
    <w:p w:rsidR="00E91A68" w:rsidRPr="00E91A68" w:rsidRDefault="006219B5" w:rsidP="00E91A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13</w:t>
      </w:r>
      <w:r w:rsidR="00E91A68" w:rsidRPr="00E91A68">
        <w:rPr>
          <w:rFonts w:ascii="Times New Roman" w:eastAsia="Times New Roman" w:hAnsi="Times New Roman" w:cs="Times New Roman"/>
          <w:sz w:val="18"/>
          <w:szCs w:val="18"/>
          <w:lang w:eastAsia="lv-LV"/>
        </w:rPr>
        <w:t>.0</w:t>
      </w:r>
      <w:r w:rsidR="00892352">
        <w:rPr>
          <w:rFonts w:ascii="Times New Roman" w:eastAsia="Times New Roman" w:hAnsi="Times New Roman" w:cs="Times New Roman"/>
          <w:sz w:val="18"/>
          <w:szCs w:val="18"/>
          <w:lang w:eastAsia="lv-LV"/>
        </w:rPr>
        <w:t>6</w:t>
      </w:r>
      <w:r w:rsidR="00E91A68" w:rsidRPr="00E91A68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.2013. </w:t>
      </w:r>
      <w:r w:rsidR="009E742D">
        <w:rPr>
          <w:rFonts w:ascii="Times New Roman" w:eastAsia="Times New Roman" w:hAnsi="Times New Roman" w:cs="Times New Roman"/>
          <w:sz w:val="18"/>
          <w:szCs w:val="18"/>
          <w:lang w:eastAsia="lv-LV"/>
        </w:rPr>
        <w:fldChar w:fldCharType="begin"/>
      </w:r>
      <w:r w:rsidR="009E742D">
        <w:rPr>
          <w:rFonts w:ascii="Times New Roman" w:eastAsia="Times New Roman" w:hAnsi="Times New Roman" w:cs="Times New Roman"/>
          <w:sz w:val="18"/>
          <w:szCs w:val="18"/>
          <w:lang w:eastAsia="lv-LV"/>
        </w:rPr>
        <w:instrText xml:space="preserve"> TIME  \@ "h:mm am/pm"  \* MERGEFORMAT </w:instrText>
      </w:r>
      <w:r w:rsidR="009E742D">
        <w:rPr>
          <w:rFonts w:ascii="Times New Roman" w:eastAsia="Times New Roman" w:hAnsi="Times New Roman" w:cs="Times New Roman"/>
          <w:sz w:val="18"/>
          <w:szCs w:val="18"/>
          <w:lang w:eastAsia="lv-LV"/>
        </w:rPr>
        <w:fldChar w:fldCharType="separate"/>
      </w:r>
      <w:r w:rsidR="00EC0E75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t xml:space="preserve">12:27 </w:t>
      </w:r>
      <w:r w:rsidR="009E742D">
        <w:rPr>
          <w:rFonts w:ascii="Times New Roman" w:eastAsia="Times New Roman" w:hAnsi="Times New Roman" w:cs="Times New Roman"/>
          <w:sz w:val="18"/>
          <w:szCs w:val="18"/>
          <w:lang w:eastAsia="lv-LV"/>
        </w:rPr>
        <w:fldChar w:fldCharType="end"/>
      </w:r>
    </w:p>
    <w:p w:rsidR="00E91A68" w:rsidRPr="00E91A68" w:rsidRDefault="00E91A68" w:rsidP="00D22EC2">
      <w:pPr>
        <w:tabs>
          <w:tab w:val="left" w:pos="219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E91A68">
        <w:rPr>
          <w:rFonts w:ascii="Times New Roman" w:eastAsia="Times New Roman" w:hAnsi="Times New Roman" w:cs="Times New Roman"/>
          <w:sz w:val="18"/>
          <w:szCs w:val="18"/>
          <w:lang w:eastAsia="lv-LV"/>
        </w:rPr>
        <w:fldChar w:fldCharType="begin"/>
      </w:r>
      <w:r w:rsidRPr="00E91A68">
        <w:rPr>
          <w:rFonts w:ascii="Times New Roman" w:eastAsia="Times New Roman" w:hAnsi="Times New Roman" w:cs="Times New Roman"/>
          <w:sz w:val="18"/>
          <w:szCs w:val="18"/>
          <w:lang w:eastAsia="lv-LV"/>
        </w:rPr>
        <w:instrText xml:space="preserve"> NUMWORDS   \* MERGEFORMAT </w:instrText>
      </w:r>
      <w:r w:rsidRPr="00E91A68">
        <w:rPr>
          <w:rFonts w:ascii="Times New Roman" w:eastAsia="Times New Roman" w:hAnsi="Times New Roman" w:cs="Times New Roman"/>
          <w:sz w:val="18"/>
          <w:szCs w:val="18"/>
          <w:lang w:eastAsia="lv-LV"/>
        </w:rPr>
        <w:fldChar w:fldCharType="separate"/>
      </w:r>
      <w:r w:rsidR="009E742D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t>796</w:t>
      </w:r>
      <w:r w:rsidRPr="00E91A68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fldChar w:fldCharType="end"/>
      </w:r>
      <w:r w:rsidR="00D22EC2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tab/>
      </w:r>
    </w:p>
    <w:p w:rsidR="00E91A68" w:rsidRPr="00E91A68" w:rsidRDefault="00E91A68" w:rsidP="00E91A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E91A68">
        <w:rPr>
          <w:rFonts w:ascii="Times New Roman" w:eastAsia="Times New Roman" w:hAnsi="Times New Roman" w:cs="Times New Roman"/>
          <w:sz w:val="18"/>
          <w:szCs w:val="18"/>
          <w:lang w:eastAsia="lv-LV"/>
        </w:rPr>
        <w:t>D.Brūklītis</w:t>
      </w:r>
    </w:p>
    <w:p w:rsidR="00E91A68" w:rsidRPr="00E91A68" w:rsidRDefault="00A71367" w:rsidP="00E91A68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hyperlink r:id="rId9" w:history="1">
        <w:r w:rsidR="00E91A68" w:rsidRPr="00E91A68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lv-LV"/>
          </w:rPr>
          <w:t>Didzis.Bruklitis@em.gov.lv</w:t>
        </w:r>
      </w:hyperlink>
      <w:r w:rsidR="00E91A68" w:rsidRPr="00E91A68">
        <w:rPr>
          <w:rFonts w:ascii="Times New Roman" w:eastAsia="Times New Roman" w:hAnsi="Times New Roman" w:cs="Times New Roman"/>
          <w:sz w:val="18"/>
          <w:szCs w:val="18"/>
          <w:lang w:eastAsia="lv-LV"/>
        </w:rPr>
        <w:t>; 67013274</w:t>
      </w:r>
    </w:p>
    <w:p w:rsidR="00E91A68" w:rsidRPr="00E91A68" w:rsidRDefault="00E91A68" w:rsidP="00E91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5A79CC" w:rsidRDefault="005A79CC"/>
    <w:sectPr w:rsidR="005A79CC" w:rsidSect="001042F0">
      <w:headerReference w:type="even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67" w:rsidRDefault="00A71367" w:rsidP="00235DFF">
      <w:pPr>
        <w:spacing w:after="0" w:line="240" w:lineRule="auto"/>
      </w:pPr>
      <w:r>
        <w:separator/>
      </w:r>
    </w:p>
  </w:endnote>
  <w:endnote w:type="continuationSeparator" w:id="0">
    <w:p w:rsidR="00A71367" w:rsidRDefault="00A71367" w:rsidP="0023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F0" w:rsidRDefault="001042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E75">
      <w:rPr>
        <w:noProof/>
      </w:rPr>
      <w:t>4</w:t>
    </w:r>
    <w:r>
      <w:rPr>
        <w:noProof/>
      </w:rPr>
      <w:fldChar w:fldCharType="end"/>
    </w:r>
  </w:p>
  <w:p w:rsidR="001042F0" w:rsidRPr="00235DFF" w:rsidRDefault="00235DFF" w:rsidP="00235DFF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EC0E75">
      <w:rPr>
        <w:rFonts w:ascii="Times New Roman" w:hAnsi="Times New Roman" w:cs="Times New Roman"/>
        <w:noProof/>
        <w:sz w:val="20"/>
        <w:szCs w:val="20"/>
      </w:rPr>
      <w:t>EMAnot_130613_GrozKredNot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>;</w:t>
    </w:r>
    <w:r w:rsidRPr="00235DFF">
      <w:rPr>
        <w:rFonts w:ascii="Times New Roman" w:hAnsi="Times New Roman" w:cs="Times New Roman"/>
        <w:sz w:val="20"/>
        <w:szCs w:val="20"/>
      </w:rPr>
      <w:t>Ministru kabineta noteikumu projekta</w:t>
    </w:r>
    <w:r w:rsidR="001042F0" w:rsidRPr="00235DFF">
      <w:rPr>
        <w:rFonts w:ascii="Times New Roman" w:hAnsi="Times New Roman" w:cs="Times New Roman"/>
        <w:sz w:val="20"/>
        <w:szCs w:val="20"/>
      </w:rPr>
      <w:t xml:space="preserve"> „</w:t>
    </w:r>
    <w:r w:rsidRPr="00235DFF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Grozījumi Ministru kabineta </w:t>
    </w:r>
    <w:r w:rsidRPr="00235DFF">
      <w:rPr>
        <w:rFonts w:ascii="Times New Roman" w:eastAsia="Times New Roman" w:hAnsi="Times New Roman" w:cs="Times New Roman"/>
        <w:bCs/>
        <w:sz w:val="20"/>
        <w:szCs w:val="20"/>
        <w:lang w:eastAsia="lv-LV"/>
      </w:rPr>
      <w:t>2010.gada 28.decembra noteikumos Nr.1219 „</w:t>
    </w:r>
    <w:r w:rsidRPr="00235DFF">
      <w:rPr>
        <w:rFonts w:ascii="Times New Roman" w:hAnsi="Times New Roman" w:cs="Times New Roman"/>
        <w:sz w:val="20"/>
        <w:szCs w:val="20"/>
      </w:rPr>
      <w:t>Noteikumi par patērētāja kreditēšanu</w:t>
    </w:r>
    <w:r w:rsidRPr="00235DFF">
      <w:rPr>
        <w:rFonts w:ascii="Times New Roman" w:eastAsia="Times New Roman" w:hAnsi="Times New Roman" w:cs="Times New Roman"/>
        <w:sz w:val="20"/>
        <w:szCs w:val="20"/>
        <w:lang w:eastAsia="lv-LV"/>
      </w:rPr>
      <w:t>”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</w:t>
    </w:r>
    <w:r w:rsidR="001042F0" w:rsidRPr="00235DFF">
      <w:rPr>
        <w:rFonts w:ascii="Times New Roman" w:hAnsi="Times New Roman" w:cs="Times New Roman"/>
        <w:sz w:val="20"/>
        <w:szCs w:val="20"/>
      </w:rPr>
      <w:t>sākotnējās ietekmes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F0" w:rsidRPr="00A30A28" w:rsidRDefault="001042F0" w:rsidP="001042F0">
    <w:pPr>
      <w:jc w:val="both"/>
      <w:rPr>
        <w:rFonts w:ascii="Times New Roman" w:hAnsi="Times New Roman"/>
        <w:sz w:val="20"/>
        <w:szCs w:val="20"/>
      </w:rPr>
    </w:pPr>
    <w:r w:rsidRPr="00A30A28">
      <w:rPr>
        <w:rFonts w:ascii="Times New Roman" w:hAnsi="Times New Roman"/>
        <w:sz w:val="20"/>
        <w:szCs w:val="20"/>
      </w:rPr>
      <w:t>EMAnot_</w:t>
    </w:r>
    <w:r>
      <w:rPr>
        <w:rFonts w:ascii="Times New Roman" w:hAnsi="Times New Roman"/>
        <w:sz w:val="20"/>
        <w:szCs w:val="20"/>
      </w:rPr>
      <w:t>221012</w:t>
    </w:r>
    <w:r w:rsidRPr="00A30A28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grozPTAL</w:t>
    </w:r>
    <w:r w:rsidRPr="00A30A28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>Likum</w:t>
    </w:r>
    <w:r w:rsidRPr="00A30A28">
      <w:rPr>
        <w:rFonts w:ascii="Times New Roman" w:hAnsi="Times New Roman"/>
        <w:sz w:val="20"/>
        <w:szCs w:val="20"/>
      </w:rPr>
      <w:t>projekta „</w:t>
    </w:r>
    <w:r>
      <w:rPr>
        <w:rFonts w:ascii="Times New Roman" w:hAnsi="Times New Roman"/>
        <w:sz w:val="20"/>
        <w:szCs w:val="20"/>
      </w:rPr>
      <w:t>Grozījumi Patērētāju tiesību aizsardzības likumā</w:t>
    </w:r>
    <w:r w:rsidRPr="00A30A28">
      <w:rPr>
        <w:rFonts w:ascii="Times New Roman" w:hAnsi="Times New Roman"/>
        <w:sz w:val="20"/>
        <w:szCs w:val="20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67" w:rsidRDefault="00A71367" w:rsidP="00235DFF">
      <w:pPr>
        <w:spacing w:after="0" w:line="240" w:lineRule="auto"/>
      </w:pPr>
      <w:r>
        <w:separator/>
      </w:r>
    </w:p>
  </w:footnote>
  <w:footnote w:type="continuationSeparator" w:id="0">
    <w:p w:rsidR="00A71367" w:rsidRDefault="00A71367" w:rsidP="0023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F0" w:rsidRDefault="001042F0" w:rsidP="00104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2F0" w:rsidRDefault="001042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718B"/>
    <w:multiLevelType w:val="hybridMultilevel"/>
    <w:tmpl w:val="DD14C742"/>
    <w:lvl w:ilvl="0" w:tplc="F1E6B04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0" w:hanging="360"/>
      </w:pPr>
    </w:lvl>
    <w:lvl w:ilvl="2" w:tplc="0426001B" w:tentative="1">
      <w:start w:val="1"/>
      <w:numFmt w:val="lowerRoman"/>
      <w:lvlText w:val="%3."/>
      <w:lvlJc w:val="right"/>
      <w:pPr>
        <w:ind w:left="2550" w:hanging="180"/>
      </w:pPr>
    </w:lvl>
    <w:lvl w:ilvl="3" w:tplc="0426000F" w:tentative="1">
      <w:start w:val="1"/>
      <w:numFmt w:val="decimal"/>
      <w:lvlText w:val="%4."/>
      <w:lvlJc w:val="left"/>
      <w:pPr>
        <w:ind w:left="3270" w:hanging="360"/>
      </w:pPr>
    </w:lvl>
    <w:lvl w:ilvl="4" w:tplc="04260019" w:tentative="1">
      <w:start w:val="1"/>
      <w:numFmt w:val="lowerLetter"/>
      <w:lvlText w:val="%5."/>
      <w:lvlJc w:val="left"/>
      <w:pPr>
        <w:ind w:left="3990" w:hanging="360"/>
      </w:pPr>
    </w:lvl>
    <w:lvl w:ilvl="5" w:tplc="0426001B" w:tentative="1">
      <w:start w:val="1"/>
      <w:numFmt w:val="lowerRoman"/>
      <w:lvlText w:val="%6."/>
      <w:lvlJc w:val="right"/>
      <w:pPr>
        <w:ind w:left="4710" w:hanging="180"/>
      </w:pPr>
    </w:lvl>
    <w:lvl w:ilvl="6" w:tplc="0426000F" w:tentative="1">
      <w:start w:val="1"/>
      <w:numFmt w:val="decimal"/>
      <w:lvlText w:val="%7."/>
      <w:lvlJc w:val="left"/>
      <w:pPr>
        <w:ind w:left="5430" w:hanging="360"/>
      </w:pPr>
    </w:lvl>
    <w:lvl w:ilvl="7" w:tplc="04260019" w:tentative="1">
      <w:start w:val="1"/>
      <w:numFmt w:val="lowerLetter"/>
      <w:lvlText w:val="%8."/>
      <w:lvlJc w:val="left"/>
      <w:pPr>
        <w:ind w:left="6150" w:hanging="360"/>
      </w:pPr>
    </w:lvl>
    <w:lvl w:ilvl="8" w:tplc="042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FB20EB4"/>
    <w:multiLevelType w:val="hybridMultilevel"/>
    <w:tmpl w:val="1E645D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E2461"/>
    <w:multiLevelType w:val="hybridMultilevel"/>
    <w:tmpl w:val="B1A460F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D0"/>
    <w:rsid w:val="000110AA"/>
    <w:rsid w:val="000542D4"/>
    <w:rsid w:val="00074375"/>
    <w:rsid w:val="001027B7"/>
    <w:rsid w:val="001042F0"/>
    <w:rsid w:val="00131FF1"/>
    <w:rsid w:val="00140843"/>
    <w:rsid w:val="00141908"/>
    <w:rsid w:val="0016086A"/>
    <w:rsid w:val="001979FB"/>
    <w:rsid w:val="001E758E"/>
    <w:rsid w:val="001F318F"/>
    <w:rsid w:val="002071EE"/>
    <w:rsid w:val="0021191A"/>
    <w:rsid w:val="0022399F"/>
    <w:rsid w:val="00235DFF"/>
    <w:rsid w:val="002463CF"/>
    <w:rsid w:val="00282B45"/>
    <w:rsid w:val="00296949"/>
    <w:rsid w:val="002A7055"/>
    <w:rsid w:val="002B4634"/>
    <w:rsid w:val="003263EF"/>
    <w:rsid w:val="00331EB2"/>
    <w:rsid w:val="00382D48"/>
    <w:rsid w:val="003916A2"/>
    <w:rsid w:val="003A4A30"/>
    <w:rsid w:val="003F459E"/>
    <w:rsid w:val="00433F0C"/>
    <w:rsid w:val="004447C7"/>
    <w:rsid w:val="004518CD"/>
    <w:rsid w:val="004521CF"/>
    <w:rsid w:val="004D642E"/>
    <w:rsid w:val="004F3E44"/>
    <w:rsid w:val="004F5A7C"/>
    <w:rsid w:val="005113DB"/>
    <w:rsid w:val="00570F30"/>
    <w:rsid w:val="005779F5"/>
    <w:rsid w:val="0058225A"/>
    <w:rsid w:val="005832E4"/>
    <w:rsid w:val="005877B4"/>
    <w:rsid w:val="005A0D24"/>
    <w:rsid w:val="005A79CC"/>
    <w:rsid w:val="005C3FA3"/>
    <w:rsid w:val="005F7E6A"/>
    <w:rsid w:val="006219B5"/>
    <w:rsid w:val="00621F9E"/>
    <w:rsid w:val="006672A2"/>
    <w:rsid w:val="006A30B3"/>
    <w:rsid w:val="006C4621"/>
    <w:rsid w:val="00705F90"/>
    <w:rsid w:val="00755787"/>
    <w:rsid w:val="00782F0F"/>
    <w:rsid w:val="00814CCC"/>
    <w:rsid w:val="008274B7"/>
    <w:rsid w:val="00835693"/>
    <w:rsid w:val="00892352"/>
    <w:rsid w:val="008D09CC"/>
    <w:rsid w:val="008D13D0"/>
    <w:rsid w:val="008D7E94"/>
    <w:rsid w:val="008F6987"/>
    <w:rsid w:val="00907D9D"/>
    <w:rsid w:val="00916D9E"/>
    <w:rsid w:val="00946408"/>
    <w:rsid w:val="009539E7"/>
    <w:rsid w:val="009952A4"/>
    <w:rsid w:val="009A03F0"/>
    <w:rsid w:val="009B5CD3"/>
    <w:rsid w:val="009D1C41"/>
    <w:rsid w:val="009E742D"/>
    <w:rsid w:val="009F0419"/>
    <w:rsid w:val="00A231A0"/>
    <w:rsid w:val="00A31CBE"/>
    <w:rsid w:val="00A525DC"/>
    <w:rsid w:val="00A71367"/>
    <w:rsid w:val="00A83831"/>
    <w:rsid w:val="00A86851"/>
    <w:rsid w:val="00AA173C"/>
    <w:rsid w:val="00AA53C6"/>
    <w:rsid w:val="00AC2165"/>
    <w:rsid w:val="00AF405D"/>
    <w:rsid w:val="00B02F78"/>
    <w:rsid w:val="00B207F1"/>
    <w:rsid w:val="00B317CF"/>
    <w:rsid w:val="00B37CFA"/>
    <w:rsid w:val="00B61A10"/>
    <w:rsid w:val="00B66218"/>
    <w:rsid w:val="00C230C9"/>
    <w:rsid w:val="00C3783B"/>
    <w:rsid w:val="00C40CAF"/>
    <w:rsid w:val="00C41E72"/>
    <w:rsid w:val="00C567C3"/>
    <w:rsid w:val="00C85562"/>
    <w:rsid w:val="00C91CF2"/>
    <w:rsid w:val="00C95691"/>
    <w:rsid w:val="00CA5A71"/>
    <w:rsid w:val="00CA5FB8"/>
    <w:rsid w:val="00CE21E2"/>
    <w:rsid w:val="00D22EC2"/>
    <w:rsid w:val="00D257C8"/>
    <w:rsid w:val="00D34387"/>
    <w:rsid w:val="00D56AC2"/>
    <w:rsid w:val="00D60A28"/>
    <w:rsid w:val="00D737AF"/>
    <w:rsid w:val="00D85B45"/>
    <w:rsid w:val="00D95E1A"/>
    <w:rsid w:val="00DC0C59"/>
    <w:rsid w:val="00E141AB"/>
    <w:rsid w:val="00E1724E"/>
    <w:rsid w:val="00E227F6"/>
    <w:rsid w:val="00E91A68"/>
    <w:rsid w:val="00E974B7"/>
    <w:rsid w:val="00EA3E9E"/>
    <w:rsid w:val="00EB5D79"/>
    <w:rsid w:val="00EC0E75"/>
    <w:rsid w:val="00EC3179"/>
    <w:rsid w:val="00EE189B"/>
    <w:rsid w:val="00EE7F11"/>
    <w:rsid w:val="00EF79FC"/>
    <w:rsid w:val="00F0103E"/>
    <w:rsid w:val="00F3755B"/>
    <w:rsid w:val="00FA011E"/>
    <w:rsid w:val="00FD1EEF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D0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3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D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D13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D0"/>
    <w:rPr>
      <w:lang w:val="lv-LV"/>
    </w:rPr>
  </w:style>
  <w:style w:type="character" w:styleId="PageNumber">
    <w:name w:val="page number"/>
    <w:rsid w:val="008D13D0"/>
  </w:style>
  <w:style w:type="paragraph" w:styleId="BalloonText">
    <w:name w:val="Balloon Text"/>
    <w:basedOn w:val="Normal"/>
    <w:link w:val="BalloonTextChar"/>
    <w:uiPriority w:val="99"/>
    <w:semiHidden/>
    <w:unhideWhenUsed/>
    <w:rsid w:val="003A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30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D0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3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D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D13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D0"/>
    <w:rPr>
      <w:lang w:val="lv-LV"/>
    </w:rPr>
  </w:style>
  <w:style w:type="character" w:styleId="PageNumber">
    <w:name w:val="page number"/>
    <w:rsid w:val="008D13D0"/>
  </w:style>
  <w:style w:type="paragraph" w:styleId="BalloonText">
    <w:name w:val="Balloon Text"/>
    <w:basedOn w:val="Normal"/>
    <w:link w:val="BalloonTextChar"/>
    <w:uiPriority w:val="99"/>
    <w:semiHidden/>
    <w:unhideWhenUsed/>
    <w:rsid w:val="003A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30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dzis.Bruklitis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F946-EEA9-41C2-A6CD-863FB020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821</Words>
  <Characters>6397</Characters>
  <Application>Microsoft Office Word</Application>
  <DocSecurity>0</DocSecurity>
  <Lines>228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2010.gada 28.decembra noteikumos Nr.1219 „Noteikumi par patērētāja kreditēšanu”” sākotnējās ietekmes novērtējuma ziņojums</vt:lpstr>
    </vt:vector>
  </TitlesOfParts>
  <Company>LR Ekonomikas ministrija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2010.gada 28.decembra noteikumos Nr.1219 „Noteikumi par patērētāja kreditēšanu”” sākotnējās ietekmes novērtējuma ziņojums</dc:title>
  <dc:subject>Sākotnējās ietekmes novērtējuma ziņojums</dc:subject>
  <dc:creator>Didzis Brūklītis</dc:creator>
  <dc:description>67013274, Didzis.Bruklitis@em.gov.lv</dc:description>
  <cp:lastModifiedBy>Didzis Brūklītis</cp:lastModifiedBy>
  <cp:revision>44</cp:revision>
  <cp:lastPrinted>2013-06-13T09:27:00Z</cp:lastPrinted>
  <dcterms:created xsi:type="dcterms:W3CDTF">2013-04-24T11:36:00Z</dcterms:created>
  <dcterms:modified xsi:type="dcterms:W3CDTF">2013-06-13T09:28:00Z</dcterms:modified>
</cp:coreProperties>
</file>