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CD" w:rsidRPr="00573F61" w:rsidRDefault="005E3FCD" w:rsidP="00303507">
      <w:pPr>
        <w:jc w:val="center"/>
        <w:rPr>
          <w:b/>
          <w:bCs/>
          <w:sz w:val="28"/>
          <w:szCs w:val="28"/>
        </w:rPr>
      </w:pPr>
      <w:bookmarkStart w:id="0" w:name="OLE_LINK3"/>
      <w:bookmarkStart w:id="1" w:name="OLE_LINK4"/>
      <w:bookmarkStart w:id="2" w:name="OLE_LINK1"/>
      <w:bookmarkStart w:id="3" w:name="OLE_LINK2"/>
      <w:r w:rsidRPr="00573F61">
        <w:rPr>
          <w:b/>
          <w:sz w:val="28"/>
          <w:szCs w:val="28"/>
        </w:rPr>
        <w:t>Noteikumu projekta „</w:t>
      </w:r>
      <w:bookmarkEnd w:id="0"/>
      <w:bookmarkEnd w:id="1"/>
      <w:r w:rsidRPr="00573F61">
        <w:rPr>
          <w:b/>
          <w:bCs/>
          <w:sz w:val="28"/>
          <w:szCs w:val="28"/>
        </w:rPr>
        <w:t xml:space="preserve">Grozījums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w:t>
      </w:r>
      <w:r w:rsidRPr="00573F61">
        <w:rPr>
          <w:b/>
          <w:sz w:val="28"/>
          <w:szCs w:val="28"/>
        </w:rPr>
        <w:t>sākotnējās ietekmes novērtējuma ziņojums</w:t>
      </w:r>
      <w:bookmarkEnd w:id="2"/>
      <w:bookmarkEnd w:id="3"/>
    </w:p>
    <w:p w:rsidR="005E3FCD" w:rsidRPr="00573F61" w:rsidRDefault="005E3FCD" w:rsidP="00303507">
      <w:pPr>
        <w:pStyle w:val="naislab"/>
        <w:spacing w:before="0" w:after="0"/>
        <w:jc w:val="center"/>
        <w:outlineLvl w:val="0"/>
        <w:rPr>
          <w:b/>
          <w:sz w:val="28"/>
          <w:szCs w:val="28"/>
        </w:rPr>
      </w:pPr>
      <w:r w:rsidRPr="00573F61">
        <w:rPr>
          <w:b/>
          <w:sz w:val="28"/>
          <w:szCs w:val="28"/>
        </w:rPr>
        <w:t>(anotācija)</w:t>
      </w:r>
    </w:p>
    <w:p w:rsidR="005E3FCD" w:rsidRPr="00573F61" w:rsidRDefault="005E3FCD" w:rsidP="005E3FCD">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1505"/>
        <w:gridCol w:w="7490"/>
      </w:tblGrid>
      <w:tr w:rsidR="005E3FCD" w:rsidRPr="00573F61" w:rsidTr="00541C2A">
        <w:tc>
          <w:tcPr>
            <w:tcW w:w="9480" w:type="dxa"/>
            <w:gridSpan w:val="3"/>
            <w:vAlign w:val="center"/>
          </w:tcPr>
          <w:p w:rsidR="005E3FCD" w:rsidRPr="00573F61" w:rsidRDefault="005E3FCD" w:rsidP="00541C2A">
            <w:pPr>
              <w:pStyle w:val="naisnod"/>
              <w:spacing w:before="0" w:after="0"/>
              <w:rPr>
                <w:sz w:val="28"/>
                <w:szCs w:val="28"/>
              </w:rPr>
            </w:pPr>
            <w:r w:rsidRPr="00573F61">
              <w:rPr>
                <w:sz w:val="28"/>
                <w:szCs w:val="28"/>
              </w:rPr>
              <w:t>I. Tiesību akta projekta izstrādes nepieciešamība</w:t>
            </w:r>
          </w:p>
        </w:tc>
      </w:tr>
      <w:tr w:rsidR="005E3FCD" w:rsidRPr="00573F61" w:rsidTr="00541C2A">
        <w:trPr>
          <w:trHeight w:val="630"/>
        </w:trPr>
        <w:tc>
          <w:tcPr>
            <w:tcW w:w="485" w:type="dxa"/>
          </w:tcPr>
          <w:p w:rsidR="005E3FCD" w:rsidRPr="00573F61" w:rsidRDefault="005E3FCD" w:rsidP="00541C2A">
            <w:pPr>
              <w:pStyle w:val="naiskr"/>
              <w:spacing w:before="0" w:after="0"/>
              <w:rPr>
                <w:sz w:val="28"/>
                <w:szCs w:val="28"/>
              </w:rPr>
            </w:pPr>
            <w:r w:rsidRPr="00573F61">
              <w:rPr>
                <w:sz w:val="28"/>
                <w:szCs w:val="28"/>
              </w:rPr>
              <w:t>1.</w:t>
            </w:r>
          </w:p>
        </w:tc>
        <w:tc>
          <w:tcPr>
            <w:tcW w:w="1505" w:type="dxa"/>
          </w:tcPr>
          <w:p w:rsidR="005E3FCD" w:rsidRPr="00573F61" w:rsidRDefault="005E3FCD" w:rsidP="00541C2A">
            <w:pPr>
              <w:pStyle w:val="naiskr"/>
              <w:spacing w:before="0" w:after="0"/>
              <w:ind w:hanging="10"/>
              <w:rPr>
                <w:sz w:val="28"/>
                <w:szCs w:val="28"/>
              </w:rPr>
            </w:pPr>
            <w:r w:rsidRPr="00573F61">
              <w:rPr>
                <w:sz w:val="28"/>
                <w:szCs w:val="28"/>
              </w:rPr>
              <w:t>Pamatojums</w:t>
            </w:r>
          </w:p>
        </w:tc>
        <w:tc>
          <w:tcPr>
            <w:tcW w:w="7490" w:type="dxa"/>
          </w:tcPr>
          <w:p w:rsidR="005E3FCD" w:rsidRPr="00573F61" w:rsidRDefault="00A26AF1" w:rsidP="00A26AF1">
            <w:pPr>
              <w:ind w:right="115" w:firstLine="495"/>
              <w:jc w:val="both"/>
              <w:rPr>
                <w:color w:val="000000" w:themeColor="text1"/>
                <w:sz w:val="28"/>
                <w:szCs w:val="28"/>
              </w:rPr>
            </w:pPr>
            <w:r w:rsidRPr="00573F61">
              <w:rPr>
                <w:color w:val="000000" w:themeColor="text1"/>
                <w:sz w:val="28"/>
                <w:szCs w:val="28"/>
              </w:rPr>
              <w:t xml:space="preserve">Noteikumu projekts sagatavots pēc Ekonomikas ministrijas iniciatīvas, lai novērstu praksē konstatētās problēmas </w:t>
            </w:r>
            <w:r w:rsidR="006E781D" w:rsidRPr="00573F61">
              <w:rPr>
                <w:color w:val="000000" w:themeColor="text1"/>
                <w:sz w:val="28"/>
                <w:szCs w:val="28"/>
              </w:rPr>
              <w:t>Ministru kabineta noteikumu Nr.</w:t>
            </w:r>
            <w:r w:rsidRPr="00573F61">
              <w:rPr>
                <w:color w:val="000000" w:themeColor="text1"/>
                <w:sz w:val="28"/>
                <w:szCs w:val="28"/>
              </w:rPr>
              <w:t>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(turpmāk – Noteikumi) piemērošanā.</w:t>
            </w:r>
          </w:p>
          <w:p w:rsidR="00A00381" w:rsidRPr="00573F61" w:rsidRDefault="00A00381" w:rsidP="00A26AF1">
            <w:pPr>
              <w:ind w:right="115" w:firstLine="495"/>
              <w:jc w:val="both"/>
              <w:rPr>
                <w:sz w:val="28"/>
                <w:szCs w:val="28"/>
              </w:rPr>
            </w:pPr>
          </w:p>
        </w:tc>
      </w:tr>
      <w:tr w:rsidR="005E3FCD" w:rsidRPr="00573F61" w:rsidTr="00541C2A">
        <w:trPr>
          <w:trHeight w:val="472"/>
        </w:trPr>
        <w:tc>
          <w:tcPr>
            <w:tcW w:w="485" w:type="dxa"/>
          </w:tcPr>
          <w:p w:rsidR="005E3FCD" w:rsidRPr="00573F61" w:rsidRDefault="005E3FCD" w:rsidP="00541C2A">
            <w:pPr>
              <w:pStyle w:val="naiskr"/>
              <w:spacing w:before="0" w:after="0"/>
              <w:rPr>
                <w:sz w:val="28"/>
                <w:szCs w:val="28"/>
              </w:rPr>
            </w:pPr>
            <w:r w:rsidRPr="00573F61">
              <w:rPr>
                <w:sz w:val="28"/>
                <w:szCs w:val="28"/>
              </w:rPr>
              <w:t>2.</w:t>
            </w:r>
          </w:p>
        </w:tc>
        <w:tc>
          <w:tcPr>
            <w:tcW w:w="1505" w:type="dxa"/>
          </w:tcPr>
          <w:p w:rsidR="005E3FCD" w:rsidRPr="00573F61" w:rsidRDefault="005E3FCD" w:rsidP="00541C2A">
            <w:pPr>
              <w:pStyle w:val="naiskr"/>
              <w:tabs>
                <w:tab w:val="left" w:pos="170"/>
              </w:tabs>
              <w:spacing w:before="0" w:after="0"/>
              <w:rPr>
                <w:sz w:val="28"/>
                <w:szCs w:val="28"/>
              </w:rPr>
            </w:pPr>
            <w:r w:rsidRPr="00573F61">
              <w:rPr>
                <w:sz w:val="28"/>
                <w:szCs w:val="28"/>
              </w:rPr>
              <w:t>Pašreizējā situācija un problēmas</w:t>
            </w:r>
          </w:p>
        </w:tc>
        <w:tc>
          <w:tcPr>
            <w:tcW w:w="7490" w:type="dxa"/>
          </w:tcPr>
          <w:p w:rsidR="00B35B9A" w:rsidRPr="00573F61" w:rsidRDefault="00A26AF1" w:rsidP="00233A64">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573F61">
              <w:rPr>
                <w:sz w:val="28"/>
                <w:szCs w:val="28"/>
              </w:rPr>
              <w:t>Noteikumu</w:t>
            </w:r>
            <w:r w:rsidR="005E3FCD" w:rsidRPr="00573F61">
              <w:rPr>
                <w:sz w:val="28"/>
                <w:szCs w:val="28"/>
              </w:rPr>
              <w:t xml:space="preserve"> </w:t>
            </w:r>
            <w:r w:rsidR="00233A64" w:rsidRPr="00573F61">
              <w:rPr>
                <w:sz w:val="28"/>
                <w:szCs w:val="28"/>
              </w:rPr>
              <w:t xml:space="preserve">28.punkts šobrīd paredz, ka speciālās atļaujas (licences) darbības laikā kapitālsabiedrībai katru gadu līdz 1.martam ir pienākums iesniegt Patērētāju tiesību aizsardzības centrā </w:t>
            </w:r>
            <w:r w:rsidR="001B6FE2" w:rsidRPr="00573F61">
              <w:rPr>
                <w:sz w:val="28"/>
                <w:szCs w:val="28"/>
              </w:rPr>
              <w:t>(tālāk tekstā –</w:t>
            </w:r>
            <w:r w:rsidR="00EF2EC4" w:rsidRPr="00573F61">
              <w:rPr>
                <w:sz w:val="28"/>
                <w:szCs w:val="28"/>
              </w:rPr>
              <w:t xml:space="preserve"> </w:t>
            </w:r>
            <w:r w:rsidR="001B6FE2" w:rsidRPr="00573F61">
              <w:rPr>
                <w:sz w:val="28"/>
                <w:szCs w:val="28"/>
              </w:rPr>
              <w:t xml:space="preserve">PTAC) </w:t>
            </w:r>
            <w:r w:rsidR="00233A64" w:rsidRPr="00573F61">
              <w:rPr>
                <w:sz w:val="28"/>
                <w:szCs w:val="28"/>
              </w:rPr>
              <w:t>informāciju par iepriekšējo kalendār</w:t>
            </w:r>
            <w:r w:rsidR="00702079" w:rsidRPr="00573F61">
              <w:rPr>
                <w:sz w:val="28"/>
                <w:szCs w:val="28"/>
              </w:rPr>
              <w:t>o</w:t>
            </w:r>
            <w:r w:rsidR="00233A64" w:rsidRPr="00573F61">
              <w:rPr>
                <w:sz w:val="28"/>
                <w:szCs w:val="28"/>
              </w:rPr>
              <w:t xml:space="preserve"> gadu, norādot ar patērētājiem noslēgto kreditēšanas līgumu skaitu un patērētājiem izsniegto kredītu kopējo summu. </w:t>
            </w:r>
            <w:r w:rsidR="00B35B9A" w:rsidRPr="00573F61">
              <w:rPr>
                <w:sz w:val="28"/>
                <w:szCs w:val="28"/>
              </w:rPr>
              <w:t>Pamatojoties uz iesniegto informāciju</w:t>
            </w:r>
            <w:r w:rsidR="00594FAF" w:rsidRPr="00573F61">
              <w:rPr>
                <w:sz w:val="28"/>
                <w:szCs w:val="28"/>
              </w:rPr>
              <w:t>,</w:t>
            </w:r>
            <w:r w:rsidR="00B35B9A" w:rsidRPr="00573F61">
              <w:rPr>
                <w:sz w:val="28"/>
                <w:szCs w:val="28"/>
              </w:rPr>
              <w:t xml:space="preserve"> šobrīd ir iespējams izdarīt secinājumus tikai par </w:t>
            </w:r>
            <w:proofErr w:type="spellStart"/>
            <w:r w:rsidR="00B35B9A" w:rsidRPr="00573F61">
              <w:rPr>
                <w:sz w:val="28"/>
                <w:szCs w:val="28"/>
              </w:rPr>
              <w:t>nebanku</w:t>
            </w:r>
            <w:proofErr w:type="spellEnd"/>
            <w:r w:rsidR="007F797D" w:rsidRPr="00573F61">
              <w:rPr>
                <w:sz w:val="28"/>
                <w:szCs w:val="28"/>
              </w:rPr>
              <w:t xml:space="preserve"> </w:t>
            </w:r>
            <w:r w:rsidR="00B35B9A" w:rsidRPr="00573F61">
              <w:rPr>
                <w:sz w:val="28"/>
                <w:szCs w:val="28"/>
              </w:rPr>
              <w:t xml:space="preserve">patērētāju kreditēšanas </w:t>
            </w:r>
            <w:r w:rsidR="007443C0" w:rsidRPr="00573F61">
              <w:rPr>
                <w:sz w:val="28"/>
                <w:szCs w:val="28"/>
              </w:rPr>
              <w:t xml:space="preserve"> sektora </w:t>
            </w:r>
            <w:r w:rsidR="00B35B9A" w:rsidRPr="00573F61">
              <w:rPr>
                <w:sz w:val="28"/>
                <w:szCs w:val="28"/>
              </w:rPr>
              <w:t xml:space="preserve">tirgus apjomu, taču nav iespējams gūt pietiekamu priekšstatu par </w:t>
            </w:r>
            <w:proofErr w:type="spellStart"/>
            <w:r w:rsidR="00B35B9A" w:rsidRPr="00573F61">
              <w:rPr>
                <w:sz w:val="28"/>
                <w:szCs w:val="28"/>
              </w:rPr>
              <w:t>nebanku</w:t>
            </w:r>
            <w:proofErr w:type="spellEnd"/>
            <w:r w:rsidR="00B35B9A" w:rsidRPr="00573F61">
              <w:rPr>
                <w:sz w:val="28"/>
                <w:szCs w:val="28"/>
              </w:rPr>
              <w:t xml:space="preserve"> patērētāju kreditēšanas </w:t>
            </w:r>
            <w:r w:rsidR="007443C0" w:rsidRPr="00573F61">
              <w:rPr>
                <w:sz w:val="28"/>
                <w:szCs w:val="28"/>
              </w:rPr>
              <w:t xml:space="preserve"> sektora </w:t>
            </w:r>
            <w:r w:rsidR="00B35B9A" w:rsidRPr="00573F61">
              <w:rPr>
                <w:sz w:val="28"/>
                <w:szCs w:val="28"/>
              </w:rPr>
              <w:t xml:space="preserve">darbību kopumā, lai </w:t>
            </w:r>
            <w:r w:rsidR="001B6FE2" w:rsidRPr="00573F61">
              <w:rPr>
                <w:sz w:val="28"/>
                <w:szCs w:val="28"/>
              </w:rPr>
              <w:t xml:space="preserve">spētu kvalitatīvi </w:t>
            </w:r>
            <w:r w:rsidR="0081557A" w:rsidRPr="00573F61">
              <w:rPr>
                <w:sz w:val="28"/>
                <w:szCs w:val="28"/>
              </w:rPr>
              <w:t xml:space="preserve">izstrādāt un </w:t>
            </w:r>
            <w:r w:rsidR="001B6FE2" w:rsidRPr="00573F61">
              <w:rPr>
                <w:sz w:val="28"/>
                <w:szCs w:val="28"/>
              </w:rPr>
              <w:t xml:space="preserve">veidot </w:t>
            </w:r>
            <w:r w:rsidR="0081557A" w:rsidRPr="00573F61">
              <w:rPr>
                <w:sz w:val="28"/>
                <w:szCs w:val="28"/>
              </w:rPr>
              <w:t xml:space="preserve">patērētāju aizsardzības politiku </w:t>
            </w:r>
            <w:r w:rsidR="00594FAF" w:rsidRPr="00573F61">
              <w:rPr>
                <w:sz w:val="28"/>
                <w:szCs w:val="28"/>
              </w:rPr>
              <w:t xml:space="preserve">un plānotu uzraudzību </w:t>
            </w:r>
            <w:r w:rsidR="0081557A" w:rsidRPr="00573F61">
              <w:rPr>
                <w:sz w:val="28"/>
                <w:szCs w:val="28"/>
              </w:rPr>
              <w:t>šajā nozarē.</w:t>
            </w:r>
            <w:r w:rsidR="00B35B9A" w:rsidRPr="00573F61">
              <w:rPr>
                <w:sz w:val="28"/>
                <w:szCs w:val="28"/>
              </w:rPr>
              <w:t xml:space="preserve"> </w:t>
            </w:r>
            <w:r w:rsidR="00702079" w:rsidRPr="00573F61">
              <w:rPr>
                <w:sz w:val="28"/>
                <w:szCs w:val="28"/>
              </w:rPr>
              <w:t xml:space="preserve">Tāpat arī informācijas iesniegšana vienreiz gadā ir </w:t>
            </w:r>
            <w:r w:rsidR="001B2141" w:rsidRPr="00573F61">
              <w:rPr>
                <w:sz w:val="28"/>
                <w:szCs w:val="28"/>
              </w:rPr>
              <w:t>nesamērīgi</w:t>
            </w:r>
            <w:r w:rsidR="00702079" w:rsidRPr="00573F61">
              <w:rPr>
                <w:sz w:val="28"/>
                <w:szCs w:val="28"/>
              </w:rPr>
              <w:t xml:space="preserve"> ilgs laiks, lai spētu ātri reaģēt uz</w:t>
            </w:r>
            <w:r w:rsidR="005253C8" w:rsidRPr="00573F61">
              <w:rPr>
                <w:sz w:val="28"/>
                <w:szCs w:val="28"/>
              </w:rPr>
              <w:t xml:space="preserve"> izmaiņām </w:t>
            </w:r>
            <w:r w:rsidR="007443C0" w:rsidRPr="00573F61">
              <w:rPr>
                <w:sz w:val="28"/>
                <w:szCs w:val="28"/>
              </w:rPr>
              <w:t xml:space="preserve">tirgū </w:t>
            </w:r>
            <w:proofErr w:type="spellStart"/>
            <w:r w:rsidR="005253C8" w:rsidRPr="00573F61">
              <w:rPr>
                <w:sz w:val="28"/>
                <w:szCs w:val="28"/>
              </w:rPr>
              <w:t>nebanku</w:t>
            </w:r>
            <w:proofErr w:type="spellEnd"/>
            <w:r w:rsidR="005253C8" w:rsidRPr="00573F61">
              <w:rPr>
                <w:sz w:val="28"/>
                <w:szCs w:val="28"/>
              </w:rPr>
              <w:t xml:space="preserve"> </w:t>
            </w:r>
            <w:r w:rsidR="007443C0" w:rsidRPr="00573F61">
              <w:rPr>
                <w:sz w:val="28"/>
                <w:szCs w:val="28"/>
              </w:rPr>
              <w:t xml:space="preserve"> patērētāju kreditēšanas sektorā</w:t>
            </w:r>
            <w:r w:rsidR="00702079" w:rsidRPr="00573F61">
              <w:rPr>
                <w:sz w:val="28"/>
                <w:szCs w:val="28"/>
              </w:rPr>
              <w:t xml:space="preserve">. </w:t>
            </w:r>
          </w:p>
          <w:p w:rsidR="00B35B9A" w:rsidRPr="00573F61" w:rsidRDefault="001B6FE2" w:rsidP="001B6F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355"/>
              <w:jc w:val="both"/>
              <w:rPr>
                <w:sz w:val="28"/>
                <w:szCs w:val="28"/>
              </w:rPr>
            </w:pPr>
            <w:r w:rsidRPr="00573F61">
              <w:rPr>
                <w:sz w:val="28"/>
                <w:szCs w:val="28"/>
              </w:rPr>
              <w:t>2012.gada nogalē</w:t>
            </w:r>
            <w:r w:rsidR="00594FAF" w:rsidRPr="00573F61">
              <w:rPr>
                <w:sz w:val="28"/>
                <w:szCs w:val="28"/>
              </w:rPr>
              <w:t>,</w:t>
            </w:r>
            <w:r w:rsidRPr="00573F61">
              <w:rPr>
                <w:sz w:val="28"/>
                <w:szCs w:val="28"/>
              </w:rPr>
              <w:t xml:space="preserve"> atsaucoties uz PTAC aicinājumu iesniegt informāciju par patērētāju kreditēšanas pakalpojumu sniedzēju jaunās pārdošanas datiem 2012.gada trīs ceturkšņos, kredītportfeļa izmaiņām ceturkšņu griezumā, izsniegto kredītu kvalitāti, klientu dalījumu pēc vecuma grupām </w:t>
            </w:r>
            <w:proofErr w:type="spellStart"/>
            <w:r w:rsidRPr="00573F61">
              <w:rPr>
                <w:sz w:val="28"/>
                <w:szCs w:val="28"/>
              </w:rPr>
              <w:t>u.c</w:t>
            </w:r>
            <w:proofErr w:type="spellEnd"/>
            <w:r w:rsidRPr="00573F61">
              <w:rPr>
                <w:sz w:val="28"/>
                <w:szCs w:val="28"/>
              </w:rPr>
              <w:t xml:space="preserve">. </w:t>
            </w:r>
            <w:proofErr w:type="spellStart"/>
            <w:r w:rsidRPr="00573F61">
              <w:rPr>
                <w:sz w:val="28"/>
                <w:szCs w:val="28"/>
              </w:rPr>
              <w:t>nebanku</w:t>
            </w:r>
            <w:proofErr w:type="spellEnd"/>
            <w:r w:rsidRPr="00573F61">
              <w:rPr>
                <w:sz w:val="28"/>
                <w:szCs w:val="28"/>
              </w:rPr>
              <w:t xml:space="preserve"> kreditēšanas tirgu raksturojošos rādītājus, informāciju iesniedza 78% no visiem </w:t>
            </w:r>
            <w:proofErr w:type="spellStart"/>
            <w:r w:rsidRPr="00573F61">
              <w:rPr>
                <w:sz w:val="28"/>
                <w:szCs w:val="28"/>
              </w:rPr>
              <w:t>nebanku</w:t>
            </w:r>
            <w:proofErr w:type="spellEnd"/>
            <w:r w:rsidRPr="00573F61">
              <w:rPr>
                <w:sz w:val="28"/>
                <w:szCs w:val="28"/>
              </w:rPr>
              <w:t xml:space="preserve"> tirgus dalībniekiem. Tā kā Noteikum</w:t>
            </w:r>
            <w:r w:rsidR="00594FAF" w:rsidRPr="00573F61">
              <w:rPr>
                <w:sz w:val="28"/>
                <w:szCs w:val="28"/>
              </w:rPr>
              <w:t>i</w:t>
            </w:r>
            <w:r w:rsidRPr="00573F61">
              <w:rPr>
                <w:sz w:val="28"/>
                <w:szCs w:val="28"/>
              </w:rPr>
              <w:t xml:space="preserve"> </w:t>
            </w:r>
            <w:r w:rsidRPr="00573F61">
              <w:rPr>
                <w:sz w:val="28"/>
                <w:szCs w:val="28"/>
              </w:rPr>
              <w:lastRenderedPageBreak/>
              <w:t>neparedz citas informācijas obligātu iesniegšanu PTAC,  atlikušie 22 % tirgus dalībnieku atteicās šādu informāciju iesniegt, pamatojot, ka prasītā informācija ir komercnoslēpums.</w:t>
            </w:r>
          </w:p>
          <w:p w:rsidR="00B35B9A" w:rsidRPr="00573F61" w:rsidRDefault="00B35B9A" w:rsidP="001B6F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5"/>
              <w:jc w:val="both"/>
              <w:rPr>
                <w:sz w:val="28"/>
                <w:szCs w:val="28"/>
              </w:rPr>
            </w:pPr>
            <w:r w:rsidRPr="00573F61">
              <w:rPr>
                <w:sz w:val="28"/>
                <w:szCs w:val="28"/>
              </w:rPr>
              <w:t>Lai novērstu radušos situāciju</w:t>
            </w:r>
            <w:r w:rsidR="0081557A" w:rsidRPr="00573F61">
              <w:rPr>
                <w:sz w:val="28"/>
                <w:szCs w:val="28"/>
              </w:rPr>
              <w:t xml:space="preserve"> un nodrošinātu kvalitatīvu  tirgus datu analīzi</w:t>
            </w:r>
            <w:r w:rsidRPr="00573F61">
              <w:rPr>
                <w:sz w:val="28"/>
                <w:szCs w:val="28"/>
              </w:rPr>
              <w:t xml:space="preserve">, ir nepieciešams izdarīt </w:t>
            </w:r>
            <w:r w:rsidR="00240681" w:rsidRPr="00573F61">
              <w:rPr>
                <w:sz w:val="28"/>
                <w:szCs w:val="28"/>
              </w:rPr>
              <w:t xml:space="preserve"> grozījumus </w:t>
            </w:r>
            <w:r w:rsidRPr="00573F61">
              <w:rPr>
                <w:sz w:val="28"/>
                <w:szCs w:val="28"/>
              </w:rPr>
              <w:t xml:space="preserve">Noteikumos un paredzēt </w:t>
            </w:r>
            <w:r w:rsidR="0081557A" w:rsidRPr="00573F61">
              <w:rPr>
                <w:sz w:val="28"/>
                <w:szCs w:val="28"/>
              </w:rPr>
              <w:t>biežāk</w:t>
            </w:r>
            <w:r w:rsidR="00FC5396" w:rsidRPr="00573F61">
              <w:rPr>
                <w:sz w:val="28"/>
                <w:szCs w:val="28"/>
              </w:rPr>
              <w:t>as</w:t>
            </w:r>
            <w:r w:rsidR="0081557A" w:rsidRPr="00573F61">
              <w:rPr>
                <w:sz w:val="28"/>
                <w:szCs w:val="28"/>
              </w:rPr>
              <w:t xml:space="preserve"> un </w:t>
            </w:r>
            <w:r w:rsidR="00FC5396" w:rsidRPr="00573F61">
              <w:rPr>
                <w:sz w:val="28"/>
                <w:szCs w:val="28"/>
              </w:rPr>
              <w:t>detalizētākas informāci</w:t>
            </w:r>
            <w:r w:rsidR="00240681" w:rsidRPr="00573F61">
              <w:rPr>
                <w:sz w:val="28"/>
                <w:szCs w:val="28"/>
              </w:rPr>
              <w:t xml:space="preserve">jas iesniegšanas pienākumu </w:t>
            </w:r>
            <w:proofErr w:type="spellStart"/>
            <w:r w:rsidR="00240681" w:rsidRPr="00573F61">
              <w:rPr>
                <w:sz w:val="28"/>
                <w:szCs w:val="28"/>
              </w:rPr>
              <w:t>neban</w:t>
            </w:r>
            <w:r w:rsidR="00FC5396" w:rsidRPr="00573F61">
              <w:rPr>
                <w:sz w:val="28"/>
                <w:szCs w:val="28"/>
              </w:rPr>
              <w:t>ku</w:t>
            </w:r>
            <w:proofErr w:type="spellEnd"/>
            <w:r w:rsidR="00FC5396" w:rsidRPr="00573F61">
              <w:rPr>
                <w:sz w:val="28"/>
                <w:szCs w:val="28"/>
              </w:rPr>
              <w:t xml:space="preserve"> kreditēšanas tirgus dalībniekiem</w:t>
            </w:r>
            <w:r w:rsidR="0081557A" w:rsidRPr="00573F61">
              <w:rPr>
                <w:sz w:val="28"/>
                <w:szCs w:val="28"/>
              </w:rPr>
              <w:t>.</w:t>
            </w:r>
            <w:r w:rsidRPr="00573F61">
              <w:rPr>
                <w:sz w:val="28"/>
                <w:szCs w:val="28"/>
              </w:rPr>
              <w:t xml:space="preserve"> </w:t>
            </w:r>
          </w:p>
          <w:p w:rsidR="005E3FCD" w:rsidRPr="00573F61" w:rsidRDefault="005E3FCD" w:rsidP="00FC539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tc>
      </w:tr>
      <w:tr w:rsidR="005E3FCD" w:rsidRPr="00573F61" w:rsidTr="00541C2A">
        <w:trPr>
          <w:trHeight w:val="530"/>
        </w:trPr>
        <w:tc>
          <w:tcPr>
            <w:tcW w:w="485" w:type="dxa"/>
          </w:tcPr>
          <w:p w:rsidR="005E3FCD" w:rsidRPr="00573F61" w:rsidRDefault="005E3FCD" w:rsidP="00541C2A">
            <w:pPr>
              <w:pStyle w:val="naiskr"/>
              <w:spacing w:before="0" w:after="0"/>
              <w:rPr>
                <w:sz w:val="28"/>
                <w:szCs w:val="28"/>
              </w:rPr>
            </w:pPr>
            <w:r w:rsidRPr="00573F61">
              <w:rPr>
                <w:sz w:val="28"/>
                <w:szCs w:val="28"/>
              </w:rPr>
              <w:lastRenderedPageBreak/>
              <w:t>3.</w:t>
            </w:r>
          </w:p>
        </w:tc>
        <w:tc>
          <w:tcPr>
            <w:tcW w:w="1505" w:type="dxa"/>
          </w:tcPr>
          <w:p w:rsidR="005E3FCD" w:rsidRPr="00573F61" w:rsidRDefault="005E3FCD" w:rsidP="00541C2A">
            <w:pPr>
              <w:pStyle w:val="naiskr"/>
              <w:spacing w:before="0" w:after="0"/>
              <w:rPr>
                <w:sz w:val="28"/>
                <w:szCs w:val="28"/>
              </w:rPr>
            </w:pPr>
            <w:r w:rsidRPr="00573F61">
              <w:rPr>
                <w:sz w:val="28"/>
                <w:szCs w:val="28"/>
              </w:rPr>
              <w:t>Saistītie politikas ietekmes novērtējumi un pētījumi</w:t>
            </w:r>
          </w:p>
        </w:tc>
        <w:tc>
          <w:tcPr>
            <w:tcW w:w="7490" w:type="dxa"/>
          </w:tcPr>
          <w:p w:rsidR="005E3FCD" w:rsidRPr="00573F61" w:rsidRDefault="002944B7" w:rsidP="00541C2A">
            <w:pPr>
              <w:pStyle w:val="FootnoteText"/>
              <w:rPr>
                <w:sz w:val="28"/>
                <w:szCs w:val="28"/>
                <w:highlight w:val="yellow"/>
              </w:rPr>
            </w:pPr>
            <w:r w:rsidRPr="00573F61">
              <w:rPr>
                <w:sz w:val="28"/>
                <w:szCs w:val="28"/>
              </w:rPr>
              <w:t>Projekts šo jomu neskar</w:t>
            </w:r>
          </w:p>
        </w:tc>
      </w:tr>
      <w:tr w:rsidR="005E3FCD" w:rsidRPr="00573F61" w:rsidTr="00541C2A">
        <w:trPr>
          <w:trHeight w:val="384"/>
        </w:trPr>
        <w:tc>
          <w:tcPr>
            <w:tcW w:w="485" w:type="dxa"/>
          </w:tcPr>
          <w:p w:rsidR="005E3FCD" w:rsidRPr="00573F61" w:rsidRDefault="005E3FCD" w:rsidP="00541C2A">
            <w:pPr>
              <w:pStyle w:val="naiskr"/>
              <w:spacing w:before="0" w:after="0"/>
              <w:rPr>
                <w:sz w:val="28"/>
                <w:szCs w:val="28"/>
              </w:rPr>
            </w:pPr>
            <w:r w:rsidRPr="00573F61">
              <w:rPr>
                <w:sz w:val="28"/>
                <w:szCs w:val="28"/>
              </w:rPr>
              <w:t>4.</w:t>
            </w:r>
          </w:p>
        </w:tc>
        <w:tc>
          <w:tcPr>
            <w:tcW w:w="1505" w:type="dxa"/>
          </w:tcPr>
          <w:p w:rsidR="005E3FCD" w:rsidRPr="00573F61" w:rsidRDefault="005E3FCD" w:rsidP="00541C2A">
            <w:pPr>
              <w:pStyle w:val="naiskr"/>
              <w:spacing w:before="0" w:after="0"/>
              <w:rPr>
                <w:sz w:val="28"/>
                <w:szCs w:val="28"/>
              </w:rPr>
            </w:pPr>
            <w:r w:rsidRPr="00573F61">
              <w:rPr>
                <w:sz w:val="28"/>
                <w:szCs w:val="28"/>
              </w:rPr>
              <w:t>Tiesiskā regulējuma mērķis un būtība</w:t>
            </w:r>
          </w:p>
        </w:tc>
        <w:tc>
          <w:tcPr>
            <w:tcW w:w="7490" w:type="dxa"/>
          </w:tcPr>
          <w:p w:rsidR="00342D92" w:rsidRPr="009A28A8" w:rsidRDefault="005E3FCD" w:rsidP="0093480C">
            <w:pPr>
              <w:ind w:left="125" w:right="115" w:firstLine="370"/>
              <w:jc w:val="both"/>
              <w:rPr>
                <w:sz w:val="28"/>
                <w:szCs w:val="28"/>
              </w:rPr>
            </w:pPr>
            <w:r w:rsidRPr="009A28A8">
              <w:rPr>
                <w:sz w:val="28"/>
                <w:szCs w:val="28"/>
              </w:rPr>
              <w:t xml:space="preserve">Noteikumu projekts izstrādāts, lai </w:t>
            </w:r>
            <w:r w:rsidR="0093480C" w:rsidRPr="009A28A8">
              <w:rPr>
                <w:sz w:val="28"/>
                <w:szCs w:val="28"/>
              </w:rPr>
              <w:t xml:space="preserve"> PTAC kā uzraudzības iestādei būtu pieejama plašāka informācija par </w:t>
            </w:r>
            <w:proofErr w:type="spellStart"/>
            <w:r w:rsidR="0093480C" w:rsidRPr="009A28A8">
              <w:rPr>
                <w:sz w:val="28"/>
                <w:szCs w:val="28"/>
              </w:rPr>
              <w:t>nebanku</w:t>
            </w:r>
            <w:proofErr w:type="spellEnd"/>
            <w:r w:rsidR="0093480C" w:rsidRPr="009A28A8">
              <w:rPr>
                <w:sz w:val="28"/>
                <w:szCs w:val="28"/>
              </w:rPr>
              <w:t xml:space="preserve"> tirgus sektoru, </w:t>
            </w:r>
            <w:r w:rsidR="008366F2" w:rsidRPr="009A28A8">
              <w:rPr>
                <w:sz w:val="28"/>
                <w:szCs w:val="28"/>
              </w:rPr>
              <w:t xml:space="preserve">un, </w:t>
            </w:r>
            <w:r w:rsidR="0093480C" w:rsidRPr="009A28A8">
              <w:rPr>
                <w:sz w:val="28"/>
                <w:szCs w:val="28"/>
              </w:rPr>
              <w:t>lai būtu iespējams plānot gan tirgus uzraudzību, gan sekot līdzi tirgus tendencēm un pakalpojumu attīstībai un nepieciešamības gadījumā ātri reaģēt uz patērētājiem nelabvēlīgām parādībām. Reizi pusgadā PTAC būs jāiesniedz informācija par katru kredīta veidu, norādot piešķirto kredītu skaitu, izsniegto kredītu kopējo summu, izsniegto kredītu kredī</w:t>
            </w:r>
            <w:r w:rsidR="00342D92" w:rsidRPr="009A28A8">
              <w:rPr>
                <w:sz w:val="28"/>
                <w:szCs w:val="28"/>
              </w:rPr>
              <w:t>tportfeļa summu, procentu likmi un</w:t>
            </w:r>
            <w:r w:rsidR="0093480C" w:rsidRPr="009A28A8">
              <w:rPr>
                <w:sz w:val="28"/>
                <w:szCs w:val="28"/>
              </w:rPr>
              <w:t xml:space="preserve"> </w:t>
            </w:r>
            <w:r w:rsidR="00342D92" w:rsidRPr="009A28A8">
              <w:rPr>
                <w:sz w:val="28"/>
                <w:szCs w:val="28"/>
              </w:rPr>
              <w:t>kavēto kredītu skaitu</w:t>
            </w:r>
            <w:r w:rsidR="0093480C" w:rsidRPr="009A28A8">
              <w:rPr>
                <w:sz w:val="28"/>
                <w:szCs w:val="28"/>
              </w:rPr>
              <w:t>.</w:t>
            </w:r>
            <w:r w:rsidR="00342D92" w:rsidRPr="009A28A8">
              <w:rPr>
                <w:sz w:val="28"/>
                <w:szCs w:val="28"/>
              </w:rPr>
              <w:t xml:space="preserve"> </w:t>
            </w:r>
          </w:p>
          <w:p w:rsidR="0077639A" w:rsidRPr="009A28A8" w:rsidRDefault="00651DFB" w:rsidP="0093480C">
            <w:pPr>
              <w:ind w:left="125" w:right="115" w:firstLine="370"/>
              <w:jc w:val="both"/>
              <w:rPr>
                <w:color w:val="000000"/>
                <w:sz w:val="28"/>
                <w:szCs w:val="28"/>
              </w:rPr>
            </w:pPr>
            <w:r w:rsidRPr="009A28A8">
              <w:rPr>
                <w:color w:val="000000"/>
                <w:sz w:val="28"/>
                <w:szCs w:val="28"/>
              </w:rPr>
              <w:t xml:space="preserve">Ņemot vērā to, ka </w:t>
            </w:r>
            <w:proofErr w:type="spellStart"/>
            <w:r w:rsidRPr="009A28A8">
              <w:rPr>
                <w:color w:val="000000"/>
                <w:sz w:val="28"/>
                <w:szCs w:val="28"/>
              </w:rPr>
              <w:t>nebanku</w:t>
            </w:r>
            <w:proofErr w:type="spellEnd"/>
            <w:r w:rsidRPr="009A28A8">
              <w:rPr>
                <w:color w:val="000000"/>
                <w:sz w:val="28"/>
                <w:szCs w:val="28"/>
              </w:rPr>
              <w:t xml:space="preserve"> kreditēšanas tirgus ir dinamisks un mainīgs, kā arī to, ka esošā prakse liecina, ka tajā tiek ieviesti dažādi jauni līdz tam tirgū plaši neizplatīti pakalpojumi (kā, piemēram, - plašais bezmaksas kredītu piedāvājums, kas pirms tam nebija plaši pieejams)  un tamdēļ iepriekš nav iespējams noteikt visus iespējamos informācijas kritērijus, kuri būtu nepieciešami </w:t>
            </w:r>
            <w:proofErr w:type="spellStart"/>
            <w:r w:rsidRPr="009A28A8">
              <w:rPr>
                <w:color w:val="000000"/>
                <w:sz w:val="28"/>
                <w:szCs w:val="28"/>
              </w:rPr>
              <w:t>nebanku</w:t>
            </w:r>
            <w:proofErr w:type="spellEnd"/>
            <w:r w:rsidRPr="009A28A8">
              <w:rPr>
                <w:color w:val="000000"/>
                <w:sz w:val="28"/>
                <w:szCs w:val="28"/>
              </w:rPr>
              <w:t xml:space="preserve"> tirgus </w:t>
            </w:r>
            <w:r w:rsidR="00E842C8" w:rsidRPr="009A28A8">
              <w:rPr>
                <w:color w:val="000000"/>
                <w:sz w:val="28"/>
                <w:szCs w:val="28"/>
              </w:rPr>
              <w:t>analī</w:t>
            </w:r>
            <w:r w:rsidR="000C036C" w:rsidRPr="009A28A8">
              <w:rPr>
                <w:color w:val="000000"/>
                <w:sz w:val="28"/>
                <w:szCs w:val="28"/>
              </w:rPr>
              <w:t>zei</w:t>
            </w:r>
            <w:r w:rsidRPr="009A28A8">
              <w:rPr>
                <w:color w:val="000000"/>
                <w:sz w:val="28"/>
                <w:szCs w:val="28"/>
              </w:rPr>
              <w:t>,  n</w:t>
            </w:r>
            <w:r w:rsidR="00342D92" w:rsidRPr="009A28A8">
              <w:rPr>
                <w:color w:val="000000"/>
                <w:sz w:val="28"/>
                <w:szCs w:val="28"/>
              </w:rPr>
              <w:t xml:space="preserve">oteikumu projekts paredz arī pieprasīt citu informāciju </w:t>
            </w:r>
            <w:r w:rsidR="004502C0" w:rsidRPr="009A28A8">
              <w:rPr>
                <w:color w:val="000000"/>
                <w:sz w:val="28"/>
                <w:szCs w:val="28"/>
              </w:rPr>
              <w:t>(</w:t>
            </w:r>
            <w:proofErr w:type="spellStart"/>
            <w:r w:rsidR="004502C0" w:rsidRPr="009A28A8">
              <w:rPr>
                <w:color w:val="000000"/>
                <w:sz w:val="28"/>
                <w:szCs w:val="28"/>
              </w:rPr>
              <w:t>t.sk</w:t>
            </w:r>
            <w:proofErr w:type="spellEnd"/>
            <w:r w:rsidR="004502C0" w:rsidRPr="009A28A8">
              <w:rPr>
                <w:color w:val="000000"/>
                <w:sz w:val="28"/>
                <w:szCs w:val="28"/>
              </w:rPr>
              <w:t xml:space="preserve">. komercnoslēpumu) </w:t>
            </w:r>
            <w:r w:rsidR="00342D92" w:rsidRPr="009A28A8">
              <w:rPr>
                <w:color w:val="000000"/>
                <w:sz w:val="28"/>
                <w:szCs w:val="28"/>
              </w:rPr>
              <w:t>pēc PTAC pieprasījuma</w:t>
            </w:r>
            <w:r w:rsidR="00E842C8" w:rsidRPr="009A28A8">
              <w:rPr>
                <w:color w:val="000000"/>
                <w:sz w:val="28"/>
                <w:szCs w:val="28"/>
              </w:rPr>
              <w:t>,</w:t>
            </w:r>
            <w:r w:rsidR="000141C1" w:rsidRPr="009A28A8">
              <w:rPr>
                <w:color w:val="000000"/>
                <w:sz w:val="28"/>
                <w:szCs w:val="28"/>
              </w:rPr>
              <w:t xml:space="preserve"> ja tā  nepieciešama normatīvajos aktos noteikto funkciju izpildei vai </w:t>
            </w:r>
            <w:r w:rsidR="000C036C" w:rsidRPr="009A28A8">
              <w:rPr>
                <w:color w:val="000000"/>
                <w:sz w:val="28"/>
                <w:szCs w:val="28"/>
              </w:rPr>
              <w:t xml:space="preserve"> tirgus attīstības tendenču noteikšanai.</w:t>
            </w:r>
            <w:r w:rsidR="000141C1" w:rsidRPr="009A28A8">
              <w:rPr>
                <w:color w:val="000000"/>
                <w:sz w:val="28"/>
                <w:szCs w:val="28"/>
              </w:rPr>
              <w:t xml:space="preserve">  </w:t>
            </w:r>
            <w:r w:rsidR="007B131C" w:rsidRPr="009A28A8">
              <w:rPr>
                <w:color w:val="000000"/>
                <w:sz w:val="28"/>
                <w:szCs w:val="28"/>
              </w:rPr>
              <w:t xml:space="preserve">Lai kapitālsabiedrības spētu nodrošināt šādu prasību izpildi noteikumu projekts paredz, ka </w:t>
            </w:r>
            <w:r w:rsidR="004502C0" w:rsidRPr="009A28A8">
              <w:rPr>
                <w:color w:val="000000"/>
                <w:sz w:val="28"/>
                <w:szCs w:val="28"/>
              </w:rPr>
              <w:t>informācija ir jāiesniedz sapratīgā termiņā.</w:t>
            </w:r>
            <w:r w:rsidR="007B131C" w:rsidRPr="009A28A8">
              <w:rPr>
                <w:color w:val="000000"/>
                <w:sz w:val="28"/>
                <w:szCs w:val="28"/>
              </w:rPr>
              <w:t xml:space="preserve"> </w:t>
            </w:r>
          </w:p>
          <w:p w:rsidR="005E3FCD" w:rsidRPr="00573F61" w:rsidRDefault="005E3FCD" w:rsidP="00416BCD">
            <w:pPr>
              <w:ind w:right="115"/>
              <w:jc w:val="both"/>
              <w:rPr>
                <w:sz w:val="28"/>
                <w:szCs w:val="28"/>
              </w:rPr>
            </w:pPr>
          </w:p>
        </w:tc>
      </w:tr>
      <w:tr w:rsidR="005E3FCD" w:rsidRPr="00573F61" w:rsidTr="00541C2A">
        <w:trPr>
          <w:trHeight w:val="476"/>
        </w:trPr>
        <w:tc>
          <w:tcPr>
            <w:tcW w:w="485" w:type="dxa"/>
          </w:tcPr>
          <w:p w:rsidR="005E3FCD" w:rsidRPr="00573F61" w:rsidRDefault="005E3FCD" w:rsidP="00541C2A">
            <w:pPr>
              <w:pStyle w:val="naiskr"/>
              <w:spacing w:before="0" w:after="0"/>
              <w:rPr>
                <w:sz w:val="28"/>
                <w:szCs w:val="28"/>
              </w:rPr>
            </w:pPr>
            <w:r w:rsidRPr="00573F61">
              <w:rPr>
                <w:sz w:val="28"/>
                <w:szCs w:val="28"/>
              </w:rPr>
              <w:t>5.</w:t>
            </w:r>
          </w:p>
        </w:tc>
        <w:tc>
          <w:tcPr>
            <w:tcW w:w="1505" w:type="dxa"/>
          </w:tcPr>
          <w:p w:rsidR="005E3FCD" w:rsidRPr="00573F61" w:rsidRDefault="005E3FCD" w:rsidP="00541C2A">
            <w:pPr>
              <w:pStyle w:val="naiskr"/>
              <w:spacing w:before="0" w:after="0"/>
              <w:rPr>
                <w:sz w:val="28"/>
                <w:szCs w:val="28"/>
              </w:rPr>
            </w:pPr>
            <w:r w:rsidRPr="00573F61">
              <w:rPr>
                <w:sz w:val="28"/>
                <w:szCs w:val="28"/>
              </w:rPr>
              <w:t>Projekta izstrādē iesaistītās institūcijas</w:t>
            </w:r>
          </w:p>
        </w:tc>
        <w:tc>
          <w:tcPr>
            <w:tcW w:w="7490" w:type="dxa"/>
          </w:tcPr>
          <w:p w:rsidR="005E3FCD" w:rsidRPr="00573F61" w:rsidRDefault="00AA2969" w:rsidP="00811943">
            <w:pPr>
              <w:ind w:right="115" w:firstLine="495"/>
              <w:jc w:val="both"/>
              <w:rPr>
                <w:sz w:val="28"/>
                <w:szCs w:val="28"/>
              </w:rPr>
            </w:pPr>
            <w:r w:rsidRPr="00573F61">
              <w:rPr>
                <w:bCs/>
                <w:sz w:val="28"/>
                <w:szCs w:val="28"/>
              </w:rPr>
              <w:t xml:space="preserve">Ar 2013.gada 5.februāra ekonomikas ministra rīkojumu Nr.29 „Par darba grupas izveidi patērētāju kreditēšanas jomas regulējuma pilnveidei” tika izveidota darba grupa, kuras </w:t>
            </w:r>
            <w:r w:rsidR="00702079" w:rsidRPr="00573F61">
              <w:rPr>
                <w:bCs/>
                <w:sz w:val="28"/>
                <w:szCs w:val="28"/>
              </w:rPr>
              <w:t>sastāvā</w:t>
            </w:r>
            <w:r w:rsidRPr="00573F61">
              <w:rPr>
                <w:bCs/>
                <w:sz w:val="28"/>
                <w:szCs w:val="28"/>
              </w:rPr>
              <w:t xml:space="preserve"> tika iekļauti pārstāvji no Ekonomikas ministrija</w:t>
            </w:r>
            <w:r w:rsidR="00511F6F">
              <w:rPr>
                <w:bCs/>
                <w:sz w:val="28"/>
                <w:szCs w:val="28"/>
              </w:rPr>
              <w:t>s</w:t>
            </w:r>
            <w:r w:rsidRPr="00573F61">
              <w:rPr>
                <w:bCs/>
                <w:sz w:val="28"/>
                <w:szCs w:val="28"/>
              </w:rPr>
              <w:t xml:space="preserve">, Finanšu ministrijas, Valsts ieņēmumu dienesta, Patērētāju tiesību </w:t>
            </w:r>
            <w:r w:rsidRPr="00573F61">
              <w:rPr>
                <w:bCs/>
                <w:sz w:val="28"/>
                <w:szCs w:val="28"/>
              </w:rPr>
              <w:lastRenderedPageBreak/>
              <w:t xml:space="preserve">aizsardzības centra, Latvijas Bankas, Finanšu un kapitāla tirgus komisijas, </w:t>
            </w:r>
            <w:r w:rsidRPr="00573F61">
              <w:rPr>
                <w:iCs/>
                <w:sz w:val="28"/>
                <w:szCs w:val="28"/>
              </w:rPr>
              <w:t xml:space="preserve">Latvijas </w:t>
            </w:r>
            <w:proofErr w:type="spellStart"/>
            <w:r w:rsidRPr="00573F61">
              <w:rPr>
                <w:iCs/>
                <w:sz w:val="28"/>
                <w:szCs w:val="28"/>
              </w:rPr>
              <w:t>Nebanku</w:t>
            </w:r>
            <w:proofErr w:type="spellEnd"/>
            <w:r w:rsidRPr="00573F61">
              <w:rPr>
                <w:iCs/>
                <w:sz w:val="28"/>
                <w:szCs w:val="28"/>
              </w:rPr>
              <w:t xml:space="preserve"> </w:t>
            </w:r>
            <w:proofErr w:type="spellStart"/>
            <w:r w:rsidRPr="00573F61">
              <w:rPr>
                <w:iCs/>
                <w:sz w:val="28"/>
                <w:szCs w:val="28"/>
              </w:rPr>
              <w:t>Kred</w:t>
            </w:r>
            <w:r w:rsidR="00811943">
              <w:rPr>
                <w:iCs/>
                <w:sz w:val="28"/>
                <w:szCs w:val="28"/>
              </w:rPr>
              <w:t>ītdevēju</w:t>
            </w:r>
            <w:proofErr w:type="spellEnd"/>
            <w:r w:rsidR="00811943">
              <w:rPr>
                <w:iCs/>
                <w:sz w:val="28"/>
                <w:szCs w:val="28"/>
              </w:rPr>
              <w:t xml:space="preserve"> asociācijas, Latvijas K</w:t>
            </w:r>
            <w:r w:rsidRPr="00573F61">
              <w:rPr>
                <w:iCs/>
                <w:sz w:val="28"/>
                <w:szCs w:val="28"/>
              </w:rPr>
              <w:t xml:space="preserve">omercbanku asociācijas, Latvijas Hipotekāro </w:t>
            </w:r>
            <w:proofErr w:type="spellStart"/>
            <w:r w:rsidRPr="00573F61">
              <w:rPr>
                <w:iCs/>
                <w:sz w:val="28"/>
                <w:szCs w:val="28"/>
              </w:rPr>
              <w:t>nebanku</w:t>
            </w:r>
            <w:proofErr w:type="spellEnd"/>
            <w:r w:rsidRPr="00573F61">
              <w:rPr>
                <w:iCs/>
                <w:sz w:val="28"/>
                <w:szCs w:val="28"/>
              </w:rPr>
              <w:t xml:space="preserve"> aizdevēju asociācijas, Latvijas Līzinga devēju asociācijas, Latvijas Lombardu asociācijas, Latvijas Patērētāju interešu aizstāvības asociācijas, Latvijas Kredītņēmēju asociācijas, Latvijas Darba devēju konfederācijas.</w:t>
            </w:r>
            <w:r w:rsidRPr="00573F61">
              <w:rPr>
                <w:bCs/>
                <w:sz w:val="28"/>
                <w:szCs w:val="28"/>
              </w:rPr>
              <w:t xml:space="preserve"> Darba grupas ietvaros Ekonomikas ministrija sagatavoja noteikumu projektu.</w:t>
            </w:r>
            <w:r w:rsidR="008366F2" w:rsidRPr="00573F61">
              <w:rPr>
                <w:bCs/>
                <w:sz w:val="28"/>
                <w:szCs w:val="28"/>
              </w:rPr>
              <w:t xml:space="preserve"> </w:t>
            </w:r>
            <w:r w:rsidR="00811943">
              <w:rPr>
                <w:sz w:val="28"/>
                <w:szCs w:val="28"/>
              </w:rPr>
              <w:t>Noteikumu projekts tika s</w:t>
            </w:r>
            <w:r w:rsidR="004F149B" w:rsidRPr="00573F61">
              <w:rPr>
                <w:sz w:val="28"/>
                <w:szCs w:val="28"/>
              </w:rPr>
              <w:t xml:space="preserve">kaņots ar </w:t>
            </w:r>
            <w:r w:rsidR="004F149B" w:rsidRPr="00573F61">
              <w:rPr>
                <w:bCs/>
                <w:sz w:val="28"/>
                <w:szCs w:val="28"/>
              </w:rPr>
              <w:t xml:space="preserve"> </w:t>
            </w:r>
            <w:r w:rsidR="004F149B" w:rsidRPr="00573F61">
              <w:rPr>
                <w:sz w:val="28"/>
                <w:szCs w:val="28"/>
              </w:rPr>
              <w:t xml:space="preserve">darba grupu, kuras locekļi pārstāv gan nozari, gan patērētājus. </w:t>
            </w:r>
          </w:p>
        </w:tc>
      </w:tr>
      <w:tr w:rsidR="005E3FCD" w:rsidRPr="00573F61" w:rsidTr="00541C2A">
        <w:trPr>
          <w:trHeight w:val="527"/>
        </w:trPr>
        <w:tc>
          <w:tcPr>
            <w:tcW w:w="485" w:type="dxa"/>
          </w:tcPr>
          <w:p w:rsidR="005E3FCD" w:rsidRPr="00573F61" w:rsidRDefault="005E3FCD" w:rsidP="00541C2A">
            <w:pPr>
              <w:pStyle w:val="naiskr"/>
              <w:spacing w:before="0" w:after="0"/>
              <w:rPr>
                <w:sz w:val="28"/>
                <w:szCs w:val="28"/>
              </w:rPr>
            </w:pPr>
            <w:r w:rsidRPr="00573F61">
              <w:rPr>
                <w:sz w:val="28"/>
                <w:szCs w:val="28"/>
              </w:rPr>
              <w:lastRenderedPageBreak/>
              <w:t>6.</w:t>
            </w:r>
          </w:p>
        </w:tc>
        <w:tc>
          <w:tcPr>
            <w:tcW w:w="1505" w:type="dxa"/>
          </w:tcPr>
          <w:p w:rsidR="005E3FCD" w:rsidRPr="00573F61" w:rsidRDefault="005E3FCD" w:rsidP="00541C2A">
            <w:pPr>
              <w:pStyle w:val="naiskr"/>
              <w:spacing w:before="0" w:after="0"/>
              <w:rPr>
                <w:i/>
                <w:sz w:val="28"/>
                <w:szCs w:val="28"/>
                <w:highlight w:val="yellow"/>
              </w:rPr>
            </w:pPr>
            <w:r w:rsidRPr="00573F61">
              <w:rPr>
                <w:sz w:val="28"/>
                <w:szCs w:val="28"/>
              </w:rPr>
              <w:t>Iemesli, kādēļ netika nodrošināta sabiedrības līdzdalība</w:t>
            </w:r>
          </w:p>
        </w:tc>
        <w:tc>
          <w:tcPr>
            <w:tcW w:w="7490" w:type="dxa"/>
          </w:tcPr>
          <w:p w:rsidR="009D336F" w:rsidRPr="00573F61" w:rsidRDefault="009D336F" w:rsidP="009D336F">
            <w:pPr>
              <w:ind w:right="115" w:firstLine="495"/>
              <w:jc w:val="both"/>
              <w:rPr>
                <w:rStyle w:val="Strong"/>
                <w:b w:val="0"/>
                <w:sz w:val="28"/>
                <w:szCs w:val="28"/>
              </w:rPr>
            </w:pPr>
            <w:r w:rsidRPr="00573F61">
              <w:rPr>
                <w:sz w:val="28"/>
                <w:szCs w:val="28"/>
              </w:rPr>
              <w:t xml:space="preserve">Noteikumu projekts tika </w:t>
            </w:r>
            <w:r w:rsidR="00517103" w:rsidRPr="00573F61">
              <w:rPr>
                <w:sz w:val="28"/>
                <w:szCs w:val="28"/>
              </w:rPr>
              <w:t xml:space="preserve">izstrādāts un </w:t>
            </w:r>
            <w:r w:rsidRPr="00573F61">
              <w:rPr>
                <w:sz w:val="28"/>
                <w:szCs w:val="28"/>
              </w:rPr>
              <w:t xml:space="preserve">skaņots ar </w:t>
            </w:r>
            <w:r w:rsidRPr="00573F61">
              <w:rPr>
                <w:bCs/>
                <w:sz w:val="28"/>
                <w:szCs w:val="28"/>
              </w:rPr>
              <w:t xml:space="preserve"> 2013.gada 5.februāra ekonomikas ministra rīkojumu Nr.29 „Par darba grupas izveidi patērētāju kreditēšanas jomas regulējuma pilnveidei”</w:t>
            </w:r>
            <w:r w:rsidR="00517103" w:rsidRPr="00573F61">
              <w:rPr>
                <w:bCs/>
                <w:sz w:val="28"/>
                <w:szCs w:val="28"/>
              </w:rPr>
              <w:t xml:space="preserve"> izveidotās</w:t>
            </w:r>
            <w:r w:rsidRPr="00573F61">
              <w:rPr>
                <w:bCs/>
                <w:sz w:val="28"/>
                <w:szCs w:val="28"/>
              </w:rPr>
              <w:t xml:space="preserve"> </w:t>
            </w:r>
            <w:r w:rsidRPr="00573F61">
              <w:rPr>
                <w:sz w:val="28"/>
                <w:szCs w:val="28"/>
              </w:rPr>
              <w:t>darba grup</w:t>
            </w:r>
            <w:r w:rsidR="00586B1B" w:rsidRPr="00573F61">
              <w:rPr>
                <w:sz w:val="28"/>
                <w:szCs w:val="28"/>
              </w:rPr>
              <w:t>as ie</w:t>
            </w:r>
            <w:r w:rsidR="00517103" w:rsidRPr="00573F61">
              <w:rPr>
                <w:sz w:val="28"/>
                <w:szCs w:val="28"/>
              </w:rPr>
              <w:t>tvaros</w:t>
            </w:r>
            <w:r w:rsidRPr="00573F61">
              <w:rPr>
                <w:sz w:val="28"/>
                <w:szCs w:val="28"/>
              </w:rPr>
              <w:t>, kuras locekļi pārstāv gan nozari, gan patērētājus. Darba grupas locekļu izteiktie viedokļi tika izvērtēti</w:t>
            </w:r>
            <w:r w:rsidR="00517103" w:rsidRPr="00573F61">
              <w:rPr>
                <w:sz w:val="28"/>
                <w:szCs w:val="28"/>
              </w:rPr>
              <w:t xml:space="preserve"> un iespēju robežās tika ņemti vērā</w:t>
            </w:r>
            <w:r w:rsidRPr="00573F61">
              <w:rPr>
                <w:sz w:val="28"/>
                <w:szCs w:val="28"/>
              </w:rPr>
              <w:t xml:space="preserve"> projekta izstrādes gaitā. </w:t>
            </w:r>
          </w:p>
          <w:p w:rsidR="005E3FCD" w:rsidRPr="00573F61" w:rsidRDefault="005E3FCD" w:rsidP="001418FE">
            <w:pPr>
              <w:pStyle w:val="FootnoteText"/>
              <w:ind w:left="70" w:right="115"/>
              <w:jc w:val="both"/>
              <w:rPr>
                <w:sz w:val="28"/>
                <w:szCs w:val="28"/>
              </w:rPr>
            </w:pPr>
          </w:p>
        </w:tc>
      </w:tr>
      <w:tr w:rsidR="005E3FCD" w:rsidRPr="00573F61" w:rsidTr="00541C2A">
        <w:tc>
          <w:tcPr>
            <w:tcW w:w="485" w:type="dxa"/>
          </w:tcPr>
          <w:p w:rsidR="005E3FCD" w:rsidRPr="00573F61" w:rsidRDefault="005E3FCD" w:rsidP="00541C2A">
            <w:pPr>
              <w:pStyle w:val="naiskr"/>
              <w:spacing w:before="0" w:after="0"/>
              <w:rPr>
                <w:sz w:val="28"/>
                <w:szCs w:val="28"/>
              </w:rPr>
            </w:pPr>
            <w:r w:rsidRPr="00573F61">
              <w:rPr>
                <w:sz w:val="28"/>
                <w:szCs w:val="28"/>
              </w:rPr>
              <w:t>7.</w:t>
            </w:r>
          </w:p>
        </w:tc>
        <w:tc>
          <w:tcPr>
            <w:tcW w:w="1505" w:type="dxa"/>
          </w:tcPr>
          <w:p w:rsidR="005E3FCD" w:rsidRPr="00573F61" w:rsidRDefault="005E3FCD" w:rsidP="00541C2A">
            <w:pPr>
              <w:pStyle w:val="naiskr"/>
              <w:spacing w:before="0" w:after="0"/>
              <w:rPr>
                <w:sz w:val="28"/>
                <w:szCs w:val="28"/>
              </w:rPr>
            </w:pPr>
            <w:r w:rsidRPr="00573F61">
              <w:rPr>
                <w:sz w:val="28"/>
                <w:szCs w:val="28"/>
              </w:rPr>
              <w:t>Cita informācija</w:t>
            </w:r>
          </w:p>
        </w:tc>
        <w:tc>
          <w:tcPr>
            <w:tcW w:w="7490" w:type="dxa"/>
          </w:tcPr>
          <w:p w:rsidR="005E3FCD" w:rsidRPr="00573F61" w:rsidRDefault="005E3FCD" w:rsidP="00541C2A">
            <w:pPr>
              <w:pStyle w:val="naiskr"/>
              <w:spacing w:before="0" w:after="0"/>
              <w:ind w:right="115"/>
              <w:rPr>
                <w:sz w:val="28"/>
                <w:szCs w:val="28"/>
                <w:highlight w:val="yellow"/>
              </w:rPr>
            </w:pPr>
            <w:r w:rsidRPr="00573F61">
              <w:rPr>
                <w:sz w:val="28"/>
                <w:szCs w:val="28"/>
              </w:rPr>
              <w:t>Nav</w:t>
            </w:r>
          </w:p>
        </w:tc>
      </w:tr>
    </w:tbl>
    <w:p w:rsidR="005E3FCD" w:rsidRPr="00573F61" w:rsidRDefault="005E3FCD" w:rsidP="005E3FCD">
      <w:pPr>
        <w:spacing w:line="270" w:lineRule="atLeast"/>
        <w:rPr>
          <w:rStyle w:val="apple-style-span"/>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4"/>
        <w:gridCol w:w="2678"/>
        <w:gridCol w:w="6236"/>
      </w:tblGrid>
      <w:tr w:rsidR="005E3FCD" w:rsidRPr="00573F61" w:rsidTr="00541C2A">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5E3FCD" w:rsidRPr="00573F61" w:rsidRDefault="005E3FCD" w:rsidP="00541C2A">
            <w:pPr>
              <w:pStyle w:val="NormalWeb"/>
              <w:spacing w:before="0" w:beforeAutospacing="0" w:after="0" w:afterAutospacing="0"/>
              <w:jc w:val="center"/>
              <w:rPr>
                <w:b/>
                <w:bCs/>
                <w:sz w:val="28"/>
                <w:szCs w:val="28"/>
              </w:rPr>
            </w:pPr>
            <w:r w:rsidRPr="00573F61">
              <w:rPr>
                <w:b/>
                <w:bCs/>
                <w:sz w:val="28"/>
                <w:szCs w:val="28"/>
              </w:rPr>
              <w:t>II. Tiesību akta projekta ietekme uz sabiedrību</w:t>
            </w:r>
          </w:p>
        </w:tc>
      </w:tr>
      <w:tr w:rsidR="005E3FCD" w:rsidRPr="00573F61" w:rsidTr="00541C2A">
        <w:tc>
          <w:tcPr>
            <w:tcW w:w="307"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1.</w:t>
            </w:r>
          </w:p>
        </w:tc>
        <w:tc>
          <w:tcPr>
            <w:tcW w:w="1410"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 xml:space="preserve">Sabiedrības </w:t>
            </w:r>
            <w:proofErr w:type="spellStart"/>
            <w:r w:rsidRPr="00573F61">
              <w:rPr>
                <w:sz w:val="28"/>
                <w:szCs w:val="28"/>
              </w:rPr>
              <w:t>mērķgrupa</w:t>
            </w:r>
            <w:proofErr w:type="spellEnd"/>
          </w:p>
        </w:tc>
        <w:tc>
          <w:tcPr>
            <w:tcW w:w="3283" w:type="pct"/>
            <w:tcBorders>
              <w:top w:val="outset" w:sz="6" w:space="0" w:color="000000"/>
              <w:left w:val="outset" w:sz="6" w:space="0" w:color="000000"/>
              <w:bottom w:val="outset" w:sz="6" w:space="0" w:color="000000"/>
              <w:right w:val="outset" w:sz="6" w:space="0" w:color="000000"/>
            </w:tcBorders>
          </w:tcPr>
          <w:p w:rsidR="005E3FCD" w:rsidRPr="00573F61" w:rsidRDefault="004F149B" w:rsidP="009D336F">
            <w:pPr>
              <w:pStyle w:val="NormalWeb"/>
              <w:spacing w:before="0" w:beforeAutospacing="0" w:after="0" w:afterAutospacing="0"/>
              <w:ind w:right="86" w:firstLine="394"/>
              <w:jc w:val="both"/>
              <w:rPr>
                <w:sz w:val="28"/>
                <w:szCs w:val="28"/>
              </w:rPr>
            </w:pPr>
            <w:r w:rsidRPr="00573F61">
              <w:rPr>
                <w:sz w:val="28"/>
                <w:szCs w:val="28"/>
              </w:rPr>
              <w:t>Patērētāju kreditēšanas pakalpojumu sniedzēji, kas nav uzskatāmi par kredītiestādēm.</w:t>
            </w:r>
            <w:r w:rsidR="005E3FCD" w:rsidRPr="00573F61">
              <w:rPr>
                <w:sz w:val="28"/>
                <w:szCs w:val="28"/>
              </w:rPr>
              <w:t xml:space="preserve"> Kreditēšanas pakalpojumu tirgū šobrīd darbojas 5</w:t>
            </w:r>
            <w:r w:rsidR="002742B9" w:rsidRPr="00573F61">
              <w:rPr>
                <w:sz w:val="28"/>
                <w:szCs w:val="28"/>
              </w:rPr>
              <w:t>2</w:t>
            </w:r>
            <w:r w:rsidR="005E3FCD" w:rsidRPr="00573F61">
              <w:rPr>
                <w:sz w:val="28"/>
                <w:szCs w:val="28"/>
              </w:rPr>
              <w:t xml:space="preserve"> kreditēšanas kapitālsabiedrības, kas normatīvajos tiesību aktos noteiktajā kārtībā ir saņēmušas speciālo atļauju (licenci) patērētāju kreditēšanai. </w:t>
            </w:r>
          </w:p>
        </w:tc>
      </w:tr>
      <w:tr w:rsidR="005E3FCD" w:rsidRPr="00573F61" w:rsidTr="00541C2A">
        <w:tc>
          <w:tcPr>
            <w:tcW w:w="307"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2.</w:t>
            </w:r>
          </w:p>
        </w:tc>
        <w:tc>
          <w:tcPr>
            <w:tcW w:w="1410"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 xml:space="preserve">Citas sabiedrības grupas (bez </w:t>
            </w:r>
            <w:proofErr w:type="spellStart"/>
            <w:r w:rsidRPr="00573F61">
              <w:rPr>
                <w:sz w:val="28"/>
                <w:szCs w:val="28"/>
              </w:rPr>
              <w:t>mērķgrupas</w:t>
            </w:r>
            <w:proofErr w:type="spellEnd"/>
            <w:r w:rsidRPr="00573F61">
              <w:rPr>
                <w:sz w:val="28"/>
                <w:szCs w:val="28"/>
              </w:rPr>
              <w:t>), kuras tiesiskais regulējums arī ietekmē vai varētu ietekmēt</w:t>
            </w:r>
          </w:p>
        </w:tc>
        <w:tc>
          <w:tcPr>
            <w:tcW w:w="3283" w:type="pct"/>
            <w:tcBorders>
              <w:top w:val="outset" w:sz="6" w:space="0" w:color="000000"/>
              <w:left w:val="outset" w:sz="6" w:space="0" w:color="000000"/>
              <w:bottom w:val="outset" w:sz="6" w:space="0" w:color="000000"/>
              <w:right w:val="outset" w:sz="6" w:space="0" w:color="000000"/>
            </w:tcBorders>
          </w:tcPr>
          <w:p w:rsidR="005E3FCD" w:rsidRPr="00573F61" w:rsidRDefault="005E3FCD" w:rsidP="00EE6D1E">
            <w:pPr>
              <w:pStyle w:val="NormalWeb"/>
              <w:spacing w:before="0" w:beforeAutospacing="0" w:after="0" w:afterAutospacing="0"/>
              <w:ind w:firstLine="394"/>
              <w:jc w:val="both"/>
              <w:rPr>
                <w:sz w:val="28"/>
                <w:szCs w:val="28"/>
                <w:highlight w:val="yellow"/>
              </w:rPr>
            </w:pPr>
            <w:r w:rsidRPr="00573F61">
              <w:rPr>
                <w:sz w:val="28"/>
                <w:szCs w:val="28"/>
              </w:rPr>
              <w:t xml:space="preserve">Patērētāji, kas izmanto vai </w:t>
            </w:r>
            <w:r w:rsidR="00EE6D1E" w:rsidRPr="00573F61">
              <w:rPr>
                <w:sz w:val="28"/>
                <w:szCs w:val="28"/>
              </w:rPr>
              <w:t>varētu</w:t>
            </w:r>
            <w:r w:rsidRPr="00573F61">
              <w:rPr>
                <w:sz w:val="28"/>
                <w:szCs w:val="28"/>
              </w:rPr>
              <w:t xml:space="preserve"> izmantot </w:t>
            </w:r>
            <w:proofErr w:type="spellStart"/>
            <w:r w:rsidRPr="00573F61">
              <w:rPr>
                <w:sz w:val="28"/>
                <w:szCs w:val="28"/>
              </w:rPr>
              <w:t>nebanku</w:t>
            </w:r>
            <w:proofErr w:type="spellEnd"/>
            <w:r w:rsidRPr="00573F61">
              <w:rPr>
                <w:sz w:val="28"/>
                <w:szCs w:val="28"/>
              </w:rPr>
              <w:t xml:space="preserve"> sektora </w:t>
            </w:r>
            <w:r w:rsidR="004F149B" w:rsidRPr="00573F61">
              <w:rPr>
                <w:sz w:val="28"/>
                <w:szCs w:val="28"/>
              </w:rPr>
              <w:t>kreditēšanas pakalpojumus</w:t>
            </w:r>
            <w:r w:rsidRPr="00573F61">
              <w:rPr>
                <w:sz w:val="28"/>
                <w:szCs w:val="28"/>
              </w:rPr>
              <w:t xml:space="preserve"> </w:t>
            </w:r>
            <w:r w:rsidR="004F149B" w:rsidRPr="00573F61">
              <w:rPr>
                <w:sz w:val="28"/>
                <w:szCs w:val="28"/>
              </w:rPr>
              <w:t>(~ 2</w:t>
            </w:r>
            <w:r w:rsidR="0077075B" w:rsidRPr="00573F61">
              <w:rPr>
                <w:sz w:val="28"/>
                <w:szCs w:val="28"/>
              </w:rPr>
              <w:t>00 000</w:t>
            </w:r>
            <w:r w:rsidR="007602F8" w:rsidRPr="00573F61">
              <w:rPr>
                <w:sz w:val="28"/>
                <w:szCs w:val="28"/>
              </w:rPr>
              <w:t xml:space="preserve"> </w:t>
            </w:r>
            <w:r w:rsidR="004F149B" w:rsidRPr="00573F61">
              <w:rPr>
                <w:sz w:val="28"/>
                <w:szCs w:val="28"/>
              </w:rPr>
              <w:t>Latvijas iedzīvotāju).</w:t>
            </w:r>
            <w:r w:rsidRPr="00573F61">
              <w:rPr>
                <w:sz w:val="28"/>
                <w:szCs w:val="28"/>
              </w:rPr>
              <w:t xml:space="preserve"> </w:t>
            </w:r>
          </w:p>
        </w:tc>
      </w:tr>
      <w:tr w:rsidR="005E3FCD" w:rsidRPr="00573F61" w:rsidTr="00541C2A">
        <w:tc>
          <w:tcPr>
            <w:tcW w:w="307"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3.</w:t>
            </w:r>
          </w:p>
        </w:tc>
        <w:tc>
          <w:tcPr>
            <w:tcW w:w="1410"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Tiesiskā regulējuma finansiālā ietekme</w:t>
            </w:r>
          </w:p>
        </w:tc>
        <w:tc>
          <w:tcPr>
            <w:tcW w:w="3283" w:type="pct"/>
            <w:tcBorders>
              <w:top w:val="outset" w:sz="6" w:space="0" w:color="000000"/>
              <w:left w:val="outset" w:sz="6" w:space="0" w:color="000000"/>
              <w:bottom w:val="outset" w:sz="6" w:space="0" w:color="000000"/>
              <w:right w:val="outset" w:sz="6" w:space="0" w:color="000000"/>
            </w:tcBorders>
          </w:tcPr>
          <w:p w:rsidR="00937333" w:rsidRPr="00573F61" w:rsidRDefault="004C58CA" w:rsidP="00937333">
            <w:pPr>
              <w:pStyle w:val="NormalWeb"/>
              <w:spacing w:before="0" w:beforeAutospacing="0" w:after="0" w:afterAutospacing="0"/>
              <w:ind w:firstLine="394"/>
              <w:jc w:val="both"/>
              <w:rPr>
                <w:sz w:val="28"/>
                <w:szCs w:val="28"/>
              </w:rPr>
            </w:pPr>
            <w:r w:rsidRPr="00573F61">
              <w:rPr>
                <w:sz w:val="28"/>
                <w:szCs w:val="28"/>
              </w:rPr>
              <w:t>Papildus statistiskās informācijas sagatavošana un informācijas sniegšanas biežums varētu radīt papildus administratīvos izdevumus  patērētāju kreditēšanas pakalpojumu sniedzējiem</w:t>
            </w:r>
            <w:r w:rsidR="00937333" w:rsidRPr="00573F61">
              <w:rPr>
                <w:sz w:val="28"/>
                <w:szCs w:val="28"/>
              </w:rPr>
              <w:t xml:space="preserve">. Tajā pašā laikā, nav sagaidāms, ka  papildus administratīvās izmaksas varētu būtiski ietekmēt   patērētāju kreditēšanas pakalpojumu sniedzēju darbību. Sagaidāms, ka </w:t>
            </w:r>
            <w:r w:rsidR="00937333" w:rsidRPr="00573F61">
              <w:rPr>
                <w:sz w:val="28"/>
                <w:szCs w:val="28"/>
              </w:rPr>
              <w:lastRenderedPageBreak/>
              <w:t>papildus izmaksas varētu būt nelielas.</w:t>
            </w:r>
          </w:p>
          <w:p w:rsidR="005E3FCD" w:rsidRPr="00573F61" w:rsidRDefault="004C58CA" w:rsidP="00937333">
            <w:pPr>
              <w:pStyle w:val="NormalWeb"/>
              <w:spacing w:before="0" w:beforeAutospacing="0" w:after="0" w:afterAutospacing="0"/>
              <w:ind w:firstLine="394"/>
              <w:jc w:val="both"/>
              <w:rPr>
                <w:sz w:val="28"/>
                <w:szCs w:val="28"/>
                <w:highlight w:val="yellow"/>
              </w:rPr>
            </w:pPr>
            <w:r w:rsidRPr="00573F61">
              <w:rPr>
                <w:sz w:val="28"/>
                <w:szCs w:val="28"/>
              </w:rPr>
              <w:t>Tiesiskajam regulējumam nav finansiālas ietekmes uz patērētāju.</w:t>
            </w:r>
          </w:p>
        </w:tc>
      </w:tr>
      <w:tr w:rsidR="005E3FCD" w:rsidRPr="00573F61" w:rsidTr="00541C2A">
        <w:tc>
          <w:tcPr>
            <w:tcW w:w="307"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lastRenderedPageBreak/>
              <w:t>4.</w:t>
            </w:r>
          </w:p>
        </w:tc>
        <w:tc>
          <w:tcPr>
            <w:tcW w:w="1410"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Tiesiskā regulējuma nefinansiālā ietekme</w:t>
            </w:r>
          </w:p>
        </w:tc>
        <w:tc>
          <w:tcPr>
            <w:tcW w:w="3283" w:type="pct"/>
            <w:tcBorders>
              <w:top w:val="outset" w:sz="6" w:space="0" w:color="000000"/>
              <w:left w:val="outset" w:sz="6" w:space="0" w:color="000000"/>
              <w:bottom w:val="outset" w:sz="6" w:space="0" w:color="000000"/>
              <w:right w:val="outset" w:sz="6" w:space="0" w:color="000000"/>
            </w:tcBorders>
          </w:tcPr>
          <w:p w:rsidR="005E3FCD" w:rsidRPr="00573F61" w:rsidRDefault="00434B72" w:rsidP="001D05A7">
            <w:pPr>
              <w:pStyle w:val="NormalWeb"/>
              <w:spacing w:before="0" w:beforeAutospacing="0" w:after="0" w:afterAutospacing="0"/>
              <w:ind w:firstLine="394"/>
              <w:jc w:val="both"/>
              <w:rPr>
                <w:sz w:val="28"/>
                <w:szCs w:val="28"/>
                <w:highlight w:val="yellow"/>
              </w:rPr>
            </w:pPr>
            <w:r w:rsidRPr="00573F61">
              <w:rPr>
                <w:sz w:val="28"/>
                <w:szCs w:val="28"/>
              </w:rPr>
              <w:t xml:space="preserve">Papildus statistiskā informācija ļaus Patērētāju tiesību aizsardzības centram </w:t>
            </w:r>
            <w:r w:rsidR="00557CC3" w:rsidRPr="00573F61">
              <w:rPr>
                <w:sz w:val="28"/>
                <w:szCs w:val="28"/>
              </w:rPr>
              <w:t>apzināt tendences</w:t>
            </w:r>
            <w:r w:rsidRPr="00573F61">
              <w:rPr>
                <w:sz w:val="28"/>
                <w:szCs w:val="28"/>
              </w:rPr>
              <w:t xml:space="preserve"> </w:t>
            </w:r>
            <w:proofErr w:type="spellStart"/>
            <w:r w:rsidRPr="00573F61">
              <w:rPr>
                <w:sz w:val="28"/>
                <w:szCs w:val="28"/>
              </w:rPr>
              <w:t>nebanku</w:t>
            </w:r>
            <w:proofErr w:type="spellEnd"/>
            <w:r w:rsidRPr="00573F61">
              <w:rPr>
                <w:sz w:val="28"/>
                <w:szCs w:val="28"/>
              </w:rPr>
              <w:t xml:space="preserve"> patērētāju kreditēšanas </w:t>
            </w:r>
            <w:r w:rsidR="00903308" w:rsidRPr="00573F61">
              <w:rPr>
                <w:sz w:val="28"/>
                <w:szCs w:val="28"/>
              </w:rPr>
              <w:t>tirgū</w:t>
            </w:r>
            <w:r w:rsidR="00BB2244" w:rsidRPr="00573F61">
              <w:rPr>
                <w:sz w:val="28"/>
                <w:szCs w:val="28"/>
              </w:rPr>
              <w:t xml:space="preserve"> un</w:t>
            </w:r>
            <w:r w:rsidR="00557CC3" w:rsidRPr="00573F61">
              <w:rPr>
                <w:sz w:val="28"/>
                <w:szCs w:val="28"/>
              </w:rPr>
              <w:t xml:space="preserve"> reaģēt uz tirgus</w:t>
            </w:r>
            <w:r w:rsidR="00BB2244" w:rsidRPr="00573F61">
              <w:rPr>
                <w:sz w:val="28"/>
                <w:szCs w:val="28"/>
              </w:rPr>
              <w:t xml:space="preserve"> izmaiņām, kā arī efektīvāk plānot tirgus uzraudzību.</w:t>
            </w:r>
            <w:r w:rsidR="00903308" w:rsidRPr="00573F61">
              <w:rPr>
                <w:sz w:val="28"/>
                <w:szCs w:val="28"/>
              </w:rPr>
              <w:t xml:space="preserve"> Attiecīgi, </w:t>
            </w:r>
            <w:r w:rsidR="001D05A7" w:rsidRPr="00573F61">
              <w:rPr>
                <w:sz w:val="28"/>
                <w:szCs w:val="28"/>
              </w:rPr>
              <w:t xml:space="preserve">valsts budžeta līdzekļi tiktu izmantoti lietderīgāk. </w:t>
            </w:r>
          </w:p>
        </w:tc>
      </w:tr>
      <w:tr w:rsidR="005E3FCD" w:rsidRPr="00573F61" w:rsidTr="00541C2A">
        <w:tc>
          <w:tcPr>
            <w:tcW w:w="307"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5.</w:t>
            </w:r>
          </w:p>
        </w:tc>
        <w:tc>
          <w:tcPr>
            <w:tcW w:w="1410"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Administratīvās procedūras raksturojums</w:t>
            </w:r>
          </w:p>
        </w:tc>
        <w:tc>
          <w:tcPr>
            <w:tcW w:w="3283" w:type="pct"/>
            <w:tcBorders>
              <w:top w:val="outset" w:sz="6" w:space="0" w:color="000000"/>
              <w:left w:val="outset" w:sz="6" w:space="0" w:color="000000"/>
              <w:bottom w:val="outset" w:sz="6" w:space="0" w:color="000000"/>
              <w:right w:val="outset" w:sz="6" w:space="0" w:color="000000"/>
            </w:tcBorders>
          </w:tcPr>
          <w:p w:rsidR="00434B72" w:rsidRPr="00573F61" w:rsidRDefault="00434B72" w:rsidP="009D336F">
            <w:pPr>
              <w:ind w:firstLine="394"/>
              <w:jc w:val="both"/>
              <w:rPr>
                <w:rFonts w:eastAsia="Calibri"/>
                <w:sz w:val="28"/>
                <w:szCs w:val="28"/>
                <w:lang w:eastAsia="en-US"/>
              </w:rPr>
            </w:pPr>
            <w:r w:rsidRPr="00573F61">
              <w:rPr>
                <w:rFonts w:eastAsia="Calibri"/>
                <w:sz w:val="28"/>
                <w:szCs w:val="28"/>
                <w:lang w:eastAsia="en-US"/>
              </w:rPr>
              <w:t>Papildus līdzšinējai iesniedzamajai informācijai patērētāju kreditēšanas pakalpojuma sniedzējam būs jāiesniedz arī informācija par  patērētājiem izsniegto kredītu kredītportfeļa summ</w:t>
            </w:r>
            <w:r w:rsidR="00903308" w:rsidRPr="00573F61">
              <w:rPr>
                <w:rFonts w:eastAsia="Calibri"/>
                <w:sz w:val="28"/>
                <w:szCs w:val="28"/>
                <w:lang w:eastAsia="en-US"/>
              </w:rPr>
              <w:t>u</w:t>
            </w:r>
            <w:r w:rsidRPr="00573F61">
              <w:rPr>
                <w:rFonts w:eastAsia="Calibri"/>
                <w:sz w:val="28"/>
                <w:szCs w:val="28"/>
                <w:lang w:eastAsia="en-US"/>
              </w:rPr>
              <w:t xml:space="preserve"> uz iepriekšējā pusgada beigām, ar patērētājiem noslēgto jauno kreditēšanas līgumu</w:t>
            </w:r>
            <w:r w:rsidR="00903308" w:rsidRPr="00573F61">
              <w:rPr>
                <w:rFonts w:eastAsia="Calibri"/>
                <w:sz w:val="28"/>
                <w:szCs w:val="28"/>
                <w:lang w:eastAsia="en-US"/>
              </w:rPr>
              <w:t xml:space="preserve"> skaitu iepriekšējā pusgadā,</w:t>
            </w:r>
            <w:r w:rsidRPr="00573F61">
              <w:rPr>
                <w:rFonts w:eastAsia="Calibri"/>
                <w:sz w:val="28"/>
                <w:szCs w:val="28"/>
                <w:lang w:eastAsia="en-US"/>
              </w:rPr>
              <w:t xml:space="preserve"> procentu likm</w:t>
            </w:r>
            <w:r w:rsidR="00903308" w:rsidRPr="00573F61">
              <w:rPr>
                <w:rFonts w:eastAsia="Calibri"/>
                <w:sz w:val="28"/>
                <w:szCs w:val="28"/>
                <w:lang w:eastAsia="en-US"/>
              </w:rPr>
              <w:t>i</w:t>
            </w:r>
            <w:r w:rsidRPr="00573F61">
              <w:rPr>
                <w:rFonts w:eastAsia="Calibri"/>
                <w:sz w:val="28"/>
                <w:szCs w:val="28"/>
                <w:lang w:eastAsia="en-US"/>
              </w:rPr>
              <w:t xml:space="preserve"> iepriekšējā </w:t>
            </w:r>
            <w:r w:rsidR="00903308" w:rsidRPr="00573F61">
              <w:rPr>
                <w:rFonts w:eastAsia="Calibri"/>
                <w:sz w:val="28"/>
                <w:szCs w:val="28"/>
                <w:lang w:eastAsia="en-US"/>
              </w:rPr>
              <w:t>pusgadā</w:t>
            </w:r>
            <w:r w:rsidR="00CF17BE" w:rsidRPr="00573F61">
              <w:rPr>
                <w:rFonts w:eastAsia="Calibri"/>
                <w:sz w:val="28"/>
                <w:szCs w:val="28"/>
                <w:lang w:eastAsia="en-US"/>
              </w:rPr>
              <w:t xml:space="preserve"> un cit</w:t>
            </w:r>
            <w:r w:rsidR="000F538C" w:rsidRPr="00573F61">
              <w:rPr>
                <w:rFonts w:eastAsia="Calibri"/>
                <w:sz w:val="28"/>
                <w:szCs w:val="28"/>
                <w:lang w:eastAsia="en-US"/>
              </w:rPr>
              <w:t>a</w:t>
            </w:r>
            <w:r w:rsidR="00CF17BE" w:rsidRPr="00573F61">
              <w:rPr>
                <w:rFonts w:eastAsia="Calibri"/>
                <w:sz w:val="28"/>
                <w:szCs w:val="28"/>
                <w:lang w:eastAsia="en-US"/>
              </w:rPr>
              <w:t xml:space="preserve"> informācij</w:t>
            </w:r>
            <w:r w:rsidR="000F538C" w:rsidRPr="00573F61">
              <w:rPr>
                <w:rFonts w:eastAsia="Calibri"/>
                <w:sz w:val="28"/>
                <w:szCs w:val="28"/>
                <w:lang w:eastAsia="en-US"/>
              </w:rPr>
              <w:t>a</w:t>
            </w:r>
            <w:r w:rsidR="00CF17BE" w:rsidRPr="00573F61">
              <w:rPr>
                <w:rFonts w:eastAsia="Calibri"/>
                <w:sz w:val="28"/>
                <w:szCs w:val="28"/>
                <w:lang w:eastAsia="en-US"/>
              </w:rPr>
              <w:t>. Lai atvieglotu informācijas iesniegšanu</w:t>
            </w:r>
            <w:r w:rsidR="00557CC3" w:rsidRPr="00573F61">
              <w:rPr>
                <w:rFonts w:eastAsia="Calibri"/>
                <w:sz w:val="28"/>
                <w:szCs w:val="28"/>
                <w:lang w:eastAsia="en-US"/>
              </w:rPr>
              <w:t>,</w:t>
            </w:r>
            <w:r w:rsidR="00CF17BE" w:rsidRPr="00573F61">
              <w:rPr>
                <w:rFonts w:eastAsia="Calibri"/>
                <w:sz w:val="28"/>
                <w:szCs w:val="28"/>
                <w:lang w:eastAsia="en-US"/>
              </w:rPr>
              <w:t xml:space="preserve"> Patērētāju tiesību aizsardzības centrs izstrādās nepieciešamās formas, kā arī nodrošinās konsultācijas, ja radīsies neskaidrības </w:t>
            </w:r>
            <w:r w:rsidR="00557CC3" w:rsidRPr="00573F61">
              <w:rPr>
                <w:rFonts w:eastAsia="Calibri"/>
                <w:sz w:val="28"/>
                <w:szCs w:val="28"/>
                <w:lang w:eastAsia="en-US"/>
              </w:rPr>
              <w:t>p</w:t>
            </w:r>
            <w:r w:rsidR="001418FE" w:rsidRPr="00573F61">
              <w:rPr>
                <w:rFonts w:eastAsia="Calibri"/>
                <w:sz w:val="28"/>
                <w:szCs w:val="28"/>
                <w:lang w:eastAsia="en-US"/>
              </w:rPr>
              <w:t xml:space="preserve">ar </w:t>
            </w:r>
            <w:r w:rsidR="00CF17BE" w:rsidRPr="00573F61">
              <w:rPr>
                <w:rFonts w:eastAsia="Calibri"/>
                <w:sz w:val="28"/>
                <w:szCs w:val="28"/>
                <w:lang w:eastAsia="en-US"/>
              </w:rPr>
              <w:t>iesniedzamo informāciju. Informāciju varēs iesniegt arī elektroniski, ja tiks nodrošināta dokumenta parakstīšana ar drošu elektronisko parakstu.</w:t>
            </w:r>
          </w:p>
          <w:p w:rsidR="005E3FCD" w:rsidRPr="00573F61" w:rsidRDefault="005E3FCD" w:rsidP="00541C2A">
            <w:pPr>
              <w:pStyle w:val="NormalWeb"/>
              <w:spacing w:before="0" w:beforeAutospacing="0" w:after="0" w:afterAutospacing="0"/>
              <w:jc w:val="both"/>
              <w:rPr>
                <w:sz w:val="28"/>
                <w:szCs w:val="28"/>
                <w:highlight w:val="yellow"/>
              </w:rPr>
            </w:pPr>
          </w:p>
        </w:tc>
      </w:tr>
      <w:tr w:rsidR="005E3FCD" w:rsidRPr="00573F61" w:rsidTr="00541C2A">
        <w:tc>
          <w:tcPr>
            <w:tcW w:w="307"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6.</w:t>
            </w:r>
          </w:p>
        </w:tc>
        <w:tc>
          <w:tcPr>
            <w:tcW w:w="1410"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Administratīvo izmaksu monetārs novērtējums</w:t>
            </w:r>
          </w:p>
        </w:tc>
        <w:tc>
          <w:tcPr>
            <w:tcW w:w="3283" w:type="pct"/>
            <w:tcBorders>
              <w:top w:val="outset" w:sz="6" w:space="0" w:color="000000"/>
              <w:left w:val="outset" w:sz="6" w:space="0" w:color="000000"/>
              <w:bottom w:val="outset" w:sz="6" w:space="0" w:color="000000"/>
              <w:right w:val="outset" w:sz="6" w:space="0" w:color="000000"/>
            </w:tcBorders>
          </w:tcPr>
          <w:p w:rsidR="005E3FCD" w:rsidRPr="00573F61" w:rsidRDefault="002944B7" w:rsidP="00541C2A">
            <w:pPr>
              <w:pStyle w:val="NormalWeb"/>
              <w:spacing w:before="0" w:beforeAutospacing="0" w:after="0" w:afterAutospacing="0"/>
              <w:jc w:val="both"/>
              <w:rPr>
                <w:sz w:val="28"/>
                <w:szCs w:val="28"/>
              </w:rPr>
            </w:pPr>
            <w:r w:rsidRPr="00573F61">
              <w:rPr>
                <w:sz w:val="28"/>
                <w:szCs w:val="28"/>
              </w:rPr>
              <w:t>Projekts šo jomu neskar</w:t>
            </w:r>
          </w:p>
        </w:tc>
      </w:tr>
      <w:tr w:rsidR="005E3FCD" w:rsidRPr="00573F61" w:rsidTr="00541C2A">
        <w:tc>
          <w:tcPr>
            <w:tcW w:w="307"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7.</w:t>
            </w:r>
          </w:p>
        </w:tc>
        <w:tc>
          <w:tcPr>
            <w:tcW w:w="1410"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Cita informācija</w:t>
            </w:r>
          </w:p>
        </w:tc>
        <w:tc>
          <w:tcPr>
            <w:tcW w:w="3283" w:type="pct"/>
            <w:tcBorders>
              <w:top w:val="outset" w:sz="6" w:space="0" w:color="000000"/>
              <w:left w:val="outset" w:sz="6" w:space="0" w:color="000000"/>
              <w:bottom w:val="outset" w:sz="6" w:space="0" w:color="000000"/>
              <w:right w:val="outset" w:sz="6" w:space="0" w:color="000000"/>
            </w:tcBorders>
          </w:tcPr>
          <w:p w:rsidR="005E3FCD" w:rsidRPr="00573F61" w:rsidRDefault="005E3FCD" w:rsidP="00541C2A">
            <w:pPr>
              <w:pStyle w:val="NormalWeb"/>
              <w:spacing w:before="0" w:beforeAutospacing="0" w:after="0" w:afterAutospacing="0"/>
              <w:rPr>
                <w:sz w:val="28"/>
                <w:szCs w:val="28"/>
              </w:rPr>
            </w:pPr>
            <w:r w:rsidRPr="00573F61">
              <w:rPr>
                <w:sz w:val="28"/>
                <w:szCs w:val="28"/>
              </w:rPr>
              <w:t>Nav</w:t>
            </w:r>
          </w:p>
        </w:tc>
      </w:tr>
    </w:tbl>
    <w:p w:rsidR="005E3FCD" w:rsidRPr="00573F61" w:rsidRDefault="005E3FCD" w:rsidP="005E3FCD">
      <w:pPr>
        <w:pStyle w:val="NormalWeb"/>
        <w:rPr>
          <w:sz w:val="28"/>
          <w:szCs w:val="28"/>
        </w:rPr>
      </w:pPr>
      <w:r w:rsidRPr="00573F61">
        <w:rPr>
          <w:sz w:val="28"/>
          <w:szCs w:val="28"/>
        </w:rPr>
        <w:t xml:space="preserve"> Anotācijas III., IV., V. un VI. sadaļa – </w:t>
      </w:r>
      <w:r w:rsidR="001D05A7" w:rsidRPr="00573F61">
        <w:rPr>
          <w:sz w:val="28"/>
          <w:szCs w:val="28"/>
        </w:rPr>
        <w:t xml:space="preserve">noteikumu </w:t>
      </w:r>
      <w:r w:rsidRPr="00573F61">
        <w:rPr>
          <w:sz w:val="28"/>
          <w:szCs w:val="28"/>
        </w:rPr>
        <w:t>projekts šīs jomas neskar.</w:t>
      </w:r>
    </w:p>
    <w:tbl>
      <w:tblPr>
        <w:tblW w:w="5279"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4"/>
        <w:gridCol w:w="3201"/>
        <w:gridCol w:w="5881"/>
      </w:tblGrid>
      <w:tr w:rsidR="005E3FCD" w:rsidRPr="00573F61" w:rsidTr="00541C2A">
        <w:trPr>
          <w:jc w:val="center"/>
        </w:trPr>
        <w:tc>
          <w:tcPr>
            <w:tcW w:w="9565" w:type="dxa"/>
            <w:gridSpan w:val="3"/>
            <w:tcBorders>
              <w:top w:val="single" w:sz="4" w:space="0" w:color="auto"/>
            </w:tcBorders>
          </w:tcPr>
          <w:p w:rsidR="005E3FCD" w:rsidRPr="00573F61" w:rsidRDefault="005E3FCD" w:rsidP="00541C2A">
            <w:pPr>
              <w:pStyle w:val="naisnod"/>
              <w:spacing w:before="0" w:after="0"/>
              <w:ind w:left="57" w:right="57"/>
              <w:rPr>
                <w:sz w:val="28"/>
                <w:szCs w:val="28"/>
              </w:rPr>
            </w:pPr>
            <w:r w:rsidRPr="00573F61">
              <w:rPr>
                <w:sz w:val="28"/>
                <w:szCs w:val="28"/>
              </w:rPr>
              <w:t>VII. Tiesību akta projekta izpildes nodrošināšana un tās ietekme uz institūcijām</w:t>
            </w:r>
          </w:p>
        </w:tc>
      </w:tr>
      <w:tr w:rsidR="005E3FCD" w:rsidRPr="00573F61" w:rsidTr="00541C2A">
        <w:trPr>
          <w:trHeight w:val="427"/>
          <w:jc w:val="center"/>
        </w:trPr>
        <w:tc>
          <w:tcPr>
            <w:tcW w:w="550" w:type="dxa"/>
          </w:tcPr>
          <w:p w:rsidR="005E3FCD" w:rsidRPr="00573F61" w:rsidRDefault="005E3FCD" w:rsidP="00541C2A">
            <w:pPr>
              <w:pStyle w:val="naisnod"/>
              <w:spacing w:before="0" w:after="0"/>
              <w:ind w:left="57" w:right="57"/>
              <w:jc w:val="left"/>
              <w:rPr>
                <w:b w:val="0"/>
                <w:sz w:val="28"/>
                <w:szCs w:val="28"/>
              </w:rPr>
            </w:pPr>
            <w:r w:rsidRPr="00573F61">
              <w:rPr>
                <w:b w:val="0"/>
                <w:sz w:val="28"/>
                <w:szCs w:val="28"/>
              </w:rPr>
              <w:t>1.</w:t>
            </w:r>
          </w:p>
        </w:tc>
        <w:tc>
          <w:tcPr>
            <w:tcW w:w="3177" w:type="dxa"/>
          </w:tcPr>
          <w:p w:rsidR="005E3FCD" w:rsidRPr="00573F61" w:rsidRDefault="005E3FCD" w:rsidP="00541C2A">
            <w:pPr>
              <w:pStyle w:val="naisf"/>
              <w:spacing w:before="0" w:after="0"/>
              <w:ind w:left="57" w:right="57" w:firstLine="0"/>
              <w:jc w:val="left"/>
              <w:rPr>
                <w:sz w:val="28"/>
                <w:szCs w:val="28"/>
              </w:rPr>
            </w:pPr>
            <w:r w:rsidRPr="00573F61">
              <w:rPr>
                <w:sz w:val="28"/>
                <w:szCs w:val="28"/>
              </w:rPr>
              <w:t xml:space="preserve">Projekta izpildē iesaistītās institūcijas </w:t>
            </w:r>
          </w:p>
        </w:tc>
        <w:tc>
          <w:tcPr>
            <w:tcW w:w="5838" w:type="dxa"/>
          </w:tcPr>
          <w:p w:rsidR="005E3FCD" w:rsidRPr="00573F61" w:rsidRDefault="005E3FCD" w:rsidP="00541C2A">
            <w:pPr>
              <w:pStyle w:val="naisnod"/>
              <w:spacing w:before="0" w:after="0"/>
              <w:ind w:left="57" w:right="57"/>
              <w:jc w:val="both"/>
              <w:rPr>
                <w:b w:val="0"/>
                <w:sz w:val="28"/>
                <w:szCs w:val="28"/>
              </w:rPr>
            </w:pPr>
            <w:r w:rsidRPr="00573F61">
              <w:rPr>
                <w:b w:val="0"/>
                <w:sz w:val="28"/>
                <w:szCs w:val="28"/>
              </w:rPr>
              <w:t>Projekta izpildi nodrošina Patērētāju tiesību aizsardzības centrs.</w:t>
            </w:r>
          </w:p>
        </w:tc>
      </w:tr>
      <w:tr w:rsidR="005E3FCD" w:rsidRPr="00573F61" w:rsidTr="00541C2A">
        <w:trPr>
          <w:trHeight w:val="463"/>
          <w:jc w:val="center"/>
        </w:trPr>
        <w:tc>
          <w:tcPr>
            <w:tcW w:w="550" w:type="dxa"/>
          </w:tcPr>
          <w:p w:rsidR="005E3FCD" w:rsidRPr="00573F61" w:rsidRDefault="005E3FCD" w:rsidP="00541C2A">
            <w:pPr>
              <w:pStyle w:val="naisnod"/>
              <w:spacing w:before="0" w:after="0"/>
              <w:ind w:left="57" w:right="57"/>
              <w:jc w:val="left"/>
              <w:rPr>
                <w:b w:val="0"/>
                <w:sz w:val="28"/>
                <w:szCs w:val="28"/>
              </w:rPr>
            </w:pPr>
            <w:r w:rsidRPr="00573F61">
              <w:rPr>
                <w:b w:val="0"/>
                <w:sz w:val="28"/>
                <w:szCs w:val="28"/>
              </w:rPr>
              <w:t>2.</w:t>
            </w:r>
          </w:p>
        </w:tc>
        <w:tc>
          <w:tcPr>
            <w:tcW w:w="3177" w:type="dxa"/>
          </w:tcPr>
          <w:p w:rsidR="005E3FCD" w:rsidRPr="00573F61" w:rsidRDefault="005E3FCD" w:rsidP="00541C2A">
            <w:pPr>
              <w:pStyle w:val="naisf"/>
              <w:spacing w:before="0" w:after="0"/>
              <w:ind w:left="57" w:right="57" w:firstLine="0"/>
              <w:jc w:val="left"/>
              <w:rPr>
                <w:sz w:val="28"/>
                <w:szCs w:val="28"/>
              </w:rPr>
            </w:pPr>
            <w:r w:rsidRPr="00573F61">
              <w:rPr>
                <w:sz w:val="28"/>
                <w:szCs w:val="28"/>
              </w:rPr>
              <w:t xml:space="preserve">Projekta izpildes ietekme uz pārvaldes funkcijām </w:t>
            </w:r>
          </w:p>
        </w:tc>
        <w:tc>
          <w:tcPr>
            <w:tcW w:w="5838" w:type="dxa"/>
          </w:tcPr>
          <w:p w:rsidR="005E3FCD" w:rsidRPr="00573F61" w:rsidRDefault="005E3FCD" w:rsidP="00541C2A">
            <w:pPr>
              <w:pStyle w:val="naisnod"/>
              <w:spacing w:before="0" w:after="0"/>
              <w:ind w:left="57" w:right="57"/>
              <w:jc w:val="both"/>
              <w:rPr>
                <w:b w:val="0"/>
                <w:sz w:val="28"/>
                <w:szCs w:val="28"/>
              </w:rPr>
            </w:pPr>
            <w:r w:rsidRPr="00573F61">
              <w:rPr>
                <w:b w:val="0"/>
                <w:sz w:val="28"/>
                <w:szCs w:val="28"/>
              </w:rPr>
              <w:t>Projekts neparedz valsts pārvaldes iestāžu funkciju paplašināšanu.</w:t>
            </w:r>
          </w:p>
        </w:tc>
      </w:tr>
      <w:tr w:rsidR="005E3FCD" w:rsidRPr="00573F61" w:rsidTr="00541C2A">
        <w:trPr>
          <w:trHeight w:val="725"/>
          <w:jc w:val="center"/>
        </w:trPr>
        <w:tc>
          <w:tcPr>
            <w:tcW w:w="550" w:type="dxa"/>
          </w:tcPr>
          <w:p w:rsidR="005E3FCD" w:rsidRPr="00573F61" w:rsidRDefault="005E3FCD" w:rsidP="00541C2A">
            <w:pPr>
              <w:pStyle w:val="naisnod"/>
              <w:spacing w:before="0" w:after="0"/>
              <w:ind w:left="57" w:right="57"/>
              <w:jc w:val="left"/>
              <w:rPr>
                <w:b w:val="0"/>
                <w:sz w:val="28"/>
                <w:szCs w:val="28"/>
              </w:rPr>
            </w:pPr>
            <w:r w:rsidRPr="00573F61">
              <w:rPr>
                <w:b w:val="0"/>
                <w:sz w:val="28"/>
                <w:szCs w:val="28"/>
              </w:rPr>
              <w:t>3.</w:t>
            </w:r>
          </w:p>
        </w:tc>
        <w:tc>
          <w:tcPr>
            <w:tcW w:w="3177" w:type="dxa"/>
          </w:tcPr>
          <w:p w:rsidR="005E3FCD" w:rsidRPr="00573F61" w:rsidRDefault="005E3FCD" w:rsidP="00541C2A">
            <w:pPr>
              <w:pStyle w:val="naisf"/>
              <w:spacing w:before="0" w:after="0"/>
              <w:ind w:left="57" w:right="57" w:firstLine="0"/>
              <w:jc w:val="left"/>
              <w:rPr>
                <w:sz w:val="28"/>
                <w:szCs w:val="28"/>
              </w:rPr>
            </w:pPr>
            <w:r w:rsidRPr="00573F61">
              <w:rPr>
                <w:sz w:val="28"/>
                <w:szCs w:val="28"/>
              </w:rPr>
              <w:t>Projekta izpildes ietekme uz pārvaldes institucionālo struktūru.</w:t>
            </w:r>
          </w:p>
          <w:p w:rsidR="005E3FCD" w:rsidRPr="00573F61" w:rsidRDefault="005E3FCD" w:rsidP="00541C2A">
            <w:pPr>
              <w:pStyle w:val="naisf"/>
              <w:spacing w:before="0" w:after="0"/>
              <w:ind w:left="57" w:right="57" w:firstLine="0"/>
              <w:jc w:val="left"/>
              <w:rPr>
                <w:sz w:val="28"/>
                <w:szCs w:val="28"/>
              </w:rPr>
            </w:pPr>
            <w:r w:rsidRPr="00573F61">
              <w:rPr>
                <w:sz w:val="28"/>
                <w:szCs w:val="28"/>
              </w:rPr>
              <w:t>Jaunu institūciju izveide</w:t>
            </w:r>
          </w:p>
        </w:tc>
        <w:tc>
          <w:tcPr>
            <w:tcW w:w="5838" w:type="dxa"/>
          </w:tcPr>
          <w:p w:rsidR="005E3FCD" w:rsidRPr="00573F61" w:rsidRDefault="005E3FCD" w:rsidP="00541C2A">
            <w:pPr>
              <w:pStyle w:val="naisnod"/>
              <w:spacing w:before="0" w:after="0"/>
              <w:ind w:left="57" w:right="57"/>
              <w:jc w:val="left"/>
              <w:rPr>
                <w:b w:val="0"/>
                <w:sz w:val="28"/>
                <w:szCs w:val="28"/>
              </w:rPr>
            </w:pPr>
            <w:r w:rsidRPr="00573F61">
              <w:rPr>
                <w:b w:val="0"/>
                <w:sz w:val="28"/>
                <w:szCs w:val="28"/>
              </w:rPr>
              <w:t>Projekts neparedz veidot jaunas valsts institūcijas.</w:t>
            </w:r>
          </w:p>
        </w:tc>
      </w:tr>
      <w:tr w:rsidR="005E3FCD" w:rsidRPr="00573F61" w:rsidTr="00541C2A">
        <w:trPr>
          <w:trHeight w:val="780"/>
          <w:jc w:val="center"/>
        </w:trPr>
        <w:tc>
          <w:tcPr>
            <w:tcW w:w="550" w:type="dxa"/>
          </w:tcPr>
          <w:p w:rsidR="005E3FCD" w:rsidRPr="00573F61" w:rsidRDefault="005E3FCD" w:rsidP="00541C2A">
            <w:pPr>
              <w:pStyle w:val="naisnod"/>
              <w:spacing w:before="0" w:after="0"/>
              <w:ind w:left="57" w:right="57"/>
              <w:jc w:val="left"/>
              <w:rPr>
                <w:b w:val="0"/>
                <w:sz w:val="28"/>
                <w:szCs w:val="28"/>
              </w:rPr>
            </w:pPr>
            <w:r w:rsidRPr="00573F61">
              <w:rPr>
                <w:b w:val="0"/>
                <w:sz w:val="28"/>
                <w:szCs w:val="28"/>
              </w:rPr>
              <w:lastRenderedPageBreak/>
              <w:t>4.</w:t>
            </w:r>
          </w:p>
        </w:tc>
        <w:tc>
          <w:tcPr>
            <w:tcW w:w="3177" w:type="dxa"/>
          </w:tcPr>
          <w:p w:rsidR="005E3FCD" w:rsidRPr="00573F61" w:rsidRDefault="005E3FCD" w:rsidP="00541C2A">
            <w:pPr>
              <w:pStyle w:val="naisf"/>
              <w:spacing w:before="0" w:after="0"/>
              <w:ind w:left="57" w:right="57" w:firstLine="0"/>
              <w:jc w:val="left"/>
              <w:rPr>
                <w:sz w:val="28"/>
                <w:szCs w:val="28"/>
              </w:rPr>
            </w:pPr>
            <w:r w:rsidRPr="00573F61">
              <w:rPr>
                <w:sz w:val="28"/>
                <w:szCs w:val="28"/>
              </w:rPr>
              <w:t>Projekta izpildes ietekme uz pārvaldes institucionālo struktūru.</w:t>
            </w:r>
          </w:p>
          <w:p w:rsidR="005E3FCD" w:rsidRPr="00573F61" w:rsidRDefault="005E3FCD" w:rsidP="00541C2A">
            <w:pPr>
              <w:pStyle w:val="naisf"/>
              <w:spacing w:before="0" w:after="0"/>
              <w:ind w:left="57" w:right="57" w:firstLine="0"/>
              <w:jc w:val="left"/>
              <w:rPr>
                <w:sz w:val="28"/>
                <w:szCs w:val="28"/>
              </w:rPr>
            </w:pPr>
            <w:r w:rsidRPr="00573F61">
              <w:rPr>
                <w:sz w:val="28"/>
                <w:szCs w:val="28"/>
              </w:rPr>
              <w:t>Esošu institūciju likvidācija</w:t>
            </w:r>
          </w:p>
        </w:tc>
        <w:tc>
          <w:tcPr>
            <w:tcW w:w="5838" w:type="dxa"/>
          </w:tcPr>
          <w:p w:rsidR="005E3FCD" w:rsidRPr="00573F61" w:rsidRDefault="005E3FCD" w:rsidP="00541C2A">
            <w:pPr>
              <w:pStyle w:val="naisnod"/>
              <w:spacing w:before="0" w:after="0"/>
              <w:ind w:left="57" w:right="57"/>
              <w:jc w:val="left"/>
              <w:rPr>
                <w:b w:val="0"/>
                <w:sz w:val="28"/>
                <w:szCs w:val="28"/>
              </w:rPr>
            </w:pPr>
            <w:r w:rsidRPr="00573F61">
              <w:rPr>
                <w:b w:val="0"/>
                <w:sz w:val="28"/>
                <w:szCs w:val="28"/>
              </w:rPr>
              <w:t>Projekts šo jomu neskar</w:t>
            </w:r>
          </w:p>
        </w:tc>
      </w:tr>
      <w:tr w:rsidR="005E3FCD" w:rsidRPr="00573F61" w:rsidTr="00541C2A">
        <w:trPr>
          <w:trHeight w:val="703"/>
          <w:jc w:val="center"/>
        </w:trPr>
        <w:tc>
          <w:tcPr>
            <w:tcW w:w="550" w:type="dxa"/>
          </w:tcPr>
          <w:p w:rsidR="005E3FCD" w:rsidRPr="00573F61" w:rsidRDefault="005E3FCD" w:rsidP="00541C2A">
            <w:pPr>
              <w:pStyle w:val="naisnod"/>
              <w:spacing w:before="0" w:after="0"/>
              <w:ind w:left="57" w:right="57"/>
              <w:jc w:val="left"/>
              <w:rPr>
                <w:b w:val="0"/>
                <w:sz w:val="28"/>
                <w:szCs w:val="28"/>
              </w:rPr>
            </w:pPr>
            <w:r w:rsidRPr="00573F61">
              <w:rPr>
                <w:b w:val="0"/>
                <w:sz w:val="28"/>
                <w:szCs w:val="28"/>
              </w:rPr>
              <w:t>5.</w:t>
            </w:r>
          </w:p>
        </w:tc>
        <w:tc>
          <w:tcPr>
            <w:tcW w:w="3177" w:type="dxa"/>
          </w:tcPr>
          <w:p w:rsidR="005E3FCD" w:rsidRPr="00573F61" w:rsidRDefault="005E3FCD" w:rsidP="00541C2A">
            <w:pPr>
              <w:pStyle w:val="naisf"/>
              <w:spacing w:before="0" w:after="0"/>
              <w:ind w:left="57" w:right="57" w:firstLine="0"/>
              <w:jc w:val="left"/>
              <w:rPr>
                <w:sz w:val="28"/>
                <w:szCs w:val="28"/>
              </w:rPr>
            </w:pPr>
            <w:r w:rsidRPr="00573F61">
              <w:rPr>
                <w:sz w:val="28"/>
                <w:szCs w:val="28"/>
              </w:rPr>
              <w:t>Projekta izpildes ietekme uz pārvaldes institucionālo struktūru.</w:t>
            </w:r>
          </w:p>
          <w:p w:rsidR="005E3FCD" w:rsidRPr="00573F61" w:rsidRDefault="005E3FCD" w:rsidP="00541C2A">
            <w:pPr>
              <w:pStyle w:val="naisf"/>
              <w:spacing w:before="0" w:after="0"/>
              <w:ind w:left="57" w:right="57" w:firstLine="0"/>
              <w:jc w:val="left"/>
              <w:rPr>
                <w:sz w:val="28"/>
                <w:szCs w:val="28"/>
              </w:rPr>
            </w:pPr>
            <w:r w:rsidRPr="00573F61">
              <w:rPr>
                <w:sz w:val="28"/>
                <w:szCs w:val="28"/>
              </w:rPr>
              <w:t>Esošu institūciju reorganizācija</w:t>
            </w:r>
          </w:p>
        </w:tc>
        <w:tc>
          <w:tcPr>
            <w:tcW w:w="5838" w:type="dxa"/>
          </w:tcPr>
          <w:p w:rsidR="005E3FCD" w:rsidRPr="00573F61" w:rsidRDefault="005E3FCD" w:rsidP="00541C2A">
            <w:pPr>
              <w:pStyle w:val="naisnod"/>
              <w:spacing w:before="0" w:after="0"/>
              <w:ind w:left="57" w:right="57"/>
              <w:jc w:val="both"/>
              <w:rPr>
                <w:b w:val="0"/>
                <w:sz w:val="28"/>
                <w:szCs w:val="28"/>
              </w:rPr>
            </w:pPr>
            <w:r w:rsidRPr="00573F61">
              <w:rPr>
                <w:b w:val="0"/>
                <w:sz w:val="28"/>
                <w:szCs w:val="28"/>
              </w:rPr>
              <w:t>Projekts šo jomu neskar</w:t>
            </w:r>
          </w:p>
        </w:tc>
      </w:tr>
      <w:tr w:rsidR="005E3FCD" w:rsidRPr="00573F61" w:rsidTr="00541C2A">
        <w:trPr>
          <w:trHeight w:val="476"/>
          <w:jc w:val="center"/>
        </w:trPr>
        <w:tc>
          <w:tcPr>
            <w:tcW w:w="550" w:type="dxa"/>
          </w:tcPr>
          <w:p w:rsidR="005E3FCD" w:rsidRPr="00573F61" w:rsidRDefault="005E3FCD" w:rsidP="00541C2A">
            <w:pPr>
              <w:pStyle w:val="naiskr"/>
              <w:spacing w:before="0" w:after="0"/>
              <w:ind w:left="57" w:right="57"/>
              <w:rPr>
                <w:sz w:val="28"/>
                <w:szCs w:val="28"/>
              </w:rPr>
            </w:pPr>
            <w:r w:rsidRPr="00573F61">
              <w:rPr>
                <w:sz w:val="28"/>
                <w:szCs w:val="28"/>
              </w:rPr>
              <w:t>6.</w:t>
            </w:r>
          </w:p>
        </w:tc>
        <w:tc>
          <w:tcPr>
            <w:tcW w:w="3177" w:type="dxa"/>
          </w:tcPr>
          <w:p w:rsidR="005E3FCD" w:rsidRPr="00573F61" w:rsidRDefault="005E3FCD" w:rsidP="00541C2A">
            <w:pPr>
              <w:pStyle w:val="naiskr"/>
              <w:spacing w:before="0" w:after="0"/>
              <w:ind w:left="57" w:right="57"/>
              <w:rPr>
                <w:sz w:val="28"/>
                <w:szCs w:val="28"/>
              </w:rPr>
            </w:pPr>
            <w:r w:rsidRPr="00573F61">
              <w:rPr>
                <w:sz w:val="28"/>
                <w:szCs w:val="28"/>
              </w:rPr>
              <w:t>Cita informācija</w:t>
            </w:r>
          </w:p>
        </w:tc>
        <w:tc>
          <w:tcPr>
            <w:tcW w:w="5838" w:type="dxa"/>
          </w:tcPr>
          <w:p w:rsidR="005E3FCD" w:rsidRPr="00573F61" w:rsidRDefault="005E3FCD" w:rsidP="00541C2A">
            <w:pPr>
              <w:pStyle w:val="naiskr"/>
              <w:spacing w:before="0" w:after="0"/>
              <w:ind w:left="57" w:right="57"/>
              <w:rPr>
                <w:sz w:val="28"/>
                <w:szCs w:val="28"/>
              </w:rPr>
            </w:pPr>
            <w:r w:rsidRPr="00573F61">
              <w:rPr>
                <w:sz w:val="28"/>
                <w:szCs w:val="28"/>
              </w:rPr>
              <w:t>Nav</w:t>
            </w:r>
          </w:p>
        </w:tc>
      </w:tr>
    </w:tbl>
    <w:p w:rsidR="00905572" w:rsidRPr="00573F61" w:rsidRDefault="00905572" w:rsidP="005E3FCD">
      <w:pPr>
        <w:pStyle w:val="Subtitle"/>
        <w:tabs>
          <w:tab w:val="left" w:pos="6096"/>
        </w:tabs>
        <w:spacing w:before="240" w:after="120"/>
        <w:ind w:left="0"/>
        <w:rPr>
          <w:szCs w:val="28"/>
        </w:rPr>
      </w:pPr>
    </w:p>
    <w:p w:rsidR="005E3FCD" w:rsidRPr="00573F61" w:rsidRDefault="005E3FCD" w:rsidP="00BB373D">
      <w:pPr>
        <w:pStyle w:val="Subtitle"/>
        <w:tabs>
          <w:tab w:val="left" w:pos="7371"/>
        </w:tabs>
        <w:spacing w:before="240" w:after="120"/>
        <w:ind w:left="0"/>
        <w:rPr>
          <w:szCs w:val="28"/>
        </w:rPr>
      </w:pPr>
      <w:r w:rsidRPr="00573F61">
        <w:rPr>
          <w:szCs w:val="28"/>
        </w:rPr>
        <w:t>Ekonomikas ministrs</w:t>
      </w:r>
      <w:r w:rsidRPr="00573F61">
        <w:rPr>
          <w:szCs w:val="28"/>
        </w:rPr>
        <w:tab/>
      </w:r>
      <w:proofErr w:type="spellStart"/>
      <w:r w:rsidRPr="00573F61">
        <w:rPr>
          <w:szCs w:val="28"/>
        </w:rPr>
        <w:t>D.Pavļuts</w:t>
      </w:r>
      <w:proofErr w:type="spellEnd"/>
    </w:p>
    <w:p w:rsidR="00905572" w:rsidRPr="00573F61" w:rsidRDefault="00905572" w:rsidP="00905572">
      <w:pPr>
        <w:rPr>
          <w:b/>
          <w:bCs/>
          <w:sz w:val="28"/>
          <w:szCs w:val="28"/>
        </w:rPr>
      </w:pPr>
    </w:p>
    <w:p w:rsidR="005E3FCD" w:rsidRPr="00573F61" w:rsidRDefault="005E3FCD" w:rsidP="00905572">
      <w:pPr>
        <w:rPr>
          <w:b/>
          <w:bCs/>
          <w:sz w:val="28"/>
          <w:szCs w:val="28"/>
        </w:rPr>
      </w:pPr>
      <w:r w:rsidRPr="00573F61">
        <w:rPr>
          <w:b/>
          <w:bCs/>
          <w:sz w:val="28"/>
          <w:szCs w:val="28"/>
        </w:rPr>
        <w:t>Iesniedzējs:</w:t>
      </w:r>
    </w:p>
    <w:p w:rsidR="00905572" w:rsidRPr="00573F61" w:rsidRDefault="00905572" w:rsidP="00905572">
      <w:pPr>
        <w:pStyle w:val="Heading1"/>
        <w:tabs>
          <w:tab w:val="left" w:pos="6096"/>
        </w:tabs>
        <w:jc w:val="both"/>
        <w:rPr>
          <w:szCs w:val="28"/>
        </w:rPr>
      </w:pPr>
    </w:p>
    <w:p w:rsidR="005E3FCD" w:rsidRPr="00573F61" w:rsidRDefault="005E3FCD" w:rsidP="00BB373D">
      <w:pPr>
        <w:pStyle w:val="Heading1"/>
        <w:tabs>
          <w:tab w:val="left" w:pos="7371"/>
        </w:tabs>
        <w:jc w:val="both"/>
        <w:rPr>
          <w:szCs w:val="28"/>
        </w:rPr>
      </w:pPr>
      <w:r w:rsidRPr="00573F61">
        <w:rPr>
          <w:szCs w:val="28"/>
        </w:rPr>
        <w:t>Ekonomikas ministrs</w:t>
      </w:r>
      <w:r w:rsidRPr="00573F61">
        <w:rPr>
          <w:szCs w:val="28"/>
        </w:rPr>
        <w:tab/>
      </w:r>
      <w:proofErr w:type="spellStart"/>
      <w:r w:rsidRPr="00573F61">
        <w:rPr>
          <w:szCs w:val="28"/>
        </w:rPr>
        <w:t>D.Pavļuts</w:t>
      </w:r>
      <w:proofErr w:type="spellEnd"/>
    </w:p>
    <w:p w:rsidR="00905572" w:rsidRPr="00573F61" w:rsidRDefault="00905572" w:rsidP="00905572">
      <w:pPr>
        <w:tabs>
          <w:tab w:val="left" w:pos="6096"/>
        </w:tabs>
        <w:rPr>
          <w:bCs/>
          <w:sz w:val="28"/>
          <w:szCs w:val="28"/>
        </w:rPr>
      </w:pPr>
    </w:p>
    <w:p w:rsidR="00BB373D" w:rsidRPr="00BB373D" w:rsidRDefault="005E3FCD" w:rsidP="00BB373D">
      <w:pPr>
        <w:tabs>
          <w:tab w:val="left" w:pos="7371"/>
        </w:tabs>
        <w:spacing w:before="120"/>
        <w:jc w:val="both"/>
        <w:rPr>
          <w:bCs/>
          <w:sz w:val="28"/>
          <w:szCs w:val="28"/>
        </w:rPr>
      </w:pPr>
      <w:r w:rsidRPr="00573F61">
        <w:rPr>
          <w:bCs/>
          <w:sz w:val="28"/>
          <w:szCs w:val="28"/>
        </w:rPr>
        <w:t xml:space="preserve">Vīza: </w:t>
      </w:r>
      <w:r w:rsidR="00BB373D" w:rsidRPr="00BB373D">
        <w:rPr>
          <w:bCs/>
          <w:sz w:val="28"/>
          <w:szCs w:val="28"/>
        </w:rPr>
        <w:t>Valsts sekretāra pienākumu izpildītājs-</w:t>
      </w:r>
    </w:p>
    <w:p w:rsidR="00BB373D" w:rsidRPr="00BB373D" w:rsidRDefault="00BB373D" w:rsidP="00BB373D">
      <w:pPr>
        <w:tabs>
          <w:tab w:val="left" w:pos="7371"/>
        </w:tabs>
        <w:spacing w:before="120"/>
        <w:jc w:val="both"/>
        <w:rPr>
          <w:bCs/>
          <w:sz w:val="28"/>
          <w:szCs w:val="28"/>
        </w:rPr>
      </w:pPr>
      <w:r w:rsidRPr="00BB373D">
        <w:rPr>
          <w:bCs/>
          <w:sz w:val="28"/>
          <w:szCs w:val="28"/>
        </w:rPr>
        <w:t>valsts sekretāra vietnieks</w:t>
      </w:r>
      <w:r w:rsidRPr="00BB373D">
        <w:rPr>
          <w:bCs/>
          <w:sz w:val="28"/>
          <w:szCs w:val="28"/>
        </w:rPr>
        <w:tab/>
        <w:t>A.Liepiņš</w:t>
      </w:r>
    </w:p>
    <w:p w:rsidR="005E3FCD" w:rsidRPr="00573F61" w:rsidRDefault="005E3FCD" w:rsidP="00BB373D">
      <w:pPr>
        <w:tabs>
          <w:tab w:val="left" w:pos="6096"/>
        </w:tabs>
        <w:rPr>
          <w:sz w:val="28"/>
          <w:szCs w:val="28"/>
        </w:rPr>
      </w:pPr>
    </w:p>
    <w:p w:rsidR="005E3FCD" w:rsidRPr="00573F61" w:rsidRDefault="005E3FCD" w:rsidP="005E3FCD">
      <w:pPr>
        <w:rPr>
          <w:sz w:val="28"/>
          <w:szCs w:val="28"/>
        </w:rPr>
      </w:pPr>
    </w:p>
    <w:p w:rsidR="005E3FCD" w:rsidRPr="00573F61" w:rsidRDefault="005736F5" w:rsidP="005E3FCD">
      <w:pPr>
        <w:rPr>
          <w:sz w:val="20"/>
          <w:szCs w:val="20"/>
        </w:rPr>
      </w:pPr>
      <w:r>
        <w:rPr>
          <w:sz w:val="20"/>
          <w:szCs w:val="20"/>
        </w:rPr>
        <w:t>13</w:t>
      </w:r>
      <w:r w:rsidR="005E3FCD" w:rsidRPr="00573F61">
        <w:rPr>
          <w:sz w:val="20"/>
          <w:szCs w:val="20"/>
        </w:rPr>
        <w:t>.0</w:t>
      </w:r>
      <w:r w:rsidR="00874E80" w:rsidRPr="00573F61">
        <w:rPr>
          <w:sz w:val="20"/>
          <w:szCs w:val="20"/>
        </w:rPr>
        <w:t>6</w:t>
      </w:r>
      <w:r w:rsidR="005E3FCD" w:rsidRPr="00573F61">
        <w:rPr>
          <w:sz w:val="20"/>
          <w:szCs w:val="20"/>
        </w:rPr>
        <w:t>.201</w:t>
      </w:r>
      <w:r w:rsidR="00905572" w:rsidRPr="00573F61">
        <w:rPr>
          <w:sz w:val="20"/>
          <w:szCs w:val="20"/>
        </w:rPr>
        <w:t>3</w:t>
      </w:r>
      <w:r w:rsidR="005E3FCD" w:rsidRPr="00573F61">
        <w:rPr>
          <w:sz w:val="20"/>
          <w:szCs w:val="20"/>
        </w:rPr>
        <w:t xml:space="preserve">. </w:t>
      </w:r>
      <w:r w:rsidR="009A66A7">
        <w:rPr>
          <w:sz w:val="20"/>
          <w:szCs w:val="20"/>
        </w:rPr>
        <w:fldChar w:fldCharType="begin"/>
      </w:r>
      <w:r w:rsidR="009A66A7">
        <w:rPr>
          <w:sz w:val="20"/>
          <w:szCs w:val="20"/>
        </w:rPr>
        <w:instrText xml:space="preserve"> TIME  \@ "h:mm am/pm"  \* MERGEFORMAT </w:instrText>
      </w:r>
      <w:r w:rsidR="009A66A7">
        <w:rPr>
          <w:sz w:val="20"/>
          <w:szCs w:val="20"/>
        </w:rPr>
        <w:fldChar w:fldCharType="separate"/>
      </w:r>
      <w:r w:rsidR="002F01DB">
        <w:rPr>
          <w:noProof/>
          <w:sz w:val="20"/>
          <w:szCs w:val="20"/>
        </w:rPr>
        <w:t xml:space="preserve">12:42 </w:t>
      </w:r>
      <w:r w:rsidR="009A66A7">
        <w:rPr>
          <w:sz w:val="20"/>
          <w:szCs w:val="20"/>
        </w:rPr>
        <w:fldChar w:fldCharType="end"/>
      </w:r>
      <w:bookmarkStart w:id="4" w:name="_GoBack"/>
      <w:bookmarkEnd w:id="4"/>
    </w:p>
    <w:p w:rsidR="005E3FCD" w:rsidRPr="00573F61" w:rsidRDefault="005E3FCD" w:rsidP="005E3FCD">
      <w:pPr>
        <w:rPr>
          <w:sz w:val="20"/>
          <w:szCs w:val="20"/>
        </w:rPr>
      </w:pPr>
      <w:r w:rsidRPr="00573F61">
        <w:rPr>
          <w:sz w:val="20"/>
          <w:szCs w:val="20"/>
        </w:rPr>
        <w:fldChar w:fldCharType="begin"/>
      </w:r>
      <w:r w:rsidRPr="00573F61">
        <w:rPr>
          <w:sz w:val="20"/>
          <w:szCs w:val="20"/>
        </w:rPr>
        <w:instrText xml:space="preserve"> NUMWORDS   \* MERGEFORMAT </w:instrText>
      </w:r>
      <w:r w:rsidRPr="00573F61">
        <w:rPr>
          <w:sz w:val="20"/>
          <w:szCs w:val="20"/>
        </w:rPr>
        <w:fldChar w:fldCharType="separate"/>
      </w:r>
      <w:r w:rsidR="002F01DB">
        <w:rPr>
          <w:noProof/>
          <w:sz w:val="20"/>
          <w:szCs w:val="20"/>
        </w:rPr>
        <w:t>1039</w:t>
      </w:r>
      <w:r w:rsidRPr="00573F61">
        <w:rPr>
          <w:noProof/>
          <w:sz w:val="20"/>
          <w:szCs w:val="20"/>
        </w:rPr>
        <w:fldChar w:fldCharType="end"/>
      </w:r>
    </w:p>
    <w:p w:rsidR="005E3FCD" w:rsidRPr="00573F61" w:rsidRDefault="00905572" w:rsidP="005E3FCD">
      <w:pPr>
        <w:rPr>
          <w:sz w:val="20"/>
          <w:szCs w:val="20"/>
        </w:rPr>
      </w:pPr>
      <w:r w:rsidRPr="00573F61">
        <w:rPr>
          <w:sz w:val="20"/>
          <w:szCs w:val="20"/>
        </w:rPr>
        <w:t>D.Brūklītis</w:t>
      </w:r>
    </w:p>
    <w:p w:rsidR="005E3FCD" w:rsidRPr="00573F61" w:rsidRDefault="000C3A6F" w:rsidP="005E3FCD">
      <w:pPr>
        <w:tabs>
          <w:tab w:val="center" w:pos="4535"/>
        </w:tabs>
        <w:rPr>
          <w:sz w:val="28"/>
          <w:szCs w:val="28"/>
        </w:rPr>
      </w:pPr>
      <w:hyperlink r:id="rId8" w:history="1">
        <w:r w:rsidR="00905572" w:rsidRPr="00573F61">
          <w:rPr>
            <w:rStyle w:val="Hyperlink"/>
            <w:sz w:val="20"/>
            <w:szCs w:val="20"/>
          </w:rPr>
          <w:t>Didzis.Bruklitis@em.gov.lv</w:t>
        </w:r>
      </w:hyperlink>
      <w:r w:rsidR="005E3FCD" w:rsidRPr="00573F61">
        <w:rPr>
          <w:sz w:val="20"/>
          <w:szCs w:val="20"/>
        </w:rPr>
        <w:t>; 67013</w:t>
      </w:r>
      <w:r w:rsidR="00905572" w:rsidRPr="00573F61">
        <w:rPr>
          <w:sz w:val="20"/>
          <w:szCs w:val="20"/>
        </w:rPr>
        <w:t>274</w:t>
      </w:r>
    </w:p>
    <w:sectPr w:rsidR="005E3FCD" w:rsidRPr="00573F61" w:rsidSect="001A0A4A">
      <w:headerReference w:type="even" r:id="rId9"/>
      <w:headerReference w:type="default" r:id="rId10"/>
      <w:footerReference w:type="default" r:id="rId11"/>
      <w:footerReference w:type="first" r:id="rId12"/>
      <w:pgSz w:w="11906" w:h="16838" w:code="9"/>
      <w:pgMar w:top="126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6F" w:rsidRDefault="000C3A6F" w:rsidP="00EF2EC4">
      <w:r>
        <w:separator/>
      </w:r>
    </w:p>
  </w:endnote>
  <w:endnote w:type="continuationSeparator" w:id="0">
    <w:p w:rsidR="000C3A6F" w:rsidRDefault="000C3A6F" w:rsidP="00EF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13" w:rsidRDefault="009D336F" w:rsidP="00912990">
    <w:pPr>
      <w:jc w:val="both"/>
    </w:pPr>
    <w:r>
      <w:rPr>
        <w:sz w:val="20"/>
        <w:szCs w:val="20"/>
      </w:rPr>
      <w:fldChar w:fldCharType="begin"/>
    </w:r>
    <w:r>
      <w:rPr>
        <w:sz w:val="20"/>
        <w:szCs w:val="20"/>
      </w:rPr>
      <w:instrText xml:space="preserve"> FILENAME   \* MERGEFORMAT </w:instrText>
    </w:r>
    <w:r>
      <w:rPr>
        <w:sz w:val="20"/>
        <w:szCs w:val="20"/>
      </w:rPr>
      <w:fldChar w:fldCharType="separate"/>
    </w:r>
    <w:r w:rsidR="002F01DB">
      <w:rPr>
        <w:noProof/>
        <w:sz w:val="20"/>
        <w:szCs w:val="20"/>
      </w:rPr>
      <w:t>EMAnot_130613_GrozLicens</w:t>
    </w:r>
    <w:r>
      <w:rPr>
        <w:sz w:val="20"/>
        <w:szCs w:val="20"/>
      </w:rPr>
      <w:fldChar w:fldCharType="end"/>
    </w:r>
    <w:r w:rsidRPr="007D7292">
      <w:rPr>
        <w:sz w:val="20"/>
        <w:szCs w:val="20"/>
      </w:rPr>
      <w:t xml:space="preserve">; </w:t>
    </w:r>
    <w:r>
      <w:rPr>
        <w:sz w:val="20"/>
        <w:szCs w:val="20"/>
      </w:rPr>
      <w:t>Ministru kabineta noteikumu projekta „Grozījumi</w:t>
    </w:r>
    <w:r w:rsidRPr="00B161BF">
      <w:rPr>
        <w:sz w:val="20"/>
        <w:szCs w:val="20"/>
      </w:rPr>
      <w:t xml:space="preserve">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Pr>
        <w:sz w:val="20"/>
        <w:szCs w:val="20"/>
      </w:rPr>
      <w:t>”</w:t>
    </w:r>
    <w:r w:rsidRPr="00B161BF">
      <w:rPr>
        <w:sz w:val="20"/>
        <w:szCs w:val="20"/>
      </w:rPr>
      <w:t xml:space="preserve"> sākotnējā</w:t>
    </w:r>
    <w:r>
      <w:rPr>
        <w:sz w:val="20"/>
        <w:szCs w:val="20"/>
      </w:rPr>
      <w:t xml:space="preserve">s ietekmes novērtējuma ziņojums </w:t>
    </w:r>
    <w:r w:rsidRPr="00B161BF">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Pr="005C3C6D" w:rsidRDefault="00EF2EC4" w:rsidP="005C3C6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F01DB">
      <w:rPr>
        <w:noProof/>
        <w:sz w:val="20"/>
        <w:szCs w:val="20"/>
      </w:rPr>
      <w:t>EMAnot_130613_GrozLicens</w:t>
    </w:r>
    <w:r>
      <w:rPr>
        <w:sz w:val="20"/>
        <w:szCs w:val="20"/>
      </w:rPr>
      <w:fldChar w:fldCharType="end"/>
    </w:r>
    <w:r w:rsidR="00E31A1C" w:rsidRPr="007D7292">
      <w:rPr>
        <w:sz w:val="20"/>
        <w:szCs w:val="20"/>
      </w:rPr>
      <w:t xml:space="preserve">; </w:t>
    </w:r>
    <w:r w:rsidR="00E31A1C">
      <w:rPr>
        <w:sz w:val="20"/>
        <w:szCs w:val="20"/>
      </w:rPr>
      <w:t>Ministru kabineta n</w:t>
    </w:r>
    <w:r w:rsidR="00682BF2">
      <w:rPr>
        <w:sz w:val="20"/>
        <w:szCs w:val="20"/>
      </w:rPr>
      <w:t>oteikumu projekta „Grozījumi</w:t>
    </w:r>
    <w:r w:rsidR="00E31A1C" w:rsidRPr="00B161BF">
      <w:rPr>
        <w:sz w:val="20"/>
        <w:szCs w:val="20"/>
      </w:rPr>
      <w:t xml:space="preserve">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682BF2">
      <w:rPr>
        <w:sz w:val="20"/>
        <w:szCs w:val="20"/>
      </w:rPr>
      <w:t>”</w:t>
    </w:r>
    <w:r w:rsidR="00E31A1C" w:rsidRPr="00B161BF">
      <w:rPr>
        <w:sz w:val="20"/>
        <w:szCs w:val="20"/>
      </w:rPr>
      <w:t xml:space="preserve"> sākotnējā</w:t>
    </w:r>
    <w:r w:rsidR="00E31A1C">
      <w:rPr>
        <w:sz w:val="20"/>
        <w:szCs w:val="20"/>
      </w:rPr>
      <w:t xml:space="preserve">s ietekmes novērtējuma ziņojums </w:t>
    </w:r>
    <w:r w:rsidR="00E31A1C" w:rsidRPr="00B161BF">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6F" w:rsidRDefault="000C3A6F" w:rsidP="00EF2EC4">
      <w:r>
        <w:separator/>
      </w:r>
    </w:p>
  </w:footnote>
  <w:footnote w:type="continuationSeparator" w:id="0">
    <w:p w:rsidR="000C3A6F" w:rsidRDefault="000C3A6F" w:rsidP="00EF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E31A1C"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84A" w:rsidRDefault="000C3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4A" w:rsidRDefault="00E31A1C" w:rsidP="001A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1DB">
      <w:rPr>
        <w:rStyle w:val="PageNumber"/>
        <w:noProof/>
      </w:rPr>
      <w:t>5</w:t>
    </w:r>
    <w:r>
      <w:rPr>
        <w:rStyle w:val="PageNumber"/>
      </w:rPr>
      <w:fldChar w:fldCharType="end"/>
    </w:r>
  </w:p>
  <w:p w:rsidR="0026084A" w:rsidRDefault="000C3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CD"/>
    <w:rsid w:val="000141C1"/>
    <w:rsid w:val="000C036C"/>
    <w:rsid w:val="000C3A6F"/>
    <w:rsid w:val="000F538C"/>
    <w:rsid w:val="001418FE"/>
    <w:rsid w:val="00144E14"/>
    <w:rsid w:val="00155B93"/>
    <w:rsid w:val="001A6ABA"/>
    <w:rsid w:val="001B2141"/>
    <w:rsid w:val="001B6FE2"/>
    <w:rsid w:val="001B7927"/>
    <w:rsid w:val="001D05A7"/>
    <w:rsid w:val="00233A64"/>
    <w:rsid w:val="002379DE"/>
    <w:rsid w:val="00240681"/>
    <w:rsid w:val="002742B9"/>
    <w:rsid w:val="0027491B"/>
    <w:rsid w:val="002944B7"/>
    <w:rsid w:val="002E18B6"/>
    <w:rsid w:val="002F01DB"/>
    <w:rsid w:val="00303507"/>
    <w:rsid w:val="00306E8C"/>
    <w:rsid w:val="00327732"/>
    <w:rsid w:val="00342D92"/>
    <w:rsid w:val="00416BCD"/>
    <w:rsid w:val="00434B72"/>
    <w:rsid w:val="004502C0"/>
    <w:rsid w:val="004574D1"/>
    <w:rsid w:val="00461B7A"/>
    <w:rsid w:val="00467F33"/>
    <w:rsid w:val="004C58CA"/>
    <w:rsid w:val="004F149B"/>
    <w:rsid w:val="00511F6F"/>
    <w:rsid w:val="00517103"/>
    <w:rsid w:val="005253C8"/>
    <w:rsid w:val="00557CC3"/>
    <w:rsid w:val="005736F5"/>
    <w:rsid w:val="00573F61"/>
    <w:rsid w:val="00586B1B"/>
    <w:rsid w:val="00587838"/>
    <w:rsid w:val="00594FAF"/>
    <w:rsid w:val="005A4740"/>
    <w:rsid w:val="005A79CC"/>
    <w:rsid w:val="005C22A0"/>
    <w:rsid w:val="005E3FCD"/>
    <w:rsid w:val="005F12F5"/>
    <w:rsid w:val="005F2D11"/>
    <w:rsid w:val="006460AB"/>
    <w:rsid w:val="00651DFB"/>
    <w:rsid w:val="00682BF2"/>
    <w:rsid w:val="006A4A65"/>
    <w:rsid w:val="006A5199"/>
    <w:rsid w:val="006B1505"/>
    <w:rsid w:val="006B211D"/>
    <w:rsid w:val="006E781D"/>
    <w:rsid w:val="00702079"/>
    <w:rsid w:val="007443C0"/>
    <w:rsid w:val="007602F8"/>
    <w:rsid w:val="0077075B"/>
    <w:rsid w:val="0077639A"/>
    <w:rsid w:val="0078584E"/>
    <w:rsid w:val="007B131C"/>
    <w:rsid w:val="007C2212"/>
    <w:rsid w:val="007E5DC8"/>
    <w:rsid w:val="007F3443"/>
    <w:rsid w:val="007F797D"/>
    <w:rsid w:val="00811943"/>
    <w:rsid w:val="0081557A"/>
    <w:rsid w:val="008366F2"/>
    <w:rsid w:val="00854B31"/>
    <w:rsid w:val="00874E80"/>
    <w:rsid w:val="008B1A70"/>
    <w:rsid w:val="008F1441"/>
    <w:rsid w:val="008F71D0"/>
    <w:rsid w:val="00903308"/>
    <w:rsid w:val="00905572"/>
    <w:rsid w:val="00912990"/>
    <w:rsid w:val="0093480C"/>
    <w:rsid w:val="00937333"/>
    <w:rsid w:val="00957A6A"/>
    <w:rsid w:val="009A28A8"/>
    <w:rsid w:val="009A66A7"/>
    <w:rsid w:val="009C54CF"/>
    <w:rsid w:val="009D336F"/>
    <w:rsid w:val="00A00381"/>
    <w:rsid w:val="00A2185F"/>
    <w:rsid w:val="00A26AF1"/>
    <w:rsid w:val="00A80D27"/>
    <w:rsid w:val="00AA2969"/>
    <w:rsid w:val="00B14B03"/>
    <w:rsid w:val="00B35B9A"/>
    <w:rsid w:val="00BB2244"/>
    <w:rsid w:val="00BB373D"/>
    <w:rsid w:val="00CF17BE"/>
    <w:rsid w:val="00D1152C"/>
    <w:rsid w:val="00D97F40"/>
    <w:rsid w:val="00DA697B"/>
    <w:rsid w:val="00DC0B40"/>
    <w:rsid w:val="00DF41D0"/>
    <w:rsid w:val="00E21779"/>
    <w:rsid w:val="00E31A1C"/>
    <w:rsid w:val="00E47480"/>
    <w:rsid w:val="00E67231"/>
    <w:rsid w:val="00E7007B"/>
    <w:rsid w:val="00E842C8"/>
    <w:rsid w:val="00E972CA"/>
    <w:rsid w:val="00EE6D1E"/>
    <w:rsid w:val="00EF2EC4"/>
    <w:rsid w:val="00F445DE"/>
    <w:rsid w:val="00FA2DF5"/>
    <w:rsid w:val="00FC5396"/>
    <w:rsid w:val="00FD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CD"/>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5E3FCD"/>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FCD"/>
    <w:rPr>
      <w:rFonts w:ascii="Times New Roman" w:eastAsia="Times New Roman" w:hAnsi="Times New Roman" w:cs="Times New Roman"/>
      <w:sz w:val="28"/>
      <w:szCs w:val="20"/>
      <w:lang w:val="lv-LV" w:eastAsia="lv-LV"/>
    </w:rPr>
  </w:style>
  <w:style w:type="paragraph" w:styleId="Header">
    <w:name w:val="header"/>
    <w:basedOn w:val="Normal"/>
    <w:link w:val="HeaderChar"/>
    <w:rsid w:val="005E3FCD"/>
    <w:pPr>
      <w:tabs>
        <w:tab w:val="center" w:pos="4153"/>
        <w:tab w:val="right" w:pos="8306"/>
      </w:tabs>
    </w:pPr>
  </w:style>
  <w:style w:type="character" w:customStyle="1" w:styleId="HeaderChar">
    <w:name w:val="Header Char"/>
    <w:basedOn w:val="DefaultParagraphFont"/>
    <w:link w:val="Header"/>
    <w:rsid w:val="005E3FCD"/>
    <w:rPr>
      <w:rFonts w:ascii="Times New Roman" w:eastAsia="Times New Roman" w:hAnsi="Times New Roman" w:cs="Times New Roman"/>
      <w:sz w:val="24"/>
      <w:szCs w:val="24"/>
      <w:lang w:val="lv-LV" w:eastAsia="lv-LV"/>
    </w:rPr>
  </w:style>
  <w:style w:type="character" w:styleId="PageNumber">
    <w:name w:val="page number"/>
    <w:basedOn w:val="DefaultParagraphFont"/>
    <w:rsid w:val="005E3FCD"/>
  </w:style>
  <w:style w:type="paragraph" w:customStyle="1" w:styleId="naisf">
    <w:name w:val="naisf"/>
    <w:basedOn w:val="Normal"/>
    <w:rsid w:val="005E3FCD"/>
    <w:pPr>
      <w:spacing w:before="75" w:after="75"/>
      <w:ind w:firstLine="375"/>
      <w:jc w:val="both"/>
    </w:pPr>
  </w:style>
  <w:style w:type="paragraph" w:customStyle="1" w:styleId="naisnod">
    <w:name w:val="naisnod"/>
    <w:basedOn w:val="Normal"/>
    <w:rsid w:val="005E3FCD"/>
    <w:pPr>
      <w:spacing w:before="150" w:after="150"/>
      <w:jc w:val="center"/>
    </w:pPr>
    <w:rPr>
      <w:b/>
      <w:bCs/>
    </w:rPr>
  </w:style>
  <w:style w:type="paragraph" w:customStyle="1" w:styleId="naislab">
    <w:name w:val="naislab"/>
    <w:basedOn w:val="Normal"/>
    <w:rsid w:val="005E3FCD"/>
    <w:pPr>
      <w:spacing w:before="75" w:after="75"/>
      <w:jc w:val="right"/>
    </w:pPr>
  </w:style>
  <w:style w:type="paragraph" w:customStyle="1" w:styleId="naiskr">
    <w:name w:val="naiskr"/>
    <w:basedOn w:val="Normal"/>
    <w:rsid w:val="005E3FCD"/>
    <w:pPr>
      <w:spacing w:before="75" w:after="75"/>
    </w:pPr>
  </w:style>
  <w:style w:type="paragraph" w:styleId="FootnoteText">
    <w:name w:val="footnote text"/>
    <w:basedOn w:val="Normal"/>
    <w:link w:val="FootnoteTextChar"/>
    <w:semiHidden/>
    <w:rsid w:val="005E3FCD"/>
    <w:rPr>
      <w:sz w:val="20"/>
      <w:szCs w:val="20"/>
    </w:rPr>
  </w:style>
  <w:style w:type="character" w:customStyle="1" w:styleId="FootnoteTextChar">
    <w:name w:val="Footnote Text Char"/>
    <w:basedOn w:val="DefaultParagraphFont"/>
    <w:link w:val="FootnoteText"/>
    <w:semiHidden/>
    <w:rsid w:val="005E3FCD"/>
    <w:rPr>
      <w:rFonts w:ascii="Times New Roman" w:eastAsia="Times New Roman" w:hAnsi="Times New Roman" w:cs="Times New Roman"/>
      <w:sz w:val="20"/>
      <w:szCs w:val="20"/>
      <w:lang w:val="lv-LV" w:eastAsia="lv-LV"/>
    </w:rPr>
  </w:style>
  <w:style w:type="character" w:customStyle="1" w:styleId="apple-style-span">
    <w:name w:val="apple-style-span"/>
    <w:basedOn w:val="DefaultParagraphFont"/>
    <w:rsid w:val="005E3FCD"/>
  </w:style>
  <w:style w:type="paragraph" w:styleId="NormalWeb">
    <w:name w:val="Normal (Web)"/>
    <w:basedOn w:val="Normal"/>
    <w:uiPriority w:val="99"/>
    <w:rsid w:val="005E3FCD"/>
    <w:pPr>
      <w:spacing w:before="100" w:beforeAutospacing="1" w:after="100" w:afterAutospacing="1"/>
    </w:pPr>
  </w:style>
  <w:style w:type="paragraph" w:styleId="HTMLPreformatted">
    <w:name w:val="HTML Preformatted"/>
    <w:basedOn w:val="Normal"/>
    <w:link w:val="HTMLPreformattedChar"/>
    <w:uiPriority w:val="99"/>
    <w:unhideWhenUsed/>
    <w:rsid w:val="005E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3FCD"/>
    <w:rPr>
      <w:rFonts w:ascii="Courier New" w:eastAsia="Times New Roman" w:hAnsi="Courier New" w:cs="Courier New"/>
      <w:sz w:val="20"/>
      <w:szCs w:val="20"/>
      <w:lang w:val="lv-LV" w:eastAsia="lv-LV"/>
    </w:rPr>
  </w:style>
  <w:style w:type="paragraph" w:styleId="Subtitle">
    <w:name w:val="Subtitle"/>
    <w:basedOn w:val="Normal"/>
    <w:link w:val="SubtitleChar"/>
    <w:qFormat/>
    <w:rsid w:val="005E3FCD"/>
    <w:pPr>
      <w:ind w:left="851"/>
      <w:jc w:val="both"/>
    </w:pPr>
    <w:rPr>
      <w:sz w:val="28"/>
      <w:szCs w:val="20"/>
    </w:rPr>
  </w:style>
  <w:style w:type="character" w:customStyle="1" w:styleId="SubtitleChar">
    <w:name w:val="Subtitle Char"/>
    <w:basedOn w:val="DefaultParagraphFont"/>
    <w:link w:val="Subtitle"/>
    <w:rsid w:val="005E3FCD"/>
    <w:rPr>
      <w:rFonts w:ascii="Times New Roman" w:eastAsia="Times New Roman" w:hAnsi="Times New Roman" w:cs="Times New Roman"/>
      <w:sz w:val="28"/>
      <w:szCs w:val="20"/>
      <w:lang w:val="lv-LV" w:eastAsia="lv-LV"/>
    </w:rPr>
  </w:style>
  <w:style w:type="character" w:styleId="Hyperlink">
    <w:name w:val="Hyperlink"/>
    <w:basedOn w:val="DefaultParagraphFont"/>
    <w:uiPriority w:val="99"/>
    <w:unhideWhenUsed/>
    <w:rsid w:val="005E3FCD"/>
    <w:rPr>
      <w:color w:val="0000FF" w:themeColor="hyperlink"/>
      <w:u w:val="single"/>
    </w:rPr>
  </w:style>
  <w:style w:type="paragraph" w:customStyle="1" w:styleId="tv213">
    <w:name w:val="tv213"/>
    <w:basedOn w:val="Normal"/>
    <w:rsid w:val="00233A64"/>
    <w:pPr>
      <w:spacing w:before="100" w:beforeAutospacing="1" w:after="100" w:afterAutospacing="1"/>
    </w:pPr>
    <w:rPr>
      <w:lang w:val="en-US" w:eastAsia="en-US"/>
    </w:rPr>
  </w:style>
  <w:style w:type="paragraph" w:styleId="Footer">
    <w:name w:val="footer"/>
    <w:basedOn w:val="Normal"/>
    <w:link w:val="FooterChar"/>
    <w:uiPriority w:val="99"/>
    <w:unhideWhenUsed/>
    <w:rsid w:val="00EF2EC4"/>
    <w:pPr>
      <w:tabs>
        <w:tab w:val="center" w:pos="4320"/>
        <w:tab w:val="right" w:pos="8640"/>
      </w:tabs>
    </w:pPr>
  </w:style>
  <w:style w:type="character" w:customStyle="1" w:styleId="FooterChar">
    <w:name w:val="Footer Char"/>
    <w:basedOn w:val="DefaultParagraphFont"/>
    <w:link w:val="Footer"/>
    <w:uiPriority w:val="99"/>
    <w:rsid w:val="00EF2EC4"/>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AA29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CD"/>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5E3FCD"/>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FCD"/>
    <w:rPr>
      <w:rFonts w:ascii="Times New Roman" w:eastAsia="Times New Roman" w:hAnsi="Times New Roman" w:cs="Times New Roman"/>
      <w:sz w:val="28"/>
      <w:szCs w:val="20"/>
      <w:lang w:val="lv-LV" w:eastAsia="lv-LV"/>
    </w:rPr>
  </w:style>
  <w:style w:type="paragraph" w:styleId="Header">
    <w:name w:val="header"/>
    <w:basedOn w:val="Normal"/>
    <w:link w:val="HeaderChar"/>
    <w:rsid w:val="005E3FCD"/>
    <w:pPr>
      <w:tabs>
        <w:tab w:val="center" w:pos="4153"/>
        <w:tab w:val="right" w:pos="8306"/>
      </w:tabs>
    </w:pPr>
  </w:style>
  <w:style w:type="character" w:customStyle="1" w:styleId="HeaderChar">
    <w:name w:val="Header Char"/>
    <w:basedOn w:val="DefaultParagraphFont"/>
    <w:link w:val="Header"/>
    <w:rsid w:val="005E3FCD"/>
    <w:rPr>
      <w:rFonts w:ascii="Times New Roman" w:eastAsia="Times New Roman" w:hAnsi="Times New Roman" w:cs="Times New Roman"/>
      <w:sz w:val="24"/>
      <w:szCs w:val="24"/>
      <w:lang w:val="lv-LV" w:eastAsia="lv-LV"/>
    </w:rPr>
  </w:style>
  <w:style w:type="character" w:styleId="PageNumber">
    <w:name w:val="page number"/>
    <w:basedOn w:val="DefaultParagraphFont"/>
    <w:rsid w:val="005E3FCD"/>
  </w:style>
  <w:style w:type="paragraph" w:customStyle="1" w:styleId="naisf">
    <w:name w:val="naisf"/>
    <w:basedOn w:val="Normal"/>
    <w:rsid w:val="005E3FCD"/>
    <w:pPr>
      <w:spacing w:before="75" w:after="75"/>
      <w:ind w:firstLine="375"/>
      <w:jc w:val="both"/>
    </w:pPr>
  </w:style>
  <w:style w:type="paragraph" w:customStyle="1" w:styleId="naisnod">
    <w:name w:val="naisnod"/>
    <w:basedOn w:val="Normal"/>
    <w:rsid w:val="005E3FCD"/>
    <w:pPr>
      <w:spacing w:before="150" w:after="150"/>
      <w:jc w:val="center"/>
    </w:pPr>
    <w:rPr>
      <w:b/>
      <w:bCs/>
    </w:rPr>
  </w:style>
  <w:style w:type="paragraph" w:customStyle="1" w:styleId="naislab">
    <w:name w:val="naislab"/>
    <w:basedOn w:val="Normal"/>
    <w:rsid w:val="005E3FCD"/>
    <w:pPr>
      <w:spacing w:before="75" w:after="75"/>
      <w:jc w:val="right"/>
    </w:pPr>
  </w:style>
  <w:style w:type="paragraph" w:customStyle="1" w:styleId="naiskr">
    <w:name w:val="naiskr"/>
    <w:basedOn w:val="Normal"/>
    <w:rsid w:val="005E3FCD"/>
    <w:pPr>
      <w:spacing w:before="75" w:after="75"/>
    </w:pPr>
  </w:style>
  <w:style w:type="paragraph" w:styleId="FootnoteText">
    <w:name w:val="footnote text"/>
    <w:basedOn w:val="Normal"/>
    <w:link w:val="FootnoteTextChar"/>
    <w:semiHidden/>
    <w:rsid w:val="005E3FCD"/>
    <w:rPr>
      <w:sz w:val="20"/>
      <w:szCs w:val="20"/>
    </w:rPr>
  </w:style>
  <w:style w:type="character" w:customStyle="1" w:styleId="FootnoteTextChar">
    <w:name w:val="Footnote Text Char"/>
    <w:basedOn w:val="DefaultParagraphFont"/>
    <w:link w:val="FootnoteText"/>
    <w:semiHidden/>
    <w:rsid w:val="005E3FCD"/>
    <w:rPr>
      <w:rFonts w:ascii="Times New Roman" w:eastAsia="Times New Roman" w:hAnsi="Times New Roman" w:cs="Times New Roman"/>
      <w:sz w:val="20"/>
      <w:szCs w:val="20"/>
      <w:lang w:val="lv-LV" w:eastAsia="lv-LV"/>
    </w:rPr>
  </w:style>
  <w:style w:type="character" w:customStyle="1" w:styleId="apple-style-span">
    <w:name w:val="apple-style-span"/>
    <w:basedOn w:val="DefaultParagraphFont"/>
    <w:rsid w:val="005E3FCD"/>
  </w:style>
  <w:style w:type="paragraph" w:styleId="NormalWeb">
    <w:name w:val="Normal (Web)"/>
    <w:basedOn w:val="Normal"/>
    <w:uiPriority w:val="99"/>
    <w:rsid w:val="005E3FCD"/>
    <w:pPr>
      <w:spacing w:before="100" w:beforeAutospacing="1" w:after="100" w:afterAutospacing="1"/>
    </w:pPr>
  </w:style>
  <w:style w:type="paragraph" w:styleId="HTMLPreformatted">
    <w:name w:val="HTML Preformatted"/>
    <w:basedOn w:val="Normal"/>
    <w:link w:val="HTMLPreformattedChar"/>
    <w:uiPriority w:val="99"/>
    <w:unhideWhenUsed/>
    <w:rsid w:val="005E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3FCD"/>
    <w:rPr>
      <w:rFonts w:ascii="Courier New" w:eastAsia="Times New Roman" w:hAnsi="Courier New" w:cs="Courier New"/>
      <w:sz w:val="20"/>
      <w:szCs w:val="20"/>
      <w:lang w:val="lv-LV" w:eastAsia="lv-LV"/>
    </w:rPr>
  </w:style>
  <w:style w:type="paragraph" w:styleId="Subtitle">
    <w:name w:val="Subtitle"/>
    <w:basedOn w:val="Normal"/>
    <w:link w:val="SubtitleChar"/>
    <w:qFormat/>
    <w:rsid w:val="005E3FCD"/>
    <w:pPr>
      <w:ind w:left="851"/>
      <w:jc w:val="both"/>
    </w:pPr>
    <w:rPr>
      <w:sz w:val="28"/>
      <w:szCs w:val="20"/>
    </w:rPr>
  </w:style>
  <w:style w:type="character" w:customStyle="1" w:styleId="SubtitleChar">
    <w:name w:val="Subtitle Char"/>
    <w:basedOn w:val="DefaultParagraphFont"/>
    <w:link w:val="Subtitle"/>
    <w:rsid w:val="005E3FCD"/>
    <w:rPr>
      <w:rFonts w:ascii="Times New Roman" w:eastAsia="Times New Roman" w:hAnsi="Times New Roman" w:cs="Times New Roman"/>
      <w:sz w:val="28"/>
      <w:szCs w:val="20"/>
      <w:lang w:val="lv-LV" w:eastAsia="lv-LV"/>
    </w:rPr>
  </w:style>
  <w:style w:type="character" w:styleId="Hyperlink">
    <w:name w:val="Hyperlink"/>
    <w:basedOn w:val="DefaultParagraphFont"/>
    <w:uiPriority w:val="99"/>
    <w:unhideWhenUsed/>
    <w:rsid w:val="005E3FCD"/>
    <w:rPr>
      <w:color w:val="0000FF" w:themeColor="hyperlink"/>
      <w:u w:val="single"/>
    </w:rPr>
  </w:style>
  <w:style w:type="paragraph" w:customStyle="1" w:styleId="tv213">
    <w:name w:val="tv213"/>
    <w:basedOn w:val="Normal"/>
    <w:rsid w:val="00233A64"/>
    <w:pPr>
      <w:spacing w:before="100" w:beforeAutospacing="1" w:after="100" w:afterAutospacing="1"/>
    </w:pPr>
    <w:rPr>
      <w:lang w:val="en-US" w:eastAsia="en-US"/>
    </w:rPr>
  </w:style>
  <w:style w:type="paragraph" w:styleId="Footer">
    <w:name w:val="footer"/>
    <w:basedOn w:val="Normal"/>
    <w:link w:val="FooterChar"/>
    <w:uiPriority w:val="99"/>
    <w:unhideWhenUsed/>
    <w:rsid w:val="00EF2EC4"/>
    <w:pPr>
      <w:tabs>
        <w:tab w:val="center" w:pos="4320"/>
        <w:tab w:val="right" w:pos="8640"/>
      </w:tabs>
    </w:pPr>
  </w:style>
  <w:style w:type="character" w:customStyle="1" w:styleId="FooterChar">
    <w:name w:val="Footer Char"/>
    <w:basedOn w:val="DefaultParagraphFont"/>
    <w:link w:val="Footer"/>
    <w:uiPriority w:val="99"/>
    <w:rsid w:val="00EF2EC4"/>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AA2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3337">
      <w:bodyDiv w:val="1"/>
      <w:marLeft w:val="0"/>
      <w:marRight w:val="0"/>
      <w:marTop w:val="0"/>
      <w:marBottom w:val="0"/>
      <w:divBdr>
        <w:top w:val="none" w:sz="0" w:space="0" w:color="auto"/>
        <w:left w:val="none" w:sz="0" w:space="0" w:color="auto"/>
        <w:bottom w:val="none" w:sz="0" w:space="0" w:color="auto"/>
        <w:right w:val="none" w:sz="0" w:space="0" w:color="auto"/>
      </w:divBdr>
    </w:div>
    <w:div w:id="19196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zis.Bruklitis@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4C0-F510-4A7D-B32A-BCB6B984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1062</Words>
  <Characters>7905</Characters>
  <Application>Microsoft Office Word</Application>
  <DocSecurity>0</DocSecurity>
  <Lines>255</Lines>
  <Paragraphs>94</Paragraphs>
  <ScaleCrop>false</ScaleCrop>
  <HeadingPairs>
    <vt:vector size="2" baseType="variant">
      <vt:variant>
        <vt:lpstr>Title</vt:lpstr>
      </vt:variant>
      <vt:variant>
        <vt:i4>1</vt:i4>
      </vt:variant>
    </vt:vector>
  </HeadingPairs>
  <TitlesOfParts>
    <vt:vector size="1" baseType="lpstr">
      <vt:lpstr>Noteikumu projekta „Grozījums Ministru kabineta 2011.gada 29.marta noteikumos Nr.245 „Noteikumi par kārtību, kādā izsniedz, pārreģistrē, aptur un anulē speciālo atļauju (licenci) patērētāju kreditēšanas pakalpojumu sniegšanai un maksā valsts nodevu par sp</vt:lpstr>
    </vt:vector>
  </TitlesOfParts>
  <Company>LR Ekonomikas ministrija</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dc:title>
  <dc:subject>Sākotnējās ietekmes novērtējuma ziņojums</dc:subject>
  <dc:creator>Didzis Brūklītis</dc:creator>
  <dc:description>67013274, Didzis.Bruklitis@em.gov.lv</dc:description>
  <cp:lastModifiedBy>Didzis Brūklītis</cp:lastModifiedBy>
  <cp:revision>10</cp:revision>
  <cp:lastPrinted>2013-06-13T09:42:00Z</cp:lastPrinted>
  <dcterms:created xsi:type="dcterms:W3CDTF">2013-06-12T11:19:00Z</dcterms:created>
  <dcterms:modified xsi:type="dcterms:W3CDTF">2013-06-13T09:42:00Z</dcterms:modified>
</cp:coreProperties>
</file>