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92" w:rsidRPr="00314971" w:rsidRDefault="003E3492" w:rsidP="003E3492">
      <w:pPr>
        <w:pStyle w:val="BodyText"/>
        <w:ind w:firstLine="720"/>
        <w:jc w:val="center"/>
        <w:rPr>
          <w:b/>
          <w:bCs/>
          <w:sz w:val="28"/>
          <w:szCs w:val="28"/>
        </w:rPr>
      </w:pPr>
      <w:bookmarkStart w:id="0" w:name="OLE_LINK1"/>
      <w:r w:rsidRPr="00314971">
        <w:rPr>
          <w:b/>
          <w:sz w:val="28"/>
          <w:szCs w:val="28"/>
        </w:rPr>
        <w:t>Ministru kabineta noteikumu projekta „Grozījumi Ministru kabineta 2006.gada 6.novembra noteikumos Nr.922 “Valsts statistikas pārskatu un anketu veidlapu paraugu apstiprināšanas noteikumi”</w:t>
      </w:r>
      <w:bookmarkEnd w:id="0"/>
      <w:r w:rsidRPr="00314971">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314971">
          <w:rPr>
            <w:b/>
            <w:sz w:val="28"/>
            <w:szCs w:val="28"/>
          </w:rPr>
          <w:t>ziņojums</w:t>
        </w:r>
      </w:smartTag>
      <w:r w:rsidRPr="00314971">
        <w:rPr>
          <w:b/>
          <w:sz w:val="28"/>
          <w:szCs w:val="28"/>
        </w:rPr>
        <w:t xml:space="preserve"> (anotācija)</w:t>
      </w:r>
    </w:p>
    <w:p w:rsidR="003E3492" w:rsidRPr="00314971" w:rsidRDefault="003E3492" w:rsidP="003E3492">
      <w:pPr>
        <w:pStyle w:val="Header"/>
        <w:tabs>
          <w:tab w:val="right" w:pos="8460"/>
        </w:tabs>
        <w:ind w:right="-154"/>
        <w:jc w:val="center"/>
        <w:rPr>
          <w:b/>
          <w:szCs w:val="24"/>
        </w:rPr>
      </w:pPr>
    </w:p>
    <w:tbl>
      <w:tblPr>
        <w:tblW w:w="9334" w:type="dxa"/>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434"/>
        <w:gridCol w:w="5374"/>
      </w:tblGrid>
      <w:tr w:rsidR="003E3492" w:rsidRPr="00314971" w:rsidTr="0096387E">
        <w:trPr>
          <w:tblCellSpacing w:w="0" w:type="dxa"/>
        </w:trPr>
        <w:tc>
          <w:tcPr>
            <w:tcW w:w="9334" w:type="dxa"/>
            <w:gridSpan w:val="3"/>
            <w:tcBorders>
              <w:top w:val="outset" w:sz="6" w:space="0" w:color="auto"/>
              <w:left w:val="outset" w:sz="6" w:space="0" w:color="auto"/>
              <w:bottom w:val="outset" w:sz="6" w:space="0" w:color="auto"/>
              <w:right w:val="outset" w:sz="6" w:space="0" w:color="auto"/>
            </w:tcBorders>
            <w:vAlign w:val="center"/>
          </w:tcPr>
          <w:p w:rsidR="003E3492" w:rsidRPr="00314971" w:rsidRDefault="003E3492" w:rsidP="0065284E">
            <w:pPr>
              <w:spacing w:before="75" w:after="75"/>
              <w:jc w:val="center"/>
            </w:pPr>
            <w:r w:rsidRPr="00314971">
              <w:rPr>
                <w:b/>
                <w:bCs/>
              </w:rPr>
              <w:t>I. Tiesību akta projekta izstrādes nepieciešamība</w:t>
            </w:r>
          </w:p>
        </w:tc>
      </w:tr>
      <w:tr w:rsidR="003E3492" w:rsidRPr="00314971" w:rsidTr="0096387E">
        <w:trPr>
          <w:cantSplit/>
          <w:trHeight w:hRule="exact" w:val="2624"/>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1.</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rPr>
                <w:color w:val="000000"/>
              </w:rPr>
            </w:pPr>
            <w:r w:rsidRPr="00314971">
              <w:t> Pamatojums</w:t>
            </w:r>
          </w:p>
        </w:tc>
        <w:tc>
          <w:tcPr>
            <w:tcW w:w="5374" w:type="dxa"/>
            <w:tcBorders>
              <w:top w:val="outset" w:sz="6" w:space="0" w:color="auto"/>
              <w:left w:val="outset" w:sz="6" w:space="0" w:color="auto"/>
              <w:bottom w:val="outset" w:sz="6" w:space="0" w:color="auto"/>
              <w:right w:val="outset" w:sz="6" w:space="0" w:color="auto"/>
            </w:tcBorders>
          </w:tcPr>
          <w:p w:rsidR="003E3492" w:rsidRPr="00314971" w:rsidRDefault="003E3492" w:rsidP="00343D90">
            <w:pPr>
              <w:spacing w:before="120" w:after="120"/>
              <w:jc w:val="both"/>
            </w:pPr>
            <w:r w:rsidRPr="00314971">
              <w:t xml:space="preserve">Grozījumi </w:t>
            </w:r>
            <w:bookmarkStart w:id="1" w:name="OLE_LINK2"/>
            <w:bookmarkStart w:id="2" w:name="OLE_LINK3"/>
            <w:r w:rsidRPr="00314971">
              <w:t>Ministru kabineta 2006.gada 6.novembra noteikumos Nr.922 “Valsts statistikas pārskatu un anketu veidlapu paraugu apstiprināšanas noteikumi”</w:t>
            </w:r>
            <w:bookmarkEnd w:id="1"/>
            <w:bookmarkEnd w:id="2"/>
            <w:r w:rsidRPr="00314971">
              <w:t xml:space="preserve"> (turpmāk-MK noteikumu projekts) ir izstrādāti saskaņā ar Valsts statistikas likuma 5.pant</w:t>
            </w:r>
            <w:r w:rsidR="00343D90">
              <w:t>a</w:t>
            </w:r>
            <w:r w:rsidRPr="00314971">
              <w:t xml:space="preserve"> otrās daļas 3.punktu. </w:t>
            </w:r>
          </w:p>
        </w:tc>
      </w:tr>
      <w:tr w:rsidR="003E3492" w:rsidRPr="00314971" w:rsidTr="0096387E">
        <w:trPr>
          <w:trHeight w:val="472"/>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2.</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Pašreizējā situācija un problēmas</w:t>
            </w:r>
          </w:p>
        </w:tc>
        <w:tc>
          <w:tcPr>
            <w:tcW w:w="53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after="120"/>
              <w:jc w:val="both"/>
            </w:pPr>
            <w:r w:rsidRPr="00314971">
              <w:t>MK noteikumu projekts izstrādāts, lai risinātu šādas galvenās problēmas:</w:t>
            </w:r>
          </w:p>
          <w:p w:rsidR="003E3492" w:rsidRPr="00314971" w:rsidRDefault="003E3492" w:rsidP="0065284E">
            <w:pPr>
              <w:numPr>
                <w:ilvl w:val="0"/>
                <w:numId w:val="1"/>
              </w:numPr>
              <w:spacing w:after="120"/>
              <w:jc w:val="both"/>
            </w:pPr>
            <w:r w:rsidRPr="00314971">
              <w:t>lai uzlabotu atsevišķu statistisko rādītāju apkopošanas un kopsavilkuma informācijas publicēšanas termiņus;</w:t>
            </w:r>
          </w:p>
          <w:p w:rsidR="003E3492" w:rsidRPr="00314971" w:rsidRDefault="003E3492" w:rsidP="0065284E">
            <w:pPr>
              <w:numPr>
                <w:ilvl w:val="0"/>
                <w:numId w:val="1"/>
              </w:numPr>
              <w:spacing w:after="120"/>
              <w:jc w:val="both"/>
            </w:pPr>
            <w:r w:rsidRPr="00314971">
              <w:t>lai izpildītu Eiropas Savienības normatīvo aktu (regulu) prasības; sakarā ar jaunu Eiropas Savienības normatīvo aktu (regulas) spēkā stāšanos</w:t>
            </w:r>
            <w:r w:rsidR="005B5E36">
              <w:t xml:space="preserve"> 2011.gadā</w:t>
            </w:r>
            <w:r w:rsidRPr="00314971">
              <w:t>, kā arī jaunu Eiropas Savienības normatīvo aktu (regulu) pieņemšanu 201</w:t>
            </w:r>
            <w:r w:rsidR="006961DE" w:rsidRPr="00314971">
              <w:t>2</w:t>
            </w:r>
            <w:r w:rsidRPr="00314971">
              <w:t>.gada rudenī;</w:t>
            </w:r>
          </w:p>
          <w:p w:rsidR="003E3492" w:rsidRPr="00314971" w:rsidRDefault="003E3492" w:rsidP="0065284E">
            <w:pPr>
              <w:numPr>
                <w:ilvl w:val="0"/>
                <w:numId w:val="1"/>
              </w:numPr>
              <w:spacing w:after="120"/>
              <w:jc w:val="both"/>
            </w:pPr>
            <w:r w:rsidRPr="00314971">
              <w:t>lai samazinātu respondentu noslodzi.</w:t>
            </w:r>
          </w:p>
        </w:tc>
      </w:tr>
      <w:tr w:rsidR="003E3492" w:rsidRPr="00314971" w:rsidTr="0096387E">
        <w:trPr>
          <w:trHeight w:val="833"/>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3.</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Saistītie politikas ietekmes novērtējumi un pētījumi</w:t>
            </w:r>
          </w:p>
        </w:tc>
        <w:tc>
          <w:tcPr>
            <w:tcW w:w="53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rPr>
                <w:bCs/>
              </w:rPr>
              <w:t>Projekts šo jomu neskar</w:t>
            </w:r>
          </w:p>
        </w:tc>
      </w:tr>
      <w:tr w:rsidR="003E3492" w:rsidRPr="00314971" w:rsidTr="0096387E">
        <w:trPr>
          <w:trHeight w:val="384"/>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4.</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Tiesiskā regulējuma mērķis un būtība</w:t>
            </w:r>
          </w:p>
        </w:tc>
        <w:tc>
          <w:tcPr>
            <w:tcW w:w="53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jc w:val="both"/>
            </w:pPr>
            <w:r w:rsidRPr="00314971">
              <w:t xml:space="preserve">Ar MK noteikumu projektu groza </w:t>
            </w:r>
            <w:r w:rsidR="00024773" w:rsidRPr="00314971">
              <w:t xml:space="preserve">31 </w:t>
            </w:r>
            <w:r w:rsidRPr="00314971">
              <w:t>spēkā esoš</w:t>
            </w:r>
            <w:r w:rsidR="00024773" w:rsidRPr="00314971">
              <w:t>u</w:t>
            </w:r>
            <w:r w:rsidRPr="00314971">
              <w:t xml:space="preserve"> Ministru kabineta 2006.gada 6.novembra noteikumu Nr.922 “Valsts statistikas pārskatu un anketu veidlapu paraugu apstiprināšanas noteikumi” veidlap</w:t>
            </w:r>
            <w:r w:rsidR="00024773" w:rsidRPr="00314971">
              <w:t>u</w:t>
            </w:r>
            <w:r w:rsidRPr="00314971">
              <w:t xml:space="preserve">, papildina ar </w:t>
            </w:r>
            <w:r w:rsidR="006961DE" w:rsidRPr="00314971">
              <w:t>4</w:t>
            </w:r>
            <w:r w:rsidRPr="00314971">
              <w:t xml:space="preserve"> jaunām veidlapām, kā arī tiek svītrotas </w:t>
            </w:r>
            <w:r w:rsidR="00024773" w:rsidRPr="00314971">
              <w:t>8</w:t>
            </w:r>
            <w:r w:rsidRPr="00314971">
              <w:t xml:space="preserve"> veidlapas, kuras turpmāk netiks apkopotas. MK noteikumu projekts ir sagatavots šādu iemeslu dēļ:</w:t>
            </w:r>
          </w:p>
          <w:p w:rsidR="003E3492" w:rsidRPr="00314971" w:rsidRDefault="003E3492" w:rsidP="00024773">
            <w:pPr>
              <w:numPr>
                <w:ilvl w:val="0"/>
                <w:numId w:val="2"/>
              </w:numPr>
              <w:jc w:val="both"/>
            </w:pPr>
            <w:r w:rsidRPr="00314971">
              <w:t xml:space="preserve">MK noteikumu projekta 1.pielikums – veidlapa papildināta arī ar 2 jaunām rindām 1034. un 1064., kā arī atsaucēm zem tabulām. Komersanti - naftas produktu jaucēji varēs pilnīgāk un precīzāk uzrādīt datus par sajauktiem naftas produktiem Eiropas parlamenta un Padomes Regulas Nr.1099/2008 prasību izpildei. Tika izņemti divi krustiņi pārskata otrā daļā (rindas 2010. 2. un 3. ailes), lai dotu iespēju respondentiem sniegt </w:t>
            </w:r>
            <w:r w:rsidRPr="00314971">
              <w:lastRenderedPageBreak/>
              <w:t>informāciju par elektroenerģijas patēriņu autotransportā. Tika izņemta 3.tabula Enerģētisko resursu izlietojums starptautiskajiem reisiem, jo šos datus nodrošina mēneša pārskats 2-bunkurēšana.</w:t>
            </w:r>
          </w:p>
          <w:p w:rsidR="003E3492" w:rsidRPr="00314971" w:rsidRDefault="003E3492" w:rsidP="00024773">
            <w:pPr>
              <w:numPr>
                <w:ilvl w:val="0"/>
                <w:numId w:val="2"/>
              </w:numPr>
              <w:jc w:val="both"/>
            </w:pPr>
            <w:r w:rsidRPr="00314971">
              <w:t>MK noteikumu projekta 2.pielikums - papildu pieprasījums no Zemkopības ministrijas: veidlapa vienkāršota (izņemtas 3 rindas par saražoto linu šķiedru) un papildināta ar kaņepju stiebriņu iepirkumu.</w:t>
            </w:r>
          </w:p>
          <w:p w:rsidR="003E3492" w:rsidRPr="00314971" w:rsidRDefault="003E3492" w:rsidP="00024773">
            <w:pPr>
              <w:numPr>
                <w:ilvl w:val="0"/>
                <w:numId w:val="2"/>
              </w:numPr>
              <w:jc w:val="both"/>
            </w:pPr>
            <w:r w:rsidRPr="00314971">
              <w:t>MK noteikumu projekta 3.pielikums - sakarā ar regulas prasībām (Eiropas Parlamenta un Padomes Regula Nr.88/2011) un izmaiņām Latvijas izglītības klasifikācijā 4.tabulā: Izdalīta programma ar kodu 36. 6.tabulā:6012.r. un 6013.r. vārds ”pedagogs” mainīts uz „skolotājs”.7.tabula:7010.r. un 7020.r. vārds ”pedagogs” mainīts uz „skolotājs”. 8.tabulā:Sadalīti  skolotāji un pārējie pedagogi.12.tabulā:Apvienotas 5.a,7a.,11.a un 6.a,8.a,12.a. Izņemtas 12007.r, 12008.r, 12009.r, 12010.r.14.tabula:Izveidota jauna rinda „no tām ieņēmumi no ES struktūrfondiem”.</w:t>
            </w:r>
          </w:p>
          <w:p w:rsidR="003E3492" w:rsidRPr="00314971" w:rsidRDefault="003E3492" w:rsidP="00024773">
            <w:pPr>
              <w:numPr>
                <w:ilvl w:val="0"/>
                <w:numId w:val="2"/>
              </w:numPr>
              <w:jc w:val="both"/>
            </w:pPr>
            <w:r w:rsidRPr="00314971">
              <w:t xml:space="preserve">MK noteikumu projekta 4.pielikums - izņemtas rindas ar konkrēto </w:t>
            </w:r>
            <w:r w:rsidRPr="00314971">
              <w:rPr>
                <w:color w:val="000000"/>
                <w:sz w:val="22"/>
                <w:szCs w:val="22"/>
              </w:rPr>
              <w:t xml:space="preserve">elektroenerģijas ražotāju nosaukumiem, kas sekoja pēc rindas </w:t>
            </w:r>
            <w:r w:rsidRPr="00314971">
              <w:rPr>
                <w:sz w:val="22"/>
                <w:szCs w:val="22"/>
              </w:rPr>
              <w:t>16000  „</w:t>
            </w:r>
            <w:r w:rsidRPr="00314971">
              <w:rPr>
                <w:color w:val="000000"/>
                <w:sz w:val="22"/>
                <w:szCs w:val="22"/>
              </w:rPr>
              <w:t xml:space="preserve">Saņemta no citiem Latvijas elektroenerģijas ražotājiem </w:t>
            </w:r>
            <w:r w:rsidRPr="00314971">
              <w:rPr>
                <w:iCs/>
                <w:color w:val="000000"/>
                <w:sz w:val="22"/>
                <w:szCs w:val="22"/>
              </w:rPr>
              <w:t xml:space="preserve">(norādiet)”. </w:t>
            </w:r>
            <w:r w:rsidRPr="00314971">
              <w:t xml:space="preserve">Veidlapa papildināta arī ar 2 jaunām </w:t>
            </w:r>
            <w:r w:rsidRPr="00314971">
              <w:rPr>
                <w:sz w:val="22"/>
                <w:szCs w:val="22"/>
              </w:rPr>
              <w:t xml:space="preserve">rindām </w:t>
            </w:r>
            <w:r w:rsidRPr="00314971">
              <w:rPr>
                <w:color w:val="000000"/>
                <w:sz w:val="22"/>
                <w:szCs w:val="22"/>
              </w:rPr>
              <w:t>211301 un 211302</w:t>
            </w:r>
            <w:r w:rsidRPr="00314971">
              <w:rPr>
                <w:sz w:val="22"/>
                <w:szCs w:val="22"/>
              </w:rPr>
              <w:t>, precīzākai informācijas iegūšanai šajās nozarēs.</w:t>
            </w:r>
            <w:r w:rsidRPr="00314971">
              <w:t xml:space="preserve"> „Transporta” iedaļa (rindas 217000-217003) un „iedzīvotāju” rinda (218000) ir pārnestas pārskata 2.sadaļas beigās.</w:t>
            </w:r>
          </w:p>
          <w:p w:rsidR="003E3492" w:rsidRPr="00314971" w:rsidRDefault="003E3492" w:rsidP="00024773">
            <w:pPr>
              <w:numPr>
                <w:ilvl w:val="0"/>
                <w:numId w:val="2"/>
              </w:numPr>
              <w:jc w:val="both"/>
            </w:pPr>
            <w:r w:rsidRPr="00314971">
              <w:t>MK noteikumu projekta 5.pielikums - veidlapa papildināta ar 2.rindām, kuras nepieciešamas, lai precīzāk veiktu emisiju aprēķinus un sagatavotu energobilances datus, tādejādi nodrošinot Eiropas parlamenta un Padomes Regulas Nr.1099/2008 prasību piemērošanu: 360.rinda -  “Vidējā zemākā gāzes siltumspēja, MJ/m</w:t>
            </w:r>
            <w:r w:rsidRPr="00314971">
              <w:rPr>
                <w:vertAlign w:val="superscript"/>
              </w:rPr>
              <w:t>3</w:t>
            </w:r>
            <w:r w:rsidRPr="00314971">
              <w:t>” 380.rinda -“Vidējā augstākā gāzes siltumspēja, MJ/m</w:t>
            </w:r>
            <w:r w:rsidRPr="00314971">
              <w:rPr>
                <w:vertAlign w:val="superscript"/>
              </w:rPr>
              <w:t>3</w:t>
            </w:r>
            <w:r w:rsidRPr="00314971">
              <w:t xml:space="preserve">”. </w:t>
            </w:r>
          </w:p>
          <w:p w:rsidR="003E3492" w:rsidRPr="00314971" w:rsidRDefault="003E3492" w:rsidP="00024773">
            <w:pPr>
              <w:numPr>
                <w:ilvl w:val="0"/>
                <w:numId w:val="2"/>
              </w:numPr>
              <w:jc w:val="both"/>
            </w:pPr>
            <w:r w:rsidRPr="00314971">
              <w:t>MK noteikumu projekta 6.pielikums - ir atjaunoti veidlapas aizpildīšanas norādījumi un precizēti rādītāju formulējumi, kā arī paskaidrojumi veidlapā, ņemot vērā uzkrāto darba pieredzi, ieteikumus no Centrālās statistikas pārvaldes (turpmāk-CSP) Datu savākšanas un apstrādes centriem un citām CSP daļām, kā arī aktuālās pārmaiņas valsts darba tirgus politikā un valsts normatīvajos aktos.</w:t>
            </w:r>
          </w:p>
          <w:p w:rsidR="003E3492" w:rsidRPr="00314971" w:rsidRDefault="003E3492" w:rsidP="00024773">
            <w:pPr>
              <w:numPr>
                <w:ilvl w:val="0"/>
                <w:numId w:val="2"/>
              </w:numPr>
              <w:jc w:val="both"/>
            </w:pPr>
            <w:r w:rsidRPr="00314971">
              <w:lastRenderedPageBreak/>
              <w:t xml:space="preserve">MK noteikumu projekta 7.pielikums - precizēti veidlapas rādītāju formulējumi, saskaņojot ar </w:t>
            </w:r>
            <w:r w:rsidR="000B3406" w:rsidRPr="00314971">
              <w:t>likuma  „Par v</w:t>
            </w:r>
            <w:r w:rsidR="007219B1" w:rsidRPr="00314971">
              <w:rPr>
                <w:rFonts w:eastAsiaTheme="minorHAnsi"/>
                <w:color w:val="000000"/>
                <w:lang w:eastAsia="en-US"/>
              </w:rPr>
              <w:t>alsts sociālo apdrošināšanu'' 1.panta 2) punktu</w:t>
            </w:r>
            <w:r w:rsidR="000B3406" w:rsidRPr="00314971">
              <w:rPr>
                <w:rFonts w:eastAsiaTheme="minorHAnsi"/>
                <w:color w:val="000000"/>
                <w:lang w:eastAsia="en-US"/>
              </w:rPr>
              <w:t xml:space="preserve"> </w:t>
            </w:r>
            <w:r w:rsidRPr="00314971">
              <w:t>un veidlapu ,,2-darbs”.</w:t>
            </w:r>
          </w:p>
          <w:p w:rsidR="003E3492" w:rsidRPr="00314971" w:rsidRDefault="003E3492" w:rsidP="00024773">
            <w:pPr>
              <w:numPr>
                <w:ilvl w:val="0"/>
                <w:numId w:val="2"/>
              </w:numPr>
              <w:jc w:val="both"/>
            </w:pPr>
            <w:r w:rsidRPr="00314971">
              <w:t>MK noteikumu projekta 8.pielikums - ir atjaunoti veidlapas aizpildīšanas norādījumi un precizēti rādītāju formulējumi, kā arī paskaidrojumi veidlapā, ņemot vērā uzkrāto darba pieredzi, ieteikumus no CSP Datu savākšanas un apstrādes centriem un citām CSP daļām, aktuālās pārmaiņas valsts darba tirgus politikā un valsts normatīvajos aktos.</w:t>
            </w:r>
          </w:p>
          <w:p w:rsidR="003E3492" w:rsidRPr="00314971" w:rsidRDefault="003E3492" w:rsidP="00024773">
            <w:pPr>
              <w:numPr>
                <w:ilvl w:val="0"/>
                <w:numId w:val="2"/>
              </w:numPr>
              <w:jc w:val="both"/>
            </w:pPr>
            <w:r w:rsidRPr="00314971">
              <w:t>MK noteikumu projekta 9.pielikums - veikta ceturkšņa veidlapas 2-investīcijas „Pārskats par investīcijām” rādītāju un satura saskaņošana ar veidlapām Nr.1-gada, Nr.5-gada un Nr.2-ieguldījumi „Pārskats par ieguldījumu kustību”. Rezultātā ir mainīts veidlapas Nr.2-investīcijas „Pārskats par investīcijām” indekss un nosaukums, kā arī veiktas šādas izmaiņas pārdēvētajā veidlapā: Dzēsta rinda 213 – Ilggadīgie stādījumi; Dzēsta rinda 221 – Zeme un Ilggadīgie stādījumi; Dzēsta rinda 226 – Pamatlīdzekļu izveidošana un nepabeigto celtniecības objektu izmaksas; Dzēsta rinda 253 – iekārtas, mašīnas un pārējās izmaksas.</w:t>
            </w:r>
          </w:p>
          <w:p w:rsidR="003E3492" w:rsidRPr="00314971" w:rsidRDefault="003E3492" w:rsidP="00024773">
            <w:pPr>
              <w:numPr>
                <w:ilvl w:val="0"/>
                <w:numId w:val="2"/>
              </w:numPr>
              <w:jc w:val="both"/>
            </w:pPr>
            <w:r w:rsidRPr="00314971">
              <w:t xml:space="preserve">MK noteikumu projekta 10.pielikums - </w:t>
            </w:r>
            <w:r w:rsidRPr="00314971">
              <w:rPr>
                <w:color w:val="000000"/>
              </w:rPr>
              <w:t xml:space="preserve">izmaiņas veiktas veidlapas norādījumu daļā. Ir izņemta teksta daļa par uzņēmumiem, kas iznomā mašīnas. Šie uzņēmumi vairs neaizpildīs 1-bc, bet pāries uz 1-pc pārskata (Pārskats par biznesa pakalpojumu cenām) aizpildīšanu. </w:t>
            </w:r>
          </w:p>
          <w:p w:rsidR="003E3492" w:rsidRPr="00314971" w:rsidRDefault="003E3492" w:rsidP="00024773">
            <w:pPr>
              <w:numPr>
                <w:ilvl w:val="0"/>
                <w:numId w:val="2"/>
              </w:numPr>
              <w:jc w:val="both"/>
            </w:pPr>
            <w:r w:rsidRPr="00314971">
              <w:t>MK noteikumu projekta 11.pielikums - papildu rādītāji nepieciešami darbam, lai precīzāk veiktu emisiju aprēķinus, sagatavotu  ikmēneša datus uz EUROSTAT un energobilances datus. 80.rindai mainīta mērvienība no kcal/m</w:t>
            </w:r>
            <w:r w:rsidRPr="00314971">
              <w:rPr>
                <w:vertAlign w:val="superscript"/>
              </w:rPr>
              <w:t xml:space="preserve">3 </w:t>
            </w:r>
            <w:r w:rsidRPr="00314971">
              <w:t>uz MJ/m</w:t>
            </w:r>
            <w:r w:rsidRPr="00314971">
              <w:rPr>
                <w:vertAlign w:val="superscript"/>
              </w:rPr>
              <w:t>3</w:t>
            </w:r>
            <w:r w:rsidRPr="00314971">
              <w:t>. Veidlapa papildināta ar 90.rindu – “Vidējā zemākā gāzes siltumspēja, MJ/m</w:t>
            </w:r>
            <w:r w:rsidRPr="00314971">
              <w:rPr>
                <w:vertAlign w:val="superscript"/>
              </w:rPr>
              <w:t>3</w:t>
            </w:r>
            <w:r w:rsidRPr="00314971">
              <w:t xml:space="preserve">”. </w:t>
            </w:r>
          </w:p>
          <w:p w:rsidR="003E3492" w:rsidRPr="00314971" w:rsidRDefault="003E3492" w:rsidP="00024773">
            <w:pPr>
              <w:numPr>
                <w:ilvl w:val="0"/>
                <w:numId w:val="2"/>
              </w:numPr>
              <w:jc w:val="both"/>
            </w:pPr>
            <w:r w:rsidRPr="00314971">
              <w:t>MK noteikumu projekta 12.pielikums –</w:t>
            </w:r>
            <w:r w:rsidR="00FB1921" w:rsidRPr="00314971">
              <w:t xml:space="preserve"> izmaiņas veiktas pamatojoties uz CSP Metodoloģiskās padomes 2010.g.16. decembra sēdē (protokols Nr.12 (72)) pieņemto pārskatu un aptaujas anketu definējumu. Precizētas atsevišķas pozīcijas.</w:t>
            </w:r>
          </w:p>
          <w:p w:rsidR="003E3492" w:rsidRPr="00314971" w:rsidRDefault="003E3492" w:rsidP="00024773">
            <w:pPr>
              <w:numPr>
                <w:ilvl w:val="0"/>
                <w:numId w:val="2"/>
              </w:numPr>
              <w:jc w:val="both"/>
            </w:pPr>
            <w:r w:rsidRPr="00314971">
              <w:t>MK noteikumu projekta 13.pielikums - svītrotas rindas ar kodiem 223, 225 un 233, 235, papildināta ar kolonu ‘’Atlikums gada sākumā’’.</w:t>
            </w:r>
          </w:p>
          <w:p w:rsidR="003E3492" w:rsidRPr="00314971" w:rsidRDefault="003E3492" w:rsidP="00024773">
            <w:pPr>
              <w:numPr>
                <w:ilvl w:val="0"/>
                <w:numId w:val="2"/>
              </w:numPr>
              <w:jc w:val="both"/>
            </w:pPr>
            <w:r w:rsidRPr="00314971">
              <w:t>MK noteikumu projekta 14.pielikums - sakarā ar Eiropas Parlamenta un Pado</w:t>
            </w:r>
            <w:r w:rsidR="00495C62" w:rsidRPr="00314971">
              <w:t>m</w:t>
            </w:r>
            <w:r w:rsidRPr="00314971">
              <w:t xml:space="preserve">es regulas </w:t>
            </w:r>
            <w:r w:rsidRPr="00314971">
              <w:lastRenderedPageBreak/>
              <w:t>Nr.808/2004 ieviešanas regulas pieņemšanu 2012.gada oktobrī, rādītāju loks tiek aktualizēts – daļa rādītāju tiek izņemti un to vietā iekļauti jauni (apmēram 15%</w:t>
            </w:r>
            <w:r w:rsidR="0023591D" w:rsidRPr="00314971">
              <w:t xml:space="preserve"> izmaiņas rādītājos</w:t>
            </w:r>
            <w:r w:rsidRPr="00314971">
              <w:t>).</w:t>
            </w:r>
            <w:r w:rsidRPr="00314971">
              <w:rPr>
                <w:vanish/>
              </w:rPr>
              <w:t>anu 2012.gada oktobr Padoes .”.un 11.pielikumu.</w:t>
            </w:r>
          </w:p>
          <w:p w:rsidR="003E3492" w:rsidRPr="00314971" w:rsidRDefault="003E3492" w:rsidP="00024773">
            <w:pPr>
              <w:numPr>
                <w:ilvl w:val="0"/>
                <w:numId w:val="2"/>
              </w:numPr>
              <w:jc w:val="both"/>
            </w:pPr>
            <w:r w:rsidRPr="00314971">
              <w:t>MK noteikumu</w:t>
            </w:r>
            <w:r w:rsidR="0073190D" w:rsidRPr="00314971">
              <w:t xml:space="preserve"> projekta</w:t>
            </w:r>
            <w:r w:rsidRPr="00314971">
              <w:t xml:space="preserve"> 15.pielikums – </w:t>
            </w:r>
          </w:p>
          <w:p w:rsidR="00024773" w:rsidRPr="00314971" w:rsidRDefault="003E3492" w:rsidP="00024773">
            <w:pPr>
              <w:pStyle w:val="ListParagraph"/>
              <w:numPr>
                <w:ilvl w:val="0"/>
                <w:numId w:val="16"/>
              </w:numPr>
              <w:jc w:val="both"/>
            </w:pPr>
            <w:r w:rsidRPr="00314971">
              <w:t>Tiek precizēts 1120 rādītāja nosaukums;</w:t>
            </w:r>
          </w:p>
          <w:p w:rsidR="00024773" w:rsidRPr="00314971" w:rsidRDefault="003E3492" w:rsidP="00024773">
            <w:pPr>
              <w:pStyle w:val="ListParagraph"/>
              <w:numPr>
                <w:ilvl w:val="0"/>
                <w:numId w:val="16"/>
              </w:numPr>
              <w:jc w:val="both"/>
            </w:pPr>
            <w:r w:rsidRPr="00314971">
              <w:t xml:space="preserve">Rādītājs 1220 tiek papildināts ar peļņas zaudējumu posteni „ārkārtas ieņēmumi”, jo </w:t>
            </w:r>
            <w:r w:rsidR="007D5E92" w:rsidRPr="00314971">
              <w:t>saskaņā ar</w:t>
            </w:r>
            <w:r w:rsidRPr="00314971">
              <w:t xml:space="preserve"> </w:t>
            </w:r>
            <w:r w:rsidR="007D5E92" w:rsidRPr="00314971">
              <w:t xml:space="preserve">Eiropas Parlamenta un Padomes </w:t>
            </w:r>
            <w:r w:rsidRPr="00314971">
              <w:t>regul</w:t>
            </w:r>
            <w:r w:rsidR="007D5E92" w:rsidRPr="00314971">
              <w:t>as</w:t>
            </w:r>
            <w:r w:rsidRPr="00314971">
              <w:t xml:space="preserve"> Nr. 295/2008 definīcij</w:t>
            </w:r>
            <w:r w:rsidR="007D5E92" w:rsidRPr="00314971">
              <w:t>u</w:t>
            </w:r>
            <w:r w:rsidRPr="00314971">
              <w:t xml:space="preserve"> par pievienoto vērtību aprēķinā jāiekļauj gan pārējie saimnieciskās darbības ieņēmumi, gan ārkārtas ieņēmumi (iepriekš bija tikai pārējie ieņēmumi);</w:t>
            </w:r>
          </w:p>
          <w:p w:rsidR="00024773" w:rsidRPr="00314971" w:rsidRDefault="003E3492" w:rsidP="00024773">
            <w:pPr>
              <w:pStyle w:val="ListParagraph"/>
              <w:numPr>
                <w:ilvl w:val="0"/>
                <w:numId w:val="16"/>
              </w:numPr>
              <w:jc w:val="both"/>
            </w:pPr>
            <w:r w:rsidRPr="00314971">
              <w:t>Tiek pievienots jauns rādītājs A sadaļā 1222.r., jo nacionālajos kontos starppatēriņa aprēķinos ir nepieciešams iekļaut tikai neto apdrošināšanas prēmijas. Šis rādītājs nepieciešams 1996. gada 25. jūnija Regula (EK) Nr.2223/96 par Eiropas nacionālo un reģionālo kontu sistēmu Kopienā izpildei. Lai nodrošinātu korektu starppatēriņa aprēķinu, naudā izmaksātās apdrošināšanas atlīdzības ir jāatņem no bruto apdrošināšanas prēmijām, kas ir iekļautas starppatēriņā. Nedzīvības apdrošināšanas atlīdzību var saņemt gan naudā, gan saremontējot vai aizstājot bojāto lietu ar līdzvērtīgu. Šie divi iespējamie varianti nacionālajos kontos tiek atspoguļoti atšķirīgi: 1) par naudā saņemtās apdrošināšanas atlīdzības summu ir jāsamazina starppatēriņš (lai iegūtu neto apdrošināšanas prēmijas); 2) apdrošināšanas atlīdzības, kas nav izmaksātas naudā, neietekmē starppatēriņa aprēķinus. Ņemot vērā, ka Gada nacionālo kontu daļai nav pieejami dati par apdrošināšanas atlīdzību sadalījumu naudā izmaksātajos un sniegtajos pakalpojumos, tad Gada nacionālo kontu daļa ir izteikusi lūgumu iekļaut jautājumu par naudā saņemtajām nedzīvības apdrošināšanas atlīdzībām pārskatos 1-gada un 5-gada;</w:t>
            </w:r>
          </w:p>
          <w:p w:rsidR="003E3492" w:rsidRPr="00314971" w:rsidRDefault="003E3492" w:rsidP="00024773">
            <w:pPr>
              <w:pStyle w:val="ListParagraph"/>
              <w:numPr>
                <w:ilvl w:val="0"/>
                <w:numId w:val="16"/>
              </w:numPr>
              <w:jc w:val="both"/>
            </w:pPr>
            <w:r w:rsidRPr="00314971">
              <w:t xml:space="preserve">Tiek pievienots jauns rādītājs sadaļā A 1223.r. Tas ir nepieciešams, lai precizētu pievienotās vērtības aprēķinu. Tā kā pamatlīdzekļu pārdošana nav </w:t>
            </w:r>
            <w:r w:rsidRPr="00314971">
              <w:lastRenderedPageBreak/>
              <w:t>saistīta ar uzņēmuma saimniecisko darbību, bet tā atstāj lielu ietekmi uz nozaru pievienoto vērtību, tad nolemts šīs summas izslēgt no attiecīgās nozares pievienotās vērtības. Pamatlīdzekļu pārdošanas rādītājus nevar ņemt no 1.5 ieguldījumu veidlapas, jo ne vienmēr tur tiek iekļauta bruto vērtība, bet mēdz iekļaut arī neto vērtību.</w:t>
            </w:r>
          </w:p>
          <w:p w:rsidR="003E3492" w:rsidRPr="00314971" w:rsidRDefault="003E3492" w:rsidP="00024773">
            <w:pPr>
              <w:numPr>
                <w:ilvl w:val="0"/>
                <w:numId w:val="2"/>
              </w:numPr>
              <w:jc w:val="both"/>
            </w:pPr>
            <w:r w:rsidRPr="00314971">
              <w:t xml:space="preserve">MK noteikumu </w:t>
            </w:r>
            <w:r w:rsidR="0073190D" w:rsidRPr="00314971">
              <w:t xml:space="preserve">projekta </w:t>
            </w:r>
            <w:r w:rsidRPr="00314971">
              <w:t xml:space="preserve">16.pielikums - Veidlapā </w:t>
            </w:r>
            <w:r w:rsidR="007D5E92" w:rsidRPr="00314971">
              <w:t>iz</w:t>
            </w:r>
            <w:r w:rsidRPr="00314971">
              <w:t>ņemta rindiņa par vidējo pašnodarbināto skaitu. Datu izmantotāji – CSP Darba statistikas daļa, CSP Gada nacionālo kontu daļa un CSP Ceturkšņu nacionālo kontu daļa izmanto administratīvos datu avotus šī rādītāja iegūšanai. Pievienota 1312.rinda „Maksa par apkuri, ūdeni, elektroenerģiju un gāzi”, kā arī 1310.rindā izņemts paskaidrojums iekavās par inventāra iegādi un labots nosaukums  uz „mazvērtīgā inventāra”.</w:t>
            </w:r>
          </w:p>
          <w:p w:rsidR="003E3492" w:rsidRPr="00314971" w:rsidRDefault="003E3492" w:rsidP="00024773">
            <w:pPr>
              <w:numPr>
                <w:ilvl w:val="0"/>
                <w:numId w:val="2"/>
              </w:numPr>
              <w:jc w:val="both"/>
            </w:pPr>
            <w:r w:rsidRPr="00314971">
              <w:t xml:space="preserve">MK noteikumu </w:t>
            </w:r>
            <w:r w:rsidR="0073190D" w:rsidRPr="00314971">
              <w:t xml:space="preserve">projekta </w:t>
            </w:r>
            <w:r w:rsidRPr="00314971">
              <w:t xml:space="preserve">17.pielikums - Izņemti 9 </w:t>
            </w:r>
            <w:r w:rsidRPr="00314971">
              <w:rPr>
                <w:sz w:val="22"/>
                <w:szCs w:val="22"/>
              </w:rPr>
              <w:t>jautājumi</w:t>
            </w:r>
            <w:r w:rsidRPr="00314971">
              <w:t xml:space="preserve">, kuru atkārtošana  2013.gadā atzīta par nelietderīgu,   </w:t>
            </w:r>
            <w:r w:rsidR="007D5E92" w:rsidRPr="00314971">
              <w:rPr>
                <w:sz w:val="22"/>
                <w:szCs w:val="22"/>
              </w:rPr>
              <w:t>tai skaitā</w:t>
            </w:r>
            <w:r w:rsidR="0004660D" w:rsidRPr="00314971">
              <w:rPr>
                <w:sz w:val="22"/>
                <w:szCs w:val="22"/>
              </w:rPr>
              <w:t xml:space="preserve"> divi jautājumi</w:t>
            </w:r>
            <w:r w:rsidRPr="00314971">
              <w:rPr>
                <w:sz w:val="22"/>
                <w:szCs w:val="22"/>
              </w:rPr>
              <w:t xml:space="preserve"> ar ļoti plašiem apakšjautājumu sarakstiem un divas t.s. atvērto jautājumu pozīcijas – par pašvaldību nodevu veidiem un pašvaldību priekšlikumiem).</w:t>
            </w:r>
            <w:r w:rsidRPr="00314971">
              <w:t xml:space="preserve"> Izveidoti 13 jauni jautājumi, to skaitā 5 pilnīgi jauni (4 – administratīvi teritoriālās reformas rezultātu novērtēšanai un 1 – par ministriju funkciju dekoncentrēšanu otrā līmeņa pašvaldībās). Pārējie jaunie jautājumi ir atkārtoti no agrākajām 2008.-2011.g. aptaujām, lai turpinātu vairāku rādītāju dinamikas rindas. Dažos no tiem ieviesti jauni apakšjautājumi vai/un līmeņa rādītāji nomainīti ar izmaiņu tendencēm.  Vienlaikus vairāki aptaujas jautājumi ir vienkāršoti.</w:t>
            </w:r>
          </w:p>
          <w:p w:rsidR="003E3492" w:rsidRPr="00314971" w:rsidRDefault="003E3492" w:rsidP="00024773">
            <w:pPr>
              <w:numPr>
                <w:ilvl w:val="0"/>
                <w:numId w:val="2"/>
              </w:numPr>
              <w:jc w:val="both"/>
            </w:pPr>
            <w:r w:rsidRPr="00314971">
              <w:t>MK noteikumu</w:t>
            </w:r>
            <w:r w:rsidR="0073190D" w:rsidRPr="00314971">
              <w:t xml:space="preserve"> projekta</w:t>
            </w:r>
            <w:r w:rsidRPr="00314971">
              <w:t xml:space="preserve"> 18.pielikums – grozījumi sakarā ar saimniecisko darbību statistisko klasifikāciju pāreju no NACE red.1.1 uz NACE red.2</w:t>
            </w:r>
            <w:r w:rsidR="00343D90">
              <w:t>.</w:t>
            </w:r>
          </w:p>
          <w:p w:rsidR="003E3492" w:rsidRPr="00314971" w:rsidRDefault="003E3492" w:rsidP="00024773">
            <w:pPr>
              <w:numPr>
                <w:ilvl w:val="0"/>
                <w:numId w:val="2"/>
              </w:numPr>
              <w:jc w:val="both"/>
            </w:pPr>
            <w:r w:rsidRPr="00314971">
              <w:t xml:space="preserve">MK noteikumu </w:t>
            </w:r>
            <w:r w:rsidR="0073190D" w:rsidRPr="00314971">
              <w:t xml:space="preserve">projekta </w:t>
            </w:r>
            <w:r w:rsidRPr="00314971">
              <w:t>19.pielikums - sakarā ar to, ka 2012.gada rudenī tiks pieņemta jauna regula, tiek samazināts veidlapā prasīto rādītāju skaits, kā arī klāt nāk daži jauni rādītāji. Līdz ar to, mainās rindu kodi un rindu secība.</w:t>
            </w:r>
          </w:p>
          <w:p w:rsidR="003E3492" w:rsidRPr="00314971" w:rsidRDefault="003E3492" w:rsidP="00024773">
            <w:pPr>
              <w:numPr>
                <w:ilvl w:val="0"/>
                <w:numId w:val="2"/>
              </w:numPr>
              <w:jc w:val="both"/>
            </w:pPr>
            <w:r w:rsidRPr="00314971">
              <w:t xml:space="preserve">MK noteikumu </w:t>
            </w:r>
            <w:r w:rsidR="0073190D" w:rsidRPr="00314971">
              <w:t xml:space="preserve">projekta </w:t>
            </w:r>
            <w:r w:rsidRPr="00314971">
              <w:t>20.pielikums  - sakarā ar to, ka 2012.gada rudenī tiks pieņemta jauna regula, tiek būtiski samazināts veidlapā prasīto rādītāju skaits. Līdz ar to, mainās rindu kodi un rindu secība.</w:t>
            </w:r>
          </w:p>
          <w:p w:rsidR="0098263C" w:rsidRPr="00314971" w:rsidRDefault="00E94404" w:rsidP="00024773">
            <w:pPr>
              <w:numPr>
                <w:ilvl w:val="0"/>
                <w:numId w:val="2"/>
              </w:numPr>
              <w:jc w:val="both"/>
            </w:pPr>
            <w:r w:rsidRPr="00314971">
              <w:t xml:space="preserve">MK noteikumu </w:t>
            </w:r>
            <w:r w:rsidR="0073190D" w:rsidRPr="00314971">
              <w:t xml:space="preserve">projekta </w:t>
            </w:r>
            <w:r w:rsidRPr="00314971">
              <w:t xml:space="preserve">21.pielikums  - sakarā </w:t>
            </w:r>
            <w:r w:rsidRPr="00314971">
              <w:lastRenderedPageBreak/>
              <w:t>ar to, ka 2012.gada rudenī tiks pieņemta jauna regula, tiek būtiski samazināts veidlapā prasīto rādītāju skaits. Līdz ar to, mainās rindu kodi un rindu secība.</w:t>
            </w:r>
          </w:p>
          <w:p w:rsidR="003E3492" w:rsidRPr="00314971" w:rsidRDefault="00E94404" w:rsidP="00024773">
            <w:pPr>
              <w:numPr>
                <w:ilvl w:val="0"/>
                <w:numId w:val="2"/>
              </w:numPr>
              <w:jc w:val="both"/>
            </w:pPr>
            <w:r w:rsidRPr="00314971">
              <w:t xml:space="preserve">MK noteikumu </w:t>
            </w:r>
            <w:r w:rsidR="0073190D" w:rsidRPr="00314971">
              <w:t xml:space="preserve">projekta </w:t>
            </w:r>
            <w:r w:rsidRPr="00314971">
              <w:t xml:space="preserve">22.pielikums  </w:t>
            </w:r>
            <w:r w:rsidR="0065284E" w:rsidRPr="00314971">
              <w:t xml:space="preserve">- </w:t>
            </w:r>
            <w:r w:rsidR="0098263C" w:rsidRPr="00314971">
              <w:t>iekļauti jauni rādītāji, jo to paredz Eiropas Parlam</w:t>
            </w:r>
            <w:r w:rsidR="0004660D" w:rsidRPr="00314971">
              <w:t>enta un Padomes Regula (EK) Nr.</w:t>
            </w:r>
            <w:r w:rsidR="0098263C" w:rsidRPr="00314971">
              <w:t>808/2004 attiecībā uz Kopienas statistiku par informācijas sabiedrību un ieviešanas regula, kura tiks pieņemta 2012.gada rudenī.</w:t>
            </w:r>
          </w:p>
          <w:p w:rsidR="00D700CE" w:rsidRPr="00314971" w:rsidRDefault="00D700CE" w:rsidP="00024773">
            <w:pPr>
              <w:numPr>
                <w:ilvl w:val="0"/>
                <w:numId w:val="2"/>
              </w:numPr>
              <w:jc w:val="both"/>
            </w:pPr>
            <w:r w:rsidRPr="00314971">
              <w:t xml:space="preserve">MK noteikumu </w:t>
            </w:r>
            <w:r w:rsidR="0073190D" w:rsidRPr="00314971">
              <w:t xml:space="preserve">projekta </w:t>
            </w:r>
            <w:r w:rsidRPr="00314971">
              <w:t>23.pielikums  - iekļauti jauni rādītāji, jo to paredz Eiropas Parlam</w:t>
            </w:r>
            <w:r w:rsidR="0004660D" w:rsidRPr="00314971">
              <w:t>enta un Padomes Regula (EK) Nr.</w:t>
            </w:r>
            <w:r w:rsidRPr="00314971">
              <w:t>808/2004 attiecībā uz Kopienas statistiku par informācijas sabiedrību un ieviešanas regula, kura tiks pieņemta 2012.gada rudenī.</w:t>
            </w:r>
          </w:p>
          <w:p w:rsidR="0098263C" w:rsidRPr="00314971" w:rsidRDefault="00CE2037" w:rsidP="00024773">
            <w:pPr>
              <w:numPr>
                <w:ilvl w:val="0"/>
                <w:numId w:val="2"/>
              </w:numPr>
              <w:jc w:val="both"/>
            </w:pPr>
            <w:r w:rsidRPr="00314971">
              <w:t xml:space="preserve">MK noteikumu </w:t>
            </w:r>
            <w:r w:rsidR="0073190D" w:rsidRPr="00314971">
              <w:t xml:space="preserve">projekta </w:t>
            </w:r>
            <w:r w:rsidRPr="00314971">
              <w:t>24.pielikums  -</w:t>
            </w:r>
            <w:r w:rsidR="0096387E" w:rsidRPr="00314971">
              <w:t xml:space="preserve"> </w:t>
            </w:r>
            <w:r w:rsidR="001A5A10" w:rsidRPr="00314971">
              <w:t>p</w:t>
            </w:r>
            <w:r w:rsidR="0096387E" w:rsidRPr="00314971">
              <w:t xml:space="preserve">apildjautājumi, kuri saskaņā ar  Eiropas Parlamenta un Padomes Regulu </w:t>
            </w:r>
            <w:r w:rsidR="0004660D" w:rsidRPr="00314971">
              <w:t>Nr.</w:t>
            </w:r>
            <w:r w:rsidR="0096387E" w:rsidRPr="00314971">
              <w:t xml:space="preserve">692/2011 ir jāiekļauj veidlapā vienu reizi trijos gados (pirmais </w:t>
            </w:r>
            <w:r w:rsidR="00343D90">
              <w:t>atskaites periods ir 2013.gads).</w:t>
            </w:r>
          </w:p>
          <w:p w:rsidR="00CE2037" w:rsidRPr="00314971" w:rsidRDefault="00CE2037" w:rsidP="00024773">
            <w:pPr>
              <w:numPr>
                <w:ilvl w:val="0"/>
                <w:numId w:val="2"/>
              </w:numPr>
              <w:jc w:val="both"/>
            </w:pPr>
            <w:r w:rsidRPr="00314971">
              <w:t xml:space="preserve">MK noteikumu </w:t>
            </w:r>
            <w:r w:rsidR="0073190D" w:rsidRPr="00314971">
              <w:t xml:space="preserve">projekta </w:t>
            </w:r>
            <w:r w:rsidRPr="00314971">
              <w:t xml:space="preserve">25.pielikums  - </w:t>
            </w:r>
            <w:r w:rsidRPr="00314971">
              <w:rPr>
                <w:sz w:val="22"/>
                <w:szCs w:val="22"/>
              </w:rPr>
              <w:t>Saskaņā ar Eiropas Savienības statistikas biroja EUROSTAT metodoloģiskajiem norādījumiem  ir nepieciešams harmonizēt EU-SILC apsekojuma  veselības jautājumus (86.-88.jautājums) ar Iedzīvotāju veselības apsekojuma jautājumiem, kā arī precizēt to atbilžu variantus.</w:t>
            </w:r>
          </w:p>
          <w:p w:rsidR="00CC057F" w:rsidRDefault="00024773" w:rsidP="00024773">
            <w:pPr>
              <w:numPr>
                <w:ilvl w:val="0"/>
                <w:numId w:val="2"/>
              </w:numPr>
              <w:jc w:val="both"/>
            </w:pPr>
            <w:r w:rsidRPr="00314971">
              <w:t xml:space="preserve">MK noteikumu </w:t>
            </w:r>
            <w:r w:rsidR="0073190D" w:rsidRPr="00314971">
              <w:t xml:space="preserve">projekta </w:t>
            </w:r>
            <w:r w:rsidRPr="00314971">
              <w:t>26.pielikums –</w:t>
            </w:r>
          </w:p>
          <w:p w:rsidR="00CC057F" w:rsidRDefault="00CC057F" w:rsidP="00CC057F">
            <w:pPr>
              <w:ind w:left="720"/>
              <w:jc w:val="both"/>
            </w:pPr>
            <w:r w:rsidRPr="004E60B2">
              <w:t>Precizēts jautājuma C 33 formulējums; D49; D50n jēdziena „pamatdarbs” vietā ieviests „pamatdarba vieta”; E62b papildināti atbilžu varianti ar atbildi „nezina”; E76 - precizēts jautājuma formulējums; G76c 6. Atbilžu variantā „izbeigšana„ vietā ieviests „pārtraukšana”; J90 – precizēts jautājuma formulējums; K 102 –ieviesti Core variables formulējumi; L104 un citur apzīmējums „izglītības joma” papildināts ar vārdu „tematiskā”</w:t>
            </w:r>
            <w:r w:rsidRPr="004E60B2">
              <w:rPr>
                <w:u w:val="single"/>
              </w:rPr>
              <w:t>;</w:t>
            </w:r>
            <w:r w:rsidRPr="004E60B2">
              <w:t xml:space="preserve"> L109 - precizēts jautājuma formulējums; L110, L111n;L113; L114 - precizēti jautājumu un atbilžu formulējumi. Izņemti ārā 5 jautājumi, kas vairs nebija nepieciešami, un no jauna ieviesti 13 jautājumi, no kuriem daļa ir paredzēta turpmākai interviju darba organizēšanai, daļa ieviesta sakarā ar izmaiņām ES statistikas biroja EUROSTAT metodoloģiskajos norādījumos.</w:t>
            </w:r>
          </w:p>
          <w:p w:rsidR="00024773" w:rsidRPr="00314971" w:rsidRDefault="00024773" w:rsidP="00024773">
            <w:pPr>
              <w:numPr>
                <w:ilvl w:val="0"/>
                <w:numId w:val="2"/>
              </w:numPr>
              <w:jc w:val="both"/>
            </w:pPr>
            <w:r w:rsidRPr="00314971">
              <w:t xml:space="preserve">MK noteikumu </w:t>
            </w:r>
            <w:r w:rsidR="0073190D" w:rsidRPr="00314971">
              <w:t xml:space="preserve">projekta </w:t>
            </w:r>
            <w:r w:rsidRPr="00314971">
              <w:t xml:space="preserve">27.pielikums - </w:t>
            </w:r>
            <w:r w:rsidRPr="00314971">
              <w:rPr>
                <w:rFonts w:eastAsiaTheme="minorHAnsi"/>
                <w:color w:val="000000"/>
                <w:lang w:eastAsia="en-US"/>
              </w:rPr>
              <w:t>A'01 palielināts koda zīmju skaits no 6 uz 7</w:t>
            </w:r>
            <w:r w:rsidRPr="00314971">
              <w:t xml:space="preserve">; </w:t>
            </w:r>
            <w:r w:rsidRPr="00314971">
              <w:rPr>
                <w:rFonts w:eastAsiaTheme="minorHAnsi"/>
                <w:color w:val="000000"/>
                <w:lang w:eastAsia="en-US"/>
              </w:rPr>
              <w:t>A'02 Palielināts koda zīmju skaits no 5 uz 11</w:t>
            </w:r>
            <w:r w:rsidRPr="00314971">
              <w:t xml:space="preserve">; </w:t>
            </w:r>
            <w:r w:rsidRPr="00314971">
              <w:rPr>
                <w:rFonts w:eastAsiaTheme="minorHAnsi"/>
                <w:color w:val="000000"/>
                <w:lang w:eastAsia="en-US"/>
              </w:rPr>
              <w:t>A'1</w:t>
            </w:r>
            <w:r w:rsidR="00343D90">
              <w:rPr>
                <w:rFonts w:eastAsiaTheme="minorHAnsi"/>
                <w:color w:val="000000"/>
                <w:lang w:eastAsia="en-US"/>
              </w:rPr>
              <w:t xml:space="preserve"> </w:t>
            </w:r>
            <w:r w:rsidRPr="00314971">
              <w:rPr>
                <w:rFonts w:eastAsiaTheme="minorHAnsi"/>
                <w:color w:val="000000"/>
                <w:lang w:eastAsia="en-US"/>
              </w:rPr>
              <w:t xml:space="preserve">izmainīti atbilžu formulējumi; A'1m ieviests no </w:t>
            </w:r>
            <w:r w:rsidRPr="00314971">
              <w:rPr>
                <w:rFonts w:eastAsiaTheme="minorHAnsi"/>
                <w:color w:val="000000"/>
                <w:lang w:eastAsia="en-US"/>
              </w:rPr>
              <w:lastRenderedPageBreak/>
              <w:t>jauna.</w:t>
            </w:r>
          </w:p>
          <w:p w:rsidR="00024773" w:rsidRPr="00314971" w:rsidRDefault="00024773" w:rsidP="00024773">
            <w:pPr>
              <w:numPr>
                <w:ilvl w:val="0"/>
                <w:numId w:val="2"/>
              </w:numPr>
              <w:jc w:val="both"/>
            </w:pPr>
            <w:r w:rsidRPr="00314971">
              <w:t xml:space="preserve">MK noteikumu </w:t>
            </w:r>
            <w:r w:rsidR="0073190D" w:rsidRPr="00314971">
              <w:t xml:space="preserve">projekta </w:t>
            </w:r>
            <w:r w:rsidRPr="00314971">
              <w:t>28.pielikums - A'01 palielināts koda zīmju skaits no 6 uz 7; A'02 Palielināts koda zīmju skaits no 5 uz 11.</w:t>
            </w:r>
          </w:p>
          <w:p w:rsidR="000509FC" w:rsidRPr="00314971" w:rsidRDefault="000509FC" w:rsidP="00024773">
            <w:pPr>
              <w:numPr>
                <w:ilvl w:val="0"/>
                <w:numId w:val="2"/>
              </w:numPr>
              <w:jc w:val="both"/>
            </w:pPr>
            <w:r w:rsidRPr="00314971">
              <w:t>MK noteikumu</w:t>
            </w:r>
            <w:r w:rsidR="0073190D" w:rsidRPr="00314971">
              <w:t xml:space="preserve"> projekta</w:t>
            </w:r>
            <w:r w:rsidRPr="00314971">
              <w:t xml:space="preserve"> 2</w:t>
            </w:r>
            <w:r w:rsidR="00024773" w:rsidRPr="00314971">
              <w:t>9</w:t>
            </w:r>
            <w:r w:rsidRPr="00314971">
              <w:t xml:space="preserve">.pielikums – </w:t>
            </w:r>
            <w:r w:rsidR="002C237E" w:rsidRPr="00314971">
              <w:t xml:space="preserve">Veidlapa vienkāršota - samazināts rādītāju skaits (lauksaimniecības tehnika), izņemta sadaļa „Lauksaimniecības būves”, kā arī </w:t>
            </w:r>
            <w:r w:rsidR="00C86AA9" w:rsidRPr="00314971">
              <w:t xml:space="preserve">izņemta </w:t>
            </w:r>
            <w:r w:rsidR="002C237E" w:rsidRPr="00314971">
              <w:t xml:space="preserve">daļa rādītāju, kurus paredzēts iegūt no administratīvajiem </w:t>
            </w:r>
            <w:r w:rsidR="00C86AA9" w:rsidRPr="00314971">
              <w:t xml:space="preserve">datu </w:t>
            </w:r>
            <w:r w:rsidR="002C237E" w:rsidRPr="00314971">
              <w:t>avotiem – „Bioloģiskā lauksaimniecība”</w:t>
            </w:r>
          </w:p>
          <w:p w:rsidR="000509FC" w:rsidRPr="00314971" w:rsidRDefault="000509FC" w:rsidP="00024773">
            <w:pPr>
              <w:numPr>
                <w:ilvl w:val="0"/>
                <w:numId w:val="2"/>
              </w:numPr>
              <w:jc w:val="both"/>
            </w:pPr>
            <w:r w:rsidRPr="00314971">
              <w:t xml:space="preserve">MK noteikumu </w:t>
            </w:r>
            <w:r w:rsidR="0073190D" w:rsidRPr="00314971">
              <w:t xml:space="preserve">projekta </w:t>
            </w:r>
            <w:r w:rsidR="00024773" w:rsidRPr="00314971">
              <w:t>30</w:t>
            </w:r>
            <w:r w:rsidRPr="00314971">
              <w:t>.pielikums</w:t>
            </w:r>
            <w:r w:rsidR="0004660D" w:rsidRPr="00314971">
              <w:t>:</w:t>
            </w:r>
          </w:p>
          <w:p w:rsidR="00C1314A" w:rsidRDefault="000509FC" w:rsidP="00C1314A">
            <w:pPr>
              <w:pStyle w:val="ListParagraph"/>
              <w:numPr>
                <w:ilvl w:val="0"/>
                <w:numId w:val="18"/>
              </w:numPr>
              <w:jc w:val="both"/>
            </w:pPr>
            <w:r w:rsidRPr="00314971">
              <w:t>Tiek precizēts 1120 rādītāja nosaukums;</w:t>
            </w:r>
          </w:p>
          <w:p w:rsidR="00C1314A" w:rsidRDefault="000509FC" w:rsidP="00C1314A">
            <w:pPr>
              <w:pStyle w:val="ListParagraph"/>
              <w:numPr>
                <w:ilvl w:val="0"/>
                <w:numId w:val="18"/>
              </w:numPr>
              <w:jc w:val="both"/>
            </w:pPr>
            <w:r w:rsidRPr="00314971">
              <w:t xml:space="preserve">Rādītājs 1220 tiek papildināts ar peļņas zaudējumu posteni „ārkārtas ieņēmumi”, jo </w:t>
            </w:r>
            <w:r w:rsidR="00053BEE" w:rsidRPr="00314971">
              <w:t>saskaņā ar Eiropas Parlamenta un Padomes</w:t>
            </w:r>
            <w:r w:rsidRPr="00314971">
              <w:t xml:space="preserve"> </w:t>
            </w:r>
            <w:r w:rsidR="0004660D" w:rsidRPr="00314971">
              <w:t>regulas Nr.</w:t>
            </w:r>
            <w:r w:rsidRPr="00314971">
              <w:t>295/2008 definīcij</w:t>
            </w:r>
            <w:r w:rsidR="00053BEE" w:rsidRPr="00314971">
              <w:t>u</w:t>
            </w:r>
            <w:r w:rsidRPr="00314971">
              <w:t xml:space="preserve"> par pievienoto vērtību aprēķinā jāiekļauj gan pārējie saimnieciskās darbības ieņēmumi, gan ārkārtas ieņēmumi (iepriekš bija tikai pārējie ieņēmumi);</w:t>
            </w:r>
          </w:p>
          <w:p w:rsidR="00C1314A" w:rsidRDefault="000509FC" w:rsidP="00C1314A">
            <w:pPr>
              <w:pStyle w:val="ListParagraph"/>
              <w:numPr>
                <w:ilvl w:val="0"/>
                <w:numId w:val="18"/>
              </w:numPr>
              <w:jc w:val="both"/>
            </w:pPr>
            <w:r w:rsidRPr="00314971">
              <w:t>Tiek pievienots jauns rādītājs A sadaļā 1222.r.</w:t>
            </w:r>
            <w:r w:rsidR="00B04CC1" w:rsidRPr="00314971">
              <w:t xml:space="preserve">, </w:t>
            </w:r>
            <w:r w:rsidRPr="00314971">
              <w:t xml:space="preserve">jo nacionālajos kontos starppatēriņa aprēķinos ir nepieciešams iekļaut tikai neto apdrošināšanas prēmijas. Šis rādītājs nepieciešams 1996. gada 25. jūnija Regula (EK) Nr.2223/96 par Eiropas nacionālo un reģionālo kontu sistēmu Kopienā izpildei. Lai nodrošinātu korektu starppatēriņa aprēķinu, naudā izmaksātās apdrošināšanas atlīdzības ir jāatņem no bruto apdrošināšanas prēmijām, kas ir iekļautas starppatēriņā. Nedzīvības apdrošināšanas atlīdzību var saņemt gan naudā, gan saremontējot vai aizstājot bojāto lietu ar līdzvērtīgu. Šie divi iespējamie varianti nacionālajos kontos tiek atspoguļoti atšķirīgi: 1) par naudā saņemtās apdrošināšanas atlīdzības summu ir jāsamazina starppatēriņš (lai iegūtu neto apdrošināšanas prēmijas); 2) apdrošināšanas atlīdzības, kas nav izmaksātas naudā, neietekmē starppatēriņa aprēķinus. Ņemot vērā, ka </w:t>
            </w:r>
            <w:r w:rsidR="00B04CC1" w:rsidRPr="00314971">
              <w:t xml:space="preserve">CSP </w:t>
            </w:r>
            <w:r w:rsidRPr="00314971">
              <w:t>Gada nacionālo kontu daļai nav pieejami dati par apdrošināšanas atlīdzību sadalījumu naudā izmaksātajos un sniegtajos pakalpojumos, tad</w:t>
            </w:r>
            <w:r w:rsidR="00B04CC1" w:rsidRPr="00314971">
              <w:t xml:space="preserve"> CSP</w:t>
            </w:r>
            <w:r w:rsidRPr="00314971">
              <w:t xml:space="preserve"> Gada nacionālo kontu daļa ir izteikusi </w:t>
            </w:r>
            <w:r w:rsidRPr="00314971">
              <w:lastRenderedPageBreak/>
              <w:t>lūgumu iekļaut jautājumu par naudā saņemtajām nedzīvības apdrošināšanas atlīdz</w:t>
            </w:r>
            <w:r w:rsidR="00B04CC1" w:rsidRPr="00314971">
              <w:t>ībām pārskatos 1-gada un 5-gada;</w:t>
            </w:r>
          </w:p>
          <w:p w:rsidR="000509FC" w:rsidRPr="00314971" w:rsidRDefault="000509FC" w:rsidP="00C1314A">
            <w:pPr>
              <w:pStyle w:val="ListParagraph"/>
              <w:numPr>
                <w:ilvl w:val="0"/>
                <w:numId w:val="18"/>
              </w:numPr>
              <w:jc w:val="both"/>
            </w:pPr>
            <w:r w:rsidRPr="00314971">
              <w:t>Tiek pievienots jauns rādītājs sadaļā A 1223.r. Tas ir nepieciešams, lai precizētu pievienotās vērtības aprēķinu. Tā kā pamatlīdzekļu pārdošana nav saistīta ar uzņēmuma saimniecisko darbību, bet tā atstāj lielu ietekmi uz nozaru pievienoto vērtību, tad nolemts šīs summas izslēgt no attiecīgās nozares pievienotās vērtības.</w:t>
            </w:r>
            <w:r w:rsidRPr="00C1314A">
              <w:rPr>
                <w:color w:val="FF0000"/>
              </w:rPr>
              <w:t xml:space="preserve"> </w:t>
            </w:r>
            <w:r w:rsidRPr="00314971">
              <w:t>Pamatlīdzekļu pārdošanas rādītājus nevar ņemt no 1.5 ieguldījumu veidlapas, jo ne vienmēr tur tiek  iekļauta bruto vērtība, bet mēdz iekļaut arī neto vērtību.</w:t>
            </w:r>
          </w:p>
          <w:p w:rsidR="003E3492" w:rsidRPr="00314971" w:rsidRDefault="002656C3" w:rsidP="00024773">
            <w:pPr>
              <w:pStyle w:val="ListParagraph"/>
              <w:numPr>
                <w:ilvl w:val="0"/>
                <w:numId w:val="2"/>
              </w:numPr>
              <w:jc w:val="both"/>
            </w:pPr>
            <w:r w:rsidRPr="00314971">
              <w:t>MK noteikumu</w:t>
            </w:r>
            <w:r w:rsidR="0073190D" w:rsidRPr="00314971">
              <w:t xml:space="preserve"> projekta</w:t>
            </w:r>
            <w:r w:rsidRPr="00314971">
              <w:t xml:space="preserve"> </w:t>
            </w:r>
            <w:r w:rsidR="00024773" w:rsidRPr="00314971">
              <w:t>31</w:t>
            </w:r>
            <w:r w:rsidRPr="00314971">
              <w:t>.pielikums – samazināts viens rādītājs.</w:t>
            </w:r>
          </w:p>
          <w:p w:rsidR="003E3492" w:rsidRPr="00314971" w:rsidRDefault="001D3328" w:rsidP="00024773">
            <w:pPr>
              <w:numPr>
                <w:ilvl w:val="0"/>
                <w:numId w:val="2"/>
              </w:numPr>
              <w:jc w:val="both"/>
            </w:pPr>
            <w:r w:rsidRPr="00314971">
              <w:t xml:space="preserve">MK noteikumu </w:t>
            </w:r>
            <w:r w:rsidR="0073190D" w:rsidRPr="00314971">
              <w:t xml:space="preserve">projekta </w:t>
            </w:r>
            <w:r w:rsidR="00024773" w:rsidRPr="00314971">
              <w:t>32</w:t>
            </w:r>
            <w:r w:rsidRPr="00314971">
              <w:t>.pielikums - veidlapa ir veidlapas 5-tirdzniecība īsā versija, kas paredzēta nelieliem uzņēmumiem.</w:t>
            </w:r>
          </w:p>
          <w:p w:rsidR="00737818" w:rsidRPr="00314971" w:rsidRDefault="00737818" w:rsidP="00024773">
            <w:pPr>
              <w:numPr>
                <w:ilvl w:val="0"/>
                <w:numId w:val="2"/>
              </w:numPr>
              <w:jc w:val="both"/>
            </w:pPr>
            <w:r w:rsidRPr="00314971">
              <w:t xml:space="preserve">MK noteikumu </w:t>
            </w:r>
            <w:r w:rsidR="0073190D" w:rsidRPr="00314971">
              <w:t xml:space="preserve">projekta </w:t>
            </w:r>
            <w:r w:rsidR="00024773" w:rsidRPr="00314971">
              <w:t>33</w:t>
            </w:r>
            <w:r w:rsidRPr="00314971">
              <w:t>.pielikums – veidlapas paredzēta divu lielu piena apstrādes uzņēmumu apsekojumam, jo tie 2012.gadā izstājās no Latvijas Piensaimnieku Centrālās Savienība</w:t>
            </w:r>
            <w:r w:rsidR="00D96DF7" w:rsidRPr="00314971">
              <w:t>s</w:t>
            </w:r>
            <w:r w:rsidRPr="00314971">
              <w:t>, no kuras parasti CSP iegūst datus.</w:t>
            </w:r>
          </w:p>
          <w:p w:rsidR="006961DE" w:rsidRPr="00314971" w:rsidRDefault="006961DE" w:rsidP="00024773">
            <w:pPr>
              <w:numPr>
                <w:ilvl w:val="0"/>
                <w:numId w:val="2"/>
              </w:numPr>
              <w:jc w:val="both"/>
            </w:pPr>
            <w:r w:rsidRPr="00314971">
              <w:t xml:space="preserve">MK noteikumu </w:t>
            </w:r>
            <w:r w:rsidR="0073190D" w:rsidRPr="00314971">
              <w:t xml:space="preserve">projekta </w:t>
            </w:r>
            <w:r w:rsidRPr="00314971">
              <w:t>3</w:t>
            </w:r>
            <w:r w:rsidR="00024773" w:rsidRPr="00314971">
              <w:t>4</w:t>
            </w:r>
            <w:r w:rsidRPr="00314971">
              <w:t xml:space="preserve">.pielikums – veidlapa izstrādā saskaņā ar </w:t>
            </w:r>
            <w:r w:rsidRPr="00314971">
              <w:rPr>
                <w:color w:val="000000"/>
              </w:rPr>
              <w:t>Eiropas Parlam</w:t>
            </w:r>
            <w:r w:rsidR="0004660D" w:rsidRPr="00314971">
              <w:rPr>
                <w:color w:val="000000"/>
              </w:rPr>
              <w:t>enta un Padomes Regula (ES) Nr.</w:t>
            </w:r>
            <w:r w:rsidRPr="00314971">
              <w:rPr>
                <w:color w:val="000000"/>
              </w:rPr>
              <w:t>1337/2011 ( 2011. gada 13. decembris ) attiecībā uz Eiropas statistiku par ilggadīgām kultūrām un ar ko</w:t>
            </w:r>
            <w:r w:rsidR="0004660D" w:rsidRPr="00314971">
              <w:rPr>
                <w:color w:val="000000"/>
              </w:rPr>
              <w:t xml:space="preserve"> atceļ Padomes Regulu (EEK) Nr.</w:t>
            </w:r>
            <w:r w:rsidRPr="00314971">
              <w:rPr>
                <w:color w:val="000000"/>
              </w:rPr>
              <w:t xml:space="preserve">357/79 un Eiropas Parlamenta un Padomes Direktīvu </w:t>
            </w:r>
            <w:r w:rsidR="0004660D" w:rsidRPr="00314971">
              <w:rPr>
                <w:color w:val="000000"/>
              </w:rPr>
              <w:t>Nr.</w:t>
            </w:r>
            <w:r w:rsidRPr="00314971">
              <w:rPr>
                <w:color w:val="000000"/>
              </w:rPr>
              <w:t>2001/109/EK.</w:t>
            </w:r>
          </w:p>
          <w:p w:rsidR="00737818" w:rsidRPr="00314971" w:rsidRDefault="00737818" w:rsidP="00024773">
            <w:pPr>
              <w:numPr>
                <w:ilvl w:val="0"/>
                <w:numId w:val="2"/>
              </w:numPr>
              <w:jc w:val="both"/>
            </w:pPr>
            <w:r w:rsidRPr="00314971">
              <w:t xml:space="preserve">MK noteikumu </w:t>
            </w:r>
            <w:r w:rsidR="0073190D" w:rsidRPr="00314971">
              <w:t xml:space="preserve">projekta </w:t>
            </w:r>
            <w:r w:rsidRPr="00314971">
              <w:t>3</w:t>
            </w:r>
            <w:r w:rsidR="00024773" w:rsidRPr="00314971">
              <w:t>5</w:t>
            </w:r>
            <w:r w:rsidRPr="00314971">
              <w:t xml:space="preserve">.pielikums – veidlapa izstrādāta saskaņā ar </w:t>
            </w:r>
            <w:r w:rsidRPr="00314971">
              <w:rPr>
                <w:rFonts w:cs="EUAlbertina"/>
                <w:bCs/>
                <w:color w:val="000000"/>
                <w:sz w:val="22"/>
                <w:szCs w:val="22"/>
              </w:rPr>
              <w:t>KOMISIJAS REGUL</w:t>
            </w:r>
            <w:r w:rsidR="001A5A10" w:rsidRPr="00314971">
              <w:rPr>
                <w:rFonts w:cs="EUAlbertina"/>
                <w:bCs/>
                <w:color w:val="000000"/>
                <w:sz w:val="22"/>
                <w:szCs w:val="22"/>
              </w:rPr>
              <w:t>U</w:t>
            </w:r>
            <w:r w:rsidR="0004660D" w:rsidRPr="00314971">
              <w:rPr>
                <w:rFonts w:cs="EUAlbertina"/>
                <w:bCs/>
                <w:color w:val="000000"/>
                <w:sz w:val="22"/>
                <w:szCs w:val="22"/>
              </w:rPr>
              <w:t xml:space="preserve"> (ES) Nr.</w:t>
            </w:r>
            <w:r w:rsidRPr="00314971">
              <w:rPr>
                <w:rFonts w:cs="EUAlbertina"/>
                <w:bCs/>
                <w:color w:val="000000"/>
                <w:sz w:val="22"/>
                <w:szCs w:val="22"/>
              </w:rPr>
              <w:t>62/2012  (2012. gada 24. janvāris),  ar ko attiecībā uz 2013. gada sekundāro mērķa mainīgo lielumu sarakstu par labsajūtu īsteno Eiropas Parlamenta un Padomes Regulu (EK) Nr. 1177/2003 par Kopienas statistiku attiecībā uz ienākumiem un dzīves apstākļiem (</w:t>
            </w:r>
            <w:r w:rsidRPr="00314971">
              <w:rPr>
                <w:rFonts w:cs="EUAlbertina"/>
                <w:bCs/>
                <w:i/>
                <w:iCs/>
                <w:color w:val="000000"/>
                <w:sz w:val="22"/>
                <w:szCs w:val="22"/>
              </w:rPr>
              <w:t>EU-SILC</w:t>
            </w:r>
            <w:r w:rsidRPr="00314971">
              <w:rPr>
                <w:rFonts w:cs="EUAlbertina"/>
                <w:bCs/>
                <w:color w:val="000000"/>
                <w:sz w:val="22"/>
                <w:szCs w:val="22"/>
              </w:rPr>
              <w:t>).</w:t>
            </w:r>
          </w:p>
          <w:p w:rsidR="0065284E" w:rsidRPr="00314971" w:rsidRDefault="0065284E" w:rsidP="006961DE">
            <w:pPr>
              <w:ind w:left="720"/>
              <w:jc w:val="both"/>
            </w:pPr>
          </w:p>
          <w:p w:rsidR="003E3492" w:rsidRPr="00314971" w:rsidRDefault="003E3492" w:rsidP="006961DE">
            <w:pPr>
              <w:ind w:left="720"/>
              <w:jc w:val="both"/>
            </w:pPr>
            <w:r w:rsidRPr="00314971">
              <w:rPr>
                <w:rFonts w:eastAsia="Calibri"/>
              </w:rPr>
              <w:t>Šīs anotācijas I sadaļas 2.punktā minētās problēmas jaunais noteikumu projekts atrisinās pilnībā.</w:t>
            </w:r>
          </w:p>
        </w:tc>
      </w:tr>
      <w:tr w:rsidR="003E3492" w:rsidRPr="00314971" w:rsidTr="0096387E">
        <w:trPr>
          <w:trHeight w:val="476"/>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lastRenderedPageBreak/>
              <w:t> 5.</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Projekta izstrādē iesaistītās institūcijas</w:t>
            </w:r>
          </w:p>
        </w:tc>
        <w:tc>
          <w:tcPr>
            <w:tcW w:w="53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jc w:val="both"/>
            </w:pPr>
            <w:r w:rsidRPr="00314971">
              <w:t>CSP konsultējās ar šādām institūcijām:</w:t>
            </w:r>
          </w:p>
          <w:p w:rsidR="003E3492" w:rsidRPr="00314971" w:rsidRDefault="003E3492" w:rsidP="003E3492">
            <w:pPr>
              <w:numPr>
                <w:ilvl w:val="0"/>
                <w:numId w:val="6"/>
              </w:numPr>
              <w:spacing w:before="75" w:after="75"/>
              <w:jc w:val="both"/>
            </w:pPr>
            <w:r w:rsidRPr="00314971">
              <w:t>Vides, ģeoloģijas un meteoroloģijas centrs- par MK noteikumu projekta 13.pielikumu.</w:t>
            </w:r>
          </w:p>
          <w:p w:rsidR="003E3492" w:rsidRPr="00314971" w:rsidRDefault="003E3492" w:rsidP="003E3492">
            <w:pPr>
              <w:numPr>
                <w:ilvl w:val="0"/>
                <w:numId w:val="6"/>
              </w:numPr>
              <w:spacing w:before="75" w:after="75"/>
              <w:jc w:val="both"/>
            </w:pPr>
            <w:r w:rsidRPr="00314971">
              <w:t>Zemkopības ministrija – par MK noteikumu projekta 2.</w:t>
            </w:r>
            <w:r w:rsidR="008E6C6A" w:rsidRPr="00314971">
              <w:t>, 2</w:t>
            </w:r>
            <w:r w:rsidR="00DE168A">
              <w:t>9</w:t>
            </w:r>
            <w:r w:rsidR="008E6C6A" w:rsidRPr="00314971">
              <w:t>.</w:t>
            </w:r>
            <w:r w:rsidR="00DE168A">
              <w:t>, 34.</w:t>
            </w:r>
            <w:r w:rsidRPr="00314971">
              <w:t>pielikumu</w:t>
            </w:r>
          </w:p>
          <w:p w:rsidR="003E3492" w:rsidRPr="00314971" w:rsidRDefault="003E3492" w:rsidP="0065284E">
            <w:pPr>
              <w:spacing w:before="75" w:after="75"/>
              <w:rPr>
                <w:i/>
              </w:rPr>
            </w:pPr>
          </w:p>
        </w:tc>
      </w:tr>
      <w:tr w:rsidR="003E3492" w:rsidRPr="00314971" w:rsidTr="0096387E">
        <w:trPr>
          <w:trHeight w:val="773"/>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lastRenderedPageBreak/>
              <w:t> 6.</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Iemesli, kādēļ netika nodrošināta sabiedrības līdzdalība</w:t>
            </w:r>
          </w:p>
        </w:tc>
        <w:tc>
          <w:tcPr>
            <w:tcW w:w="5374" w:type="dxa"/>
            <w:tcBorders>
              <w:top w:val="outset" w:sz="6" w:space="0" w:color="auto"/>
              <w:left w:val="outset" w:sz="6" w:space="0" w:color="auto"/>
              <w:bottom w:val="outset" w:sz="6" w:space="0" w:color="auto"/>
              <w:right w:val="outset" w:sz="6" w:space="0" w:color="auto"/>
            </w:tcBorders>
          </w:tcPr>
          <w:p w:rsidR="006651BE" w:rsidRPr="00314971" w:rsidRDefault="006651BE" w:rsidP="0065284E">
            <w:pPr>
              <w:spacing w:before="75" w:after="75"/>
              <w:jc w:val="both"/>
            </w:pPr>
            <w:r w:rsidRPr="00314971">
              <w:t>CSP konsultējās ar:</w:t>
            </w:r>
          </w:p>
          <w:p w:rsidR="003E3492" w:rsidRPr="00314971" w:rsidRDefault="006651BE" w:rsidP="008E6C6A">
            <w:pPr>
              <w:pStyle w:val="ListParagraph"/>
              <w:numPr>
                <w:ilvl w:val="0"/>
                <w:numId w:val="13"/>
              </w:numPr>
              <w:spacing w:before="75" w:after="75"/>
              <w:jc w:val="both"/>
            </w:pPr>
            <w:r w:rsidRPr="00314971">
              <w:rPr>
                <w:vanish/>
              </w:rPr>
              <w:t>:</w:t>
            </w:r>
            <w:r w:rsidRPr="00314971">
              <w:rPr>
                <w:vanish/>
              </w:rPr>
              <w:cr/>
              <w:t>P konsultējās ar mniecs - samazin</w:t>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003E3492" w:rsidRPr="00314971">
              <w:t>A/S Latvijas Gāzi par MK noteikumu projekta 5 un 11.pielikumu.</w:t>
            </w:r>
          </w:p>
          <w:p w:rsidR="001A5A10" w:rsidRPr="00314971" w:rsidRDefault="001A5A10" w:rsidP="008E6C6A">
            <w:pPr>
              <w:pStyle w:val="ListParagraph"/>
              <w:numPr>
                <w:ilvl w:val="0"/>
                <w:numId w:val="13"/>
              </w:numPr>
              <w:spacing w:before="75" w:after="75"/>
              <w:jc w:val="both"/>
            </w:pPr>
            <w:r w:rsidRPr="00314971">
              <w:t>Latvijas Informācijas un Komunikācijas tehnoloģiju asociāciju par MK noteikumu projekta 14.pielikumu.</w:t>
            </w:r>
          </w:p>
          <w:p w:rsidR="008E6C6A" w:rsidRPr="00314971" w:rsidRDefault="008E6C6A" w:rsidP="008E6C6A">
            <w:pPr>
              <w:pStyle w:val="ListParagraph"/>
              <w:numPr>
                <w:ilvl w:val="0"/>
                <w:numId w:val="13"/>
              </w:numPr>
              <w:spacing w:before="75" w:after="75"/>
              <w:jc w:val="both"/>
            </w:pPr>
            <w:r w:rsidRPr="00314971">
              <w:t xml:space="preserve">Zinātnes un izglītības centra „Ulbroka” ekspertiem par </w:t>
            </w:r>
            <w:r w:rsidR="00DE168A">
              <w:t xml:space="preserve">MK noteikumu projekta </w:t>
            </w:r>
            <w:r w:rsidRPr="00314971">
              <w:t>2</w:t>
            </w:r>
            <w:r w:rsidR="00DE168A">
              <w:t>9</w:t>
            </w:r>
            <w:r w:rsidRPr="00314971">
              <w:t>.pielikumu.</w:t>
            </w:r>
          </w:p>
          <w:p w:rsidR="00737818" w:rsidRPr="00314971" w:rsidRDefault="001A7949" w:rsidP="008E6C6A">
            <w:pPr>
              <w:pStyle w:val="ListParagraph"/>
              <w:numPr>
                <w:ilvl w:val="0"/>
                <w:numId w:val="13"/>
              </w:numPr>
              <w:spacing w:before="75" w:after="75"/>
              <w:jc w:val="both"/>
            </w:pPr>
            <w:r w:rsidRPr="00314971">
              <w:t>A/S Tukuma piens</w:t>
            </w:r>
            <w:r w:rsidR="00737818" w:rsidRPr="00314971">
              <w:t xml:space="preserve"> par </w:t>
            </w:r>
            <w:r w:rsidR="00DE168A">
              <w:t xml:space="preserve">MK noteikumu projekta </w:t>
            </w:r>
            <w:r w:rsidR="00737818" w:rsidRPr="00314971">
              <w:t>3</w:t>
            </w:r>
            <w:r w:rsidR="00DE168A">
              <w:t>3</w:t>
            </w:r>
            <w:r w:rsidR="00737818" w:rsidRPr="00314971">
              <w:t>.pielikumu</w:t>
            </w:r>
            <w:r w:rsidRPr="00314971">
              <w:t>.</w:t>
            </w:r>
          </w:p>
          <w:p w:rsidR="003E3492" w:rsidRPr="00314971" w:rsidRDefault="003E3492" w:rsidP="0065284E">
            <w:pPr>
              <w:spacing w:before="75" w:after="75"/>
              <w:jc w:val="both"/>
            </w:pPr>
          </w:p>
          <w:p w:rsidR="003E3492" w:rsidRPr="00314971" w:rsidRDefault="003E3492" w:rsidP="0065284E">
            <w:pPr>
              <w:spacing w:before="75" w:after="75"/>
              <w:jc w:val="both"/>
            </w:pPr>
            <w:r w:rsidRPr="00314971">
              <w:t>Pārējos gadījumos sabiedrības līdzdalība netika nodrošināta šādu iemeslu dēļ:</w:t>
            </w:r>
          </w:p>
          <w:p w:rsidR="003E3492" w:rsidRPr="00314971" w:rsidRDefault="003E3492" w:rsidP="003E3492">
            <w:pPr>
              <w:numPr>
                <w:ilvl w:val="0"/>
                <w:numId w:val="3"/>
              </w:numPr>
              <w:spacing w:before="75" w:after="75"/>
              <w:jc w:val="both"/>
            </w:pPr>
            <w:r w:rsidRPr="00314971">
              <w:t>veiktās izmaiņas nemaina veidlapu saturu (neuzliek respondentiem papildu pienākumus), bet ir saistītas ar izmaiņām likumdošanā, kā arī ir veikti tehniski uzlabojumi veidlapu saturā;</w:t>
            </w:r>
          </w:p>
          <w:p w:rsidR="003E3492" w:rsidRPr="00314971" w:rsidRDefault="003E3492" w:rsidP="003E3492">
            <w:pPr>
              <w:numPr>
                <w:ilvl w:val="0"/>
                <w:numId w:val="3"/>
              </w:numPr>
              <w:spacing w:before="75" w:after="75"/>
              <w:jc w:val="both"/>
            </w:pPr>
            <w:r w:rsidRPr="00314971">
              <w:t xml:space="preserve">veidlapām, kuru respondentu loks ir no vairākiem simtiem līdz vairākiem tūkstošiem, sabiedrības līdzdalību nav iespējams nodrošināt, lai nepatērētu nesamērīgi daudz finanšu un cilvēku resursus. </w:t>
            </w:r>
          </w:p>
          <w:p w:rsidR="003E3492" w:rsidRPr="00314971" w:rsidRDefault="003E3492" w:rsidP="0065284E">
            <w:pPr>
              <w:spacing w:before="75" w:after="75"/>
              <w:ind w:left="360"/>
              <w:jc w:val="both"/>
            </w:pPr>
          </w:p>
        </w:tc>
      </w:tr>
      <w:tr w:rsidR="003E3492" w:rsidRPr="00314971" w:rsidTr="0096387E">
        <w:trPr>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7.</w:t>
            </w:r>
          </w:p>
        </w:tc>
        <w:tc>
          <w:tcPr>
            <w:tcW w:w="343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pPr>
            <w:r w:rsidRPr="00314971">
              <w:t> Cita informācija</w:t>
            </w:r>
          </w:p>
        </w:tc>
        <w:tc>
          <w:tcPr>
            <w:tcW w:w="53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75"/>
              <w:ind w:left="360"/>
            </w:pPr>
            <w:r w:rsidRPr="00314971">
              <w:t>Nav</w:t>
            </w:r>
          </w:p>
        </w:tc>
      </w:tr>
    </w:tbl>
    <w:p w:rsidR="003E3492" w:rsidRPr="00314971" w:rsidRDefault="003E3492" w:rsidP="003E3492"/>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1"/>
        <w:gridCol w:w="3274"/>
        <w:gridCol w:w="5400"/>
      </w:tblGrid>
      <w:tr w:rsidR="003E3492" w:rsidRPr="00314971" w:rsidTr="0065284E">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3E3492" w:rsidRPr="00314971" w:rsidRDefault="003E3492" w:rsidP="0065284E">
            <w:pPr>
              <w:pStyle w:val="naisnod"/>
            </w:pPr>
            <w:r w:rsidRPr="00314971">
              <w:t> II. Tiesību akta projekta ietekme uz sabiedrību</w:t>
            </w:r>
          </w:p>
        </w:tc>
      </w:tr>
      <w:tr w:rsidR="003E3492" w:rsidRPr="00314971" w:rsidTr="0065284E">
        <w:trPr>
          <w:trHeight w:val="46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1.</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Sabiedrības mērķa grupa</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10"/>
              <w:jc w:val="both"/>
            </w:pPr>
            <w:r w:rsidRPr="00314971">
              <w:t>MK noteikumu projekta:</w:t>
            </w:r>
          </w:p>
          <w:p w:rsidR="003E3492" w:rsidRPr="00314971" w:rsidRDefault="003E3492" w:rsidP="00A51C28">
            <w:pPr>
              <w:numPr>
                <w:ilvl w:val="0"/>
                <w:numId w:val="8"/>
              </w:numPr>
              <w:jc w:val="both"/>
            </w:pPr>
            <w:r w:rsidRPr="00314971">
              <w:t>1.pielikums – Aptuveni 5500 ekonomiski aktīvu komercuzņēmumu, budžeta iestāžu, zemnieku un zvejnieku saimniecību;</w:t>
            </w:r>
          </w:p>
          <w:p w:rsidR="003E3492" w:rsidRPr="00314971" w:rsidRDefault="003E3492" w:rsidP="00A51C28">
            <w:pPr>
              <w:numPr>
                <w:ilvl w:val="0"/>
                <w:numId w:val="8"/>
              </w:numPr>
              <w:jc w:val="both"/>
            </w:pPr>
            <w:r w:rsidRPr="00314971">
              <w:t>2.pielikums – 4 linu un kaņepju pārstrādes uzņēmumi;</w:t>
            </w:r>
          </w:p>
          <w:p w:rsidR="003E3492" w:rsidRPr="00314971" w:rsidRDefault="003E3492" w:rsidP="00A51C28">
            <w:pPr>
              <w:numPr>
                <w:ilvl w:val="0"/>
                <w:numId w:val="8"/>
              </w:numPr>
              <w:jc w:val="both"/>
            </w:pPr>
            <w:r w:rsidRPr="00314971">
              <w:t xml:space="preserve">3.pielikums – 79 </w:t>
            </w:r>
            <w:r w:rsidRPr="00314971">
              <w:rPr>
                <w:color w:val="000000"/>
              </w:rPr>
              <w:t>profesionālās izglītības iestādes un koledžas, kuras īsteno vidējās profesionālās izglītības programmas;</w:t>
            </w:r>
          </w:p>
          <w:p w:rsidR="003E3492" w:rsidRPr="00314971" w:rsidRDefault="003E3492" w:rsidP="00A51C28">
            <w:pPr>
              <w:numPr>
                <w:ilvl w:val="0"/>
                <w:numId w:val="8"/>
              </w:numPr>
              <w:jc w:val="both"/>
            </w:pPr>
            <w:r w:rsidRPr="00314971">
              <w:rPr>
                <w:color w:val="000000"/>
              </w:rPr>
              <w:t xml:space="preserve">4.pielikums – 4 </w:t>
            </w:r>
            <w:r w:rsidRPr="00314971">
              <w:t>uzņēmumi, kas nodarbojas ar elektroenerģijas sadali, pārvadi un piegādi galalietotājiem;</w:t>
            </w:r>
          </w:p>
          <w:p w:rsidR="003E3492" w:rsidRPr="00314971" w:rsidRDefault="003E3492" w:rsidP="00A51C28">
            <w:pPr>
              <w:numPr>
                <w:ilvl w:val="0"/>
                <w:numId w:val="8"/>
              </w:numPr>
              <w:jc w:val="both"/>
            </w:pPr>
            <w:r w:rsidRPr="00314971">
              <w:t>5.pielikums -  A/S „ Latvijas Gāze”;</w:t>
            </w:r>
          </w:p>
          <w:p w:rsidR="003E3492" w:rsidRPr="00314971" w:rsidRDefault="003E3492" w:rsidP="00A51C28">
            <w:pPr>
              <w:numPr>
                <w:ilvl w:val="0"/>
                <w:numId w:val="8"/>
              </w:numPr>
              <w:jc w:val="both"/>
            </w:pPr>
            <w:r w:rsidRPr="00314971">
              <w:t xml:space="preserve">6.pielikums – 8000 visas ekonomiski aktīvās statistiskās vienības neatkarīgi no nozares un sektora ar vismaz vienu darbinieku - valsts un pašvaldību budžeta iestādes, valsts, pašvaldību </w:t>
            </w:r>
            <w:r w:rsidRPr="00314971">
              <w:lastRenderedPageBreak/>
              <w:t>un privātās komercsabiedrības, individuālie komersanti, zemnieku un zvejnieku saimniecības, nodibinājumi, biedrības un fondi;</w:t>
            </w:r>
          </w:p>
          <w:p w:rsidR="003E3492" w:rsidRPr="00314971" w:rsidRDefault="003E3492" w:rsidP="00A51C28">
            <w:pPr>
              <w:numPr>
                <w:ilvl w:val="0"/>
                <w:numId w:val="8"/>
              </w:numPr>
              <w:jc w:val="both"/>
            </w:pPr>
            <w:r w:rsidRPr="00314971">
              <w:t>7.pielikums - 250 respondentu. Komersanti, kuriem ir regulā noteiktās nozares un darbinieku skaits ir 15 un vairāk (jauniem uzņēmumiem) vai 10 un vairāk (uzņēmumiem, kas jau ir piedalījušies apsekojumā);</w:t>
            </w:r>
          </w:p>
          <w:p w:rsidR="003E3492" w:rsidRPr="00314971" w:rsidRDefault="003E3492" w:rsidP="00A51C28">
            <w:pPr>
              <w:numPr>
                <w:ilvl w:val="0"/>
                <w:numId w:val="8"/>
              </w:numPr>
              <w:jc w:val="both"/>
            </w:pPr>
            <w:r w:rsidRPr="00314971">
              <w:t>8.pielikums - 200 respondentu – individuālie komersanti un nodibinājumi, biedrības un fondi ar darbinieku skaitu no 7 līdz 49;</w:t>
            </w:r>
          </w:p>
          <w:p w:rsidR="003E3492" w:rsidRPr="00314971" w:rsidRDefault="003E3492" w:rsidP="00A51C28">
            <w:pPr>
              <w:numPr>
                <w:ilvl w:val="0"/>
                <w:numId w:val="8"/>
              </w:numPr>
              <w:jc w:val="both"/>
            </w:pPr>
            <w:r w:rsidRPr="00314971">
              <w:t>9.pielikums – aptuveni 6000 respondentu. Respondenti - uzņēmumi un valsts iestādes. Informācija tiek apkopota pēc Saimniecisko darbību statistiskās klasifikācijas 2.redakcijas (NACE 2.red.) sadaļu un nodaļu līmenī;</w:t>
            </w:r>
          </w:p>
          <w:p w:rsidR="003E3492" w:rsidRPr="00314971" w:rsidRDefault="003E3492" w:rsidP="00A51C28">
            <w:pPr>
              <w:numPr>
                <w:ilvl w:val="0"/>
                <w:numId w:val="8"/>
              </w:numPr>
              <w:jc w:val="both"/>
            </w:pPr>
            <w:r w:rsidRPr="00314971">
              <w:t>10.pielikums – aptuveni 200 respondentu - uzņēmumi, kuru galvenais ekonomiskās darbības veids pēc Saimniecisko darbību statistiskās klasifikācijas NACE 2.red ir 41.10 līdz 43.99 (F sadaļa), 46.69, 46.73, 46.74, 47.52 līdz 47.54;</w:t>
            </w:r>
          </w:p>
          <w:p w:rsidR="003E3492" w:rsidRPr="00314971" w:rsidRDefault="003E3492" w:rsidP="00A51C28">
            <w:pPr>
              <w:numPr>
                <w:ilvl w:val="0"/>
                <w:numId w:val="8"/>
              </w:numPr>
              <w:jc w:val="both"/>
            </w:pPr>
            <w:r w:rsidRPr="00314971">
              <w:t>11.pielikums – A/S Latvijas Gāze</w:t>
            </w:r>
          </w:p>
          <w:p w:rsidR="00DA2DA5" w:rsidRPr="00314971" w:rsidRDefault="003E3492" w:rsidP="00A51C28">
            <w:pPr>
              <w:numPr>
                <w:ilvl w:val="0"/>
                <w:numId w:val="8"/>
              </w:numPr>
              <w:jc w:val="both"/>
            </w:pPr>
            <w:r w:rsidRPr="00314971">
              <w:t>12.pielikums -  aptuveni 123 respondenti - investīciju preču dīleri, izplatītāji u.c. Neatkarīga izlase. Konkrēto atlases kritēriju nav, jo izlasē var būt iekļauts jebkurš Latvijas uzņēmums, kas izplata (pārdod) konkrēto investīciju preci.</w:t>
            </w:r>
          </w:p>
          <w:p w:rsidR="00DA2DA5" w:rsidRPr="00314971" w:rsidRDefault="003E3492" w:rsidP="00A51C28">
            <w:pPr>
              <w:numPr>
                <w:ilvl w:val="0"/>
                <w:numId w:val="8"/>
              </w:numPr>
              <w:jc w:val="both"/>
            </w:pPr>
            <w:r w:rsidRPr="00314971">
              <w:t xml:space="preserve">13.pielikums – </w:t>
            </w:r>
            <w:r w:rsidR="00DA2DA5" w:rsidRPr="00314971">
              <w:t>2500-3000 lauku saimniecības;</w:t>
            </w:r>
          </w:p>
          <w:p w:rsidR="00DA2DA5" w:rsidRPr="00314971" w:rsidRDefault="003E3492" w:rsidP="00A51C28">
            <w:pPr>
              <w:numPr>
                <w:ilvl w:val="0"/>
                <w:numId w:val="8"/>
              </w:numPr>
              <w:jc w:val="both"/>
            </w:pPr>
            <w:r w:rsidRPr="00314971">
              <w:t>14.pielikums – 4550 respondentu. Apsekojumā tiek iekļauti ekonomiskie aktīvie uzņēmumi uz 01.01.2013 ar darbinieku skaitu 10 un vairāk, sekojošās NACE Red.2.nozarēs:</w:t>
            </w:r>
            <w:r w:rsidRPr="00314971">
              <w:rPr>
                <w:bCs/>
                <w:iCs/>
              </w:rPr>
              <w:t xml:space="preserve"> 10-33, 35-39, 41-43, 45-47, 49-53, 55-56, 58-63, 68, 69-74, 77-82, 95.1.</w:t>
            </w:r>
          </w:p>
          <w:p w:rsidR="00DA2DA5" w:rsidRPr="00314971" w:rsidRDefault="003E3492" w:rsidP="00A51C28">
            <w:pPr>
              <w:numPr>
                <w:ilvl w:val="0"/>
                <w:numId w:val="8"/>
              </w:numPr>
              <w:jc w:val="both"/>
            </w:pPr>
            <w:r w:rsidRPr="00314971">
              <w:t>15.pielikums – 9000 respondentu. Apsekojuma populācijā tiek iekļautas ekonomiski aktīvās komercsektora vienības 2012.gadā:</w:t>
            </w:r>
            <w:r w:rsidRPr="00314971">
              <w:br/>
              <w:t>1) ekonomiski aktīvi  komersanti;</w:t>
            </w:r>
            <w:r w:rsidRPr="00314971">
              <w:br/>
              <w:t xml:space="preserve">2) zemnieku/zvejnieku saimniecības, kurām galvenā darbība nav NACE 01, </w:t>
            </w:r>
            <w:r w:rsidR="00DA2DA5" w:rsidRPr="00314971">
              <w:t>02, 03;</w:t>
            </w:r>
          </w:p>
          <w:p w:rsidR="00DA2DA5" w:rsidRPr="00314971" w:rsidRDefault="003E3492" w:rsidP="00A51C28">
            <w:pPr>
              <w:numPr>
                <w:ilvl w:val="0"/>
                <w:numId w:val="8"/>
              </w:numPr>
              <w:jc w:val="both"/>
            </w:pPr>
            <w:r w:rsidRPr="00314971">
              <w:t>16.pielikums – 114</w:t>
            </w:r>
            <w:r w:rsidR="00DA2DA5" w:rsidRPr="00314971">
              <w:t>7 respondenti – valsts iestādes;</w:t>
            </w:r>
          </w:p>
          <w:p w:rsidR="00DA2DA5" w:rsidRPr="00314971" w:rsidRDefault="003E3492" w:rsidP="00A51C28">
            <w:pPr>
              <w:numPr>
                <w:ilvl w:val="0"/>
                <w:numId w:val="8"/>
              </w:numPr>
              <w:jc w:val="both"/>
            </w:pPr>
            <w:r w:rsidRPr="00314971">
              <w:t xml:space="preserve">17.pielikums – 119 respondenti - Visas vietējās pašvaldības </w:t>
            </w:r>
            <w:r w:rsidRPr="00314971">
              <w:rPr>
                <w:vanish/>
              </w:rPr>
              <w:t>, sas vietējās otrā līmeņa pašv-</w:t>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rPr>
                <w:vanish/>
              </w:rPr>
              <w:pgNum/>
            </w:r>
            <w:r w:rsidRPr="00314971">
              <w:t xml:space="preserve"> 9-ās rep</w:t>
            </w:r>
            <w:r w:rsidR="00DA2DA5" w:rsidRPr="00314971">
              <w:t>ublikas pilsētās un 110 novados;</w:t>
            </w:r>
          </w:p>
          <w:p w:rsidR="00DA2DA5" w:rsidRPr="00314971" w:rsidRDefault="003E3492" w:rsidP="00A51C28">
            <w:pPr>
              <w:numPr>
                <w:ilvl w:val="0"/>
                <w:numId w:val="8"/>
              </w:numPr>
              <w:jc w:val="both"/>
            </w:pPr>
            <w:r w:rsidRPr="00314971">
              <w:t>18.pielikums – 3000 respondentu - Apsekojuma populācijā tiek iekļauti komersanti, kuri ir aktīvi 2012.gada laikā, ar pamatdarbības NACE 2.red. kodu 47</w:t>
            </w:r>
            <w:r w:rsidR="00DA2DA5" w:rsidRPr="00314971">
              <w:t>;</w:t>
            </w:r>
          </w:p>
          <w:p w:rsidR="00DA2DA5" w:rsidRPr="00314971" w:rsidRDefault="003E3492" w:rsidP="00A51C28">
            <w:pPr>
              <w:numPr>
                <w:ilvl w:val="0"/>
                <w:numId w:val="8"/>
              </w:numPr>
              <w:jc w:val="both"/>
            </w:pPr>
            <w:r w:rsidRPr="00314971">
              <w:lastRenderedPageBreak/>
              <w:t>19.pielikums – 75 respondenti - a</w:t>
            </w:r>
            <w:r w:rsidRPr="00314971">
              <w:rPr>
                <w:bCs/>
              </w:rPr>
              <w:t>ugstākās mācību iestādes, un to pārraudzībā esošās zinātniskās iestādes</w:t>
            </w:r>
            <w:r w:rsidR="00DA2DA5" w:rsidRPr="00314971">
              <w:rPr>
                <w:bCs/>
              </w:rPr>
              <w:t>;</w:t>
            </w:r>
          </w:p>
          <w:p w:rsidR="003E3492" w:rsidRPr="00314971" w:rsidRDefault="003E3492" w:rsidP="00A51C28">
            <w:pPr>
              <w:numPr>
                <w:ilvl w:val="0"/>
                <w:numId w:val="8"/>
              </w:numPr>
              <w:jc w:val="both"/>
            </w:pPr>
            <w:r w:rsidRPr="00314971">
              <w:t>20.pielikums - Apmēram 3500 respondentu. Apsekojuma mērķa populācija ir visas izlases veidošanas brīdī ekonomiski aktīvas statistiskās vienības – komersanti (individuālie komersanti un komercsabiedrības), kuru pamatdarbības nozares NACE 2.red. ir no A līdz T. Visiem mērķa populācijā iekļautajiem uzņēmumiem, SVTK klasifikatora 3. un 4. zīme ir 10, 51, 55,</w:t>
            </w:r>
            <w:r w:rsidR="00DA2DA5" w:rsidRPr="00314971">
              <w:t xml:space="preserve"> 57, 59, 61, 62, 71, 73, 74, 90;</w:t>
            </w:r>
          </w:p>
          <w:p w:rsidR="00DA2DA5" w:rsidRPr="00314971" w:rsidRDefault="00DA2DA5" w:rsidP="00A51C28">
            <w:pPr>
              <w:numPr>
                <w:ilvl w:val="0"/>
                <w:numId w:val="8"/>
              </w:numPr>
              <w:jc w:val="both"/>
            </w:pPr>
            <w:r w:rsidRPr="00314971">
              <w:t xml:space="preserve">21.pielikums </w:t>
            </w:r>
            <w:r w:rsidR="009A2F73" w:rsidRPr="00314971">
              <w:t>–</w:t>
            </w:r>
            <w:r w:rsidRPr="00314971">
              <w:t xml:space="preserve"> </w:t>
            </w:r>
            <w:r w:rsidR="009A2F73" w:rsidRPr="00314971">
              <w:t>21 respondents – valsts zinātniskie institūti</w:t>
            </w:r>
            <w:r w:rsidR="00D700CE" w:rsidRPr="00314971">
              <w:t>;</w:t>
            </w:r>
          </w:p>
          <w:p w:rsidR="008A655F" w:rsidRPr="00314971" w:rsidRDefault="00D700CE" w:rsidP="00A51C28">
            <w:pPr>
              <w:numPr>
                <w:ilvl w:val="0"/>
                <w:numId w:val="8"/>
              </w:numPr>
              <w:jc w:val="both"/>
            </w:pPr>
            <w:r w:rsidRPr="00314971">
              <w:t>22.pielikums –</w:t>
            </w:r>
            <w:r w:rsidR="001A5A10" w:rsidRPr="00314971">
              <w:rPr>
                <w:rFonts w:eastAsiaTheme="minorHAnsi"/>
                <w:color w:val="000000"/>
                <w:sz w:val="22"/>
                <w:szCs w:val="22"/>
                <w:lang w:eastAsia="en-US"/>
              </w:rPr>
              <w:t xml:space="preserve"> </w:t>
            </w:r>
            <w:r w:rsidR="001A5A10" w:rsidRPr="00314971">
              <w:rPr>
                <w:rFonts w:eastAsiaTheme="minorHAnsi"/>
                <w:color w:val="000000"/>
                <w:lang w:eastAsia="en-US"/>
              </w:rPr>
              <w:t>3.9 tūkst</w:t>
            </w:r>
            <w:r w:rsidR="00E30A04" w:rsidRPr="00314971">
              <w:rPr>
                <w:rFonts w:eastAsiaTheme="minorHAnsi"/>
                <w:color w:val="000000"/>
                <w:lang w:eastAsia="en-US"/>
              </w:rPr>
              <w:t>oši</w:t>
            </w:r>
            <w:r w:rsidR="001A5A10" w:rsidRPr="00314971">
              <w:rPr>
                <w:rFonts w:eastAsiaTheme="minorHAnsi"/>
                <w:color w:val="000000"/>
                <w:lang w:eastAsia="en-US"/>
              </w:rPr>
              <w:t xml:space="preserve"> mājsaimniecību un 7 tūkst</w:t>
            </w:r>
            <w:r w:rsidR="00E30A04" w:rsidRPr="00314971">
              <w:rPr>
                <w:rFonts w:eastAsiaTheme="minorHAnsi"/>
                <w:color w:val="000000"/>
                <w:lang w:eastAsia="en-US"/>
              </w:rPr>
              <w:t>oši</w:t>
            </w:r>
            <w:r w:rsidR="001A5A10" w:rsidRPr="00314971">
              <w:rPr>
                <w:rFonts w:eastAsiaTheme="minorHAnsi"/>
                <w:color w:val="000000"/>
                <w:lang w:eastAsia="en-US"/>
              </w:rPr>
              <w:t xml:space="preserve"> tajās dzīvojošo personu, vecumā no 15 līdz 74 gadiem;</w:t>
            </w:r>
          </w:p>
          <w:p w:rsidR="008A655F" w:rsidRPr="00314971" w:rsidRDefault="008A655F" w:rsidP="00A51C28">
            <w:pPr>
              <w:numPr>
                <w:ilvl w:val="0"/>
                <w:numId w:val="8"/>
              </w:numPr>
              <w:jc w:val="both"/>
            </w:pPr>
            <w:r w:rsidRPr="00314971">
              <w:t xml:space="preserve">23.pielikums – </w:t>
            </w:r>
            <w:r w:rsidRPr="00314971">
              <w:rPr>
                <w:rFonts w:eastAsiaTheme="minorHAnsi"/>
                <w:color w:val="000000"/>
                <w:sz w:val="22"/>
                <w:szCs w:val="22"/>
                <w:lang w:eastAsia="en-US"/>
              </w:rPr>
              <w:t>3.9 tūkstoši mājsaimniecību un 7 tūkstoši tajās dzīvojošo personu, vecumā no 15 līdz 74 gadiem;</w:t>
            </w:r>
          </w:p>
          <w:p w:rsidR="00D700CE" w:rsidRPr="00314971" w:rsidRDefault="00CE2037" w:rsidP="00A51C28">
            <w:pPr>
              <w:numPr>
                <w:ilvl w:val="0"/>
                <w:numId w:val="8"/>
              </w:numPr>
              <w:jc w:val="both"/>
            </w:pPr>
            <w:r w:rsidRPr="00314971">
              <w:t xml:space="preserve">24.pielikums </w:t>
            </w:r>
            <w:r w:rsidR="0096387E" w:rsidRPr="00314971">
              <w:t>–</w:t>
            </w:r>
            <w:r w:rsidRPr="00314971">
              <w:t xml:space="preserve"> </w:t>
            </w:r>
            <w:r w:rsidR="0096387E" w:rsidRPr="00314971">
              <w:t>12000 respondenti (mājsaimniecības) gadā;</w:t>
            </w:r>
          </w:p>
          <w:p w:rsidR="00CE2037" w:rsidRPr="00314971" w:rsidRDefault="00CE2037" w:rsidP="00A51C28">
            <w:pPr>
              <w:numPr>
                <w:ilvl w:val="0"/>
                <w:numId w:val="8"/>
              </w:numPr>
              <w:jc w:val="both"/>
            </w:pPr>
            <w:r w:rsidRPr="00314971">
              <w:t xml:space="preserve">25.pielikums - </w:t>
            </w:r>
            <w:r w:rsidRPr="00314971">
              <w:rPr>
                <w:sz w:val="22"/>
                <w:szCs w:val="22"/>
              </w:rPr>
              <w:t>aptuveni 9 tūkstoši mājsaimniecību un 13.5 tūkstoši tajās dzīvojošo personu, kuriem ir vismaz 16 gadi;</w:t>
            </w:r>
          </w:p>
          <w:p w:rsidR="0073190D" w:rsidRPr="00314971" w:rsidRDefault="0073190D" w:rsidP="00A51C28">
            <w:pPr>
              <w:numPr>
                <w:ilvl w:val="0"/>
                <w:numId w:val="8"/>
              </w:numPr>
              <w:jc w:val="both"/>
            </w:pPr>
            <w:r w:rsidRPr="00314971">
              <w:t>26.pielikums – aptuveni 37 000 personu;</w:t>
            </w:r>
          </w:p>
          <w:p w:rsidR="0073190D" w:rsidRPr="00314971" w:rsidRDefault="0073190D" w:rsidP="00A51C28">
            <w:pPr>
              <w:numPr>
                <w:ilvl w:val="0"/>
                <w:numId w:val="8"/>
              </w:numPr>
              <w:jc w:val="both"/>
            </w:pPr>
            <w:r w:rsidRPr="00314971">
              <w:t>27.pielikums – aptuveni 24 000 mājsaimniecību;</w:t>
            </w:r>
          </w:p>
          <w:p w:rsidR="0073190D" w:rsidRPr="00314971" w:rsidRDefault="0073190D" w:rsidP="00A51C28">
            <w:pPr>
              <w:numPr>
                <w:ilvl w:val="0"/>
                <w:numId w:val="8"/>
              </w:numPr>
              <w:jc w:val="both"/>
            </w:pPr>
            <w:r w:rsidRPr="00314971">
              <w:t>28.pielikums – aptuveno 15 000 mājsaimniecību;</w:t>
            </w:r>
          </w:p>
          <w:p w:rsidR="00B04CC1" w:rsidRPr="00314971" w:rsidRDefault="0073190D" w:rsidP="00A51C28">
            <w:pPr>
              <w:numPr>
                <w:ilvl w:val="0"/>
                <w:numId w:val="8"/>
              </w:numPr>
              <w:jc w:val="both"/>
            </w:pPr>
            <w:r w:rsidRPr="00314971">
              <w:rPr>
                <w:sz w:val="22"/>
                <w:szCs w:val="22"/>
              </w:rPr>
              <w:t>29</w:t>
            </w:r>
            <w:r w:rsidR="00B04CC1" w:rsidRPr="00314971">
              <w:rPr>
                <w:sz w:val="22"/>
                <w:szCs w:val="22"/>
              </w:rPr>
              <w:t xml:space="preserve">.pielikums – </w:t>
            </w:r>
            <w:r w:rsidR="002C237E" w:rsidRPr="00314971">
              <w:rPr>
                <w:sz w:val="22"/>
                <w:szCs w:val="22"/>
              </w:rPr>
              <w:t xml:space="preserve">30 000 respondentu - </w:t>
            </w:r>
            <w:r w:rsidR="002C237E" w:rsidRPr="00314971">
              <w:t>lauku saimniecības</w:t>
            </w:r>
            <w:r w:rsidRPr="00314971">
              <w:t>;</w:t>
            </w:r>
          </w:p>
          <w:p w:rsidR="002656C3" w:rsidRPr="00314971" w:rsidRDefault="0073190D" w:rsidP="00A51C28">
            <w:pPr>
              <w:numPr>
                <w:ilvl w:val="0"/>
                <w:numId w:val="8"/>
              </w:numPr>
              <w:jc w:val="both"/>
            </w:pPr>
            <w:r w:rsidRPr="00314971">
              <w:rPr>
                <w:sz w:val="22"/>
                <w:szCs w:val="22"/>
              </w:rPr>
              <w:t>30</w:t>
            </w:r>
            <w:r w:rsidR="00B04CC1" w:rsidRPr="00314971">
              <w:rPr>
                <w:sz w:val="22"/>
                <w:szCs w:val="22"/>
              </w:rPr>
              <w:t xml:space="preserve">.pielikums  - 2500 respondenti - </w:t>
            </w:r>
            <w:r w:rsidR="00B04CC1" w:rsidRPr="00314971">
              <w:t>1) ekonomiski aktīvi  komersanti;</w:t>
            </w:r>
            <w:r w:rsidR="00B04CC1" w:rsidRPr="00314971">
              <w:br/>
              <w:t>2) zemnieku/zvejnieku saimniecības, kurām galvenā darbība nav NACE 01, 02, 03.</w:t>
            </w:r>
            <w:r w:rsidR="00B04CC1" w:rsidRPr="00314971">
              <w:br/>
              <w:t xml:space="preserve">Apsekojuma populācijā netiek iekļautas budžeta iestādes, sabiedriskās organizācijas, pašnodarbinātas fiziskas personas.                                                                                                                                                                                                                                                                </w:t>
            </w:r>
            <w:r w:rsidR="00343D90">
              <w:t xml:space="preserve">               Neiekļauj uzņēm</w:t>
            </w:r>
            <w:r w:rsidR="00B04CC1" w:rsidRPr="00314971">
              <w:t>um</w:t>
            </w:r>
            <w:r w:rsidR="00343D90">
              <w:t>u</w:t>
            </w:r>
            <w:r w:rsidR="00B04CC1" w:rsidRPr="00314971">
              <w:t>s, ja NACE 2.red. kods ir 641, 651, 652, 653, 66</w:t>
            </w:r>
            <w:r w:rsidR="00721906" w:rsidRPr="00314971">
              <w:t xml:space="preserve">3;                           </w:t>
            </w:r>
          </w:p>
          <w:p w:rsidR="00721906" w:rsidRPr="00314971" w:rsidRDefault="0073190D" w:rsidP="00A51C28">
            <w:pPr>
              <w:numPr>
                <w:ilvl w:val="0"/>
                <w:numId w:val="8"/>
              </w:numPr>
              <w:jc w:val="both"/>
            </w:pPr>
            <w:r w:rsidRPr="00314971">
              <w:t>31</w:t>
            </w:r>
            <w:r w:rsidR="00721906" w:rsidRPr="00314971">
              <w:t xml:space="preserve">.pielikums – 500 respondentu - </w:t>
            </w:r>
            <w:r w:rsidR="002656C3" w:rsidRPr="00314971">
              <w:t>u</w:t>
            </w:r>
            <w:r w:rsidR="00721906" w:rsidRPr="00314971">
              <w:t>zņēmumi, kuri sniedz biznesa pakalpojumus NACE nozarēs 49.20; 49.41; 52.10; 52.24; 53.20; 69.20; 77.32; 81.2.</w:t>
            </w:r>
            <w:r w:rsidR="001D3328" w:rsidRPr="00314971">
              <w:t>;</w:t>
            </w:r>
          </w:p>
          <w:p w:rsidR="00CE2037" w:rsidRPr="00314971" w:rsidRDefault="0073190D" w:rsidP="00A51C28">
            <w:pPr>
              <w:numPr>
                <w:ilvl w:val="0"/>
                <w:numId w:val="8"/>
              </w:numPr>
              <w:jc w:val="both"/>
            </w:pPr>
            <w:r w:rsidRPr="00314971">
              <w:t>32</w:t>
            </w:r>
            <w:r w:rsidR="001D3328" w:rsidRPr="00314971">
              <w:t>.pielikums – 1000-1500 respondentu – komersanti ar pamatdarbības NACE 2.red. kodu 47;</w:t>
            </w:r>
          </w:p>
          <w:p w:rsidR="001D3328" w:rsidRPr="00314971" w:rsidRDefault="0073190D" w:rsidP="00A51C28">
            <w:pPr>
              <w:numPr>
                <w:ilvl w:val="0"/>
                <w:numId w:val="8"/>
              </w:numPr>
              <w:jc w:val="both"/>
            </w:pPr>
            <w:r w:rsidRPr="00314971">
              <w:t>33</w:t>
            </w:r>
            <w:r w:rsidR="00737818" w:rsidRPr="00314971">
              <w:t>.pielikums – 2 piena apstrādes uzņēmumi;</w:t>
            </w:r>
          </w:p>
          <w:p w:rsidR="00F06643" w:rsidRPr="00314971" w:rsidRDefault="0073190D" w:rsidP="00A51C28">
            <w:pPr>
              <w:numPr>
                <w:ilvl w:val="0"/>
                <w:numId w:val="8"/>
              </w:numPr>
              <w:jc w:val="both"/>
            </w:pPr>
            <w:r w:rsidRPr="00314971">
              <w:t>34</w:t>
            </w:r>
            <w:r w:rsidR="00F06643" w:rsidRPr="00314971">
              <w:t>.pielikums – 900 lauku saimniecības, kurām ābeļu stādījumu platība &gt; 0.2 ha;</w:t>
            </w:r>
          </w:p>
          <w:p w:rsidR="00737818" w:rsidRPr="00314971" w:rsidRDefault="0073190D" w:rsidP="00A51C28">
            <w:pPr>
              <w:numPr>
                <w:ilvl w:val="0"/>
                <w:numId w:val="8"/>
              </w:numPr>
              <w:jc w:val="both"/>
            </w:pPr>
            <w:r w:rsidRPr="00314971">
              <w:lastRenderedPageBreak/>
              <w:t>35</w:t>
            </w:r>
            <w:r w:rsidR="00737818" w:rsidRPr="00314971">
              <w:t xml:space="preserve">.pielikums - </w:t>
            </w:r>
            <w:r w:rsidR="00705554" w:rsidRPr="00314971">
              <w:rPr>
                <w:sz w:val="22"/>
                <w:szCs w:val="22"/>
              </w:rPr>
              <w:t>9 tūkstošo</w:t>
            </w:r>
            <w:r w:rsidR="00737818" w:rsidRPr="00314971">
              <w:rPr>
                <w:sz w:val="22"/>
                <w:szCs w:val="22"/>
              </w:rPr>
              <w:t xml:space="preserve"> m</w:t>
            </w:r>
            <w:r w:rsidR="00705554" w:rsidRPr="00314971">
              <w:rPr>
                <w:sz w:val="22"/>
                <w:szCs w:val="22"/>
              </w:rPr>
              <w:t>ājsaimniecību un 13.5 tūkstoši</w:t>
            </w:r>
            <w:r w:rsidR="00737818" w:rsidRPr="00314971">
              <w:rPr>
                <w:sz w:val="22"/>
                <w:szCs w:val="22"/>
              </w:rPr>
              <w:t xml:space="preserve"> tajās dzīvojošo p</w:t>
            </w:r>
            <w:r w:rsidR="005A5DF2">
              <w:rPr>
                <w:sz w:val="22"/>
                <w:szCs w:val="22"/>
              </w:rPr>
              <w:t>ersonu, kuriem ir vismaz 16 gadu</w:t>
            </w:r>
            <w:r w:rsidR="00F06643" w:rsidRPr="00314971">
              <w:rPr>
                <w:sz w:val="22"/>
                <w:szCs w:val="22"/>
              </w:rPr>
              <w:t>.</w:t>
            </w:r>
          </w:p>
          <w:p w:rsidR="003E3492" w:rsidRPr="00314971" w:rsidRDefault="003E3492" w:rsidP="0065284E">
            <w:pPr>
              <w:pStyle w:val="BodyTextIndent"/>
              <w:ind w:firstLine="0"/>
              <w:jc w:val="both"/>
            </w:pPr>
          </w:p>
          <w:p w:rsidR="003E3492" w:rsidRPr="00314971" w:rsidRDefault="003E3492" w:rsidP="0065284E">
            <w:pPr>
              <w:jc w:val="both"/>
            </w:pPr>
          </w:p>
        </w:tc>
      </w:tr>
      <w:tr w:rsidR="003E3492" w:rsidRPr="00314971" w:rsidTr="0065284E">
        <w:trPr>
          <w:trHeight w:val="523"/>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lastRenderedPageBreak/>
              <w:t> 2.</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Citas sabiedrības grupas (bez mērķa grupas), kuras tiesiskais regulējums arī ietekmē vai varētu ietekmēt</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10"/>
            </w:pPr>
            <w:r w:rsidRPr="00314971">
              <w:t> </w:t>
            </w:r>
            <w:r w:rsidRPr="00314971">
              <w:rPr>
                <w:bCs/>
              </w:rPr>
              <w:t>Projekts šo jomu neskar</w:t>
            </w:r>
          </w:p>
        </w:tc>
      </w:tr>
      <w:tr w:rsidR="003E3492" w:rsidRPr="00314971" w:rsidTr="0065284E">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3.</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Tiesiskā regulējuma finansiālā ietekme</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10"/>
              <w:jc w:val="both"/>
            </w:pPr>
            <w:r w:rsidRPr="00314971">
              <w:rPr>
                <w:bCs/>
              </w:rPr>
              <w:t>Projekts šo jomu neskar</w:t>
            </w:r>
          </w:p>
        </w:tc>
      </w:tr>
      <w:tr w:rsidR="003E3492" w:rsidRPr="00314971" w:rsidTr="0065284E">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4.</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Tiesiskā regulējuma nefinansiālā ietekme</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DE791E">
            <w:pPr>
              <w:pStyle w:val="naiskr"/>
              <w:ind w:left="-10"/>
              <w:jc w:val="both"/>
            </w:pPr>
            <w:r w:rsidRPr="00314971">
              <w:t> MK noteikumu projekts jaunas tiesības nerada un jaunus pienākumus neuzliek, izņemot ar MK noteikumu projektu apstiprinātās jaunās veidlapas (</w:t>
            </w:r>
            <w:r w:rsidR="00DE791E" w:rsidRPr="00314971">
              <w:t>199., 200., 201. un 202</w:t>
            </w:r>
            <w:r w:rsidRPr="00314971">
              <w:t xml:space="preserve">.pielikums). </w:t>
            </w:r>
          </w:p>
        </w:tc>
      </w:tr>
      <w:tr w:rsidR="003E3492" w:rsidRPr="00314971" w:rsidTr="0065284E">
        <w:trPr>
          <w:trHeight w:val="531"/>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5.</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Administratīvās procedūras raksturojums</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10"/>
              <w:jc w:val="both"/>
            </w:pPr>
            <w:r w:rsidRPr="00314971">
              <w:t> Indivīds savas tiesības varēs aizstāvēt normatīvajos aktos noteiktajā kārtībā (Administratīvā procesa likums).</w:t>
            </w:r>
          </w:p>
          <w:p w:rsidR="003E3492" w:rsidRPr="00314971" w:rsidRDefault="003E3492" w:rsidP="0065284E">
            <w:pPr>
              <w:pStyle w:val="naiskr"/>
              <w:ind w:left="-10"/>
              <w:jc w:val="both"/>
            </w:pPr>
            <w:r w:rsidRPr="00314971">
              <w:t>MK noteikumu projekts paredz, ka respondenti sniegs savu darbību raksturojošus individuālos statistisko datus. CSP individuālos statistisko datus uzglabā statistiskās informācijas sistēmā, kas sastāv no statistiskajiem reģistriem un datu bāzēm, kuras uzturēšanu nodrošina CSP.</w:t>
            </w:r>
          </w:p>
          <w:p w:rsidR="003E3492" w:rsidRPr="00314971" w:rsidRDefault="003E3492" w:rsidP="0065284E">
            <w:pPr>
              <w:pStyle w:val="naiskr"/>
              <w:ind w:left="-10"/>
              <w:jc w:val="both"/>
            </w:pPr>
            <w:r w:rsidRPr="00314971">
              <w:t>CSP ir noslēgtas starpresoru vienošanās ar Valsts ieņēmumu dienestu, Valsts sociālās apdrošināšanas aģentūru, Pilsonības un migrācijas lietu pārvaldi u.c. institūcijām, taču to rīcībā nav visa informācija, kas nepieciešama, lai apkopotu informāciju, kas nepieciešama MK noteikumu projekta izpildei.</w:t>
            </w:r>
          </w:p>
        </w:tc>
      </w:tr>
      <w:tr w:rsidR="003E3492" w:rsidRPr="00314971" w:rsidTr="0065284E">
        <w:trPr>
          <w:trHeight w:val="35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6.</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Administratīvo izmaksu monetārs novērtējums</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10"/>
            </w:pPr>
            <w:r w:rsidRPr="00314971">
              <w:t> </w:t>
            </w:r>
            <w:r w:rsidRPr="00314971">
              <w:rPr>
                <w:bCs/>
              </w:rPr>
              <w:t>Projekts šo jomu neskar</w:t>
            </w:r>
          </w:p>
        </w:tc>
      </w:tr>
      <w:tr w:rsidR="003E3492" w:rsidRPr="00314971" w:rsidTr="0065284E">
        <w:trPr>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7.</w:t>
            </w:r>
          </w:p>
        </w:tc>
        <w:tc>
          <w:tcPr>
            <w:tcW w:w="3274"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Cita informācija</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10"/>
            </w:pPr>
            <w:r w:rsidRPr="00314971">
              <w:t>Nav</w:t>
            </w:r>
          </w:p>
        </w:tc>
      </w:tr>
    </w:tbl>
    <w:p w:rsidR="003E3492" w:rsidRPr="00314971" w:rsidRDefault="003E3492" w:rsidP="003E3492"/>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40"/>
        <w:gridCol w:w="2755"/>
        <w:gridCol w:w="5400"/>
      </w:tblGrid>
      <w:tr w:rsidR="003E3492" w:rsidRPr="00314971" w:rsidTr="0065284E">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nod"/>
            </w:pPr>
            <w:r w:rsidRPr="00314971">
              <w:t> V. Tiesību akta projekta atbilstība Latvijas Republikas starptautiskajām saistībām</w:t>
            </w:r>
          </w:p>
        </w:tc>
      </w:tr>
      <w:tr w:rsidR="003E3492" w:rsidRPr="00314971" w:rsidTr="0065284E">
        <w:trPr>
          <w:tblCellSpacing w:w="0" w:type="dxa"/>
        </w:trPr>
        <w:tc>
          <w:tcPr>
            <w:tcW w:w="104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1.</w:t>
            </w:r>
          </w:p>
        </w:tc>
        <w:tc>
          <w:tcPr>
            <w:tcW w:w="2755"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Saistības pret Eiropas Savienību</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DE791E" w:rsidP="003E3492">
            <w:pPr>
              <w:numPr>
                <w:ilvl w:val="0"/>
                <w:numId w:val="4"/>
              </w:numPr>
              <w:ind w:right="206"/>
              <w:jc w:val="both"/>
            </w:pPr>
            <w:r w:rsidRPr="00314971">
              <w:t>Eiropas Parlamenta un Padomes 2011. gada 6. Jūlija Regula (ES) Nr.692/2011 attiecībā uz Eiropas statistiku par tūrismu un ar ko atceļ Padomes Direktīvu 95/57/EK (turpmāk- Eiropas Parlamenta un Padomes Regula Nr.692/2011);</w:t>
            </w:r>
          </w:p>
          <w:p w:rsidR="00DE791E" w:rsidRPr="00314971" w:rsidRDefault="00DE791E" w:rsidP="003E3492">
            <w:pPr>
              <w:numPr>
                <w:ilvl w:val="0"/>
                <w:numId w:val="4"/>
              </w:numPr>
              <w:ind w:right="206"/>
              <w:jc w:val="both"/>
            </w:pPr>
            <w:r w:rsidRPr="00314971">
              <w:rPr>
                <w:rFonts w:cs="EUAlbertina"/>
                <w:bCs/>
                <w:color w:val="000000"/>
              </w:rPr>
              <w:t xml:space="preserve">Komisijas 2012. gada 24. janvāra Regula (ES) Nr.62/2012 , ar ko attiecībā uz 2013. gada sekundāro mērķa mainīgo lielumu sarakstu par labsajūtu īsteno Eiropas Parlamenta un Padomes Regulu (EK) </w:t>
            </w:r>
            <w:r w:rsidRPr="00314971">
              <w:rPr>
                <w:rFonts w:cs="EUAlbertina"/>
                <w:bCs/>
                <w:color w:val="000000"/>
              </w:rPr>
              <w:lastRenderedPageBreak/>
              <w:t>Nr.1177/2003 par Kopienas statistiku attiecībā uz ienākumiem un dzīves apstākļiem (</w:t>
            </w:r>
            <w:r w:rsidRPr="00314971">
              <w:rPr>
                <w:rFonts w:cs="EUAlbertina"/>
                <w:bCs/>
                <w:i/>
                <w:iCs/>
                <w:color w:val="000000"/>
              </w:rPr>
              <w:t>EU-SILC</w:t>
            </w:r>
            <w:r w:rsidRPr="00314971">
              <w:rPr>
                <w:rFonts w:cs="EUAlbertina"/>
                <w:bCs/>
                <w:color w:val="000000"/>
              </w:rPr>
              <w:t xml:space="preserve">) (turpmāk – Komisijas </w:t>
            </w:r>
            <w:r w:rsidR="003744C0" w:rsidRPr="00314971">
              <w:rPr>
                <w:rFonts w:cs="EUAlbertina"/>
                <w:bCs/>
                <w:color w:val="000000"/>
              </w:rPr>
              <w:t>R</w:t>
            </w:r>
            <w:r w:rsidRPr="00314971">
              <w:rPr>
                <w:rFonts w:cs="EUAlbertina"/>
                <w:bCs/>
                <w:color w:val="000000"/>
              </w:rPr>
              <w:t>egula Nr.62/2012);</w:t>
            </w:r>
          </w:p>
          <w:p w:rsidR="00DE791E" w:rsidRPr="00314971" w:rsidRDefault="00DE791E" w:rsidP="00DE791E">
            <w:pPr>
              <w:numPr>
                <w:ilvl w:val="0"/>
                <w:numId w:val="4"/>
              </w:numPr>
              <w:ind w:right="206"/>
              <w:jc w:val="both"/>
            </w:pPr>
            <w:r w:rsidRPr="00314971">
              <w:t>Eiropas Parlamenta un Padomes 2011. gada 13. decembra Regula (ES) Nr. 1337/2011attiecībā uz Eiropas statistiku par ilggadīgām kultūrām un ar ko atceļ Padomes Regulu (EEK) Nr. 357/79 un Eiropas Parlamenta un Padomes Direktīvu 2001/109/EK (turpmāk- Eiropas Parlamenta un Padomes Regula Nr.1337/2011);</w:t>
            </w:r>
          </w:p>
          <w:p w:rsidR="00DE791E" w:rsidRPr="00314971" w:rsidRDefault="00DE791E" w:rsidP="00DE791E">
            <w:pPr>
              <w:numPr>
                <w:ilvl w:val="0"/>
                <w:numId w:val="4"/>
              </w:numPr>
              <w:ind w:right="206"/>
              <w:jc w:val="both"/>
            </w:pPr>
            <w:r w:rsidRPr="00314971">
              <w:rPr>
                <w:bCs/>
              </w:rPr>
              <w:t xml:space="preserve">Komisijas 2007.gada 20.augusta Regula (EK) Nr.973/2007, ar ko groza dažas EK regulas par īpašām statistikas jomām, lai īstenotu </w:t>
            </w:r>
            <w:r w:rsidRPr="00314971">
              <w:rPr>
                <w:bCs/>
                <w:iCs/>
              </w:rPr>
              <w:t xml:space="preserve">NACE </w:t>
            </w:r>
            <w:r w:rsidRPr="00314971">
              <w:rPr>
                <w:bCs/>
              </w:rPr>
              <w:t>2.red. saimniecisko darbību statistisko klasifikāciju (turpmāk</w:t>
            </w:r>
            <w:r w:rsidR="0069075A" w:rsidRPr="00314971">
              <w:rPr>
                <w:bCs/>
              </w:rPr>
              <w:t>-</w:t>
            </w:r>
            <w:r w:rsidRPr="00314971">
              <w:rPr>
                <w:bCs/>
              </w:rPr>
              <w:t>Komisijas Regula Nr.973/2007);</w:t>
            </w:r>
          </w:p>
          <w:p w:rsidR="00DE791E" w:rsidRPr="00314971" w:rsidRDefault="00DE791E" w:rsidP="00DE791E">
            <w:pPr>
              <w:numPr>
                <w:ilvl w:val="0"/>
                <w:numId w:val="4"/>
              </w:numPr>
              <w:ind w:right="206"/>
              <w:jc w:val="both"/>
            </w:pPr>
            <w:r w:rsidRPr="00314971">
              <w:t>Komisijas 2009. gada 11. marta Regula (EK) Nr.251/2009, ar ko īsteno un groza Eiropas Parlamenta un Padomes Regulu (EK) Nr.295/2008 attiecībā uz datu sērijām, kas jāsniedz saistībā ar uzņēmējdarbības strukturālo statistiku, un pielāgojumiem, kas vajadzīgi pēc tam, kad tika pārskatīta preču statistiskā klasifikācija pēc saimniecības nozarēm (turpmāk</w:t>
            </w:r>
            <w:r w:rsidR="0069075A" w:rsidRPr="00314971">
              <w:t>-</w:t>
            </w:r>
            <w:r w:rsidRPr="00314971">
              <w:t>Komisijas Regula nr.251/2009)</w:t>
            </w:r>
            <w:r w:rsidR="00CD470A" w:rsidRPr="00314971">
              <w:t>;</w:t>
            </w:r>
          </w:p>
          <w:p w:rsidR="00CD470A" w:rsidRPr="00314971" w:rsidRDefault="00CD470A" w:rsidP="008E5262">
            <w:pPr>
              <w:numPr>
                <w:ilvl w:val="0"/>
                <w:numId w:val="4"/>
              </w:numPr>
              <w:ind w:right="206"/>
              <w:jc w:val="both"/>
            </w:pPr>
            <w:r w:rsidRPr="00314971">
              <w:rPr>
                <w:bCs/>
              </w:rPr>
              <w:t>Komisijas 2005.gada 21.oktobra Regula (EK) Nr.1738/2005 ar ko groza Regulu (EK) Nr.1916/2000 attiecībā uz informācijas par izpeļņas struktūru definēšanu un nosūtīšanu</w:t>
            </w:r>
            <w:r w:rsidR="008E5262" w:rsidRPr="00314971">
              <w:rPr>
                <w:bCs/>
              </w:rPr>
              <w:t xml:space="preserve"> (turpmāk-Komisijas Regula Nr.1738/2005</w:t>
            </w:r>
            <w:r w:rsidR="004E2009" w:rsidRPr="00314971">
              <w:rPr>
                <w:bCs/>
              </w:rPr>
              <w:t>);</w:t>
            </w:r>
          </w:p>
          <w:p w:rsidR="004E2009" w:rsidRPr="00314971" w:rsidRDefault="004E2009" w:rsidP="008E5262">
            <w:pPr>
              <w:numPr>
                <w:ilvl w:val="0"/>
                <w:numId w:val="4"/>
              </w:numPr>
              <w:ind w:right="206"/>
              <w:jc w:val="both"/>
            </w:pPr>
            <w:r w:rsidRPr="00314971">
              <w:t>Eiropas Parlamenta un Padomes 2005.gada 6.jūlija Regulas (EK) Nr. 1158/2005, ar ko groza Padomes Regulu (EK) Nr. 1165/98 par īstermiņa statistiku (turpmāk – Eiropas Parlamenta un Padomes Regula Nr. 1158/2005);</w:t>
            </w:r>
          </w:p>
          <w:p w:rsidR="004E2009" w:rsidRPr="00314971" w:rsidRDefault="004E2009" w:rsidP="008E5262">
            <w:pPr>
              <w:numPr>
                <w:ilvl w:val="0"/>
                <w:numId w:val="4"/>
              </w:numPr>
              <w:ind w:right="206"/>
              <w:jc w:val="both"/>
            </w:pPr>
            <w:r w:rsidRPr="00314971">
              <w:t>Eiropas Parlamenta un Padomes 2006.gada 20.decembra Regulas (EK) Nr. 1893/2006, ar ko izveido NACE 2.red. saimniecisko darbību statistisko klasifikāciju, kā arī groza Padomes Regulu (EEK) Nr. 3037/90 un dažas EK regulas par īpašām statistikas jomām (turpmāk – Eiropas Parlamenta un Padomes Regula Nr. 1893/2006)</w:t>
            </w:r>
          </w:p>
          <w:p w:rsidR="008E5262" w:rsidRPr="00314971" w:rsidRDefault="008E5262" w:rsidP="008E5262">
            <w:pPr>
              <w:ind w:left="779" w:right="206"/>
              <w:jc w:val="both"/>
            </w:pPr>
          </w:p>
        </w:tc>
      </w:tr>
      <w:tr w:rsidR="003E3492" w:rsidRPr="00314971" w:rsidTr="0065284E">
        <w:trPr>
          <w:tblCellSpacing w:w="0" w:type="dxa"/>
        </w:trPr>
        <w:tc>
          <w:tcPr>
            <w:tcW w:w="104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lastRenderedPageBreak/>
              <w:t> 2.</w:t>
            </w:r>
          </w:p>
        </w:tc>
        <w:tc>
          <w:tcPr>
            <w:tcW w:w="2755"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Citas starptautiskās saistības</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59"/>
            </w:pPr>
            <w:r w:rsidRPr="00314971">
              <w:t> </w:t>
            </w:r>
            <w:r w:rsidRPr="00314971">
              <w:rPr>
                <w:bCs/>
              </w:rPr>
              <w:t>Projekts šo jomu neskar</w:t>
            </w:r>
          </w:p>
        </w:tc>
      </w:tr>
      <w:tr w:rsidR="003E3492" w:rsidRPr="00314971" w:rsidTr="0065284E">
        <w:trPr>
          <w:tblCellSpacing w:w="0" w:type="dxa"/>
        </w:trPr>
        <w:tc>
          <w:tcPr>
            <w:tcW w:w="104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lastRenderedPageBreak/>
              <w:t> 3.</w:t>
            </w:r>
          </w:p>
        </w:tc>
        <w:tc>
          <w:tcPr>
            <w:tcW w:w="2755"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pPr>
            <w:r w:rsidRPr="00314971">
              <w:t> Cita informācija</w:t>
            </w:r>
          </w:p>
        </w:tc>
        <w:tc>
          <w:tcPr>
            <w:tcW w:w="5400" w:type="dxa"/>
            <w:tcBorders>
              <w:top w:val="outset" w:sz="6" w:space="0" w:color="auto"/>
              <w:left w:val="outset" w:sz="6" w:space="0" w:color="auto"/>
              <w:bottom w:val="outset" w:sz="6" w:space="0" w:color="auto"/>
              <w:right w:val="outset" w:sz="6" w:space="0" w:color="auto"/>
            </w:tcBorders>
          </w:tcPr>
          <w:p w:rsidR="003E3492" w:rsidRPr="00314971" w:rsidRDefault="003E3492" w:rsidP="0065284E">
            <w:pPr>
              <w:pStyle w:val="naiskr"/>
              <w:ind w:left="59"/>
              <w:jc w:val="both"/>
            </w:pPr>
            <w:r w:rsidRPr="00314971">
              <w:t xml:space="preserve"> Nav</w:t>
            </w:r>
          </w:p>
        </w:tc>
      </w:tr>
    </w:tbl>
    <w:p w:rsidR="003E3492" w:rsidRPr="00314971" w:rsidRDefault="003E3492" w:rsidP="003E3492"/>
    <w:tbl>
      <w:tblPr>
        <w:tblW w:w="9719"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8"/>
        <w:gridCol w:w="2166"/>
        <w:gridCol w:w="230"/>
        <w:gridCol w:w="2468"/>
        <w:gridCol w:w="2476"/>
        <w:gridCol w:w="1476"/>
        <w:gridCol w:w="505"/>
      </w:tblGrid>
      <w:tr w:rsidR="003E3492" w:rsidRPr="00314971" w:rsidTr="003744C0">
        <w:trPr>
          <w:gridBefore w:val="1"/>
          <w:wBefore w:w="398" w:type="dxa"/>
          <w:trHeight w:val="523"/>
          <w:jc w:val="center"/>
        </w:trPr>
        <w:tc>
          <w:tcPr>
            <w:tcW w:w="9321" w:type="dxa"/>
            <w:gridSpan w:val="6"/>
            <w:vAlign w:val="center"/>
          </w:tcPr>
          <w:p w:rsidR="003E3492" w:rsidRPr="00314971" w:rsidRDefault="003E3492" w:rsidP="0065284E">
            <w:pPr>
              <w:pStyle w:val="naisnod"/>
              <w:spacing w:before="0" w:after="0"/>
            </w:pPr>
            <w:r w:rsidRPr="00314971">
              <w:t xml:space="preserve">1.tabula </w:t>
            </w:r>
          </w:p>
          <w:p w:rsidR="003E3492" w:rsidRPr="00314971" w:rsidRDefault="003E3492" w:rsidP="0065284E">
            <w:pPr>
              <w:pStyle w:val="naisnod"/>
              <w:spacing w:before="0" w:after="0"/>
              <w:rPr>
                <w:i/>
              </w:rPr>
            </w:pPr>
            <w:r w:rsidRPr="00314971">
              <w:t>Tiesību akta projekta atbilstība ES tiesību aktiem</w:t>
            </w:r>
          </w:p>
        </w:tc>
      </w:tr>
      <w:tr w:rsidR="003E3492" w:rsidRPr="00314971" w:rsidTr="003744C0">
        <w:trPr>
          <w:gridBefore w:val="1"/>
          <w:wBefore w:w="398" w:type="dxa"/>
          <w:trHeight w:val="1058"/>
          <w:jc w:val="center"/>
        </w:trPr>
        <w:tc>
          <w:tcPr>
            <w:tcW w:w="2166" w:type="dxa"/>
            <w:vAlign w:val="center"/>
          </w:tcPr>
          <w:p w:rsidR="003E3492" w:rsidRPr="00314971" w:rsidRDefault="003E3492" w:rsidP="0065284E">
            <w:pPr>
              <w:pStyle w:val="naiskr"/>
              <w:spacing w:before="0" w:after="0"/>
              <w:ind w:hanging="10"/>
              <w:jc w:val="center"/>
            </w:pPr>
            <w:r w:rsidRPr="00314971">
              <w:t>Attiecīgā ES tiesību akta datums, numurs un nosaukums</w:t>
            </w:r>
          </w:p>
        </w:tc>
        <w:tc>
          <w:tcPr>
            <w:tcW w:w="7155" w:type="dxa"/>
            <w:gridSpan w:val="5"/>
            <w:vAlign w:val="center"/>
          </w:tcPr>
          <w:p w:rsidR="003E3492" w:rsidRPr="00314971" w:rsidRDefault="003E3492" w:rsidP="0065284E">
            <w:pPr>
              <w:pStyle w:val="naiskr"/>
              <w:spacing w:before="0" w:after="0"/>
              <w:jc w:val="center"/>
            </w:pPr>
            <w:r w:rsidRPr="00314971">
              <w:t>Aizpilda, ja ar projektu tiek pārņemts vai ieviests vairāk nekā viens ES tiesību akts – jānorāda tā pati informācija, kas prasīta instrukcijas 55.1.apakšpunktā un jau tikusi norādīta arī V sadaļas 1.punkta ietvaros</w:t>
            </w:r>
          </w:p>
        </w:tc>
      </w:tr>
      <w:tr w:rsidR="003E3492" w:rsidRPr="00314971" w:rsidTr="003744C0">
        <w:trPr>
          <w:gridBefore w:val="1"/>
          <w:wBefore w:w="398" w:type="dxa"/>
          <w:trHeight w:val="163"/>
          <w:jc w:val="center"/>
        </w:trPr>
        <w:tc>
          <w:tcPr>
            <w:tcW w:w="9321" w:type="dxa"/>
            <w:gridSpan w:val="6"/>
            <w:vAlign w:val="center"/>
          </w:tcPr>
          <w:p w:rsidR="003E3492" w:rsidRPr="00314971" w:rsidRDefault="003E3492" w:rsidP="0065284E">
            <w:pPr>
              <w:pStyle w:val="naiskr"/>
              <w:spacing w:before="0" w:after="0"/>
              <w:jc w:val="center"/>
              <w:rPr>
                <w:bCs/>
                <w:iCs/>
              </w:rPr>
            </w:pPr>
          </w:p>
        </w:tc>
      </w:tr>
      <w:tr w:rsidR="003E3492" w:rsidRPr="00314971" w:rsidTr="003744C0">
        <w:trPr>
          <w:gridBefore w:val="1"/>
          <w:wBefore w:w="398" w:type="dxa"/>
          <w:trHeight w:val="165"/>
          <w:jc w:val="center"/>
        </w:trPr>
        <w:tc>
          <w:tcPr>
            <w:tcW w:w="2166" w:type="dxa"/>
            <w:vAlign w:val="center"/>
          </w:tcPr>
          <w:p w:rsidR="003E3492" w:rsidRPr="00314971" w:rsidRDefault="003E3492" w:rsidP="0065284E">
            <w:pPr>
              <w:pStyle w:val="naiskr"/>
              <w:spacing w:before="0" w:after="0"/>
              <w:jc w:val="center"/>
            </w:pPr>
            <w:r w:rsidRPr="00314971">
              <w:t>A</w:t>
            </w:r>
          </w:p>
        </w:tc>
        <w:tc>
          <w:tcPr>
            <w:tcW w:w="2698" w:type="dxa"/>
            <w:gridSpan w:val="2"/>
            <w:vAlign w:val="center"/>
          </w:tcPr>
          <w:p w:rsidR="003E3492" w:rsidRPr="00314971" w:rsidRDefault="003E3492" w:rsidP="0065284E">
            <w:pPr>
              <w:pStyle w:val="naiskr"/>
              <w:spacing w:before="0" w:after="0"/>
              <w:jc w:val="center"/>
            </w:pPr>
            <w:r w:rsidRPr="00314971">
              <w:t>B</w:t>
            </w:r>
          </w:p>
        </w:tc>
        <w:tc>
          <w:tcPr>
            <w:tcW w:w="2476" w:type="dxa"/>
            <w:vAlign w:val="center"/>
          </w:tcPr>
          <w:p w:rsidR="003E3492" w:rsidRPr="00314971" w:rsidRDefault="003E3492" w:rsidP="0065284E">
            <w:pPr>
              <w:pStyle w:val="naiskr"/>
              <w:spacing w:before="0" w:after="0"/>
              <w:jc w:val="center"/>
            </w:pPr>
            <w:r w:rsidRPr="00314971">
              <w:t>C</w:t>
            </w:r>
          </w:p>
        </w:tc>
        <w:tc>
          <w:tcPr>
            <w:tcW w:w="1981" w:type="dxa"/>
            <w:gridSpan w:val="2"/>
            <w:vAlign w:val="center"/>
          </w:tcPr>
          <w:p w:rsidR="003E3492" w:rsidRPr="00314971" w:rsidRDefault="003E3492" w:rsidP="0065284E">
            <w:pPr>
              <w:pStyle w:val="naiskr"/>
              <w:spacing w:before="0" w:after="0"/>
              <w:jc w:val="center"/>
            </w:pPr>
            <w:r w:rsidRPr="00314971">
              <w:t>D</w:t>
            </w:r>
          </w:p>
        </w:tc>
      </w:tr>
      <w:tr w:rsidR="003E3492" w:rsidRPr="00314971" w:rsidTr="003744C0">
        <w:trPr>
          <w:gridBefore w:val="1"/>
          <w:wBefore w:w="398" w:type="dxa"/>
          <w:trHeight w:val="4708"/>
          <w:jc w:val="center"/>
        </w:trPr>
        <w:tc>
          <w:tcPr>
            <w:tcW w:w="2166" w:type="dxa"/>
          </w:tcPr>
          <w:p w:rsidR="003E3492" w:rsidRPr="00314971" w:rsidRDefault="003E3492" w:rsidP="0065284E">
            <w:pPr>
              <w:pStyle w:val="naiskr"/>
              <w:spacing w:before="0" w:after="0"/>
              <w:jc w:val="both"/>
            </w:pPr>
            <w:r w:rsidRPr="00314971">
              <w:rPr>
                <w:color w:val="000000"/>
              </w:rPr>
              <w:t>Attiecīgā ES tiesību akta panta numurs (uzskaitot katru tiesību akta</w:t>
            </w:r>
            <w:r w:rsidRPr="00314971">
              <w:rPr>
                <w:color w:val="000000"/>
              </w:rPr>
              <w:br/>
              <w:t>vienību – pantu, daļu, punktu, apakšpunktu)</w:t>
            </w:r>
          </w:p>
        </w:tc>
        <w:tc>
          <w:tcPr>
            <w:tcW w:w="2698" w:type="dxa"/>
            <w:gridSpan w:val="2"/>
          </w:tcPr>
          <w:p w:rsidR="003E3492" w:rsidRPr="00314971" w:rsidRDefault="003E3492" w:rsidP="0065284E">
            <w:pPr>
              <w:pStyle w:val="naiskr"/>
              <w:spacing w:before="0" w:after="0"/>
              <w:jc w:val="both"/>
              <w:rPr>
                <w:u w:val="single"/>
              </w:rPr>
            </w:pPr>
            <w:r w:rsidRPr="00314971">
              <w:rPr>
                <w:color w:val="000000"/>
              </w:rPr>
              <w:t>Projekta vienība, kas pārņem vai ievieš katru šīs tabulas A ailē minēto ES tiesību akta vienību</w:t>
            </w:r>
          </w:p>
        </w:tc>
        <w:tc>
          <w:tcPr>
            <w:tcW w:w="2476" w:type="dxa"/>
          </w:tcPr>
          <w:p w:rsidR="003E3492" w:rsidRPr="00314971" w:rsidRDefault="003E3492" w:rsidP="0065284E">
            <w:pPr>
              <w:spacing w:before="100" w:beforeAutospacing="1" w:after="100" w:afterAutospacing="1"/>
              <w:jc w:val="both"/>
              <w:rPr>
                <w:color w:val="000000"/>
              </w:rPr>
            </w:pPr>
            <w:r w:rsidRPr="00314971">
              <w:rPr>
                <w:color w:val="000000"/>
              </w:rPr>
              <w:t>Informācija par to, vai šīs tabulas A ailē minētās ES tiesību akta vienības tiek pārņemtas vai ieviestas pilnībā vai daļēji.</w:t>
            </w:r>
          </w:p>
          <w:p w:rsidR="003E3492" w:rsidRPr="00314971" w:rsidRDefault="003E3492" w:rsidP="0065284E">
            <w:pPr>
              <w:spacing w:before="100" w:beforeAutospacing="1" w:after="100" w:afterAutospacing="1"/>
              <w:jc w:val="both"/>
              <w:rPr>
                <w:color w:val="000000"/>
              </w:rPr>
            </w:pPr>
            <w:r w:rsidRPr="00314971">
              <w:rPr>
                <w:color w:val="000000"/>
              </w:rPr>
              <w:t>Ja attiecīgā ES tiesību akta vienība tiek pārņemta vai ieviesta daļēji, – sniedz attiecīgu skaidrojumu, kā arī precīzi norāda, kad un kādā veidā ES tiesību akta vienība tiks pārņemta vai ieviesta pilnībā.</w:t>
            </w:r>
          </w:p>
          <w:p w:rsidR="003E3492" w:rsidRPr="00314971" w:rsidRDefault="003E3492" w:rsidP="0065284E">
            <w:pPr>
              <w:pStyle w:val="naiskr"/>
              <w:spacing w:before="0" w:after="0"/>
              <w:jc w:val="both"/>
            </w:pPr>
            <w:r w:rsidRPr="00314971">
              <w:rPr>
                <w:color w:val="000000"/>
              </w:rPr>
              <w:t>Norāda institūciju, kas ir atbildīga par šo saistību izpildi pilnībā</w:t>
            </w:r>
          </w:p>
        </w:tc>
        <w:tc>
          <w:tcPr>
            <w:tcW w:w="1981" w:type="dxa"/>
            <w:gridSpan w:val="2"/>
          </w:tcPr>
          <w:p w:rsidR="003E3492" w:rsidRPr="00314971" w:rsidRDefault="003E3492" w:rsidP="0065284E">
            <w:pPr>
              <w:spacing w:before="100" w:beforeAutospacing="1" w:after="100" w:afterAutospacing="1"/>
              <w:jc w:val="both"/>
              <w:rPr>
                <w:color w:val="000000"/>
              </w:rPr>
            </w:pPr>
            <w:r w:rsidRPr="00314971">
              <w:rPr>
                <w:color w:val="000000"/>
              </w:rPr>
              <w:t>Informācija par to, vai šīs tabulas B ailē minētās projekta vienības paredz stingrākas prasības nekā šīs tabulas A ailē minētās ES tiesību akta vienības.</w:t>
            </w:r>
          </w:p>
          <w:p w:rsidR="003E3492" w:rsidRPr="00314971" w:rsidRDefault="003E3492" w:rsidP="0065284E">
            <w:pPr>
              <w:spacing w:before="100" w:beforeAutospacing="1" w:after="100" w:afterAutospacing="1"/>
              <w:jc w:val="both"/>
              <w:rPr>
                <w:color w:val="000000"/>
              </w:rPr>
            </w:pPr>
            <w:r w:rsidRPr="00314971">
              <w:rPr>
                <w:color w:val="000000"/>
              </w:rPr>
              <w:t>Ja projekts satur stingrākas prasības nekā attiecīgais ES tiesību akts, – norāda pamatojumu un samērīgumu.</w:t>
            </w:r>
          </w:p>
          <w:p w:rsidR="003E3492" w:rsidRPr="00314971" w:rsidRDefault="003E3492" w:rsidP="0065284E">
            <w:pPr>
              <w:pStyle w:val="naiskr"/>
              <w:spacing w:before="0" w:after="0"/>
              <w:jc w:val="both"/>
            </w:pPr>
            <w:r w:rsidRPr="00314971">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E5262" w:rsidRPr="00314971" w:rsidTr="003744C0">
        <w:trPr>
          <w:gridBefore w:val="1"/>
          <w:wBefore w:w="398" w:type="dxa"/>
          <w:trHeight w:val="191"/>
          <w:jc w:val="center"/>
        </w:trPr>
        <w:tc>
          <w:tcPr>
            <w:tcW w:w="2166" w:type="dxa"/>
            <w:vAlign w:val="center"/>
          </w:tcPr>
          <w:p w:rsidR="008E5262" w:rsidRPr="00314971" w:rsidRDefault="0004660D" w:rsidP="0065284E">
            <w:pPr>
              <w:pStyle w:val="naiskr"/>
              <w:spacing w:before="0" w:after="0"/>
              <w:jc w:val="center"/>
              <w:rPr>
                <w:sz w:val="22"/>
                <w:szCs w:val="22"/>
              </w:rPr>
            </w:pPr>
            <w:r w:rsidRPr="00314971">
              <w:rPr>
                <w:bCs/>
              </w:rPr>
              <w:t>Komisijas Regula Nr.1738/2005</w:t>
            </w:r>
          </w:p>
        </w:tc>
        <w:tc>
          <w:tcPr>
            <w:tcW w:w="2698" w:type="dxa"/>
            <w:gridSpan w:val="2"/>
            <w:vAlign w:val="center"/>
          </w:tcPr>
          <w:p w:rsidR="008E5262" w:rsidRPr="00314971" w:rsidRDefault="00653BD0" w:rsidP="0065284E">
            <w:pPr>
              <w:pStyle w:val="naiskr"/>
              <w:spacing w:before="0" w:after="0"/>
              <w:jc w:val="center"/>
              <w:rPr>
                <w:sz w:val="22"/>
                <w:szCs w:val="22"/>
              </w:rPr>
            </w:pPr>
            <w:r>
              <w:rPr>
                <w:sz w:val="22"/>
                <w:szCs w:val="22"/>
              </w:rPr>
              <w:t>1.</w:t>
            </w:r>
            <w:r w:rsidR="0004660D" w:rsidRPr="00314971">
              <w:rPr>
                <w:sz w:val="22"/>
                <w:szCs w:val="22"/>
              </w:rPr>
              <w:t>7.punkts</w:t>
            </w:r>
          </w:p>
        </w:tc>
        <w:tc>
          <w:tcPr>
            <w:tcW w:w="2476" w:type="dxa"/>
            <w:vAlign w:val="center"/>
          </w:tcPr>
          <w:p w:rsidR="008E5262" w:rsidRPr="00314971" w:rsidRDefault="0004660D" w:rsidP="0065284E">
            <w:pPr>
              <w:pStyle w:val="naiskr"/>
              <w:spacing w:before="0" w:after="0"/>
              <w:jc w:val="center"/>
              <w:rPr>
                <w:sz w:val="22"/>
                <w:szCs w:val="22"/>
              </w:rPr>
            </w:pPr>
            <w:r w:rsidRPr="00314971">
              <w:rPr>
                <w:sz w:val="22"/>
                <w:szCs w:val="22"/>
              </w:rPr>
              <w:t>Nodrošina Komisijas Regulas Nr.1738/2005 1.panta, I, II un III pielikuma prasību piemērošanu</w:t>
            </w:r>
          </w:p>
        </w:tc>
        <w:tc>
          <w:tcPr>
            <w:tcW w:w="1981" w:type="dxa"/>
            <w:gridSpan w:val="2"/>
            <w:vAlign w:val="center"/>
          </w:tcPr>
          <w:p w:rsidR="008E5262" w:rsidRPr="00314971" w:rsidRDefault="0004660D" w:rsidP="0065284E">
            <w:pPr>
              <w:pStyle w:val="naiskr"/>
              <w:spacing w:before="0" w:after="0"/>
              <w:jc w:val="center"/>
              <w:rPr>
                <w:sz w:val="22"/>
                <w:szCs w:val="22"/>
              </w:rPr>
            </w:pPr>
            <w:r w:rsidRPr="00314971">
              <w:rPr>
                <w:sz w:val="22"/>
                <w:szCs w:val="22"/>
              </w:rPr>
              <w:t>Nav</w:t>
            </w:r>
          </w:p>
        </w:tc>
      </w:tr>
      <w:tr w:rsidR="003E3492" w:rsidRPr="00314971" w:rsidTr="003744C0">
        <w:trPr>
          <w:gridBefore w:val="1"/>
          <w:wBefore w:w="398" w:type="dxa"/>
          <w:trHeight w:val="191"/>
          <w:jc w:val="center"/>
        </w:trPr>
        <w:tc>
          <w:tcPr>
            <w:tcW w:w="2166" w:type="dxa"/>
            <w:vAlign w:val="center"/>
          </w:tcPr>
          <w:p w:rsidR="003E3492" w:rsidRPr="00314971" w:rsidRDefault="003744C0" w:rsidP="0065284E">
            <w:pPr>
              <w:pStyle w:val="naiskr"/>
              <w:spacing w:before="0" w:after="0"/>
              <w:jc w:val="center"/>
              <w:rPr>
                <w:sz w:val="22"/>
                <w:szCs w:val="22"/>
              </w:rPr>
            </w:pPr>
            <w:r w:rsidRPr="00314971">
              <w:rPr>
                <w:sz w:val="22"/>
                <w:szCs w:val="22"/>
              </w:rPr>
              <w:t>Komisijas Regula nr.251/2009</w:t>
            </w:r>
          </w:p>
        </w:tc>
        <w:tc>
          <w:tcPr>
            <w:tcW w:w="2698" w:type="dxa"/>
            <w:gridSpan w:val="2"/>
            <w:vAlign w:val="center"/>
          </w:tcPr>
          <w:p w:rsidR="003E3492" w:rsidRPr="00314971" w:rsidRDefault="00653BD0" w:rsidP="0065284E">
            <w:pPr>
              <w:pStyle w:val="naiskr"/>
              <w:spacing w:before="0" w:after="0"/>
              <w:jc w:val="center"/>
              <w:rPr>
                <w:sz w:val="22"/>
                <w:szCs w:val="22"/>
              </w:rPr>
            </w:pPr>
            <w:r>
              <w:rPr>
                <w:sz w:val="22"/>
                <w:szCs w:val="22"/>
              </w:rPr>
              <w:t>1.</w:t>
            </w:r>
            <w:r w:rsidR="003744C0" w:rsidRPr="00314971">
              <w:rPr>
                <w:sz w:val="22"/>
                <w:szCs w:val="22"/>
              </w:rPr>
              <w:t>8</w:t>
            </w:r>
            <w:r w:rsidR="003E3492" w:rsidRPr="00314971">
              <w:rPr>
                <w:sz w:val="22"/>
                <w:szCs w:val="22"/>
              </w:rPr>
              <w:t xml:space="preserve">.punkts </w:t>
            </w:r>
          </w:p>
        </w:tc>
        <w:tc>
          <w:tcPr>
            <w:tcW w:w="2476" w:type="dxa"/>
            <w:vAlign w:val="center"/>
          </w:tcPr>
          <w:p w:rsidR="003E3492" w:rsidRPr="00314971" w:rsidRDefault="003E3492" w:rsidP="00962FD1">
            <w:pPr>
              <w:pStyle w:val="naiskr"/>
              <w:spacing w:before="0" w:after="0"/>
              <w:jc w:val="center"/>
              <w:rPr>
                <w:sz w:val="22"/>
                <w:szCs w:val="22"/>
              </w:rPr>
            </w:pPr>
            <w:r w:rsidRPr="00314971">
              <w:rPr>
                <w:sz w:val="22"/>
                <w:szCs w:val="22"/>
              </w:rPr>
              <w:t xml:space="preserve">Nodrošina </w:t>
            </w:r>
            <w:r w:rsidR="003744C0" w:rsidRPr="00314971">
              <w:rPr>
                <w:sz w:val="22"/>
                <w:szCs w:val="22"/>
              </w:rPr>
              <w:t xml:space="preserve">Komisijas Regulas nr.251/2009 </w:t>
            </w:r>
            <w:r w:rsidR="004672EA" w:rsidRPr="00314971">
              <w:rPr>
                <w:sz w:val="22"/>
                <w:szCs w:val="22"/>
              </w:rPr>
              <w:t xml:space="preserve">1.panta un </w:t>
            </w:r>
            <w:r w:rsidR="00962FD1">
              <w:rPr>
                <w:sz w:val="22"/>
                <w:szCs w:val="22"/>
              </w:rPr>
              <w:t>3</w:t>
            </w:r>
            <w:r w:rsidRPr="00314971">
              <w:rPr>
                <w:sz w:val="22"/>
                <w:szCs w:val="22"/>
              </w:rPr>
              <w:t xml:space="preserve">.pielikuma </w:t>
            </w:r>
            <w:r w:rsidR="00962FD1">
              <w:rPr>
                <w:sz w:val="22"/>
                <w:szCs w:val="22"/>
              </w:rPr>
              <w:t xml:space="preserve">piektās iedaļas </w:t>
            </w:r>
            <w:r w:rsidRPr="00314971">
              <w:rPr>
                <w:sz w:val="22"/>
                <w:szCs w:val="22"/>
              </w:rPr>
              <w:t xml:space="preserve">prasību </w:t>
            </w:r>
            <w:r w:rsidRPr="00314971">
              <w:rPr>
                <w:sz w:val="22"/>
                <w:szCs w:val="22"/>
              </w:rPr>
              <w:lastRenderedPageBreak/>
              <w:t>piemērošanu</w:t>
            </w:r>
          </w:p>
        </w:tc>
        <w:tc>
          <w:tcPr>
            <w:tcW w:w="1981" w:type="dxa"/>
            <w:gridSpan w:val="2"/>
            <w:vAlign w:val="center"/>
          </w:tcPr>
          <w:p w:rsidR="003E3492" w:rsidRPr="00314971" w:rsidRDefault="003E3492" w:rsidP="0065284E">
            <w:pPr>
              <w:pStyle w:val="naiskr"/>
              <w:spacing w:before="0" w:after="0"/>
              <w:jc w:val="center"/>
              <w:rPr>
                <w:sz w:val="22"/>
                <w:szCs w:val="22"/>
              </w:rPr>
            </w:pPr>
            <w:r w:rsidRPr="00314971">
              <w:rPr>
                <w:sz w:val="22"/>
                <w:szCs w:val="22"/>
              </w:rPr>
              <w:lastRenderedPageBreak/>
              <w:t>Nav</w:t>
            </w:r>
          </w:p>
        </w:tc>
      </w:tr>
      <w:tr w:rsidR="0069075A" w:rsidRPr="00314971" w:rsidTr="003744C0">
        <w:trPr>
          <w:gridBefore w:val="1"/>
          <w:wBefore w:w="398" w:type="dxa"/>
          <w:trHeight w:val="191"/>
          <w:jc w:val="center"/>
        </w:trPr>
        <w:tc>
          <w:tcPr>
            <w:tcW w:w="2166" w:type="dxa"/>
            <w:vAlign w:val="center"/>
          </w:tcPr>
          <w:p w:rsidR="0069075A" w:rsidRPr="00314971" w:rsidRDefault="0069075A" w:rsidP="0065284E">
            <w:pPr>
              <w:pStyle w:val="naiskr"/>
              <w:spacing w:before="0" w:after="0"/>
              <w:jc w:val="center"/>
              <w:rPr>
                <w:sz w:val="22"/>
                <w:szCs w:val="22"/>
              </w:rPr>
            </w:pPr>
            <w:r w:rsidRPr="00314971">
              <w:rPr>
                <w:bCs/>
                <w:sz w:val="22"/>
                <w:szCs w:val="22"/>
              </w:rPr>
              <w:lastRenderedPageBreak/>
              <w:t>Komisijas Regula Nr.973/2007</w:t>
            </w:r>
          </w:p>
        </w:tc>
        <w:tc>
          <w:tcPr>
            <w:tcW w:w="2698" w:type="dxa"/>
            <w:gridSpan w:val="2"/>
            <w:vAlign w:val="center"/>
          </w:tcPr>
          <w:p w:rsidR="0069075A" w:rsidRPr="00314971" w:rsidRDefault="00653BD0" w:rsidP="0065284E">
            <w:pPr>
              <w:pStyle w:val="naiskr"/>
              <w:spacing w:before="0" w:after="0"/>
              <w:jc w:val="center"/>
              <w:rPr>
                <w:sz w:val="22"/>
                <w:szCs w:val="22"/>
              </w:rPr>
            </w:pPr>
            <w:r>
              <w:rPr>
                <w:sz w:val="22"/>
                <w:szCs w:val="22"/>
              </w:rPr>
              <w:t>1.</w:t>
            </w:r>
            <w:r w:rsidR="0069075A" w:rsidRPr="00314971">
              <w:rPr>
                <w:sz w:val="22"/>
                <w:szCs w:val="22"/>
              </w:rPr>
              <w:t>9.punkts</w:t>
            </w:r>
          </w:p>
        </w:tc>
        <w:tc>
          <w:tcPr>
            <w:tcW w:w="2476" w:type="dxa"/>
            <w:vAlign w:val="center"/>
          </w:tcPr>
          <w:p w:rsidR="0069075A" w:rsidRPr="00314971" w:rsidRDefault="0069075A" w:rsidP="0065284E">
            <w:pPr>
              <w:pStyle w:val="naiskr"/>
              <w:spacing w:before="0" w:after="0"/>
              <w:jc w:val="center"/>
              <w:rPr>
                <w:sz w:val="22"/>
                <w:szCs w:val="22"/>
              </w:rPr>
            </w:pPr>
            <w:r w:rsidRPr="00314971">
              <w:rPr>
                <w:sz w:val="22"/>
                <w:szCs w:val="22"/>
              </w:rPr>
              <w:t xml:space="preserve">Nodrošina </w:t>
            </w:r>
            <w:r w:rsidRPr="00314971">
              <w:rPr>
                <w:bCs/>
                <w:sz w:val="22"/>
                <w:szCs w:val="22"/>
              </w:rPr>
              <w:t>Komisijas Regula Nr.973/2007</w:t>
            </w:r>
            <w:r w:rsidR="00CD470A" w:rsidRPr="00314971">
              <w:rPr>
                <w:bCs/>
                <w:sz w:val="22"/>
                <w:szCs w:val="22"/>
              </w:rPr>
              <w:t xml:space="preserve"> 1.panta prasību piemērošanu</w:t>
            </w:r>
            <w:r w:rsidRPr="00314971">
              <w:rPr>
                <w:bCs/>
                <w:sz w:val="22"/>
                <w:szCs w:val="22"/>
              </w:rPr>
              <w:t xml:space="preserve"> </w:t>
            </w:r>
            <w:r w:rsidR="00CD470A" w:rsidRPr="00314971">
              <w:rPr>
                <w:bCs/>
                <w:sz w:val="22"/>
                <w:szCs w:val="22"/>
              </w:rPr>
              <w:t>attiecībā uz grozītajiem pielikumiem I, II, III, IV un V.</w:t>
            </w:r>
          </w:p>
        </w:tc>
        <w:tc>
          <w:tcPr>
            <w:tcW w:w="1981" w:type="dxa"/>
            <w:gridSpan w:val="2"/>
            <w:vAlign w:val="center"/>
          </w:tcPr>
          <w:p w:rsidR="0069075A" w:rsidRPr="00314971" w:rsidRDefault="004672EA" w:rsidP="0065284E">
            <w:pPr>
              <w:pStyle w:val="naiskr"/>
              <w:spacing w:before="0" w:after="0"/>
              <w:jc w:val="center"/>
              <w:rPr>
                <w:sz w:val="22"/>
                <w:szCs w:val="22"/>
              </w:rPr>
            </w:pPr>
            <w:r w:rsidRPr="00314971">
              <w:rPr>
                <w:sz w:val="22"/>
                <w:szCs w:val="22"/>
              </w:rPr>
              <w:t>Nav</w:t>
            </w:r>
          </w:p>
        </w:tc>
      </w:tr>
      <w:tr w:rsidR="004E2009" w:rsidRPr="00314971" w:rsidTr="003744C0">
        <w:trPr>
          <w:gridBefore w:val="1"/>
          <w:wBefore w:w="398" w:type="dxa"/>
          <w:trHeight w:val="191"/>
          <w:jc w:val="center"/>
        </w:trPr>
        <w:tc>
          <w:tcPr>
            <w:tcW w:w="2166" w:type="dxa"/>
            <w:vAlign w:val="center"/>
          </w:tcPr>
          <w:p w:rsidR="004E2009" w:rsidRPr="00314971" w:rsidRDefault="004E2009" w:rsidP="0065284E">
            <w:pPr>
              <w:pStyle w:val="naiskr"/>
              <w:spacing w:before="0" w:after="0"/>
              <w:jc w:val="center"/>
              <w:rPr>
                <w:bCs/>
                <w:sz w:val="22"/>
                <w:szCs w:val="22"/>
              </w:rPr>
            </w:pPr>
            <w:r w:rsidRPr="00314971">
              <w:t>Eiropas Parlamenta un Padomes Regula Nr. 1158/2005</w:t>
            </w:r>
            <w:r w:rsidR="0017672F" w:rsidRPr="00314971">
              <w:t xml:space="preserve"> un Eiropas Parlamenta un Padomes Regula Nr. 1893/2006</w:t>
            </w:r>
          </w:p>
        </w:tc>
        <w:tc>
          <w:tcPr>
            <w:tcW w:w="2698" w:type="dxa"/>
            <w:gridSpan w:val="2"/>
            <w:vAlign w:val="center"/>
          </w:tcPr>
          <w:p w:rsidR="004E2009" w:rsidRPr="00314971" w:rsidRDefault="00653BD0" w:rsidP="0065284E">
            <w:pPr>
              <w:pStyle w:val="naiskr"/>
              <w:spacing w:before="0" w:after="0"/>
              <w:jc w:val="center"/>
              <w:rPr>
                <w:sz w:val="22"/>
                <w:szCs w:val="22"/>
              </w:rPr>
            </w:pPr>
            <w:r>
              <w:rPr>
                <w:sz w:val="22"/>
                <w:szCs w:val="22"/>
              </w:rPr>
              <w:t>1.</w:t>
            </w:r>
            <w:r w:rsidR="004E2009" w:rsidRPr="00314971">
              <w:rPr>
                <w:sz w:val="22"/>
                <w:szCs w:val="22"/>
              </w:rPr>
              <w:t>13.punkts</w:t>
            </w:r>
            <w:r w:rsidR="00A51C28">
              <w:rPr>
                <w:sz w:val="22"/>
                <w:szCs w:val="22"/>
              </w:rPr>
              <w:t xml:space="preserve"> attiecībā uz MK noteikumu 178.pielikumu</w:t>
            </w:r>
          </w:p>
        </w:tc>
        <w:tc>
          <w:tcPr>
            <w:tcW w:w="2476" w:type="dxa"/>
            <w:vAlign w:val="center"/>
          </w:tcPr>
          <w:p w:rsidR="004E2009" w:rsidRPr="00314971" w:rsidRDefault="004E2009" w:rsidP="0065284E">
            <w:pPr>
              <w:pStyle w:val="naiskr"/>
              <w:spacing w:before="0" w:after="0"/>
              <w:jc w:val="center"/>
              <w:rPr>
                <w:sz w:val="22"/>
                <w:szCs w:val="22"/>
              </w:rPr>
            </w:pPr>
            <w:r w:rsidRPr="00314971">
              <w:t>Nodrošina Eiropas Parlamenta un Padomes Regula Nr. 1158/2005 D pielikuma prasību piemērošanu</w:t>
            </w:r>
            <w:r w:rsidR="0017672F" w:rsidRPr="00314971">
              <w:t xml:space="preserve"> un Eiropas Parlamenta un Padomes Regula Nr. 1893/2006 III pielikuma grozījumu attiecībā uz D pielikumu prasību piemērošanu</w:t>
            </w:r>
          </w:p>
        </w:tc>
        <w:tc>
          <w:tcPr>
            <w:tcW w:w="1981" w:type="dxa"/>
            <w:gridSpan w:val="2"/>
            <w:vAlign w:val="center"/>
          </w:tcPr>
          <w:p w:rsidR="004E2009" w:rsidRPr="00314971" w:rsidRDefault="004E2009" w:rsidP="0065284E">
            <w:pPr>
              <w:pStyle w:val="naiskr"/>
              <w:spacing w:before="0" w:after="0"/>
              <w:jc w:val="center"/>
              <w:rPr>
                <w:sz w:val="22"/>
                <w:szCs w:val="22"/>
              </w:rPr>
            </w:pPr>
            <w:r w:rsidRPr="00314971">
              <w:rPr>
                <w:sz w:val="22"/>
                <w:szCs w:val="22"/>
              </w:rPr>
              <w:t>Nav</w:t>
            </w:r>
          </w:p>
        </w:tc>
      </w:tr>
      <w:tr w:rsidR="004E2009" w:rsidRPr="00314971" w:rsidTr="003744C0">
        <w:trPr>
          <w:gridBefore w:val="1"/>
          <w:wBefore w:w="398" w:type="dxa"/>
          <w:trHeight w:val="191"/>
          <w:jc w:val="center"/>
        </w:trPr>
        <w:tc>
          <w:tcPr>
            <w:tcW w:w="2166" w:type="dxa"/>
            <w:vAlign w:val="center"/>
          </w:tcPr>
          <w:p w:rsidR="004E2009" w:rsidRPr="00314971" w:rsidRDefault="0017672F" w:rsidP="0065284E">
            <w:pPr>
              <w:pStyle w:val="naiskr"/>
              <w:spacing w:before="0" w:after="0"/>
              <w:jc w:val="center"/>
            </w:pPr>
            <w:r w:rsidRPr="00314971">
              <w:t>Eiropas Parlamenta un Padomes Regula Nr. 1893/2006</w:t>
            </w:r>
          </w:p>
        </w:tc>
        <w:tc>
          <w:tcPr>
            <w:tcW w:w="2698" w:type="dxa"/>
            <w:gridSpan w:val="2"/>
            <w:vAlign w:val="center"/>
          </w:tcPr>
          <w:p w:rsidR="004E2009" w:rsidRPr="00314971" w:rsidRDefault="00653BD0" w:rsidP="0065284E">
            <w:pPr>
              <w:pStyle w:val="naiskr"/>
              <w:spacing w:before="0" w:after="0"/>
              <w:jc w:val="center"/>
              <w:rPr>
                <w:sz w:val="22"/>
                <w:szCs w:val="22"/>
              </w:rPr>
            </w:pPr>
            <w:r>
              <w:rPr>
                <w:sz w:val="22"/>
                <w:szCs w:val="22"/>
              </w:rPr>
              <w:t>1.</w:t>
            </w:r>
            <w:r w:rsidR="0017672F" w:rsidRPr="00314971">
              <w:rPr>
                <w:sz w:val="22"/>
                <w:szCs w:val="22"/>
              </w:rPr>
              <w:t>15</w:t>
            </w:r>
            <w:r w:rsidR="004E2009" w:rsidRPr="00314971">
              <w:rPr>
                <w:sz w:val="22"/>
                <w:szCs w:val="22"/>
              </w:rPr>
              <w:t>.punkts</w:t>
            </w:r>
            <w:r w:rsidR="00A51C28">
              <w:rPr>
                <w:sz w:val="22"/>
                <w:szCs w:val="22"/>
              </w:rPr>
              <w:t xml:space="preserve"> attiecībā uz MK noteikumu 60.pielikumu</w:t>
            </w:r>
          </w:p>
        </w:tc>
        <w:tc>
          <w:tcPr>
            <w:tcW w:w="2476" w:type="dxa"/>
            <w:vAlign w:val="center"/>
          </w:tcPr>
          <w:p w:rsidR="004E2009" w:rsidRPr="00314971" w:rsidRDefault="0017672F" w:rsidP="0065284E">
            <w:pPr>
              <w:pStyle w:val="naiskr"/>
              <w:spacing w:before="0" w:after="0"/>
              <w:jc w:val="center"/>
              <w:rPr>
                <w:sz w:val="22"/>
                <w:szCs w:val="22"/>
              </w:rPr>
            </w:pPr>
            <w:r w:rsidRPr="00314971">
              <w:t>Eiropas Parlamenta un Padomes Regula Nr. 1893/2006 III pielikuma grozījumu attiecībā uz D pielikumu prasību piemērošanu</w:t>
            </w:r>
          </w:p>
        </w:tc>
        <w:tc>
          <w:tcPr>
            <w:tcW w:w="1981" w:type="dxa"/>
            <w:gridSpan w:val="2"/>
            <w:vAlign w:val="center"/>
          </w:tcPr>
          <w:p w:rsidR="004E2009" w:rsidRPr="00314971" w:rsidRDefault="0017672F" w:rsidP="0065284E">
            <w:pPr>
              <w:pStyle w:val="naiskr"/>
              <w:spacing w:before="0" w:after="0"/>
              <w:jc w:val="center"/>
              <w:rPr>
                <w:sz w:val="22"/>
                <w:szCs w:val="22"/>
              </w:rPr>
            </w:pPr>
            <w:r w:rsidRPr="00314971">
              <w:rPr>
                <w:sz w:val="22"/>
                <w:szCs w:val="22"/>
              </w:rPr>
              <w:t>Nav</w:t>
            </w:r>
          </w:p>
        </w:tc>
      </w:tr>
      <w:tr w:rsidR="003E3492" w:rsidRPr="00314971" w:rsidTr="003744C0">
        <w:trPr>
          <w:gridBefore w:val="1"/>
          <w:wBefore w:w="398" w:type="dxa"/>
          <w:trHeight w:val="191"/>
          <w:jc w:val="center"/>
        </w:trPr>
        <w:tc>
          <w:tcPr>
            <w:tcW w:w="2166" w:type="dxa"/>
            <w:vAlign w:val="center"/>
          </w:tcPr>
          <w:p w:rsidR="003E3492" w:rsidRPr="00314971" w:rsidRDefault="003744C0" w:rsidP="0065284E">
            <w:pPr>
              <w:pStyle w:val="naiskr"/>
              <w:spacing w:before="0" w:after="0"/>
              <w:jc w:val="center"/>
              <w:rPr>
                <w:sz w:val="22"/>
                <w:szCs w:val="22"/>
              </w:rPr>
            </w:pPr>
            <w:r w:rsidRPr="00314971">
              <w:rPr>
                <w:sz w:val="22"/>
                <w:szCs w:val="22"/>
              </w:rPr>
              <w:t>Eiropas Parlamenta un Padomes Regula Nr.1337/2011</w:t>
            </w:r>
          </w:p>
        </w:tc>
        <w:tc>
          <w:tcPr>
            <w:tcW w:w="2698" w:type="dxa"/>
            <w:gridSpan w:val="2"/>
            <w:vAlign w:val="center"/>
          </w:tcPr>
          <w:p w:rsidR="003E3492" w:rsidRPr="00C53FA6" w:rsidRDefault="00653BD0" w:rsidP="0065284E">
            <w:pPr>
              <w:pStyle w:val="naiskr"/>
              <w:spacing w:before="0" w:after="0"/>
              <w:jc w:val="center"/>
              <w:rPr>
                <w:sz w:val="22"/>
                <w:szCs w:val="22"/>
              </w:rPr>
            </w:pPr>
            <w:r w:rsidRPr="00C53FA6">
              <w:rPr>
                <w:sz w:val="22"/>
                <w:szCs w:val="22"/>
              </w:rPr>
              <w:t>1.20</w:t>
            </w:r>
            <w:r w:rsidR="003E3492" w:rsidRPr="00C53FA6">
              <w:rPr>
                <w:sz w:val="22"/>
                <w:szCs w:val="22"/>
              </w:rPr>
              <w:t>.punkts</w:t>
            </w:r>
          </w:p>
        </w:tc>
        <w:tc>
          <w:tcPr>
            <w:tcW w:w="2476" w:type="dxa"/>
            <w:vAlign w:val="center"/>
          </w:tcPr>
          <w:p w:rsidR="003E3492" w:rsidRPr="00314971" w:rsidRDefault="003E3492" w:rsidP="001A7949">
            <w:pPr>
              <w:pStyle w:val="naiskr"/>
              <w:spacing w:before="0" w:after="0"/>
              <w:jc w:val="center"/>
              <w:rPr>
                <w:sz w:val="22"/>
                <w:szCs w:val="22"/>
              </w:rPr>
            </w:pPr>
            <w:r w:rsidRPr="00314971">
              <w:rPr>
                <w:sz w:val="22"/>
                <w:szCs w:val="22"/>
              </w:rPr>
              <w:t xml:space="preserve">Nodrošina </w:t>
            </w:r>
            <w:r w:rsidR="003744C0" w:rsidRPr="00314971">
              <w:rPr>
                <w:sz w:val="22"/>
                <w:szCs w:val="22"/>
              </w:rPr>
              <w:t xml:space="preserve">Eiropas Parlamenta un Padomes Regulas Nr.1337/2011 </w:t>
            </w:r>
            <w:r w:rsidRPr="00314971">
              <w:rPr>
                <w:sz w:val="22"/>
                <w:szCs w:val="22"/>
              </w:rPr>
              <w:t>prasību piemērošanu</w:t>
            </w:r>
          </w:p>
        </w:tc>
        <w:tc>
          <w:tcPr>
            <w:tcW w:w="1981" w:type="dxa"/>
            <w:gridSpan w:val="2"/>
            <w:vAlign w:val="center"/>
          </w:tcPr>
          <w:p w:rsidR="003E3492" w:rsidRPr="00314971" w:rsidRDefault="003E3492" w:rsidP="0065284E">
            <w:pPr>
              <w:pStyle w:val="naiskr"/>
              <w:spacing w:before="0" w:after="0"/>
              <w:jc w:val="center"/>
              <w:rPr>
                <w:sz w:val="22"/>
                <w:szCs w:val="22"/>
              </w:rPr>
            </w:pPr>
            <w:r w:rsidRPr="00314971">
              <w:rPr>
                <w:sz w:val="22"/>
                <w:szCs w:val="22"/>
              </w:rPr>
              <w:t>Nav</w:t>
            </w:r>
          </w:p>
        </w:tc>
      </w:tr>
      <w:tr w:rsidR="003E3492" w:rsidRPr="00314971" w:rsidTr="003744C0">
        <w:trPr>
          <w:gridBefore w:val="1"/>
          <w:wBefore w:w="398" w:type="dxa"/>
          <w:trHeight w:val="191"/>
          <w:jc w:val="center"/>
        </w:trPr>
        <w:tc>
          <w:tcPr>
            <w:tcW w:w="2166" w:type="dxa"/>
            <w:vAlign w:val="center"/>
          </w:tcPr>
          <w:p w:rsidR="003E3492" w:rsidRPr="00314971" w:rsidRDefault="003744C0" w:rsidP="0065284E">
            <w:pPr>
              <w:pStyle w:val="naiskr"/>
              <w:spacing w:before="0" w:after="0"/>
              <w:jc w:val="center"/>
              <w:rPr>
                <w:sz w:val="22"/>
                <w:szCs w:val="22"/>
              </w:rPr>
            </w:pPr>
            <w:r w:rsidRPr="00314971">
              <w:rPr>
                <w:sz w:val="22"/>
                <w:szCs w:val="22"/>
              </w:rPr>
              <w:t>Eiropas Parlamenta un Padomes Regula Nr.692/2011</w:t>
            </w:r>
          </w:p>
        </w:tc>
        <w:tc>
          <w:tcPr>
            <w:tcW w:w="2698" w:type="dxa"/>
            <w:gridSpan w:val="2"/>
            <w:vAlign w:val="center"/>
          </w:tcPr>
          <w:p w:rsidR="003E3492" w:rsidRPr="00C53FA6" w:rsidRDefault="00653BD0" w:rsidP="003744C0">
            <w:pPr>
              <w:pStyle w:val="naiskr"/>
              <w:spacing w:before="0" w:after="0"/>
              <w:jc w:val="center"/>
              <w:rPr>
                <w:sz w:val="22"/>
                <w:szCs w:val="22"/>
              </w:rPr>
            </w:pPr>
            <w:r w:rsidRPr="00C53FA6">
              <w:rPr>
                <w:sz w:val="22"/>
                <w:szCs w:val="22"/>
              </w:rPr>
              <w:t>1.23</w:t>
            </w:r>
            <w:r w:rsidR="003E3492" w:rsidRPr="00C53FA6">
              <w:rPr>
                <w:sz w:val="22"/>
                <w:szCs w:val="22"/>
              </w:rPr>
              <w:t xml:space="preserve">.punkts </w:t>
            </w:r>
          </w:p>
        </w:tc>
        <w:tc>
          <w:tcPr>
            <w:tcW w:w="2476" w:type="dxa"/>
            <w:vAlign w:val="center"/>
          </w:tcPr>
          <w:p w:rsidR="003744C0" w:rsidRPr="00314971" w:rsidRDefault="003E3492" w:rsidP="0065284E">
            <w:pPr>
              <w:pStyle w:val="naiskr"/>
              <w:spacing w:before="0" w:after="0"/>
              <w:jc w:val="center"/>
              <w:rPr>
                <w:sz w:val="22"/>
                <w:szCs w:val="22"/>
              </w:rPr>
            </w:pPr>
            <w:r w:rsidRPr="00314971">
              <w:rPr>
                <w:sz w:val="22"/>
                <w:szCs w:val="22"/>
              </w:rPr>
              <w:t xml:space="preserve">Nodrošina </w:t>
            </w:r>
            <w:r w:rsidR="003744C0" w:rsidRPr="00314971">
              <w:rPr>
                <w:sz w:val="22"/>
                <w:szCs w:val="22"/>
              </w:rPr>
              <w:t>Eiropas Parlamenta un Padomes Regulas Nr.692/2011</w:t>
            </w:r>
          </w:p>
          <w:p w:rsidR="003E3492" w:rsidRPr="00314971" w:rsidRDefault="003744C0" w:rsidP="003744C0">
            <w:pPr>
              <w:pStyle w:val="naiskr"/>
              <w:spacing w:before="0" w:after="0"/>
              <w:jc w:val="center"/>
              <w:rPr>
                <w:sz w:val="22"/>
                <w:szCs w:val="22"/>
              </w:rPr>
            </w:pPr>
            <w:r w:rsidRPr="00314971">
              <w:rPr>
                <w:rFonts w:eastAsiaTheme="minorHAnsi"/>
                <w:color w:val="000000"/>
                <w:sz w:val="22"/>
                <w:szCs w:val="22"/>
                <w:lang w:eastAsia="en-US"/>
              </w:rPr>
              <w:t>1. panta un 2. pielikuma "Valsts tūrisms"</w:t>
            </w:r>
            <w:r w:rsidRPr="00314971">
              <w:rPr>
                <w:rFonts w:ascii="Helv" w:eastAsiaTheme="minorHAnsi" w:hAnsi="Helv" w:cs="Helv"/>
                <w:color w:val="000000"/>
                <w:sz w:val="20"/>
                <w:szCs w:val="20"/>
                <w:lang w:eastAsia="en-US"/>
              </w:rPr>
              <w:t xml:space="preserve"> </w:t>
            </w:r>
            <w:r w:rsidR="003E3492" w:rsidRPr="00314971">
              <w:rPr>
                <w:sz w:val="22"/>
                <w:szCs w:val="22"/>
              </w:rPr>
              <w:t>prasību piemērošanu</w:t>
            </w:r>
          </w:p>
        </w:tc>
        <w:tc>
          <w:tcPr>
            <w:tcW w:w="1981" w:type="dxa"/>
            <w:gridSpan w:val="2"/>
            <w:vAlign w:val="center"/>
          </w:tcPr>
          <w:p w:rsidR="003E3492" w:rsidRPr="00314971" w:rsidRDefault="003E3492" w:rsidP="0065284E">
            <w:pPr>
              <w:pStyle w:val="naiskr"/>
              <w:spacing w:before="0" w:after="0"/>
              <w:jc w:val="center"/>
              <w:rPr>
                <w:sz w:val="22"/>
                <w:szCs w:val="22"/>
              </w:rPr>
            </w:pPr>
            <w:r w:rsidRPr="00314971">
              <w:rPr>
                <w:sz w:val="22"/>
                <w:szCs w:val="22"/>
              </w:rPr>
              <w:t>Nav</w:t>
            </w:r>
          </w:p>
        </w:tc>
      </w:tr>
      <w:tr w:rsidR="003E3492" w:rsidRPr="00314971" w:rsidTr="003744C0">
        <w:trPr>
          <w:gridBefore w:val="1"/>
          <w:wBefore w:w="398" w:type="dxa"/>
          <w:trHeight w:val="191"/>
          <w:jc w:val="center"/>
        </w:trPr>
        <w:tc>
          <w:tcPr>
            <w:tcW w:w="2166" w:type="dxa"/>
            <w:vAlign w:val="center"/>
          </w:tcPr>
          <w:p w:rsidR="003E3492" w:rsidRPr="00314971" w:rsidRDefault="003744C0" w:rsidP="0065284E">
            <w:pPr>
              <w:pStyle w:val="naiskr"/>
              <w:spacing w:before="0" w:after="0"/>
              <w:jc w:val="center"/>
              <w:rPr>
                <w:sz w:val="22"/>
                <w:szCs w:val="22"/>
              </w:rPr>
            </w:pPr>
            <w:r w:rsidRPr="00314971">
              <w:rPr>
                <w:rFonts w:cs="EUAlbertina"/>
                <w:bCs/>
                <w:color w:val="000000"/>
                <w:sz w:val="22"/>
                <w:szCs w:val="22"/>
              </w:rPr>
              <w:t>Komisijas Regula Nr.62/2012</w:t>
            </w:r>
          </w:p>
        </w:tc>
        <w:tc>
          <w:tcPr>
            <w:tcW w:w="2698" w:type="dxa"/>
            <w:gridSpan w:val="2"/>
            <w:vAlign w:val="center"/>
          </w:tcPr>
          <w:p w:rsidR="003E3492" w:rsidRPr="00C53FA6" w:rsidRDefault="00653BD0" w:rsidP="0065284E">
            <w:pPr>
              <w:pStyle w:val="naiskr"/>
              <w:spacing w:before="0" w:after="0"/>
              <w:jc w:val="center"/>
            </w:pPr>
            <w:r w:rsidRPr="00C53FA6">
              <w:t>1.24.</w:t>
            </w:r>
            <w:r w:rsidR="003E3492" w:rsidRPr="00C53FA6">
              <w:t>punkts</w:t>
            </w:r>
          </w:p>
        </w:tc>
        <w:tc>
          <w:tcPr>
            <w:tcW w:w="2476" w:type="dxa"/>
            <w:vAlign w:val="center"/>
          </w:tcPr>
          <w:p w:rsidR="003E3492" w:rsidRPr="00314971" w:rsidRDefault="003E3492" w:rsidP="00D50654">
            <w:pPr>
              <w:pStyle w:val="naiskr"/>
              <w:spacing w:before="0" w:after="0"/>
              <w:jc w:val="center"/>
              <w:rPr>
                <w:sz w:val="22"/>
                <w:szCs w:val="22"/>
              </w:rPr>
            </w:pPr>
            <w:r w:rsidRPr="00314971">
              <w:rPr>
                <w:sz w:val="22"/>
                <w:szCs w:val="22"/>
              </w:rPr>
              <w:t xml:space="preserve">Nodrošina </w:t>
            </w:r>
            <w:r w:rsidR="003744C0" w:rsidRPr="00314971">
              <w:rPr>
                <w:rFonts w:cs="EUAlbertina"/>
                <w:bCs/>
                <w:color w:val="000000"/>
                <w:sz w:val="22"/>
                <w:szCs w:val="22"/>
              </w:rPr>
              <w:t>Komisijas Regulas Nr.62/2012</w:t>
            </w:r>
            <w:r w:rsidRPr="00314971">
              <w:rPr>
                <w:sz w:val="22"/>
                <w:szCs w:val="22"/>
              </w:rPr>
              <w:t xml:space="preserve">  </w:t>
            </w:r>
            <w:r w:rsidR="00951307" w:rsidRPr="00314971">
              <w:rPr>
                <w:sz w:val="22"/>
                <w:szCs w:val="22"/>
              </w:rPr>
              <w:t>1.panta un</w:t>
            </w:r>
            <w:r w:rsidRPr="00314971">
              <w:rPr>
                <w:sz w:val="22"/>
                <w:szCs w:val="22"/>
              </w:rPr>
              <w:t xml:space="preserve"> pielikuma </w:t>
            </w:r>
            <w:r w:rsidR="00951307" w:rsidRPr="00314971">
              <w:rPr>
                <w:sz w:val="22"/>
                <w:szCs w:val="22"/>
              </w:rPr>
              <w:t>prasību piemērošanu</w:t>
            </w:r>
          </w:p>
        </w:tc>
        <w:tc>
          <w:tcPr>
            <w:tcW w:w="1981" w:type="dxa"/>
            <w:gridSpan w:val="2"/>
            <w:vAlign w:val="center"/>
          </w:tcPr>
          <w:p w:rsidR="003E3492" w:rsidRPr="00314971" w:rsidRDefault="003E3492" w:rsidP="0065284E">
            <w:pPr>
              <w:pStyle w:val="naiskr"/>
              <w:spacing w:before="0" w:after="0"/>
              <w:jc w:val="center"/>
            </w:pPr>
            <w:r w:rsidRPr="00314971">
              <w:t>Nav</w:t>
            </w:r>
          </w:p>
        </w:tc>
      </w:tr>
      <w:tr w:rsidR="0069075A" w:rsidRPr="00314971" w:rsidTr="003744C0">
        <w:trPr>
          <w:gridBefore w:val="1"/>
          <w:wBefore w:w="398" w:type="dxa"/>
          <w:trHeight w:val="191"/>
          <w:jc w:val="center"/>
        </w:trPr>
        <w:tc>
          <w:tcPr>
            <w:tcW w:w="2166" w:type="dxa"/>
            <w:vAlign w:val="center"/>
          </w:tcPr>
          <w:p w:rsidR="0069075A" w:rsidRPr="00314971" w:rsidRDefault="0069075A" w:rsidP="0065284E">
            <w:pPr>
              <w:pStyle w:val="naiskr"/>
              <w:spacing w:before="0" w:after="0"/>
              <w:jc w:val="center"/>
              <w:rPr>
                <w:rFonts w:cs="EUAlbertina"/>
                <w:bCs/>
                <w:color w:val="000000"/>
                <w:sz w:val="22"/>
                <w:szCs w:val="22"/>
              </w:rPr>
            </w:pPr>
          </w:p>
        </w:tc>
        <w:tc>
          <w:tcPr>
            <w:tcW w:w="2698" w:type="dxa"/>
            <w:gridSpan w:val="2"/>
            <w:vAlign w:val="center"/>
          </w:tcPr>
          <w:p w:rsidR="0069075A" w:rsidRPr="00314971" w:rsidRDefault="0069075A" w:rsidP="0065284E">
            <w:pPr>
              <w:pStyle w:val="naiskr"/>
              <w:spacing w:before="0" w:after="0"/>
              <w:jc w:val="center"/>
            </w:pPr>
          </w:p>
        </w:tc>
        <w:tc>
          <w:tcPr>
            <w:tcW w:w="2476" w:type="dxa"/>
            <w:vAlign w:val="center"/>
          </w:tcPr>
          <w:p w:rsidR="0069075A" w:rsidRPr="00314971" w:rsidRDefault="0069075A" w:rsidP="003744C0">
            <w:pPr>
              <w:pStyle w:val="naiskr"/>
              <w:spacing w:before="0" w:after="0"/>
              <w:jc w:val="center"/>
              <w:rPr>
                <w:sz w:val="22"/>
                <w:szCs w:val="22"/>
              </w:rPr>
            </w:pPr>
          </w:p>
        </w:tc>
        <w:tc>
          <w:tcPr>
            <w:tcW w:w="1981" w:type="dxa"/>
            <w:gridSpan w:val="2"/>
            <w:vAlign w:val="center"/>
          </w:tcPr>
          <w:p w:rsidR="0069075A" w:rsidRPr="00314971" w:rsidRDefault="0069075A" w:rsidP="0065284E">
            <w:pPr>
              <w:pStyle w:val="naiskr"/>
              <w:spacing w:before="0" w:after="0"/>
              <w:jc w:val="center"/>
            </w:pPr>
          </w:p>
        </w:tc>
      </w:tr>
      <w:tr w:rsidR="003E3492" w:rsidRPr="00314971" w:rsidTr="003744C0">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505" w:type="dxa"/>
        </w:trPr>
        <w:tc>
          <w:tcPr>
            <w:tcW w:w="2794" w:type="dxa"/>
            <w:gridSpan w:val="3"/>
            <w:tcBorders>
              <w:top w:val="outset" w:sz="6" w:space="0" w:color="auto"/>
              <w:bottom w:val="outset" w:sz="6" w:space="0" w:color="auto"/>
              <w:right w:val="outset" w:sz="6" w:space="0" w:color="auto"/>
            </w:tcBorders>
          </w:tcPr>
          <w:p w:rsidR="003E3492" w:rsidRPr="00314971" w:rsidRDefault="003E3492" w:rsidP="0065284E">
            <w:r w:rsidRPr="00314971">
              <w:t xml:space="preserve">Kā ir izmantota ES tiesību aktā paredzētā rīcības brīvība dalībvalstij pārņemt vai ieviest noteiktas ES tiesību akta normas? </w:t>
            </w:r>
          </w:p>
          <w:p w:rsidR="003E3492" w:rsidRPr="00314971" w:rsidRDefault="003E3492" w:rsidP="0065284E">
            <w:pPr>
              <w:spacing w:before="68" w:after="68"/>
              <w:ind w:firstLine="340"/>
              <w:jc w:val="both"/>
            </w:pPr>
            <w:r w:rsidRPr="00314971">
              <w:t>Kādēļ?</w:t>
            </w:r>
          </w:p>
        </w:tc>
        <w:tc>
          <w:tcPr>
            <w:tcW w:w="6420" w:type="dxa"/>
            <w:gridSpan w:val="3"/>
            <w:tcBorders>
              <w:top w:val="outset" w:sz="6" w:space="0" w:color="auto"/>
              <w:left w:val="outset" w:sz="6" w:space="0" w:color="auto"/>
              <w:bottom w:val="outset" w:sz="6" w:space="0" w:color="auto"/>
            </w:tcBorders>
          </w:tcPr>
          <w:p w:rsidR="00314971" w:rsidRDefault="00314971" w:rsidP="00314971">
            <w:pPr>
              <w:pStyle w:val="ListParagraph"/>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sidRPr="00314971">
              <w:t xml:space="preserve">Eiropas Parlamenta un Padomes Regula Nr.1337/2011  - Latvija izmanto paredzēto rīcības brīvību tādejādi, ka ar veidlapu Nr.5-LS (MK noteikumu projekta 34.pielikums), tiks </w:t>
            </w:r>
            <w:r w:rsidRPr="00314971">
              <w:rPr>
                <w:rFonts w:eastAsiaTheme="minorHAnsi"/>
                <w:color w:val="000000"/>
                <w:lang w:eastAsia="en-US"/>
              </w:rPr>
              <w:t>apsekotas tikai ābeles, jo pārējās kultūras ir zem noteiktā sliekšņa.</w:t>
            </w:r>
          </w:p>
          <w:p w:rsidR="00314971" w:rsidRPr="00314971" w:rsidRDefault="00314971" w:rsidP="00314971">
            <w:pPr>
              <w:pStyle w:val="ListParagraph"/>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sidRPr="00314971">
              <w:t>Eiropas Parlamenta un Padomes Regula Nr. 1158/2005 un Eiropas Parlamenta un Padomes Regula Nr. 1893/2006</w:t>
            </w:r>
            <w:r>
              <w:t xml:space="preserve"> – pieļauj dalībvalstīm sūtīt datus augstākā agregācijas līmenī, bet šo iespēju Latvija neizmanto, jo detalizētāks datu līmenis ir nepieciešams </w:t>
            </w:r>
            <w:r w:rsidR="00CA7C62">
              <w:t xml:space="preserve"> CSP Makroekonomikas statistikas departamentam statistikas nodrošināšanai.</w:t>
            </w:r>
          </w:p>
          <w:p w:rsidR="003E3492" w:rsidRPr="00314971" w:rsidRDefault="003E3492" w:rsidP="0065284E">
            <w:pPr>
              <w:ind w:firstLine="111"/>
            </w:pPr>
          </w:p>
        </w:tc>
      </w:tr>
      <w:tr w:rsidR="003E3492" w:rsidRPr="00314971" w:rsidTr="003744C0">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505" w:type="dxa"/>
        </w:trPr>
        <w:tc>
          <w:tcPr>
            <w:tcW w:w="2794" w:type="dxa"/>
            <w:gridSpan w:val="3"/>
            <w:tcBorders>
              <w:top w:val="outset" w:sz="6" w:space="0" w:color="auto"/>
              <w:bottom w:val="outset" w:sz="6" w:space="0" w:color="auto"/>
              <w:right w:val="outset" w:sz="6" w:space="0" w:color="auto"/>
            </w:tcBorders>
          </w:tcPr>
          <w:p w:rsidR="003E3492" w:rsidRPr="00314971" w:rsidRDefault="003E3492" w:rsidP="0065284E">
            <w:r w:rsidRPr="00314971">
              <w:t xml:space="preserve">Saistības sniegt paziņojumu </w:t>
            </w:r>
            <w:r w:rsidRPr="00314971">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6420" w:type="dxa"/>
            <w:gridSpan w:val="3"/>
            <w:tcBorders>
              <w:top w:val="outset" w:sz="6" w:space="0" w:color="auto"/>
              <w:left w:val="outset" w:sz="6" w:space="0" w:color="auto"/>
              <w:bottom w:val="outset" w:sz="6" w:space="0" w:color="auto"/>
            </w:tcBorders>
          </w:tcPr>
          <w:p w:rsidR="003E3492" w:rsidRPr="00314971" w:rsidRDefault="003E3492" w:rsidP="0065284E">
            <w:pPr>
              <w:ind w:firstLine="111"/>
            </w:pPr>
            <w:r w:rsidRPr="00314971">
              <w:rPr>
                <w:bCs/>
              </w:rPr>
              <w:lastRenderedPageBreak/>
              <w:t>Projekts šo jomu neskar</w:t>
            </w:r>
          </w:p>
        </w:tc>
      </w:tr>
      <w:tr w:rsidR="003E3492" w:rsidRPr="00314971" w:rsidTr="003744C0">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505" w:type="dxa"/>
        </w:trPr>
        <w:tc>
          <w:tcPr>
            <w:tcW w:w="2794" w:type="dxa"/>
            <w:gridSpan w:val="3"/>
            <w:tcBorders>
              <w:top w:val="outset" w:sz="6" w:space="0" w:color="auto"/>
              <w:bottom w:val="outset" w:sz="6" w:space="0" w:color="auto"/>
              <w:right w:val="outset" w:sz="6" w:space="0" w:color="auto"/>
            </w:tcBorders>
          </w:tcPr>
          <w:p w:rsidR="003E3492" w:rsidRPr="00314971" w:rsidRDefault="003E3492" w:rsidP="0065284E">
            <w:r w:rsidRPr="00314971">
              <w:lastRenderedPageBreak/>
              <w:t>Cita informācija</w:t>
            </w:r>
          </w:p>
        </w:tc>
        <w:tc>
          <w:tcPr>
            <w:tcW w:w="6420" w:type="dxa"/>
            <w:gridSpan w:val="3"/>
            <w:tcBorders>
              <w:top w:val="outset" w:sz="6" w:space="0" w:color="auto"/>
              <w:left w:val="outset" w:sz="6" w:space="0" w:color="auto"/>
              <w:bottom w:val="outset" w:sz="6" w:space="0" w:color="auto"/>
            </w:tcBorders>
          </w:tcPr>
          <w:p w:rsidR="003E3492" w:rsidRPr="00314971" w:rsidRDefault="003E3492" w:rsidP="0065284E">
            <w:pPr>
              <w:spacing w:before="68" w:after="68"/>
              <w:ind w:firstLine="111"/>
              <w:jc w:val="both"/>
            </w:pPr>
            <w:r w:rsidRPr="00314971">
              <w:t>Nav</w:t>
            </w:r>
          </w:p>
        </w:tc>
      </w:tr>
    </w:tbl>
    <w:p w:rsidR="003E3492" w:rsidRPr="00314971" w:rsidRDefault="003E3492" w:rsidP="003E3492"/>
    <w:tbl>
      <w:tblPr>
        <w:tblW w:w="5061" w:type="pct"/>
        <w:tblInd w:w="-9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3"/>
        <w:gridCol w:w="390"/>
        <w:gridCol w:w="3259"/>
        <w:gridCol w:w="776"/>
        <w:gridCol w:w="4706"/>
        <w:gridCol w:w="18"/>
      </w:tblGrid>
      <w:tr w:rsidR="003E3492" w:rsidRPr="00314971" w:rsidTr="00F55361">
        <w:trPr>
          <w:gridBefore w:val="1"/>
          <w:gridAfter w:val="1"/>
          <w:wBefore w:w="50" w:type="pct"/>
          <w:wAfter w:w="10" w:type="pct"/>
          <w:trHeight w:val="15"/>
        </w:trPr>
        <w:tc>
          <w:tcPr>
            <w:tcW w:w="4940" w:type="pct"/>
            <w:gridSpan w:val="4"/>
            <w:tcBorders>
              <w:top w:val="outset" w:sz="6" w:space="0" w:color="auto"/>
              <w:bottom w:val="outset" w:sz="6" w:space="0" w:color="auto"/>
            </w:tcBorders>
            <w:vAlign w:val="center"/>
          </w:tcPr>
          <w:p w:rsidR="003E3492" w:rsidRPr="00314971" w:rsidRDefault="003E3492" w:rsidP="0065284E">
            <w:pPr>
              <w:spacing w:before="68" w:after="68" w:line="15" w:lineRule="atLeast"/>
              <w:jc w:val="center"/>
            </w:pPr>
            <w:r w:rsidRPr="00314971">
              <w:rPr>
                <w:b/>
                <w:bCs/>
              </w:rPr>
              <w:t>2.tabula</w:t>
            </w:r>
            <w:r w:rsidRPr="00314971">
              <w:rPr>
                <w:b/>
                <w:bCs/>
              </w:rPr>
              <w:br/>
              <w:t>Ar tiesību akta projektu izpildītās vai uzņemtās saistības, kas izriet no starptautiskajiem tiesību aktiem vai starptautiskas institūcijas vai organizācijas dokumentiem.</w:t>
            </w:r>
            <w:r w:rsidRPr="00314971">
              <w:rPr>
                <w:b/>
                <w:bCs/>
              </w:rPr>
              <w:br/>
              <w:t>Pasākumi šo saistību izpildei</w:t>
            </w:r>
          </w:p>
        </w:tc>
      </w:tr>
      <w:tr w:rsidR="003E3492" w:rsidRPr="00314971" w:rsidTr="00F55361">
        <w:trPr>
          <w:gridBefore w:val="1"/>
          <w:gridAfter w:val="1"/>
          <w:wBefore w:w="50" w:type="pct"/>
          <w:wAfter w:w="10" w:type="pct"/>
          <w:trHeight w:val="15"/>
        </w:trPr>
        <w:tc>
          <w:tcPr>
            <w:tcW w:w="2394" w:type="pct"/>
            <w:gridSpan w:val="3"/>
            <w:tcBorders>
              <w:top w:val="outset" w:sz="6" w:space="0" w:color="auto"/>
              <w:bottom w:val="outset" w:sz="6" w:space="0" w:color="auto"/>
              <w:right w:val="outset" w:sz="6" w:space="0" w:color="auto"/>
            </w:tcBorders>
            <w:vAlign w:val="center"/>
          </w:tcPr>
          <w:p w:rsidR="003E3492" w:rsidRPr="00314971" w:rsidRDefault="003E3492" w:rsidP="0065284E">
            <w:pPr>
              <w:spacing w:line="15" w:lineRule="atLeast"/>
            </w:pPr>
            <w:r w:rsidRPr="00314971">
              <w:t>Attiecīgā starptautiskā tiesību akta vai starptautiskas institūcijas vai organizācijas dokumenta (turpmāk – starptautiskais dokuments) datums, numurs un nosaukums</w:t>
            </w:r>
          </w:p>
        </w:tc>
        <w:tc>
          <w:tcPr>
            <w:tcW w:w="2546" w:type="pct"/>
            <w:tcBorders>
              <w:top w:val="outset" w:sz="6" w:space="0" w:color="auto"/>
              <w:left w:val="outset" w:sz="6" w:space="0" w:color="auto"/>
              <w:bottom w:val="outset" w:sz="6" w:space="0" w:color="auto"/>
            </w:tcBorders>
          </w:tcPr>
          <w:p w:rsidR="003E3492" w:rsidRPr="00314971" w:rsidRDefault="003E3492" w:rsidP="0065284E">
            <w:pPr>
              <w:spacing w:line="15" w:lineRule="atLeast"/>
              <w:ind w:firstLine="111"/>
            </w:pPr>
            <w:r w:rsidRPr="00314971">
              <w:rPr>
                <w:bCs/>
              </w:rPr>
              <w:t>Projekts šo jomu neskar</w:t>
            </w:r>
          </w:p>
        </w:tc>
      </w:tr>
      <w:tr w:rsidR="003E3492" w:rsidRPr="00314971" w:rsidTr="00F55361">
        <w:trPr>
          <w:gridBefore w:val="1"/>
          <w:gridAfter w:val="1"/>
          <w:wBefore w:w="50" w:type="pct"/>
          <w:wAfter w:w="10" w:type="pct"/>
          <w:trHeight w:val="15"/>
        </w:trPr>
        <w:tc>
          <w:tcPr>
            <w:tcW w:w="2394" w:type="pct"/>
            <w:gridSpan w:val="3"/>
            <w:tcBorders>
              <w:top w:val="outset" w:sz="6" w:space="0" w:color="auto"/>
              <w:bottom w:val="outset" w:sz="6" w:space="0" w:color="auto"/>
              <w:right w:val="outset" w:sz="6" w:space="0" w:color="auto"/>
            </w:tcBorders>
          </w:tcPr>
          <w:p w:rsidR="003E3492" w:rsidRPr="00314971" w:rsidRDefault="003E3492" w:rsidP="0065284E">
            <w:pPr>
              <w:spacing w:line="15" w:lineRule="atLeast"/>
            </w:pPr>
            <w:r w:rsidRPr="00314971">
              <w:t>Vai starptautiskajā dokumentā paredzētās saistības nav pretrunā ar jau esošajām Latvijas Republikas starptautiskajām saistībām</w:t>
            </w:r>
          </w:p>
        </w:tc>
        <w:tc>
          <w:tcPr>
            <w:tcW w:w="2546" w:type="pct"/>
            <w:tcBorders>
              <w:top w:val="outset" w:sz="6" w:space="0" w:color="auto"/>
              <w:left w:val="outset" w:sz="6" w:space="0" w:color="auto"/>
              <w:bottom w:val="outset" w:sz="6" w:space="0" w:color="auto"/>
            </w:tcBorders>
          </w:tcPr>
          <w:p w:rsidR="003E3492" w:rsidRPr="00314971" w:rsidRDefault="003E3492" w:rsidP="0065284E">
            <w:pPr>
              <w:spacing w:line="15" w:lineRule="atLeast"/>
              <w:ind w:firstLine="111"/>
            </w:pPr>
            <w:r w:rsidRPr="00314971">
              <w:rPr>
                <w:bCs/>
              </w:rPr>
              <w:t>Projekts šo jomu neskar</w:t>
            </w:r>
          </w:p>
        </w:tc>
      </w:tr>
      <w:tr w:rsidR="003E3492" w:rsidRPr="00314971" w:rsidTr="00F55361">
        <w:trPr>
          <w:gridBefore w:val="1"/>
          <w:gridAfter w:val="1"/>
          <w:wBefore w:w="50" w:type="pct"/>
          <w:wAfter w:w="10" w:type="pct"/>
          <w:trHeight w:val="15"/>
        </w:trPr>
        <w:tc>
          <w:tcPr>
            <w:tcW w:w="2394" w:type="pct"/>
            <w:gridSpan w:val="3"/>
            <w:tcBorders>
              <w:top w:val="outset" w:sz="6" w:space="0" w:color="auto"/>
              <w:bottom w:val="outset" w:sz="6" w:space="0" w:color="auto"/>
              <w:right w:val="outset" w:sz="6" w:space="0" w:color="auto"/>
            </w:tcBorders>
          </w:tcPr>
          <w:p w:rsidR="003E3492" w:rsidRPr="00314971" w:rsidRDefault="003E3492" w:rsidP="0065284E">
            <w:pPr>
              <w:spacing w:line="15" w:lineRule="atLeast"/>
            </w:pPr>
            <w:r w:rsidRPr="00314971">
              <w:t>Cita informācija</w:t>
            </w:r>
          </w:p>
        </w:tc>
        <w:tc>
          <w:tcPr>
            <w:tcW w:w="2546" w:type="pct"/>
            <w:tcBorders>
              <w:top w:val="outset" w:sz="6" w:space="0" w:color="auto"/>
              <w:left w:val="outset" w:sz="6" w:space="0" w:color="auto"/>
              <w:bottom w:val="outset" w:sz="6" w:space="0" w:color="auto"/>
            </w:tcBorders>
          </w:tcPr>
          <w:p w:rsidR="003E3492" w:rsidRPr="00314971" w:rsidRDefault="003E3492" w:rsidP="0065284E">
            <w:pPr>
              <w:spacing w:before="68" w:after="68" w:line="15" w:lineRule="atLeast"/>
              <w:ind w:firstLine="111"/>
              <w:jc w:val="both"/>
            </w:pPr>
            <w:r w:rsidRPr="00314971">
              <w:t>Nav</w:t>
            </w:r>
          </w:p>
        </w:tc>
      </w:tr>
      <w:tr w:rsidR="003E3492" w:rsidRPr="00314971" w:rsidTr="00F55361">
        <w:tblPrEx>
          <w:tblCellSpacing w:w="0" w:type="dxa"/>
          <w:tblCellMar>
            <w:top w:w="0" w:type="dxa"/>
            <w:left w:w="0" w:type="dxa"/>
            <w:bottom w:w="0" w:type="dxa"/>
            <w:right w:w="0" w:type="dxa"/>
          </w:tblCellMar>
        </w:tblPrEx>
        <w:trPr>
          <w:tblCellSpacing w:w="0" w:type="dxa"/>
        </w:trPr>
        <w:tc>
          <w:tcPr>
            <w:tcW w:w="5000" w:type="pct"/>
            <w:gridSpan w:val="6"/>
            <w:tcBorders>
              <w:top w:val="outset" w:sz="6" w:space="0" w:color="auto"/>
              <w:bottom w:val="outset" w:sz="6" w:space="0" w:color="auto"/>
            </w:tcBorders>
          </w:tcPr>
          <w:p w:rsidR="003E3492" w:rsidRPr="00314971" w:rsidRDefault="003E3492" w:rsidP="0065284E">
            <w:pPr>
              <w:spacing w:before="75" w:after="75"/>
              <w:jc w:val="center"/>
              <w:rPr>
                <w:b/>
                <w:bCs/>
              </w:rPr>
            </w:pPr>
            <w:r w:rsidRPr="00314971">
              <w:rPr>
                <w:b/>
                <w:bCs/>
              </w:rPr>
              <w:t>VII. Tiesību akta projekta izpildes nodrošināšana un tās ietekme uz institūcijām</w:t>
            </w:r>
          </w:p>
        </w:tc>
      </w:tr>
      <w:tr w:rsidR="003E3492" w:rsidRPr="00314971" w:rsidTr="00F55361">
        <w:tblPrEx>
          <w:tblCellSpacing w:w="0" w:type="dxa"/>
          <w:tblCellMar>
            <w:top w:w="0" w:type="dxa"/>
            <w:left w:w="0" w:type="dxa"/>
            <w:bottom w:w="0" w:type="dxa"/>
            <w:right w:w="0" w:type="dxa"/>
          </w:tblCellMar>
        </w:tblPrEx>
        <w:trPr>
          <w:tblCellSpacing w:w="0" w:type="dxa"/>
        </w:trPr>
        <w:tc>
          <w:tcPr>
            <w:tcW w:w="261" w:type="pct"/>
            <w:gridSpan w:val="2"/>
            <w:tcBorders>
              <w:top w:val="outset" w:sz="6" w:space="0" w:color="auto"/>
              <w:bottom w:val="outset" w:sz="6" w:space="0" w:color="auto"/>
              <w:right w:val="outset" w:sz="6" w:space="0" w:color="auto"/>
            </w:tcBorders>
          </w:tcPr>
          <w:p w:rsidR="003E3492" w:rsidRPr="00314971" w:rsidRDefault="003E3492" w:rsidP="0065284E">
            <w:pPr>
              <w:spacing w:before="75"/>
            </w:pPr>
            <w:r w:rsidRPr="00314971">
              <w:t>1.</w:t>
            </w:r>
          </w:p>
        </w:tc>
        <w:tc>
          <w:tcPr>
            <w:tcW w:w="1763" w:type="pct"/>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pPr>
            <w:r w:rsidRPr="00314971">
              <w:t>Projekta izpildē iesaistītās institūcijas</w:t>
            </w:r>
          </w:p>
        </w:tc>
        <w:tc>
          <w:tcPr>
            <w:tcW w:w="2976" w:type="pct"/>
            <w:gridSpan w:val="3"/>
            <w:tcBorders>
              <w:top w:val="outset" w:sz="6" w:space="0" w:color="auto"/>
              <w:left w:val="outset" w:sz="6" w:space="0" w:color="auto"/>
              <w:bottom w:val="outset" w:sz="6" w:space="0" w:color="auto"/>
            </w:tcBorders>
          </w:tcPr>
          <w:p w:rsidR="003E3492" w:rsidRPr="00314971" w:rsidRDefault="003E3492" w:rsidP="0065284E">
            <w:pPr>
              <w:spacing w:before="75"/>
            </w:pPr>
            <w:r w:rsidRPr="00314971">
              <w:t>Centrālā statistikas pārvalde.</w:t>
            </w:r>
          </w:p>
        </w:tc>
      </w:tr>
      <w:tr w:rsidR="003E3492" w:rsidRPr="00314971" w:rsidTr="00F55361">
        <w:tblPrEx>
          <w:tblCellSpacing w:w="0" w:type="dxa"/>
          <w:tblCellMar>
            <w:top w:w="0" w:type="dxa"/>
            <w:left w:w="0" w:type="dxa"/>
            <w:bottom w:w="0" w:type="dxa"/>
            <w:right w:w="0" w:type="dxa"/>
          </w:tblCellMar>
        </w:tblPrEx>
        <w:trPr>
          <w:tblCellSpacing w:w="0" w:type="dxa"/>
        </w:trPr>
        <w:tc>
          <w:tcPr>
            <w:tcW w:w="261" w:type="pct"/>
            <w:gridSpan w:val="2"/>
            <w:tcBorders>
              <w:top w:val="outset" w:sz="6" w:space="0" w:color="auto"/>
              <w:bottom w:val="outset" w:sz="6" w:space="0" w:color="auto"/>
              <w:right w:val="outset" w:sz="6" w:space="0" w:color="auto"/>
            </w:tcBorders>
          </w:tcPr>
          <w:p w:rsidR="003E3492" w:rsidRPr="00314971" w:rsidRDefault="003E3492" w:rsidP="0065284E">
            <w:pPr>
              <w:spacing w:before="75"/>
            </w:pPr>
            <w:r w:rsidRPr="00314971">
              <w:t>2.</w:t>
            </w:r>
          </w:p>
        </w:tc>
        <w:tc>
          <w:tcPr>
            <w:tcW w:w="1763" w:type="pct"/>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pPr>
            <w:r w:rsidRPr="00314971">
              <w:t>Projekta izpildes ietekme uz pārvaldes funkcijām</w:t>
            </w:r>
          </w:p>
        </w:tc>
        <w:tc>
          <w:tcPr>
            <w:tcW w:w="2976" w:type="pct"/>
            <w:gridSpan w:val="3"/>
            <w:tcBorders>
              <w:top w:val="outset" w:sz="6" w:space="0" w:color="auto"/>
              <w:left w:val="outset" w:sz="6" w:space="0" w:color="auto"/>
              <w:bottom w:val="outset" w:sz="6" w:space="0" w:color="auto"/>
            </w:tcBorders>
          </w:tcPr>
          <w:p w:rsidR="003E3492" w:rsidRPr="00314971" w:rsidRDefault="003E3492" w:rsidP="0065284E">
            <w:pPr>
              <w:spacing w:before="75"/>
              <w:jc w:val="both"/>
            </w:pPr>
            <w:r w:rsidRPr="00314971">
              <w:rPr>
                <w:color w:val="000000"/>
              </w:rPr>
              <w:t xml:space="preserve">MK noteikumu projekts nemaina CSP kompetenci un funkcijas.  </w:t>
            </w:r>
          </w:p>
        </w:tc>
      </w:tr>
      <w:tr w:rsidR="003E3492" w:rsidRPr="00314971" w:rsidTr="00F55361">
        <w:tblPrEx>
          <w:tblCellSpacing w:w="0" w:type="dxa"/>
          <w:tblCellMar>
            <w:top w:w="0" w:type="dxa"/>
            <w:left w:w="0" w:type="dxa"/>
            <w:bottom w:w="0" w:type="dxa"/>
            <w:right w:w="0" w:type="dxa"/>
          </w:tblCellMar>
        </w:tblPrEx>
        <w:trPr>
          <w:tblCellSpacing w:w="0" w:type="dxa"/>
        </w:trPr>
        <w:tc>
          <w:tcPr>
            <w:tcW w:w="261" w:type="pct"/>
            <w:gridSpan w:val="2"/>
            <w:tcBorders>
              <w:top w:val="outset" w:sz="6" w:space="0" w:color="auto"/>
              <w:bottom w:val="outset" w:sz="6" w:space="0" w:color="auto"/>
              <w:right w:val="outset" w:sz="6" w:space="0" w:color="auto"/>
            </w:tcBorders>
          </w:tcPr>
          <w:p w:rsidR="003E3492" w:rsidRPr="00314971" w:rsidRDefault="003E3492" w:rsidP="0065284E">
            <w:pPr>
              <w:spacing w:before="75"/>
            </w:pPr>
            <w:r w:rsidRPr="00314971">
              <w:t>3.</w:t>
            </w:r>
          </w:p>
        </w:tc>
        <w:tc>
          <w:tcPr>
            <w:tcW w:w="1763" w:type="pct"/>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pPr>
            <w:r w:rsidRPr="00314971">
              <w:t>Projekta izpildes ietekme uz pārvaldes institucionālo struktūru.</w:t>
            </w:r>
          </w:p>
          <w:p w:rsidR="003E3492" w:rsidRPr="00314971" w:rsidRDefault="003E3492" w:rsidP="0065284E">
            <w:pPr>
              <w:spacing w:before="75"/>
            </w:pPr>
            <w:r w:rsidRPr="00314971">
              <w:t>Jaunu institūciju izveide</w:t>
            </w:r>
          </w:p>
        </w:tc>
        <w:tc>
          <w:tcPr>
            <w:tcW w:w="2976" w:type="pct"/>
            <w:gridSpan w:val="3"/>
            <w:tcBorders>
              <w:top w:val="outset" w:sz="6" w:space="0" w:color="auto"/>
              <w:left w:val="outset" w:sz="6" w:space="0" w:color="auto"/>
              <w:bottom w:val="outset" w:sz="6" w:space="0" w:color="auto"/>
            </w:tcBorders>
          </w:tcPr>
          <w:p w:rsidR="003E3492" w:rsidRPr="00314971" w:rsidRDefault="003E3492" w:rsidP="0065284E">
            <w:pPr>
              <w:spacing w:before="75"/>
            </w:pPr>
            <w:r w:rsidRPr="00314971">
              <w:rPr>
                <w:color w:val="000000"/>
              </w:rPr>
              <w:t>Jaunu institūciju izveide netiek paredzēta.</w:t>
            </w:r>
          </w:p>
        </w:tc>
      </w:tr>
      <w:tr w:rsidR="003E3492" w:rsidRPr="00314971" w:rsidTr="00F55361">
        <w:tblPrEx>
          <w:tblCellSpacing w:w="0" w:type="dxa"/>
          <w:tblCellMar>
            <w:top w:w="0" w:type="dxa"/>
            <w:left w:w="0" w:type="dxa"/>
            <w:bottom w:w="0" w:type="dxa"/>
            <w:right w:w="0" w:type="dxa"/>
          </w:tblCellMar>
        </w:tblPrEx>
        <w:trPr>
          <w:tblCellSpacing w:w="0" w:type="dxa"/>
        </w:trPr>
        <w:tc>
          <w:tcPr>
            <w:tcW w:w="261" w:type="pct"/>
            <w:gridSpan w:val="2"/>
            <w:tcBorders>
              <w:top w:val="outset" w:sz="6" w:space="0" w:color="auto"/>
              <w:bottom w:val="outset" w:sz="6" w:space="0" w:color="auto"/>
              <w:right w:val="outset" w:sz="6" w:space="0" w:color="auto"/>
            </w:tcBorders>
          </w:tcPr>
          <w:p w:rsidR="003E3492" w:rsidRPr="00314971" w:rsidRDefault="003E3492" w:rsidP="0065284E">
            <w:pPr>
              <w:spacing w:before="75"/>
            </w:pPr>
            <w:r w:rsidRPr="00314971">
              <w:t>4.</w:t>
            </w:r>
          </w:p>
        </w:tc>
        <w:tc>
          <w:tcPr>
            <w:tcW w:w="1763" w:type="pct"/>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pPr>
            <w:r w:rsidRPr="00314971">
              <w:t>Projekta izpildes ietekme uz pārvaldes institucionālo struktūru.</w:t>
            </w:r>
          </w:p>
          <w:p w:rsidR="003E3492" w:rsidRPr="00314971" w:rsidRDefault="003E3492" w:rsidP="0065284E">
            <w:pPr>
              <w:spacing w:before="75"/>
            </w:pPr>
            <w:r w:rsidRPr="00314971">
              <w:t>Esošu institūciju likvidācija</w:t>
            </w:r>
          </w:p>
        </w:tc>
        <w:tc>
          <w:tcPr>
            <w:tcW w:w="2976" w:type="pct"/>
            <w:gridSpan w:val="3"/>
            <w:tcBorders>
              <w:top w:val="outset" w:sz="6" w:space="0" w:color="auto"/>
              <w:left w:val="outset" w:sz="6" w:space="0" w:color="auto"/>
              <w:bottom w:val="outset" w:sz="6" w:space="0" w:color="auto"/>
            </w:tcBorders>
          </w:tcPr>
          <w:p w:rsidR="003E3492" w:rsidRPr="00314971" w:rsidRDefault="003E3492" w:rsidP="0065284E">
            <w:pPr>
              <w:spacing w:before="75"/>
            </w:pPr>
            <w:r w:rsidRPr="00314971">
              <w:rPr>
                <w:color w:val="000000"/>
              </w:rPr>
              <w:t>Institūcijas netiek likvidētas.</w:t>
            </w:r>
          </w:p>
        </w:tc>
      </w:tr>
      <w:tr w:rsidR="003E3492" w:rsidRPr="00314971" w:rsidTr="00F55361">
        <w:tblPrEx>
          <w:tblCellSpacing w:w="0" w:type="dxa"/>
          <w:tblCellMar>
            <w:top w:w="0" w:type="dxa"/>
            <w:left w:w="0" w:type="dxa"/>
            <w:bottom w:w="0" w:type="dxa"/>
            <w:right w:w="0" w:type="dxa"/>
          </w:tblCellMar>
        </w:tblPrEx>
        <w:trPr>
          <w:tblCellSpacing w:w="0" w:type="dxa"/>
        </w:trPr>
        <w:tc>
          <w:tcPr>
            <w:tcW w:w="261" w:type="pct"/>
            <w:gridSpan w:val="2"/>
            <w:tcBorders>
              <w:top w:val="outset" w:sz="6" w:space="0" w:color="auto"/>
              <w:bottom w:val="outset" w:sz="6" w:space="0" w:color="auto"/>
              <w:right w:val="outset" w:sz="6" w:space="0" w:color="auto"/>
            </w:tcBorders>
          </w:tcPr>
          <w:p w:rsidR="003E3492" w:rsidRPr="00314971" w:rsidRDefault="003E3492" w:rsidP="0065284E">
            <w:pPr>
              <w:spacing w:before="75"/>
            </w:pPr>
            <w:r w:rsidRPr="00314971">
              <w:t>5.</w:t>
            </w:r>
          </w:p>
        </w:tc>
        <w:tc>
          <w:tcPr>
            <w:tcW w:w="1763" w:type="pct"/>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pPr>
            <w:r w:rsidRPr="00314971">
              <w:t>Projekta izpildes ietekme uz pārvaldes institucionālo struktūru.</w:t>
            </w:r>
          </w:p>
          <w:p w:rsidR="003E3492" w:rsidRPr="00314971" w:rsidRDefault="003E3492" w:rsidP="0065284E">
            <w:pPr>
              <w:spacing w:before="75"/>
            </w:pPr>
            <w:r w:rsidRPr="00314971">
              <w:t>Esošu institūciju reorganizācija</w:t>
            </w:r>
          </w:p>
        </w:tc>
        <w:tc>
          <w:tcPr>
            <w:tcW w:w="2976" w:type="pct"/>
            <w:gridSpan w:val="3"/>
            <w:tcBorders>
              <w:top w:val="outset" w:sz="6" w:space="0" w:color="auto"/>
              <w:left w:val="outset" w:sz="6" w:space="0" w:color="auto"/>
              <w:bottom w:val="outset" w:sz="6" w:space="0" w:color="auto"/>
            </w:tcBorders>
          </w:tcPr>
          <w:p w:rsidR="003E3492" w:rsidRPr="00314971" w:rsidRDefault="003E3492" w:rsidP="0065284E">
            <w:pPr>
              <w:spacing w:before="75"/>
            </w:pPr>
            <w:r w:rsidRPr="00314971">
              <w:rPr>
                <w:color w:val="000000"/>
              </w:rPr>
              <w:t>Institūcijas netiek reorganizētas.</w:t>
            </w:r>
          </w:p>
        </w:tc>
      </w:tr>
      <w:tr w:rsidR="003E3492" w:rsidRPr="00314971" w:rsidTr="00F55361">
        <w:tblPrEx>
          <w:tblCellSpacing w:w="0" w:type="dxa"/>
          <w:tblCellMar>
            <w:top w:w="0" w:type="dxa"/>
            <w:left w:w="0" w:type="dxa"/>
            <w:bottom w:w="0" w:type="dxa"/>
            <w:right w:w="0" w:type="dxa"/>
          </w:tblCellMar>
        </w:tblPrEx>
        <w:trPr>
          <w:tblCellSpacing w:w="0" w:type="dxa"/>
        </w:trPr>
        <w:tc>
          <w:tcPr>
            <w:tcW w:w="261" w:type="pct"/>
            <w:gridSpan w:val="2"/>
            <w:tcBorders>
              <w:top w:val="outset" w:sz="6" w:space="0" w:color="auto"/>
              <w:bottom w:val="outset" w:sz="6" w:space="0" w:color="auto"/>
              <w:right w:val="outset" w:sz="6" w:space="0" w:color="auto"/>
            </w:tcBorders>
          </w:tcPr>
          <w:p w:rsidR="003E3492" w:rsidRPr="00314971" w:rsidRDefault="003E3492" w:rsidP="0065284E">
            <w:pPr>
              <w:spacing w:before="75"/>
            </w:pPr>
            <w:r w:rsidRPr="00314971">
              <w:t>6.</w:t>
            </w:r>
          </w:p>
        </w:tc>
        <w:tc>
          <w:tcPr>
            <w:tcW w:w="1763" w:type="pct"/>
            <w:tcBorders>
              <w:top w:val="outset" w:sz="6" w:space="0" w:color="auto"/>
              <w:left w:val="outset" w:sz="6" w:space="0" w:color="auto"/>
              <w:bottom w:val="outset" w:sz="6" w:space="0" w:color="auto"/>
              <w:right w:val="outset" w:sz="6" w:space="0" w:color="auto"/>
            </w:tcBorders>
          </w:tcPr>
          <w:p w:rsidR="003E3492" w:rsidRPr="00314971" w:rsidRDefault="003E3492" w:rsidP="0065284E">
            <w:pPr>
              <w:spacing w:before="75" w:after="120"/>
            </w:pPr>
            <w:r w:rsidRPr="00314971">
              <w:t>Cita informācija</w:t>
            </w:r>
          </w:p>
        </w:tc>
        <w:tc>
          <w:tcPr>
            <w:tcW w:w="2976" w:type="pct"/>
            <w:gridSpan w:val="3"/>
            <w:tcBorders>
              <w:top w:val="outset" w:sz="6" w:space="0" w:color="auto"/>
              <w:left w:val="outset" w:sz="6" w:space="0" w:color="auto"/>
              <w:bottom w:val="outset" w:sz="6" w:space="0" w:color="auto"/>
            </w:tcBorders>
          </w:tcPr>
          <w:p w:rsidR="003E3492" w:rsidRPr="00314971" w:rsidRDefault="003E3492" w:rsidP="0065284E">
            <w:pPr>
              <w:spacing w:before="75" w:after="120"/>
            </w:pPr>
            <w:r w:rsidRPr="00314971">
              <w:t>Nav.</w:t>
            </w:r>
          </w:p>
        </w:tc>
      </w:tr>
    </w:tbl>
    <w:p w:rsidR="00931182" w:rsidRDefault="00931182" w:rsidP="003E3492">
      <w:pPr>
        <w:pStyle w:val="Header"/>
        <w:tabs>
          <w:tab w:val="clear" w:pos="4153"/>
          <w:tab w:val="clear" w:pos="8306"/>
          <w:tab w:val="center" w:pos="0"/>
          <w:tab w:val="right" w:pos="142"/>
        </w:tabs>
        <w:ind w:right="-153"/>
        <w:rPr>
          <w:sz w:val="28"/>
          <w:szCs w:val="28"/>
        </w:rPr>
      </w:pPr>
    </w:p>
    <w:p w:rsidR="00931182" w:rsidRDefault="00931182">
      <w:pPr>
        <w:spacing w:after="200" w:line="276" w:lineRule="auto"/>
        <w:rPr>
          <w:sz w:val="28"/>
          <w:szCs w:val="28"/>
          <w:lang w:eastAsia="en-US"/>
        </w:rPr>
      </w:pPr>
    </w:p>
    <w:p w:rsidR="003E3492" w:rsidRPr="00314971" w:rsidRDefault="003E3492" w:rsidP="003E3492">
      <w:pPr>
        <w:pStyle w:val="Header"/>
        <w:tabs>
          <w:tab w:val="clear" w:pos="4153"/>
          <w:tab w:val="clear" w:pos="8306"/>
          <w:tab w:val="center" w:pos="0"/>
          <w:tab w:val="right" w:pos="142"/>
        </w:tabs>
        <w:ind w:right="-153"/>
        <w:rPr>
          <w:sz w:val="28"/>
          <w:szCs w:val="28"/>
        </w:rPr>
      </w:pPr>
      <w:r w:rsidRPr="00314971">
        <w:rPr>
          <w:sz w:val="28"/>
          <w:szCs w:val="28"/>
        </w:rPr>
        <w:t xml:space="preserve">Anotācijas III un IV, VI sadaļa – </w:t>
      </w:r>
      <w:r w:rsidRPr="00314971">
        <w:rPr>
          <w:bCs/>
          <w:sz w:val="28"/>
          <w:szCs w:val="28"/>
        </w:rPr>
        <w:t>projekts šīs jomas neskar</w:t>
      </w:r>
      <w:r w:rsidRPr="00314971">
        <w:rPr>
          <w:sz w:val="28"/>
          <w:szCs w:val="28"/>
        </w:rPr>
        <w:t>.</w:t>
      </w:r>
    </w:p>
    <w:p w:rsidR="003E3492" w:rsidRPr="00314971" w:rsidRDefault="003E3492" w:rsidP="003E3492">
      <w:pPr>
        <w:pStyle w:val="Header"/>
        <w:tabs>
          <w:tab w:val="clear" w:pos="4153"/>
          <w:tab w:val="clear" w:pos="8306"/>
          <w:tab w:val="center" w:pos="0"/>
          <w:tab w:val="right" w:pos="142"/>
        </w:tabs>
        <w:ind w:right="-153"/>
        <w:rPr>
          <w:sz w:val="28"/>
          <w:szCs w:val="28"/>
        </w:rPr>
      </w:pPr>
    </w:p>
    <w:p w:rsidR="003E3492" w:rsidRPr="00314971" w:rsidRDefault="003E3492" w:rsidP="003E3492">
      <w:pPr>
        <w:pStyle w:val="Header"/>
        <w:tabs>
          <w:tab w:val="clear" w:pos="4153"/>
          <w:tab w:val="clear" w:pos="8306"/>
          <w:tab w:val="center" w:pos="0"/>
          <w:tab w:val="right" w:pos="142"/>
        </w:tabs>
        <w:ind w:right="-153"/>
        <w:rPr>
          <w:sz w:val="28"/>
          <w:szCs w:val="28"/>
        </w:rPr>
      </w:pPr>
      <w:r w:rsidRPr="00314971">
        <w:rPr>
          <w:sz w:val="28"/>
          <w:szCs w:val="28"/>
        </w:rPr>
        <w:t>Ekonomikas ministrs</w:t>
      </w:r>
      <w:r w:rsidRPr="00314971">
        <w:rPr>
          <w:sz w:val="28"/>
          <w:szCs w:val="28"/>
        </w:rPr>
        <w:tab/>
      </w:r>
      <w:r w:rsidRPr="00314971">
        <w:rPr>
          <w:sz w:val="28"/>
          <w:szCs w:val="28"/>
        </w:rPr>
        <w:tab/>
      </w:r>
      <w:r w:rsidRPr="00314971">
        <w:rPr>
          <w:sz w:val="28"/>
          <w:szCs w:val="28"/>
        </w:rPr>
        <w:tab/>
      </w:r>
      <w:r w:rsidRPr="00314971">
        <w:rPr>
          <w:sz w:val="28"/>
          <w:szCs w:val="28"/>
        </w:rPr>
        <w:tab/>
      </w:r>
      <w:r w:rsidRPr="00314971">
        <w:rPr>
          <w:sz w:val="28"/>
          <w:szCs w:val="28"/>
        </w:rPr>
        <w:tab/>
      </w:r>
      <w:r w:rsidRPr="00314971">
        <w:rPr>
          <w:sz w:val="28"/>
          <w:szCs w:val="28"/>
        </w:rPr>
        <w:tab/>
      </w:r>
      <w:r w:rsidR="00B867AD">
        <w:rPr>
          <w:sz w:val="28"/>
          <w:szCs w:val="28"/>
        </w:rPr>
        <w:t>D.Pavļuts</w:t>
      </w:r>
    </w:p>
    <w:p w:rsidR="003E3492" w:rsidRPr="00314971" w:rsidRDefault="003E3492" w:rsidP="003E3492">
      <w:pPr>
        <w:pStyle w:val="Header"/>
        <w:tabs>
          <w:tab w:val="clear" w:pos="4153"/>
          <w:tab w:val="clear" w:pos="8306"/>
          <w:tab w:val="center" w:pos="0"/>
          <w:tab w:val="right" w:pos="142"/>
        </w:tabs>
        <w:ind w:right="-153"/>
        <w:rPr>
          <w:sz w:val="28"/>
          <w:szCs w:val="28"/>
        </w:rPr>
      </w:pPr>
    </w:p>
    <w:p w:rsidR="003E3492" w:rsidRPr="00314971" w:rsidRDefault="003E3492" w:rsidP="003E3492">
      <w:pPr>
        <w:pStyle w:val="BodyTextIndent"/>
        <w:ind w:firstLine="0"/>
        <w:jc w:val="both"/>
        <w:rPr>
          <w:sz w:val="28"/>
          <w:szCs w:val="28"/>
        </w:rPr>
      </w:pPr>
      <w:r w:rsidRPr="00314971">
        <w:rPr>
          <w:sz w:val="28"/>
          <w:szCs w:val="28"/>
        </w:rPr>
        <w:t>Vīz</w:t>
      </w:r>
      <w:r w:rsidR="00E95CD1">
        <w:rPr>
          <w:sz w:val="28"/>
          <w:szCs w:val="28"/>
        </w:rPr>
        <w:t>ē: V</w:t>
      </w:r>
      <w:r w:rsidRPr="00314971">
        <w:rPr>
          <w:sz w:val="28"/>
          <w:szCs w:val="28"/>
        </w:rPr>
        <w:t>alsts sekretārs</w:t>
      </w:r>
      <w:r w:rsidRPr="00314971">
        <w:rPr>
          <w:sz w:val="28"/>
          <w:szCs w:val="28"/>
        </w:rPr>
        <w:tab/>
      </w:r>
      <w:r w:rsidRPr="00314971">
        <w:rPr>
          <w:sz w:val="28"/>
          <w:szCs w:val="28"/>
        </w:rPr>
        <w:tab/>
      </w:r>
      <w:r w:rsidRPr="00314971">
        <w:rPr>
          <w:sz w:val="28"/>
          <w:szCs w:val="28"/>
        </w:rPr>
        <w:tab/>
      </w:r>
      <w:r w:rsidRPr="00314971">
        <w:rPr>
          <w:sz w:val="28"/>
          <w:szCs w:val="28"/>
        </w:rPr>
        <w:tab/>
      </w:r>
      <w:r w:rsidRPr="00314971">
        <w:rPr>
          <w:sz w:val="28"/>
          <w:szCs w:val="28"/>
        </w:rPr>
        <w:tab/>
      </w:r>
      <w:r w:rsidRPr="00314971">
        <w:rPr>
          <w:sz w:val="28"/>
          <w:szCs w:val="28"/>
        </w:rPr>
        <w:tab/>
        <w:t>J. Pūce</w:t>
      </w:r>
    </w:p>
    <w:p w:rsidR="003E3492" w:rsidRPr="00314971" w:rsidRDefault="003E3492" w:rsidP="003E3492">
      <w:pPr>
        <w:pStyle w:val="BodyTextIndent"/>
        <w:ind w:firstLine="0"/>
        <w:jc w:val="both"/>
        <w:rPr>
          <w:sz w:val="28"/>
          <w:szCs w:val="28"/>
        </w:rPr>
      </w:pPr>
    </w:p>
    <w:p w:rsidR="003E3492" w:rsidRPr="00314971" w:rsidRDefault="00C53FA6" w:rsidP="003E3492">
      <w:pPr>
        <w:pStyle w:val="NormalLatvian"/>
        <w:spacing w:after="0"/>
      </w:pPr>
      <w:r>
        <w:t>13.09</w:t>
      </w:r>
      <w:r w:rsidR="00705554" w:rsidRPr="00314971">
        <w:t>.2012</w:t>
      </w:r>
      <w:r w:rsidR="003E3492" w:rsidRPr="00314971">
        <w:t>. 1</w:t>
      </w:r>
      <w:r w:rsidR="00EA2371">
        <w:t>4</w:t>
      </w:r>
      <w:r w:rsidR="003E3492" w:rsidRPr="00314971">
        <w:t>:</w:t>
      </w:r>
      <w:r w:rsidR="00EA2371">
        <w:t>07</w:t>
      </w:r>
      <w:bookmarkStart w:id="3" w:name="_GoBack"/>
      <w:bookmarkEnd w:id="3"/>
    </w:p>
    <w:p w:rsidR="003E3492" w:rsidRPr="00314971" w:rsidRDefault="003E3492" w:rsidP="003E3492">
      <w:pPr>
        <w:ind w:right="40"/>
        <w:jc w:val="both"/>
        <w:rPr>
          <w:sz w:val="28"/>
          <w:szCs w:val="28"/>
        </w:rPr>
      </w:pPr>
      <w:r w:rsidRPr="00314971">
        <w:rPr>
          <w:sz w:val="28"/>
          <w:szCs w:val="28"/>
        </w:rPr>
        <w:fldChar w:fldCharType="begin"/>
      </w:r>
      <w:r w:rsidRPr="00314971">
        <w:rPr>
          <w:sz w:val="28"/>
          <w:szCs w:val="28"/>
        </w:rPr>
        <w:instrText xml:space="preserve"> NUMWORDS   \* MERGEFORMAT </w:instrText>
      </w:r>
      <w:r w:rsidRPr="00314971">
        <w:rPr>
          <w:sz w:val="28"/>
          <w:szCs w:val="28"/>
        </w:rPr>
        <w:fldChar w:fldCharType="separate"/>
      </w:r>
      <w:r w:rsidR="002C06D7">
        <w:rPr>
          <w:noProof/>
          <w:sz w:val="28"/>
          <w:szCs w:val="28"/>
        </w:rPr>
        <w:t>4003</w:t>
      </w:r>
      <w:r w:rsidRPr="00314971">
        <w:rPr>
          <w:sz w:val="28"/>
          <w:szCs w:val="28"/>
        </w:rPr>
        <w:fldChar w:fldCharType="end"/>
      </w:r>
      <w:r w:rsidRPr="00314971">
        <w:rPr>
          <w:sz w:val="28"/>
          <w:szCs w:val="28"/>
        </w:rPr>
        <w:fldChar w:fldCharType="begin"/>
      </w:r>
      <w:r w:rsidRPr="00314971">
        <w:rPr>
          <w:sz w:val="28"/>
          <w:szCs w:val="28"/>
        </w:rPr>
        <w:instrText xml:space="preserve"> NUMWORDS   \* MERGEFORMAT </w:instrText>
      </w:r>
      <w:r w:rsidRPr="00314971">
        <w:rPr>
          <w:sz w:val="28"/>
          <w:szCs w:val="28"/>
        </w:rPr>
        <w:fldChar w:fldCharType="end"/>
      </w:r>
    </w:p>
    <w:p w:rsidR="000176B3" w:rsidRPr="00314971" w:rsidRDefault="003E3492" w:rsidP="003F356E">
      <w:pPr>
        <w:pStyle w:val="NormalLatvian"/>
        <w:spacing w:after="0"/>
      </w:pPr>
      <w:r w:rsidRPr="00314971">
        <w:t>Začeste</w:t>
      </w:r>
      <w:r w:rsidR="00A51C28">
        <w:t xml:space="preserve">, </w:t>
      </w:r>
      <w:r w:rsidRPr="00314971">
        <w:t xml:space="preserve">67366897, </w:t>
      </w:r>
      <w:hyperlink r:id="rId8" w:history="1">
        <w:r w:rsidRPr="00314971">
          <w:rPr>
            <w:rStyle w:val="Hyperlink"/>
          </w:rPr>
          <w:t>ieva.zaceste@csb.gov.lv</w:t>
        </w:r>
      </w:hyperlink>
      <w:r w:rsidRPr="00314971">
        <w:t xml:space="preserve"> </w:t>
      </w:r>
    </w:p>
    <w:sectPr w:rsidR="000176B3" w:rsidRPr="00314971" w:rsidSect="0065284E">
      <w:headerReference w:type="even" r:id="rId9"/>
      <w:headerReference w:type="default" r:id="rId10"/>
      <w:footerReference w:type="default" r:id="rId11"/>
      <w:footerReference w:type="first" r:id="rId12"/>
      <w:pgSz w:w="11906" w:h="16838" w:code="9"/>
      <w:pgMar w:top="899" w:right="1134"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28" w:rsidRDefault="00A51C28">
      <w:r>
        <w:separator/>
      </w:r>
    </w:p>
  </w:endnote>
  <w:endnote w:type="continuationSeparator" w:id="0">
    <w:p w:rsidR="00A51C28" w:rsidRDefault="00A5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28" w:rsidRPr="00740092" w:rsidRDefault="00A51C28" w:rsidP="00A51C28">
    <w:pPr>
      <w:pStyle w:val="Footer"/>
      <w:jc w:val="both"/>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C53FA6">
      <w:rPr>
        <w:noProof/>
        <w:sz w:val="20"/>
        <w:szCs w:val="20"/>
      </w:rPr>
      <w:t>EMAnot_130912_veidlapas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A51C28" w:rsidRPr="00C14C82" w:rsidRDefault="00A51C2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28" w:rsidRPr="00740092" w:rsidRDefault="00A51C28" w:rsidP="0065284E">
    <w:pPr>
      <w:pStyle w:val="Footer"/>
      <w:jc w:val="both"/>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EA2371">
      <w:rPr>
        <w:noProof/>
        <w:sz w:val="20"/>
        <w:szCs w:val="20"/>
      </w:rPr>
      <w:t>EMAnot_130912_veidlapas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A51C28" w:rsidRPr="00C14C82" w:rsidRDefault="00A51C28" w:rsidP="0065284E">
    <w:pPr>
      <w:pStyle w:val="Footer"/>
      <w:rPr>
        <w:sz w:val="20"/>
        <w:szCs w:val="20"/>
      </w:rPr>
    </w:pPr>
  </w:p>
  <w:p w:rsidR="00A51C28" w:rsidRDefault="00A5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28" w:rsidRDefault="00A51C28">
      <w:r>
        <w:separator/>
      </w:r>
    </w:p>
  </w:footnote>
  <w:footnote w:type="continuationSeparator" w:id="0">
    <w:p w:rsidR="00A51C28" w:rsidRDefault="00A5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28" w:rsidRDefault="00A51C28" w:rsidP="00652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51C28" w:rsidRDefault="00A51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28" w:rsidRDefault="00A51C28" w:rsidP="00652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371">
      <w:rPr>
        <w:rStyle w:val="PageNumber"/>
        <w:noProof/>
      </w:rPr>
      <w:t>17</w:t>
    </w:r>
    <w:r>
      <w:rPr>
        <w:rStyle w:val="PageNumber"/>
      </w:rPr>
      <w:fldChar w:fldCharType="end"/>
    </w:r>
  </w:p>
  <w:p w:rsidR="00A51C28" w:rsidRDefault="00A51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C99"/>
    <w:multiLevelType w:val="hybridMultilevel"/>
    <w:tmpl w:val="E42A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6873"/>
    <w:multiLevelType w:val="hybridMultilevel"/>
    <w:tmpl w:val="C3BC7DB8"/>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
    <w:nsid w:val="24C270DC"/>
    <w:multiLevelType w:val="hybridMultilevel"/>
    <w:tmpl w:val="E950410E"/>
    <w:lvl w:ilvl="0" w:tplc="0426000F">
      <w:start w:val="1"/>
      <w:numFmt w:val="decimal"/>
      <w:lvlText w:val="%1."/>
      <w:lvlJc w:val="left"/>
      <w:pPr>
        <w:tabs>
          <w:tab w:val="num" w:pos="779"/>
        </w:tabs>
        <w:ind w:left="779" w:hanging="360"/>
      </w:pPr>
    </w:lvl>
    <w:lvl w:ilvl="1" w:tplc="04260019" w:tentative="1">
      <w:start w:val="1"/>
      <w:numFmt w:val="lowerLetter"/>
      <w:lvlText w:val="%2."/>
      <w:lvlJc w:val="left"/>
      <w:pPr>
        <w:tabs>
          <w:tab w:val="num" w:pos="1499"/>
        </w:tabs>
        <w:ind w:left="1499" w:hanging="360"/>
      </w:pPr>
    </w:lvl>
    <w:lvl w:ilvl="2" w:tplc="0426001B" w:tentative="1">
      <w:start w:val="1"/>
      <w:numFmt w:val="lowerRoman"/>
      <w:lvlText w:val="%3."/>
      <w:lvlJc w:val="right"/>
      <w:pPr>
        <w:tabs>
          <w:tab w:val="num" w:pos="2219"/>
        </w:tabs>
        <w:ind w:left="2219" w:hanging="180"/>
      </w:pPr>
    </w:lvl>
    <w:lvl w:ilvl="3" w:tplc="0426000F" w:tentative="1">
      <w:start w:val="1"/>
      <w:numFmt w:val="decimal"/>
      <w:lvlText w:val="%4."/>
      <w:lvlJc w:val="left"/>
      <w:pPr>
        <w:tabs>
          <w:tab w:val="num" w:pos="2939"/>
        </w:tabs>
        <w:ind w:left="2939" w:hanging="360"/>
      </w:pPr>
    </w:lvl>
    <w:lvl w:ilvl="4" w:tplc="04260019" w:tentative="1">
      <w:start w:val="1"/>
      <w:numFmt w:val="lowerLetter"/>
      <w:lvlText w:val="%5."/>
      <w:lvlJc w:val="left"/>
      <w:pPr>
        <w:tabs>
          <w:tab w:val="num" w:pos="3659"/>
        </w:tabs>
        <w:ind w:left="3659" w:hanging="360"/>
      </w:pPr>
    </w:lvl>
    <w:lvl w:ilvl="5" w:tplc="0426001B" w:tentative="1">
      <w:start w:val="1"/>
      <w:numFmt w:val="lowerRoman"/>
      <w:lvlText w:val="%6."/>
      <w:lvlJc w:val="right"/>
      <w:pPr>
        <w:tabs>
          <w:tab w:val="num" w:pos="4379"/>
        </w:tabs>
        <w:ind w:left="4379" w:hanging="180"/>
      </w:pPr>
    </w:lvl>
    <w:lvl w:ilvl="6" w:tplc="0426000F" w:tentative="1">
      <w:start w:val="1"/>
      <w:numFmt w:val="decimal"/>
      <w:lvlText w:val="%7."/>
      <w:lvlJc w:val="left"/>
      <w:pPr>
        <w:tabs>
          <w:tab w:val="num" w:pos="5099"/>
        </w:tabs>
        <w:ind w:left="5099" w:hanging="360"/>
      </w:pPr>
    </w:lvl>
    <w:lvl w:ilvl="7" w:tplc="04260019" w:tentative="1">
      <w:start w:val="1"/>
      <w:numFmt w:val="lowerLetter"/>
      <w:lvlText w:val="%8."/>
      <w:lvlJc w:val="left"/>
      <w:pPr>
        <w:tabs>
          <w:tab w:val="num" w:pos="5819"/>
        </w:tabs>
        <w:ind w:left="5819" w:hanging="360"/>
      </w:pPr>
    </w:lvl>
    <w:lvl w:ilvl="8" w:tplc="0426001B" w:tentative="1">
      <w:start w:val="1"/>
      <w:numFmt w:val="lowerRoman"/>
      <w:lvlText w:val="%9."/>
      <w:lvlJc w:val="right"/>
      <w:pPr>
        <w:tabs>
          <w:tab w:val="num" w:pos="6539"/>
        </w:tabs>
        <w:ind w:left="6539" w:hanging="180"/>
      </w:pPr>
    </w:lvl>
  </w:abstractNum>
  <w:abstractNum w:abstractNumId="3">
    <w:nsid w:val="293516D1"/>
    <w:multiLevelType w:val="hybridMultilevel"/>
    <w:tmpl w:val="6212B022"/>
    <w:lvl w:ilvl="0" w:tplc="75AE2D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27867C0"/>
    <w:multiLevelType w:val="hybridMultilevel"/>
    <w:tmpl w:val="D7183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BB7BE9"/>
    <w:multiLevelType w:val="hybridMultilevel"/>
    <w:tmpl w:val="CF32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45647"/>
    <w:multiLevelType w:val="hybridMultilevel"/>
    <w:tmpl w:val="7578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616"/>
    <w:multiLevelType w:val="hybridMultilevel"/>
    <w:tmpl w:val="16B2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2649F"/>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E183433"/>
    <w:multiLevelType w:val="hybridMultilevel"/>
    <w:tmpl w:val="F360548E"/>
    <w:lvl w:ilvl="0" w:tplc="E61EC9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F7F0132"/>
    <w:multiLevelType w:val="hybridMultilevel"/>
    <w:tmpl w:val="1E028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5C5C3D"/>
    <w:multiLevelType w:val="hybridMultilevel"/>
    <w:tmpl w:val="91AAD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70523"/>
    <w:multiLevelType w:val="hybridMultilevel"/>
    <w:tmpl w:val="5A9ED1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284AD2"/>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85A0610"/>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16">
    <w:nsid w:val="72BA1FCE"/>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F9832D4"/>
    <w:multiLevelType w:val="hybridMultilevel"/>
    <w:tmpl w:val="6D082E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6"/>
  </w:num>
  <w:num w:numId="3">
    <w:abstractNumId w:val="3"/>
  </w:num>
  <w:num w:numId="4">
    <w:abstractNumId w:val="2"/>
  </w:num>
  <w:num w:numId="5">
    <w:abstractNumId w:val="8"/>
  </w:num>
  <w:num w:numId="6">
    <w:abstractNumId w:val="7"/>
  </w:num>
  <w:num w:numId="7">
    <w:abstractNumId w:val="4"/>
  </w:num>
  <w:num w:numId="8">
    <w:abstractNumId w:val="0"/>
  </w:num>
  <w:num w:numId="9">
    <w:abstractNumId w:val="11"/>
  </w:num>
  <w:num w:numId="10">
    <w:abstractNumId w:val="13"/>
  </w:num>
  <w:num w:numId="11">
    <w:abstractNumId w:val="1"/>
  </w:num>
  <w:num w:numId="12">
    <w:abstractNumId w:val="10"/>
  </w:num>
  <w:num w:numId="13">
    <w:abstractNumId w:val="5"/>
  </w:num>
  <w:num w:numId="14">
    <w:abstractNumId w:val="9"/>
  </w:num>
  <w:num w:numId="15">
    <w:abstractNumId w:val="14"/>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92"/>
    <w:rsid w:val="000176B3"/>
    <w:rsid w:val="00024773"/>
    <w:rsid w:val="0004660D"/>
    <w:rsid w:val="000509FC"/>
    <w:rsid w:val="00053BEE"/>
    <w:rsid w:val="000B3406"/>
    <w:rsid w:val="000C5DA0"/>
    <w:rsid w:val="001071B0"/>
    <w:rsid w:val="0014288C"/>
    <w:rsid w:val="0017672F"/>
    <w:rsid w:val="001A5A10"/>
    <w:rsid w:val="001A7949"/>
    <w:rsid w:val="001D3328"/>
    <w:rsid w:val="0023591D"/>
    <w:rsid w:val="002656C3"/>
    <w:rsid w:val="002C06D7"/>
    <w:rsid w:val="002C237E"/>
    <w:rsid w:val="00314971"/>
    <w:rsid w:val="00343D90"/>
    <w:rsid w:val="003744C0"/>
    <w:rsid w:val="003E3492"/>
    <w:rsid w:val="003F356E"/>
    <w:rsid w:val="00433500"/>
    <w:rsid w:val="004672EA"/>
    <w:rsid w:val="00495C62"/>
    <w:rsid w:val="004E2009"/>
    <w:rsid w:val="005A5DF2"/>
    <w:rsid w:val="005B5E36"/>
    <w:rsid w:val="00603B52"/>
    <w:rsid w:val="0065284E"/>
    <w:rsid w:val="00653BD0"/>
    <w:rsid w:val="0065541F"/>
    <w:rsid w:val="006651BE"/>
    <w:rsid w:val="0069075A"/>
    <w:rsid w:val="006961DE"/>
    <w:rsid w:val="006D3FCC"/>
    <w:rsid w:val="00705554"/>
    <w:rsid w:val="00721906"/>
    <w:rsid w:val="007219B1"/>
    <w:rsid w:val="00727D56"/>
    <w:rsid w:val="0073190D"/>
    <w:rsid w:val="00737818"/>
    <w:rsid w:val="00790DFA"/>
    <w:rsid w:val="007D1592"/>
    <w:rsid w:val="007D5E92"/>
    <w:rsid w:val="008326A0"/>
    <w:rsid w:val="008814B7"/>
    <w:rsid w:val="008A655F"/>
    <w:rsid w:val="008E5262"/>
    <w:rsid w:val="008E6C6A"/>
    <w:rsid w:val="00931182"/>
    <w:rsid w:val="00951307"/>
    <w:rsid w:val="00962FD1"/>
    <w:rsid w:val="0096387E"/>
    <w:rsid w:val="0098263C"/>
    <w:rsid w:val="009A2F73"/>
    <w:rsid w:val="00A51C28"/>
    <w:rsid w:val="00A64D98"/>
    <w:rsid w:val="00B04CC1"/>
    <w:rsid w:val="00B867AD"/>
    <w:rsid w:val="00C1314A"/>
    <w:rsid w:val="00C53FA6"/>
    <w:rsid w:val="00C86AA9"/>
    <w:rsid w:val="00C95E39"/>
    <w:rsid w:val="00CA7C62"/>
    <w:rsid w:val="00CC057F"/>
    <w:rsid w:val="00CC145A"/>
    <w:rsid w:val="00CD470A"/>
    <w:rsid w:val="00CE2037"/>
    <w:rsid w:val="00D50654"/>
    <w:rsid w:val="00D700CE"/>
    <w:rsid w:val="00D96DF7"/>
    <w:rsid w:val="00DA2DA5"/>
    <w:rsid w:val="00DE168A"/>
    <w:rsid w:val="00DE791E"/>
    <w:rsid w:val="00E27042"/>
    <w:rsid w:val="00E30A04"/>
    <w:rsid w:val="00E94404"/>
    <w:rsid w:val="00E95CD1"/>
    <w:rsid w:val="00EA2371"/>
    <w:rsid w:val="00F06643"/>
    <w:rsid w:val="00F26A76"/>
    <w:rsid w:val="00F55361"/>
    <w:rsid w:val="00FB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9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492"/>
    <w:pPr>
      <w:tabs>
        <w:tab w:val="center" w:pos="4153"/>
        <w:tab w:val="right" w:pos="8306"/>
      </w:tabs>
      <w:jc w:val="both"/>
    </w:pPr>
    <w:rPr>
      <w:szCs w:val="20"/>
      <w:lang w:eastAsia="en-US"/>
    </w:rPr>
  </w:style>
  <w:style w:type="character" w:customStyle="1" w:styleId="HeaderChar">
    <w:name w:val="Header Char"/>
    <w:basedOn w:val="DefaultParagraphFont"/>
    <w:link w:val="Header"/>
    <w:rsid w:val="003E3492"/>
    <w:rPr>
      <w:rFonts w:ascii="Times New Roman" w:eastAsia="Times New Roman" w:hAnsi="Times New Roman" w:cs="Times New Roman"/>
      <w:sz w:val="24"/>
      <w:szCs w:val="20"/>
      <w:lang w:val="lv-LV"/>
    </w:rPr>
  </w:style>
  <w:style w:type="character" w:styleId="PageNumber">
    <w:name w:val="page number"/>
    <w:basedOn w:val="DefaultParagraphFont"/>
    <w:rsid w:val="003E3492"/>
  </w:style>
  <w:style w:type="paragraph" w:styleId="BodyTextIndent">
    <w:name w:val="Body Text Indent"/>
    <w:basedOn w:val="Normal"/>
    <w:link w:val="BodyTextIndentChar"/>
    <w:semiHidden/>
    <w:rsid w:val="003E3492"/>
    <w:pPr>
      <w:autoSpaceDE w:val="0"/>
      <w:autoSpaceDN w:val="0"/>
      <w:adjustRightInd w:val="0"/>
      <w:ind w:firstLine="720"/>
    </w:pPr>
    <w:rPr>
      <w:szCs w:val="20"/>
      <w:lang w:eastAsia="en-US"/>
    </w:rPr>
  </w:style>
  <w:style w:type="character" w:customStyle="1" w:styleId="BodyTextIndentChar">
    <w:name w:val="Body Text Indent Char"/>
    <w:basedOn w:val="DefaultParagraphFont"/>
    <w:link w:val="BodyTextIndent"/>
    <w:semiHidden/>
    <w:rsid w:val="003E3492"/>
    <w:rPr>
      <w:rFonts w:ascii="Times New Roman" w:eastAsia="Times New Roman" w:hAnsi="Times New Roman" w:cs="Times New Roman"/>
      <w:sz w:val="24"/>
      <w:szCs w:val="20"/>
      <w:lang w:val="lv-LV"/>
    </w:rPr>
  </w:style>
  <w:style w:type="paragraph" w:customStyle="1" w:styleId="NormalLatvian">
    <w:name w:val="Normal – Latvian"/>
    <w:basedOn w:val="Normal"/>
    <w:rsid w:val="003E3492"/>
    <w:pPr>
      <w:tabs>
        <w:tab w:val="left" w:pos="1829"/>
      </w:tabs>
      <w:spacing w:after="120"/>
      <w:jc w:val="both"/>
    </w:pPr>
    <w:rPr>
      <w:sz w:val="28"/>
      <w:szCs w:val="28"/>
      <w:lang w:eastAsia="en-US"/>
    </w:rPr>
  </w:style>
  <w:style w:type="character" w:styleId="Hyperlink">
    <w:name w:val="Hyperlink"/>
    <w:semiHidden/>
    <w:rsid w:val="003E3492"/>
    <w:rPr>
      <w:color w:val="AA1317"/>
      <w:u w:val="single"/>
    </w:rPr>
  </w:style>
  <w:style w:type="paragraph" w:styleId="Footer">
    <w:name w:val="footer"/>
    <w:basedOn w:val="Normal"/>
    <w:link w:val="FooterChar"/>
    <w:rsid w:val="003E3492"/>
    <w:pPr>
      <w:tabs>
        <w:tab w:val="center" w:pos="4153"/>
        <w:tab w:val="right" w:pos="8306"/>
      </w:tabs>
    </w:pPr>
  </w:style>
  <w:style w:type="character" w:customStyle="1" w:styleId="FooterChar">
    <w:name w:val="Footer Char"/>
    <w:basedOn w:val="DefaultParagraphFont"/>
    <w:link w:val="Footer"/>
    <w:rsid w:val="003E3492"/>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E3492"/>
    <w:pPr>
      <w:spacing w:after="120"/>
    </w:pPr>
  </w:style>
  <w:style w:type="character" w:customStyle="1" w:styleId="BodyTextChar">
    <w:name w:val="Body Text Char"/>
    <w:basedOn w:val="DefaultParagraphFont"/>
    <w:link w:val="BodyText"/>
    <w:rsid w:val="003E3492"/>
    <w:rPr>
      <w:rFonts w:ascii="Times New Roman" w:eastAsia="Times New Roman" w:hAnsi="Times New Roman" w:cs="Times New Roman"/>
      <w:sz w:val="24"/>
      <w:szCs w:val="24"/>
      <w:lang w:val="lv-LV" w:eastAsia="lv-LV"/>
    </w:rPr>
  </w:style>
  <w:style w:type="paragraph" w:customStyle="1" w:styleId="naisnod">
    <w:name w:val="naisnod"/>
    <w:basedOn w:val="Normal"/>
    <w:rsid w:val="003E3492"/>
    <w:pPr>
      <w:spacing w:before="150" w:after="150"/>
      <w:jc w:val="center"/>
    </w:pPr>
    <w:rPr>
      <w:b/>
      <w:bCs/>
    </w:rPr>
  </w:style>
  <w:style w:type="paragraph" w:customStyle="1" w:styleId="naiskr">
    <w:name w:val="naiskr"/>
    <w:basedOn w:val="Normal"/>
    <w:rsid w:val="003E3492"/>
    <w:pPr>
      <w:spacing w:before="75" w:after="75"/>
    </w:pPr>
  </w:style>
  <w:style w:type="character" w:styleId="CommentReference">
    <w:name w:val="annotation reference"/>
    <w:rsid w:val="003E3492"/>
    <w:rPr>
      <w:sz w:val="16"/>
      <w:szCs w:val="16"/>
    </w:rPr>
  </w:style>
  <w:style w:type="paragraph" w:styleId="CommentText">
    <w:name w:val="annotation text"/>
    <w:basedOn w:val="Normal"/>
    <w:link w:val="CommentTextChar"/>
    <w:rsid w:val="003E3492"/>
    <w:rPr>
      <w:sz w:val="20"/>
      <w:szCs w:val="20"/>
    </w:rPr>
  </w:style>
  <w:style w:type="character" w:customStyle="1" w:styleId="CommentTextChar">
    <w:name w:val="Comment Text Char"/>
    <w:basedOn w:val="DefaultParagraphFont"/>
    <w:link w:val="CommentText"/>
    <w:rsid w:val="003E3492"/>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3E3492"/>
    <w:rPr>
      <w:rFonts w:ascii="Tahoma" w:hAnsi="Tahoma" w:cs="Tahoma"/>
      <w:sz w:val="16"/>
      <w:szCs w:val="16"/>
    </w:rPr>
  </w:style>
  <w:style w:type="character" w:customStyle="1" w:styleId="BalloonTextChar">
    <w:name w:val="Balloon Text Char"/>
    <w:basedOn w:val="DefaultParagraphFont"/>
    <w:link w:val="BalloonText"/>
    <w:uiPriority w:val="99"/>
    <w:semiHidden/>
    <w:rsid w:val="003E3492"/>
    <w:rPr>
      <w:rFonts w:ascii="Tahoma" w:eastAsia="Times New Roman" w:hAnsi="Tahoma" w:cs="Tahoma"/>
      <w:sz w:val="16"/>
      <w:szCs w:val="16"/>
      <w:lang w:val="lv-LV" w:eastAsia="lv-LV"/>
    </w:rPr>
  </w:style>
  <w:style w:type="paragraph" w:styleId="ListParagraph">
    <w:name w:val="List Paragraph"/>
    <w:basedOn w:val="Normal"/>
    <w:uiPriority w:val="34"/>
    <w:qFormat/>
    <w:rsid w:val="000509FC"/>
    <w:pPr>
      <w:ind w:left="720"/>
      <w:contextualSpacing/>
    </w:pPr>
  </w:style>
  <w:style w:type="paragraph" w:styleId="CommentSubject">
    <w:name w:val="annotation subject"/>
    <w:basedOn w:val="CommentText"/>
    <w:next w:val="CommentText"/>
    <w:link w:val="CommentSubjectChar"/>
    <w:uiPriority w:val="99"/>
    <w:semiHidden/>
    <w:unhideWhenUsed/>
    <w:rsid w:val="002656C3"/>
    <w:rPr>
      <w:b/>
      <w:bCs/>
    </w:rPr>
  </w:style>
  <w:style w:type="character" w:customStyle="1" w:styleId="CommentSubjectChar">
    <w:name w:val="Comment Subject Char"/>
    <w:basedOn w:val="CommentTextChar"/>
    <w:link w:val="CommentSubject"/>
    <w:uiPriority w:val="99"/>
    <w:semiHidden/>
    <w:rsid w:val="002656C3"/>
    <w:rPr>
      <w:rFonts w:ascii="Times New Roman" w:eastAsia="Times New Roman" w:hAnsi="Times New Roman" w:cs="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9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492"/>
    <w:pPr>
      <w:tabs>
        <w:tab w:val="center" w:pos="4153"/>
        <w:tab w:val="right" w:pos="8306"/>
      </w:tabs>
      <w:jc w:val="both"/>
    </w:pPr>
    <w:rPr>
      <w:szCs w:val="20"/>
      <w:lang w:eastAsia="en-US"/>
    </w:rPr>
  </w:style>
  <w:style w:type="character" w:customStyle="1" w:styleId="HeaderChar">
    <w:name w:val="Header Char"/>
    <w:basedOn w:val="DefaultParagraphFont"/>
    <w:link w:val="Header"/>
    <w:rsid w:val="003E3492"/>
    <w:rPr>
      <w:rFonts w:ascii="Times New Roman" w:eastAsia="Times New Roman" w:hAnsi="Times New Roman" w:cs="Times New Roman"/>
      <w:sz w:val="24"/>
      <w:szCs w:val="20"/>
      <w:lang w:val="lv-LV"/>
    </w:rPr>
  </w:style>
  <w:style w:type="character" w:styleId="PageNumber">
    <w:name w:val="page number"/>
    <w:basedOn w:val="DefaultParagraphFont"/>
    <w:rsid w:val="003E3492"/>
  </w:style>
  <w:style w:type="paragraph" w:styleId="BodyTextIndent">
    <w:name w:val="Body Text Indent"/>
    <w:basedOn w:val="Normal"/>
    <w:link w:val="BodyTextIndentChar"/>
    <w:semiHidden/>
    <w:rsid w:val="003E3492"/>
    <w:pPr>
      <w:autoSpaceDE w:val="0"/>
      <w:autoSpaceDN w:val="0"/>
      <w:adjustRightInd w:val="0"/>
      <w:ind w:firstLine="720"/>
    </w:pPr>
    <w:rPr>
      <w:szCs w:val="20"/>
      <w:lang w:eastAsia="en-US"/>
    </w:rPr>
  </w:style>
  <w:style w:type="character" w:customStyle="1" w:styleId="BodyTextIndentChar">
    <w:name w:val="Body Text Indent Char"/>
    <w:basedOn w:val="DefaultParagraphFont"/>
    <w:link w:val="BodyTextIndent"/>
    <w:semiHidden/>
    <w:rsid w:val="003E3492"/>
    <w:rPr>
      <w:rFonts w:ascii="Times New Roman" w:eastAsia="Times New Roman" w:hAnsi="Times New Roman" w:cs="Times New Roman"/>
      <w:sz w:val="24"/>
      <w:szCs w:val="20"/>
      <w:lang w:val="lv-LV"/>
    </w:rPr>
  </w:style>
  <w:style w:type="paragraph" w:customStyle="1" w:styleId="NormalLatvian">
    <w:name w:val="Normal – Latvian"/>
    <w:basedOn w:val="Normal"/>
    <w:rsid w:val="003E3492"/>
    <w:pPr>
      <w:tabs>
        <w:tab w:val="left" w:pos="1829"/>
      </w:tabs>
      <w:spacing w:after="120"/>
      <w:jc w:val="both"/>
    </w:pPr>
    <w:rPr>
      <w:sz w:val="28"/>
      <w:szCs w:val="28"/>
      <w:lang w:eastAsia="en-US"/>
    </w:rPr>
  </w:style>
  <w:style w:type="character" w:styleId="Hyperlink">
    <w:name w:val="Hyperlink"/>
    <w:semiHidden/>
    <w:rsid w:val="003E3492"/>
    <w:rPr>
      <w:color w:val="AA1317"/>
      <w:u w:val="single"/>
    </w:rPr>
  </w:style>
  <w:style w:type="paragraph" w:styleId="Footer">
    <w:name w:val="footer"/>
    <w:basedOn w:val="Normal"/>
    <w:link w:val="FooterChar"/>
    <w:rsid w:val="003E3492"/>
    <w:pPr>
      <w:tabs>
        <w:tab w:val="center" w:pos="4153"/>
        <w:tab w:val="right" w:pos="8306"/>
      </w:tabs>
    </w:pPr>
  </w:style>
  <w:style w:type="character" w:customStyle="1" w:styleId="FooterChar">
    <w:name w:val="Footer Char"/>
    <w:basedOn w:val="DefaultParagraphFont"/>
    <w:link w:val="Footer"/>
    <w:rsid w:val="003E3492"/>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E3492"/>
    <w:pPr>
      <w:spacing w:after="120"/>
    </w:pPr>
  </w:style>
  <w:style w:type="character" w:customStyle="1" w:styleId="BodyTextChar">
    <w:name w:val="Body Text Char"/>
    <w:basedOn w:val="DefaultParagraphFont"/>
    <w:link w:val="BodyText"/>
    <w:rsid w:val="003E3492"/>
    <w:rPr>
      <w:rFonts w:ascii="Times New Roman" w:eastAsia="Times New Roman" w:hAnsi="Times New Roman" w:cs="Times New Roman"/>
      <w:sz w:val="24"/>
      <w:szCs w:val="24"/>
      <w:lang w:val="lv-LV" w:eastAsia="lv-LV"/>
    </w:rPr>
  </w:style>
  <w:style w:type="paragraph" w:customStyle="1" w:styleId="naisnod">
    <w:name w:val="naisnod"/>
    <w:basedOn w:val="Normal"/>
    <w:rsid w:val="003E3492"/>
    <w:pPr>
      <w:spacing w:before="150" w:after="150"/>
      <w:jc w:val="center"/>
    </w:pPr>
    <w:rPr>
      <w:b/>
      <w:bCs/>
    </w:rPr>
  </w:style>
  <w:style w:type="paragraph" w:customStyle="1" w:styleId="naiskr">
    <w:name w:val="naiskr"/>
    <w:basedOn w:val="Normal"/>
    <w:rsid w:val="003E3492"/>
    <w:pPr>
      <w:spacing w:before="75" w:after="75"/>
    </w:pPr>
  </w:style>
  <w:style w:type="character" w:styleId="CommentReference">
    <w:name w:val="annotation reference"/>
    <w:rsid w:val="003E3492"/>
    <w:rPr>
      <w:sz w:val="16"/>
      <w:szCs w:val="16"/>
    </w:rPr>
  </w:style>
  <w:style w:type="paragraph" w:styleId="CommentText">
    <w:name w:val="annotation text"/>
    <w:basedOn w:val="Normal"/>
    <w:link w:val="CommentTextChar"/>
    <w:rsid w:val="003E3492"/>
    <w:rPr>
      <w:sz w:val="20"/>
      <w:szCs w:val="20"/>
    </w:rPr>
  </w:style>
  <w:style w:type="character" w:customStyle="1" w:styleId="CommentTextChar">
    <w:name w:val="Comment Text Char"/>
    <w:basedOn w:val="DefaultParagraphFont"/>
    <w:link w:val="CommentText"/>
    <w:rsid w:val="003E3492"/>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3E3492"/>
    <w:rPr>
      <w:rFonts w:ascii="Tahoma" w:hAnsi="Tahoma" w:cs="Tahoma"/>
      <w:sz w:val="16"/>
      <w:szCs w:val="16"/>
    </w:rPr>
  </w:style>
  <w:style w:type="character" w:customStyle="1" w:styleId="BalloonTextChar">
    <w:name w:val="Balloon Text Char"/>
    <w:basedOn w:val="DefaultParagraphFont"/>
    <w:link w:val="BalloonText"/>
    <w:uiPriority w:val="99"/>
    <w:semiHidden/>
    <w:rsid w:val="003E3492"/>
    <w:rPr>
      <w:rFonts w:ascii="Tahoma" w:eastAsia="Times New Roman" w:hAnsi="Tahoma" w:cs="Tahoma"/>
      <w:sz w:val="16"/>
      <w:szCs w:val="16"/>
      <w:lang w:val="lv-LV" w:eastAsia="lv-LV"/>
    </w:rPr>
  </w:style>
  <w:style w:type="paragraph" w:styleId="ListParagraph">
    <w:name w:val="List Paragraph"/>
    <w:basedOn w:val="Normal"/>
    <w:uiPriority w:val="34"/>
    <w:qFormat/>
    <w:rsid w:val="000509FC"/>
    <w:pPr>
      <w:ind w:left="720"/>
      <w:contextualSpacing/>
    </w:pPr>
  </w:style>
  <w:style w:type="paragraph" w:styleId="CommentSubject">
    <w:name w:val="annotation subject"/>
    <w:basedOn w:val="CommentText"/>
    <w:next w:val="CommentText"/>
    <w:link w:val="CommentSubjectChar"/>
    <w:uiPriority w:val="99"/>
    <w:semiHidden/>
    <w:unhideWhenUsed/>
    <w:rsid w:val="002656C3"/>
    <w:rPr>
      <w:b/>
      <w:bCs/>
    </w:rPr>
  </w:style>
  <w:style w:type="character" w:customStyle="1" w:styleId="CommentSubjectChar">
    <w:name w:val="Comment Subject Char"/>
    <w:basedOn w:val="CommentTextChar"/>
    <w:link w:val="CommentSubject"/>
    <w:uiPriority w:val="99"/>
    <w:semiHidden/>
    <w:rsid w:val="002656C3"/>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20200</Words>
  <Characters>11515</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6.novembra noteikumos Nr.922 “Valsts statistikas pārskatu un anketu veidlapu paraugu apstiprināšanas noteikumi”” sākotnējās ietekmes novērtējuma ziņojums (anotācija)</vt:lpstr>
    </vt:vector>
  </TitlesOfParts>
  <Company>LR CSP</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6.novembra noteikumos Nr.922 “Valsts statistikas pārskatu un anketu veidlapu paraugu apstiprināšanas noteikumi”” sākotnējās ietekmes novērtējuma ziņojums (anotācija)</dc:title>
  <dc:subject>sākotnējās ietekmes novērtējuma ziņojums (anotācija)</dc:subject>
  <dc:creator>Ieva Zaceste</dc:creator>
  <dc:description>ieva.zaceste@csb.gov.lv_x000d_
67366897</dc:description>
  <cp:lastModifiedBy>Ieva Zaceste</cp:lastModifiedBy>
  <cp:revision>5</cp:revision>
  <dcterms:created xsi:type="dcterms:W3CDTF">2012-09-13T07:52:00Z</dcterms:created>
  <dcterms:modified xsi:type="dcterms:W3CDTF">2012-09-13T11:07:00Z</dcterms:modified>
</cp:coreProperties>
</file>