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84" w:rsidRPr="001A4101" w:rsidRDefault="00175784" w:rsidP="00214094">
      <w:pPr>
        <w:pStyle w:val="naislab"/>
        <w:spacing w:before="0" w:after="0"/>
      </w:pPr>
    </w:p>
    <w:p w:rsidR="00175784" w:rsidRPr="001A4101" w:rsidRDefault="00175784" w:rsidP="00AD3269">
      <w:pPr>
        <w:pStyle w:val="naislab"/>
        <w:spacing w:before="0" w:after="0"/>
        <w:jc w:val="center"/>
        <w:outlineLvl w:val="0"/>
        <w:rPr>
          <w:b/>
        </w:rPr>
      </w:pPr>
      <w:r w:rsidRPr="001A4101">
        <w:rPr>
          <w:b/>
        </w:rPr>
        <w:t xml:space="preserve">Ministru kabineta noteikumu </w:t>
      </w:r>
      <w:r w:rsidR="00A871EE">
        <w:rPr>
          <w:b/>
        </w:rPr>
        <w:t xml:space="preserve">projekta </w:t>
      </w:r>
      <w:r w:rsidRPr="001A4101">
        <w:rPr>
          <w:b/>
        </w:rPr>
        <w:t>„Latvijas Investīciju un attīstības aģentūra</w:t>
      </w:r>
      <w:r w:rsidR="00A871EE">
        <w:rPr>
          <w:b/>
        </w:rPr>
        <w:t>s</w:t>
      </w:r>
      <w:r w:rsidRPr="001A4101">
        <w:rPr>
          <w:b/>
        </w:rPr>
        <w:t xml:space="preserve"> nolikums” sākotnējās ietekmes novērtējuma </w:t>
      </w:r>
      <w:smartTag w:uri="schemas-tilde-lv/tildestengine" w:element="veidnes">
        <w:smartTagPr>
          <w:attr w:name="text" w:val="ziņojums"/>
          <w:attr w:name="baseform" w:val="ziņojums"/>
          <w:attr w:name="id" w:val="-1"/>
        </w:smartTagPr>
        <w:r w:rsidRPr="001A4101">
          <w:rPr>
            <w:b/>
          </w:rPr>
          <w:t>ziņojums</w:t>
        </w:r>
      </w:smartTag>
      <w:r w:rsidRPr="001A4101">
        <w:rPr>
          <w:b/>
        </w:rPr>
        <w:t xml:space="preserve"> (anotācija)</w:t>
      </w:r>
    </w:p>
    <w:tbl>
      <w:tblPr>
        <w:tblpPr w:leftFromText="180" w:rightFromText="180" w:vertAnchor="text" w:horzAnchor="margin" w:tblpXSpec="center" w:tblpY="149"/>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685"/>
        <w:gridCol w:w="6025"/>
      </w:tblGrid>
      <w:tr w:rsidR="00175784" w:rsidRPr="001A4101" w:rsidTr="00135373">
        <w:tc>
          <w:tcPr>
            <w:tcW w:w="10141" w:type="dxa"/>
            <w:gridSpan w:val="3"/>
            <w:vAlign w:val="center"/>
          </w:tcPr>
          <w:p w:rsidR="00175784" w:rsidRPr="001A4101" w:rsidRDefault="00175784" w:rsidP="006C4607">
            <w:pPr>
              <w:pStyle w:val="naisnod"/>
              <w:spacing w:before="0" w:after="0"/>
            </w:pPr>
            <w:r w:rsidRPr="001A4101">
              <w:t>I. Tiesību akta projekta izstrādes nepieciešamība</w:t>
            </w:r>
          </w:p>
        </w:tc>
      </w:tr>
      <w:tr w:rsidR="00175784" w:rsidRPr="001A4101" w:rsidTr="00FC62FD">
        <w:trPr>
          <w:trHeight w:val="630"/>
        </w:trPr>
        <w:tc>
          <w:tcPr>
            <w:tcW w:w="431" w:type="dxa"/>
          </w:tcPr>
          <w:p w:rsidR="00175784" w:rsidRPr="001A4101" w:rsidRDefault="00175784" w:rsidP="006C4607">
            <w:pPr>
              <w:pStyle w:val="naiskr"/>
              <w:spacing w:before="0" w:after="0"/>
            </w:pPr>
            <w:r w:rsidRPr="001A4101">
              <w:t>1.</w:t>
            </w:r>
          </w:p>
        </w:tc>
        <w:tc>
          <w:tcPr>
            <w:tcW w:w="3685" w:type="dxa"/>
          </w:tcPr>
          <w:p w:rsidR="00175784" w:rsidRPr="001A4101" w:rsidRDefault="00175784" w:rsidP="006E248C">
            <w:pPr>
              <w:pStyle w:val="naiskr"/>
              <w:spacing w:before="0" w:after="0"/>
              <w:ind w:left="164" w:hanging="10"/>
            </w:pPr>
            <w:r w:rsidRPr="001A4101">
              <w:t>Pamatojums</w:t>
            </w:r>
          </w:p>
        </w:tc>
        <w:tc>
          <w:tcPr>
            <w:tcW w:w="6025" w:type="dxa"/>
          </w:tcPr>
          <w:p w:rsidR="00175784" w:rsidRPr="001A4101" w:rsidRDefault="00175784" w:rsidP="00D7628F">
            <w:pPr>
              <w:pStyle w:val="naiskr"/>
              <w:spacing w:before="0" w:after="0"/>
              <w:ind w:left="102" w:right="81" w:hanging="5"/>
            </w:pPr>
            <w:r w:rsidRPr="001A4101">
              <w:t>Publisko aģentūru likuma Pārejas noteikumu 2.punkts.</w:t>
            </w:r>
          </w:p>
        </w:tc>
      </w:tr>
      <w:tr w:rsidR="00175784" w:rsidRPr="001A4101" w:rsidTr="00FC62FD">
        <w:trPr>
          <w:trHeight w:val="472"/>
        </w:trPr>
        <w:tc>
          <w:tcPr>
            <w:tcW w:w="431" w:type="dxa"/>
          </w:tcPr>
          <w:p w:rsidR="00175784" w:rsidRPr="001A4101" w:rsidRDefault="00175784" w:rsidP="006C4607">
            <w:pPr>
              <w:pStyle w:val="naiskr"/>
              <w:spacing w:before="0" w:after="0"/>
            </w:pPr>
            <w:r w:rsidRPr="001A4101">
              <w:t>2.</w:t>
            </w:r>
          </w:p>
        </w:tc>
        <w:tc>
          <w:tcPr>
            <w:tcW w:w="3685" w:type="dxa"/>
          </w:tcPr>
          <w:p w:rsidR="00175784" w:rsidRPr="001A4101" w:rsidRDefault="00175784" w:rsidP="006E248C">
            <w:pPr>
              <w:pStyle w:val="naiskr"/>
              <w:tabs>
                <w:tab w:val="left" w:pos="170"/>
              </w:tabs>
              <w:spacing w:before="0" w:after="0"/>
              <w:ind w:left="164"/>
            </w:pPr>
            <w:r w:rsidRPr="001A4101">
              <w:t>Pašreizējā situācija un problēmas</w:t>
            </w:r>
          </w:p>
        </w:tc>
        <w:tc>
          <w:tcPr>
            <w:tcW w:w="6025" w:type="dxa"/>
          </w:tcPr>
          <w:p w:rsidR="00175784" w:rsidRPr="001A4101" w:rsidRDefault="00175784" w:rsidP="006E248C">
            <w:pPr>
              <w:spacing w:after="120"/>
              <w:ind w:left="102" w:right="81"/>
              <w:jc w:val="both"/>
            </w:pPr>
            <w:r w:rsidRPr="001A4101">
              <w:t>2010.gada 1.janvārī ir stājies spēkā Publisko aģentūru likums, kura pārejas noteikumu 1.punktā ir noteikts, ka ar šā likuma spēkā stāšanos</w:t>
            </w:r>
            <w:r w:rsidR="00037037">
              <w:t>,</w:t>
            </w:r>
            <w:r w:rsidRPr="001A4101">
              <w:t xml:space="preserve"> spēku zaudē Publisko aģentūru likums (Latvijas Republikas Saeimas un Ministru Kabineta Ziņotājs, 2001, 10.nr.; 2002, 23.nr.; 2005, 6.nr.; 2008, 1.nr.; 2009, 1., 2., 6.nr.).</w:t>
            </w:r>
          </w:p>
          <w:p w:rsidR="00175784" w:rsidRPr="001A4101" w:rsidRDefault="00175784" w:rsidP="006E248C">
            <w:pPr>
              <w:spacing w:after="120"/>
              <w:ind w:left="102" w:right="81"/>
              <w:jc w:val="both"/>
            </w:pPr>
            <w:r w:rsidRPr="001A4101">
              <w:t>Saskaņā ar spēkā esošā Publisko aģentūru likuma pārejas noteikumu 2.punktu ministrijām ir jāizvērtē citu val</w:t>
            </w:r>
            <w:r w:rsidR="00BC4E4F">
              <w:t>sts aģentūru darbības atbilstība</w:t>
            </w:r>
            <w:r w:rsidRPr="001A4101">
              <w:t xml:space="preserve"> šā likuma prasībām, un Ministru kabinetam līdz 2013</w:t>
            </w:r>
            <w:r w:rsidR="00037037">
              <w:t>.gada 1.janvārim jāpieņem lēmums</w:t>
            </w:r>
            <w:r w:rsidRPr="001A4101">
              <w:t xml:space="preserve"> par attiecīgās aģentūras darbības turpināšanu, aģentūras likvidēšanu vai reorganizēšanu, ievērojot Valsts pārvaldes iekārtas likuma 15.pantā noteiktās prasības.</w:t>
            </w:r>
          </w:p>
          <w:p w:rsidR="00175784" w:rsidRPr="001A4101" w:rsidRDefault="00175784" w:rsidP="006E248C">
            <w:pPr>
              <w:ind w:left="102" w:right="81"/>
              <w:jc w:val="both"/>
            </w:pPr>
            <w:r w:rsidRPr="001A4101">
              <w:t>Ņemot vērā iepriekš</w:t>
            </w:r>
            <w:r w:rsidR="00037037">
              <w:t xml:space="preserve"> </w:t>
            </w:r>
            <w:r w:rsidRPr="001A4101">
              <w:t xml:space="preserve">minēto un ievērojot apstākli, ka Ministru kabineta 2003.gada 23.decembra noteikumi Nr.746 „Valsts aģentūras „Latvijas Investīciju un attīstības aģentūra” nolikums” ir izdoti saskaņā ar spēku zaudējušā Publisko aģentūru likuma 8.panta trešo daļu, tad nepieciešams veikt Latvijas Investīciju un attīstības aģentūras (turpmāk – LIAA) darbības izvērtējumu un apstiprināt jaunu nolikumu.  </w:t>
            </w:r>
          </w:p>
        </w:tc>
      </w:tr>
      <w:tr w:rsidR="00175784" w:rsidRPr="001A4101" w:rsidTr="00FC62FD">
        <w:trPr>
          <w:trHeight w:val="593"/>
        </w:trPr>
        <w:tc>
          <w:tcPr>
            <w:tcW w:w="431" w:type="dxa"/>
          </w:tcPr>
          <w:p w:rsidR="00175784" w:rsidRPr="001A4101" w:rsidRDefault="00175784" w:rsidP="006C4607">
            <w:pPr>
              <w:pStyle w:val="naiskr"/>
              <w:spacing w:before="0" w:after="0"/>
            </w:pPr>
            <w:r w:rsidRPr="001A4101">
              <w:t>3.</w:t>
            </w:r>
          </w:p>
        </w:tc>
        <w:tc>
          <w:tcPr>
            <w:tcW w:w="3685" w:type="dxa"/>
          </w:tcPr>
          <w:p w:rsidR="00175784" w:rsidRPr="001A4101" w:rsidRDefault="00175784" w:rsidP="001254F9">
            <w:pPr>
              <w:pStyle w:val="naiskr"/>
              <w:spacing w:before="0" w:after="0"/>
              <w:ind w:left="22" w:right="-102"/>
            </w:pPr>
            <w:r w:rsidRPr="001A4101">
              <w:t>Saistītie politikas ietekmes novērtējumi un pētījumi</w:t>
            </w:r>
          </w:p>
        </w:tc>
        <w:tc>
          <w:tcPr>
            <w:tcW w:w="6025" w:type="dxa"/>
          </w:tcPr>
          <w:p w:rsidR="00175784" w:rsidRPr="001A4101" w:rsidRDefault="00175784" w:rsidP="006E248C">
            <w:pPr>
              <w:pStyle w:val="FootnoteText"/>
              <w:ind w:left="102" w:right="81"/>
              <w:rPr>
                <w:sz w:val="24"/>
                <w:szCs w:val="24"/>
              </w:rPr>
            </w:pPr>
            <w:r w:rsidRPr="001A4101">
              <w:rPr>
                <w:sz w:val="24"/>
                <w:szCs w:val="24"/>
              </w:rPr>
              <w:t>Nav attiecināms.</w:t>
            </w:r>
          </w:p>
        </w:tc>
      </w:tr>
      <w:tr w:rsidR="00175784" w:rsidRPr="001A4101" w:rsidTr="00FC62FD">
        <w:trPr>
          <w:trHeight w:val="384"/>
        </w:trPr>
        <w:tc>
          <w:tcPr>
            <w:tcW w:w="431" w:type="dxa"/>
          </w:tcPr>
          <w:p w:rsidR="00175784" w:rsidRPr="001A4101" w:rsidRDefault="00175784" w:rsidP="006C4607">
            <w:pPr>
              <w:pStyle w:val="naiskr"/>
              <w:spacing w:before="0" w:after="0"/>
            </w:pPr>
            <w:r w:rsidRPr="001A4101">
              <w:t>4.</w:t>
            </w:r>
          </w:p>
        </w:tc>
        <w:tc>
          <w:tcPr>
            <w:tcW w:w="3685" w:type="dxa"/>
          </w:tcPr>
          <w:p w:rsidR="00175784" w:rsidRPr="001A4101" w:rsidRDefault="00175784" w:rsidP="001254F9">
            <w:pPr>
              <w:pStyle w:val="naiskr"/>
              <w:spacing w:before="0" w:after="0"/>
              <w:ind w:left="22" w:right="-102"/>
            </w:pPr>
            <w:r w:rsidRPr="001A4101">
              <w:t>Tiesiskā regulējuma mērķis un būtība</w:t>
            </w:r>
          </w:p>
        </w:tc>
        <w:tc>
          <w:tcPr>
            <w:tcW w:w="6025" w:type="dxa"/>
          </w:tcPr>
          <w:p w:rsidR="001F1283" w:rsidRDefault="008442DB" w:rsidP="00FC62FD">
            <w:pPr>
              <w:pStyle w:val="naiskr"/>
              <w:spacing w:before="0" w:after="120"/>
              <w:ind w:left="102" w:right="81"/>
              <w:jc w:val="both"/>
            </w:pPr>
            <w:r w:rsidRPr="00287FD3">
              <w:t xml:space="preserve">Saskaņā ar </w:t>
            </w:r>
            <w:r w:rsidR="00F1272C" w:rsidRPr="00287FD3">
              <w:t>Publisko aģen</w:t>
            </w:r>
            <w:r w:rsidRPr="00287FD3">
              <w:t>tūru likuma izstrādes uzdevumiem</w:t>
            </w:r>
            <w:r w:rsidR="00BC4E4F">
              <w:t xml:space="preserve"> </w:t>
            </w:r>
            <w:r w:rsidR="00E93A8C" w:rsidRPr="00287FD3">
              <w:t>–</w:t>
            </w:r>
            <w:r w:rsidR="00F1272C" w:rsidRPr="002F0F5F">
              <w:t xml:space="preserve"> o</w:t>
            </w:r>
            <w:r w:rsidR="00E93A8C" w:rsidRPr="00CB324C">
              <w:t>ptimizē</w:t>
            </w:r>
            <w:r w:rsidR="00E93A8C" w:rsidRPr="001F0EFB">
              <w:t>t</w:t>
            </w:r>
            <w:r w:rsidR="00F1272C" w:rsidRPr="001F0EFB">
              <w:t xml:space="preserve"> valsts pārvaldes struktūru, samazināt aģentūru skaitu, kā arī nošķirt aģentūras no citām tiešās pārvaldes iestādēm</w:t>
            </w:r>
            <w:r w:rsidR="00BC4E4F">
              <w:t>,</w:t>
            </w:r>
            <w:r w:rsidR="00E93A8C" w:rsidRPr="001F0EFB">
              <w:t xml:space="preserve"> tika</w:t>
            </w:r>
            <w:r w:rsidR="00BC4E4F">
              <w:t xml:space="preserve"> </w:t>
            </w:r>
            <w:r w:rsidR="00E93A8C" w:rsidRPr="001F0EFB">
              <w:t>p</w:t>
            </w:r>
            <w:r w:rsidR="00F1272C" w:rsidRPr="001F0EFB">
              <w:t xml:space="preserve">lānots valsts aģentūras, kuras </w:t>
            </w:r>
            <w:r w:rsidR="001F0EFB">
              <w:t>pamatā</w:t>
            </w:r>
            <w:r w:rsidR="00F1272C" w:rsidRPr="001F0EFB">
              <w:t xml:space="preserve"> tiek finansētas no budžeta līdzekļiem, pārveidot par valsts iestādēm, valsts aģentūru statusu saglabājot tikai tām aģentūrām, kuras darbojas uz saimnieciskā aprēķina principiem un spēj nodrošināt attiecīgo valsts pārvaldes uzdevumu izpildi </w:t>
            </w:r>
            <w:r w:rsidR="00F1272C" w:rsidRPr="00287FD3">
              <w:t>no pašu ieņēmumiem, kas iegūti sniedzot maksas pakalpojumus.</w:t>
            </w:r>
            <w:r w:rsidR="00BC4E4F">
              <w:t xml:space="preserve"> </w:t>
            </w:r>
            <w:r w:rsidR="001F0EFB" w:rsidRPr="001F0EFB">
              <w:t xml:space="preserve">Šādas valsts aģentūras </w:t>
            </w:r>
            <w:r w:rsidR="00BC4E4F">
              <w:t>„</w:t>
            </w:r>
            <w:r w:rsidR="001F0EFB" w:rsidRPr="001F0EFB">
              <w:t>Likumā par budžetu un finanšu vadību</w:t>
            </w:r>
            <w:r w:rsidR="00BC4E4F">
              <w:t>”</w:t>
            </w:r>
            <w:r w:rsidR="001F0EFB" w:rsidRPr="001F0EFB">
              <w:t xml:space="preserve"> noteiktajā kārtībā patstāvīgi veido valsts aģentūras budžetu, kas tiek apstiprināts Ministru kabinetā</w:t>
            </w:r>
            <w:r w:rsidR="001F0EFB" w:rsidRPr="001F1283">
              <w:t>.</w:t>
            </w:r>
          </w:p>
          <w:p w:rsidR="00685AF5" w:rsidRDefault="00685AF5" w:rsidP="00685AF5">
            <w:pPr>
              <w:pStyle w:val="naisc"/>
              <w:spacing w:before="0" w:after="0"/>
              <w:ind w:left="142"/>
              <w:jc w:val="both"/>
            </w:pPr>
            <w:r>
              <w:t>LIAA, lai īstenotu tās nolikumā noteiktās funkcijas, veic šādus uzdevumus:</w:t>
            </w:r>
          </w:p>
          <w:p w:rsidR="00685AF5" w:rsidRPr="00642033" w:rsidRDefault="00685AF5" w:rsidP="00685AF5">
            <w:pPr>
              <w:ind w:left="142"/>
              <w:jc w:val="both"/>
            </w:pPr>
            <w:r w:rsidRPr="00642033">
              <w:t>4.1. veicina uzņēmumu investīciju projektu izstrādi un atbalsta konkurētspējīgus projektus;</w:t>
            </w:r>
          </w:p>
          <w:p w:rsidR="00685AF5" w:rsidRPr="00642033" w:rsidRDefault="00685AF5" w:rsidP="00685AF5">
            <w:pPr>
              <w:ind w:left="142"/>
              <w:jc w:val="both"/>
              <w:rPr>
                <w:strike/>
              </w:rPr>
            </w:pPr>
            <w:r w:rsidRPr="00642033">
              <w:t>4.2. izstrādā priekšlik</w:t>
            </w:r>
            <w:r>
              <w:t>umus valsts atbalsta programmām;</w:t>
            </w:r>
          </w:p>
          <w:p w:rsidR="00685AF5" w:rsidRPr="00642033" w:rsidRDefault="00685AF5" w:rsidP="00685AF5">
            <w:pPr>
              <w:ind w:left="142"/>
              <w:jc w:val="both"/>
            </w:pPr>
            <w:r w:rsidRPr="00642033">
              <w:t xml:space="preserve">4.3. izveido, ievieš un administrē valsts atbalsta </w:t>
            </w:r>
            <w:r>
              <w:t xml:space="preserve">un ārvalstu finanšu instrumentu līdzekļu </w:t>
            </w:r>
            <w:r w:rsidRPr="00642033">
              <w:t xml:space="preserve">vadības, uzraudzības un kontroles institucionālo sistēmu; </w:t>
            </w:r>
          </w:p>
          <w:p w:rsidR="00685AF5" w:rsidRDefault="00685AF5" w:rsidP="00685AF5">
            <w:pPr>
              <w:ind w:left="142"/>
              <w:jc w:val="both"/>
            </w:pPr>
            <w:r w:rsidRPr="00642033">
              <w:lastRenderedPageBreak/>
              <w:t xml:space="preserve">4.4. sniedz priekšlikumus uzņēmējdarbības vides uzlabošanai; </w:t>
            </w:r>
          </w:p>
          <w:p w:rsidR="00685AF5" w:rsidRPr="00642033" w:rsidRDefault="00685AF5" w:rsidP="00685AF5">
            <w:pPr>
              <w:ind w:left="142"/>
              <w:jc w:val="both"/>
            </w:pPr>
            <w:r>
              <w:t>4.5. organizē investīciju piesaistes un ārējās tirdzniecības veicināšanas pasākumus, nodrošinot komunikāciju ar iesaistītajām pusēm;</w:t>
            </w:r>
          </w:p>
          <w:p w:rsidR="00685AF5" w:rsidRPr="00642033" w:rsidRDefault="00685AF5" w:rsidP="00685AF5">
            <w:pPr>
              <w:ind w:left="142"/>
              <w:jc w:val="both"/>
            </w:pPr>
            <w:r>
              <w:t>4.6.</w:t>
            </w:r>
            <w:r w:rsidRPr="00642033">
              <w:t xml:space="preserve"> īsteno aģentūras pārstāvniecību </w:t>
            </w:r>
            <w:r>
              <w:t xml:space="preserve">ārvalstīs </w:t>
            </w:r>
            <w:r w:rsidRPr="00642033">
              <w:t xml:space="preserve">darbību; </w:t>
            </w:r>
          </w:p>
          <w:p w:rsidR="00685AF5" w:rsidRPr="00642033" w:rsidRDefault="00685AF5" w:rsidP="00685AF5">
            <w:pPr>
              <w:ind w:left="142"/>
              <w:jc w:val="both"/>
            </w:pPr>
            <w:r>
              <w:t>4.7</w:t>
            </w:r>
            <w:r w:rsidRPr="00642033">
              <w:t>. sniedz informatīvus, konsultatīvus</w:t>
            </w:r>
            <w:r>
              <w:t xml:space="preserve"> </w:t>
            </w:r>
            <w:r w:rsidRPr="00642033">
              <w:t xml:space="preserve">un citus </w:t>
            </w:r>
            <w:r>
              <w:t xml:space="preserve">normatīvajos aktos paredzētos </w:t>
            </w:r>
            <w:r w:rsidRPr="00642033">
              <w:t>publiskos pakalpojumus</w:t>
            </w:r>
            <w:r>
              <w:t>;</w:t>
            </w:r>
          </w:p>
          <w:p w:rsidR="00685AF5" w:rsidRDefault="00685AF5" w:rsidP="00685AF5">
            <w:pPr>
              <w:ind w:left="142"/>
              <w:jc w:val="both"/>
            </w:pPr>
            <w:r>
              <w:t>4.8.</w:t>
            </w:r>
            <w:r w:rsidRPr="00642033">
              <w:t> veic citus normatīvajos aktos noteiktos uzdevumus.</w:t>
            </w:r>
          </w:p>
          <w:p w:rsidR="00B3288F" w:rsidRDefault="001A70A1" w:rsidP="00B3288F">
            <w:pPr>
              <w:pStyle w:val="naisc"/>
              <w:spacing w:before="0" w:after="120"/>
              <w:ind w:left="142"/>
              <w:jc w:val="both"/>
            </w:pPr>
            <w:r>
              <w:t>U</w:t>
            </w:r>
            <w:r w:rsidR="00685AF5">
              <w:t>z</w:t>
            </w:r>
            <w:r>
              <w:t>skaitītie uzdevumi Nr.4.1.- 4.6. (ieskaitot)</w:t>
            </w:r>
            <w:r w:rsidR="00685AF5">
              <w:t xml:space="preserve"> ir uzdevumi, kuru ietvaros netiek sniegti maksas pakalpojumi un tādējādi netiek gūti ieņēmumi. </w:t>
            </w:r>
            <w:r>
              <w:t xml:space="preserve">Vienīgais uzdevums, kura ietvaros LIAA sniedz maksas pakalpojumus ir 4.7.uzdevums, kur LIAA sniedz maksas pakalpojumus, kuru cenas ir atbilstošas LIAA maksas pakalpojumu cenrādī noteiktajām. </w:t>
            </w:r>
            <w:r w:rsidR="00685AF5">
              <w:t>Līdz ar to LIAA nespēj nodrošināt savu darbību un valsts pārvaldes pakalpojumus tikai no pašu gūtajiem ieņēmumiem un ir nepieciešams piesaistīt valsts budžeta līdzekļus, kas sastāda lielāko daļu no LIAA budžeta.</w:t>
            </w:r>
          </w:p>
          <w:p w:rsidR="00F1272C" w:rsidRDefault="00E93A8C" w:rsidP="00685AF5">
            <w:pPr>
              <w:spacing w:after="120"/>
              <w:ind w:left="142" w:right="71"/>
              <w:jc w:val="both"/>
              <w:rPr>
                <w:bCs/>
              </w:rPr>
            </w:pPr>
            <w:r w:rsidRPr="00287FD3">
              <w:t>LIAA</w:t>
            </w:r>
            <w:r w:rsidR="00F1272C" w:rsidRPr="00287FD3">
              <w:t xml:space="preserve"> nedarbojas </w:t>
            </w:r>
            <w:r w:rsidR="00F1272C" w:rsidRPr="00287FD3">
              <w:rPr>
                <w:rFonts w:eastAsia="Calibri"/>
              </w:rPr>
              <w:t>atbilstoši saimnieciskā aprēķina principiem</w:t>
            </w:r>
            <w:r w:rsidR="00F1272C" w:rsidRPr="00287FD3">
              <w:t>, jo t</w:t>
            </w:r>
            <w:r w:rsidR="00F1272C" w:rsidRPr="00287FD3">
              <w:rPr>
                <w:rFonts w:eastAsia="Calibri"/>
              </w:rPr>
              <w:t>o ienākumus pamatā neveido</w:t>
            </w:r>
            <w:r w:rsidR="00F1272C" w:rsidRPr="00287FD3">
              <w:t xml:space="preserve"> ieņēmumi no to</w:t>
            </w:r>
            <w:r w:rsidR="00F1272C" w:rsidRPr="00287FD3">
              <w:rPr>
                <w:rFonts w:eastAsia="Calibri"/>
              </w:rPr>
              <w:t xml:space="preserve"> sniegtajiem maksas pakalpojumiem un citi pašu ieņēmumi</w:t>
            </w:r>
            <w:r w:rsidR="00F1272C" w:rsidRPr="00CB324C">
              <w:t>, dāvinājumi un zie</w:t>
            </w:r>
            <w:r w:rsidR="00F1272C" w:rsidRPr="00A218F7">
              <w:t>dojumi, kā arī ārvalst</w:t>
            </w:r>
            <w:r w:rsidR="00BC4E4F">
              <w:t>u finanšu palīdzība, bet gan tā</w:t>
            </w:r>
            <w:r w:rsidR="00F1272C" w:rsidRPr="00A218F7">
              <w:t xml:space="preserve"> pa</w:t>
            </w:r>
            <w:r w:rsidR="00BC4E4F">
              <w:rPr>
                <w:rFonts w:eastAsia="Calibri"/>
              </w:rPr>
              <w:t>matā tiek finansēta</w:t>
            </w:r>
            <w:r w:rsidR="00F1272C" w:rsidRPr="00287FD3">
              <w:rPr>
                <w:rFonts w:eastAsia="Calibri"/>
              </w:rPr>
              <w:t xml:space="preserve"> no valsts budžeta. </w:t>
            </w:r>
            <w:r w:rsidRPr="00287FD3">
              <w:rPr>
                <w:rFonts w:eastAsia="Calibri"/>
              </w:rPr>
              <w:t xml:space="preserve">Liela daļa no LIAA iegūtajiem ieņēmumiem no maksas pakalpojumiem ir uzņēmēju norēķini par LIAA organizēto ārzemju komandējumu </w:t>
            </w:r>
            <w:r w:rsidR="009B4B4A" w:rsidRPr="00287FD3">
              <w:rPr>
                <w:rFonts w:eastAsia="Calibri"/>
              </w:rPr>
              <w:t>(uzņēmēju deleg</w:t>
            </w:r>
            <w:r w:rsidR="00BC4E4F">
              <w:rPr>
                <w:rFonts w:eastAsia="Calibri"/>
              </w:rPr>
              <w:t>ācijas valsts amatpersonu vizīte</w:t>
            </w:r>
            <w:r w:rsidR="009B4B4A" w:rsidRPr="00287FD3">
              <w:rPr>
                <w:rFonts w:eastAsia="Calibri"/>
              </w:rPr>
              <w:t xml:space="preserve">s, tirdzniecības misijas u.c.) </w:t>
            </w:r>
            <w:r w:rsidRPr="00287FD3">
              <w:rPr>
                <w:rFonts w:eastAsia="Calibri"/>
              </w:rPr>
              <w:t xml:space="preserve">izmaksām – viesnīcu un aviobiļešu izdevumu apmaksai. </w:t>
            </w:r>
            <w:r w:rsidR="00F1272C" w:rsidRPr="00287FD3">
              <w:t xml:space="preserve">Ņemot vērā, ka </w:t>
            </w:r>
            <w:r w:rsidRPr="00287FD3">
              <w:t xml:space="preserve">LIAA </w:t>
            </w:r>
            <w:r w:rsidR="00F1272C" w:rsidRPr="00287FD3">
              <w:t xml:space="preserve">darbības mērķis ir noteiktu </w:t>
            </w:r>
            <w:r w:rsidRPr="00287FD3">
              <w:t xml:space="preserve">Ekonomikas ministrijas </w:t>
            </w:r>
            <w:r w:rsidR="00F1272C" w:rsidRPr="00287FD3">
              <w:t xml:space="preserve">deleģēto funkciju </w:t>
            </w:r>
            <w:r w:rsidRPr="00287FD3">
              <w:t>īstenošana</w:t>
            </w:r>
            <w:r w:rsidR="00F1272C" w:rsidRPr="00287FD3">
              <w:t>,</w:t>
            </w:r>
            <w:r w:rsidR="001F0EFB">
              <w:t xml:space="preserve"> attiecīgi pieprasot finansējumu no valsts budžeta, un </w:t>
            </w:r>
            <w:r w:rsidRPr="001F0EFB">
              <w:t>kuru īstenošana notiek ciešā sadarbībā ar Ekonomikas ministriju,</w:t>
            </w:r>
            <w:r w:rsidR="00037037">
              <w:t xml:space="preserve"> </w:t>
            </w:r>
            <w:r w:rsidR="00F1272C" w:rsidRPr="001F0EFB">
              <w:t>kā arī līdzšinējie darbības principi atbilst valsts iestādes darbības principiem un finansēšanas modelim, l</w:t>
            </w:r>
            <w:r w:rsidR="00BC4E4F">
              <w:rPr>
                <w:rFonts w:eastAsia="Calibri"/>
              </w:rPr>
              <w:t>īdz ar to tā</w:t>
            </w:r>
            <w:r w:rsidR="00F1272C" w:rsidRPr="001F0EFB">
              <w:rPr>
                <w:rFonts w:eastAsia="Calibri"/>
              </w:rPr>
              <w:t xml:space="preserve"> neatbilst </w:t>
            </w:r>
            <w:r w:rsidR="00F1272C" w:rsidRPr="001F0EFB">
              <w:rPr>
                <w:bCs/>
              </w:rPr>
              <w:t>Publisko aģentūru likuma 13.pantā noteiktajiem publisko aģentūru kritērijiem un p</w:t>
            </w:r>
            <w:r w:rsidR="00BC4E4F">
              <w:rPr>
                <w:bCs/>
              </w:rPr>
              <w:t>ārveidojama par valsts iestādi</w:t>
            </w:r>
            <w:r w:rsidR="00F1272C" w:rsidRPr="001F0EFB">
              <w:rPr>
                <w:bCs/>
              </w:rPr>
              <w:t>.</w:t>
            </w:r>
          </w:p>
          <w:p w:rsidR="00364211" w:rsidRPr="005E632F" w:rsidRDefault="00364211" w:rsidP="005E632F">
            <w:pPr>
              <w:spacing w:after="120"/>
              <w:ind w:left="142" w:right="71"/>
              <w:jc w:val="both"/>
            </w:pPr>
            <w:r>
              <w:rPr>
                <w:bCs/>
              </w:rPr>
              <w:t xml:space="preserve">Atbilstoši Valsts pārvaldes iekārtas likuma 7.panta piektajai </w:t>
            </w:r>
            <w:proofErr w:type="spellStart"/>
            <w:r>
              <w:rPr>
                <w:bCs/>
              </w:rPr>
              <w:t>prim</w:t>
            </w:r>
            <w:proofErr w:type="spellEnd"/>
            <w:r>
              <w:rPr>
                <w:bCs/>
              </w:rPr>
              <w:t xml:space="preserve"> daļai tiešajā pārvaldē institucionālo padotību īsteno pakļautības formā, ja likumā nav noteikts citādi, kā arī saskaņā ar 2012.gada 1.novembra Valsts sekretāru sanāksmē nolemto (protokols Nr.44 32§ 2.punkts), LIAA padotības forma tiek mainīta uz pakļautības formu. Taču LIAA uzdevumu ietvaros tiek paredzēts izņēmums attiecībā uz LIAA nolikumā iekļauto 4.3.apakšpunktu, kura ietvaros tiek paredzēts, ka LIAA atrodas</w:t>
            </w:r>
            <w:r w:rsidRPr="00180E3E">
              <w:t xml:space="preserve"> ekonomikas ministra funkcionālā pārraudzībā</w:t>
            </w:r>
            <w:r>
              <w:t>.</w:t>
            </w:r>
            <w:r w:rsidR="005E632F">
              <w:t xml:space="preserve"> </w:t>
            </w:r>
            <w:r w:rsidRPr="005E632F">
              <w:t xml:space="preserve">Atbilstoši Eiropas Savienības struktūrfondu un Kohēzijas fonda vadības likuma (turpmāk – Vadības likums) 14.panta 4.daļai sadarbības iestāde (LIAA), pildot šā panta pirmajā daļā minētos pienākumus, </w:t>
            </w:r>
            <w:r w:rsidRPr="005E632F">
              <w:lastRenderedPageBreak/>
              <w:t xml:space="preserve">ir tā Ministru kabineta locekļa funkcionālajā padotībā, kuram ir padota par šā likuma 13.panta pirmajā daļā minēto pienākumu izpildi atbildīgā iestāde (Ekonomikas ministrijai). Savukārt Vadības likuma 18.panta 10.punkts nosaka pienākumu Ministru kabinetam noteikt kārtību, kādā īsteno darbības programmas papildinājumā norādītās Eiropas Savienības fonda aktivitātes, nosaka projektu iesniegumu vērtēšanas kritērijus, prasības projekta iesniedzējam, atbildīgo iestādi un sadarbības iestādi, kompetences sadalījumu starp šīm iestādēm un sadarbības kārtību, kā arī atbildīgās iestādes un sadarbības iestādes funkcionālās padotības formu. </w:t>
            </w:r>
          </w:p>
          <w:p w:rsidR="00364211" w:rsidRPr="005E632F" w:rsidRDefault="00364211" w:rsidP="00442C7B">
            <w:pPr>
              <w:ind w:left="142"/>
              <w:jc w:val="both"/>
            </w:pPr>
            <w:r w:rsidRPr="005E632F">
              <w:t>Atbilstoši attiecīgajam regulējumam Ministru kabinets Ekonomikas ministrijas kompetencē īstenotajās ES fondu aktivitātēs</w:t>
            </w:r>
            <w:r w:rsidR="00442C7B">
              <w:t xml:space="preserve"> (piemēram, Ministru kabineta 2011.gada 19.oktobra noteikumi Nr.817 „Noteikumi par darbības programmas „Uzņēmējdarbība un inovācijas” papildinājuma 2.1.2.4.aktivitātes „Augstas pievienotās vērtības investīcijas” projektu iesniegumu atlases otro un turpmākajām kārtām”) </w:t>
            </w:r>
            <w:r w:rsidRPr="005E632F">
              <w:t xml:space="preserve">ir noteicis, ka LIAA ir atbildīgās iestādes funkcionālā pārraudzībā, cita starpā nosakot to Ekonomikas ministrijas kā atbildīgās iestāde un LIAA kā sadarbības iestādes funkciju sadalījumu. </w:t>
            </w:r>
          </w:p>
          <w:p w:rsidR="00364211" w:rsidRPr="005E632F" w:rsidRDefault="00364211" w:rsidP="005E632F">
            <w:pPr>
              <w:ind w:left="142"/>
              <w:jc w:val="both"/>
            </w:pPr>
            <w:r w:rsidRPr="005E632F">
              <w:t>Saskaņā ar attiecīgo funkciju sadalījumu Ekonomikas ministrijai ir pienākums nodrošināt aktivitātes īstenošanu, uzraudzību un kontroli, savukārt LIAA ir pienākums izveidot projektu iesniegumu vērtēšanas komisiju, tās sastāvu saskaņojot ar atbildīgo iestādi un izstrādāt vērtēšanas komisijas darbības kārtību; atlasīt projektu iesniegumus un nodrošināt to vērtēšanu; pieņemt lēmumus par projektu iesniegumiem; slēgt līgumus par projekta īstenošanu. Lai LIAA nodrošinātu attiecīgo funkciju izpildi, tai saskaņā ar Regulu nosacījumiem ir jāizstrādā ES fondu vadības un kontroles sistēma (sistēma tiek akreditēta).</w:t>
            </w:r>
          </w:p>
          <w:p w:rsidR="00364211" w:rsidRPr="005E632F" w:rsidRDefault="00364211" w:rsidP="005E632F">
            <w:pPr>
              <w:ind w:left="142"/>
              <w:jc w:val="both"/>
            </w:pPr>
            <w:r w:rsidRPr="005E632F">
              <w:t>Savukārt Ekonomikas ministrijas kompetencē ir nodrošināt attiecīgās LIAA uzraudzību, tai skaitā atbilstoši Vadības likuma 22.pantam, izskatot apstrīdēšanas iesniegumus par LIAA pieņemtajiem administratīvajiem aktiem. Tādejādi ES fondu projektu īstenošana ir noteikta kā LIAA autonomā funkcija.</w:t>
            </w:r>
          </w:p>
          <w:p w:rsidR="00364211" w:rsidRPr="005E632F" w:rsidRDefault="00364211" w:rsidP="005E632F">
            <w:pPr>
              <w:ind w:left="142"/>
              <w:jc w:val="both"/>
            </w:pPr>
            <w:r w:rsidRPr="005E632F">
              <w:t>Eiropas Savienības fondu projektu īstenošana notiek divpakāpju sistēmas ietvaros, proti, sākotnēji tiek pieņemts administratīvais akts par projektu iesniegumu apstiprināšanu, savukārt par projekta īstenošanu tiek slēgts civiltiesisks līgums, līdz ar to attiecīgajā līgumiskajās attiecībās Ekonomikas ministrijai ir ierobežotas iespējas iejaukties.</w:t>
            </w:r>
          </w:p>
          <w:p w:rsidR="005E632F" w:rsidRDefault="00364211" w:rsidP="005E632F">
            <w:pPr>
              <w:ind w:left="142"/>
              <w:jc w:val="both"/>
            </w:pPr>
            <w:r w:rsidRPr="005E632F">
              <w:t>Pamatojoties uz augstāk norādītajām ES fondu ieviešanas nosacījumiem, nav pamatoti noteikt, ka LIAA atrodas EM pakļautībā, jo EM nevar īstenot pilnvērtīgi pakļautības funkcijas un nepieciešams paredzēt speciālu regulējumu  - funkcionālā pārraudzība.</w:t>
            </w:r>
          </w:p>
          <w:p w:rsidR="005E632F" w:rsidRPr="00287FD3" w:rsidRDefault="005E632F" w:rsidP="005E632F">
            <w:pPr>
              <w:ind w:left="142"/>
              <w:jc w:val="both"/>
            </w:pPr>
          </w:p>
          <w:p w:rsidR="00A46C15" w:rsidRPr="00287FD3" w:rsidRDefault="00A46C15" w:rsidP="005E632F">
            <w:pPr>
              <w:pStyle w:val="naiskr"/>
              <w:spacing w:before="0" w:after="0"/>
              <w:ind w:left="102" w:right="81"/>
              <w:jc w:val="both"/>
            </w:pPr>
            <w:r w:rsidRPr="00287FD3">
              <w:t xml:space="preserve">Noteikumu projekta izdošanas mērķis ir noteikt LIAA darbības pamatnoteikumus, ievērojot LIAA juridiskā statusa maiņu, pārveidojot to no valsts aģentūras uz tiešās valsts pārvaldes iestādi. </w:t>
            </w:r>
            <w:r w:rsidR="00F07F3C" w:rsidRPr="00287FD3">
              <w:t>Noteikumu projekts nosaka LIAA funkcijas, uzdevumus un</w:t>
            </w:r>
            <w:bookmarkStart w:id="0" w:name="180456"/>
            <w:bookmarkEnd w:id="0"/>
            <w:r w:rsidR="00F07F3C" w:rsidRPr="00287FD3">
              <w:t xml:space="preserve"> </w:t>
            </w:r>
            <w:r w:rsidR="00BC4E4F">
              <w:t>tiesības</w:t>
            </w:r>
            <w:r w:rsidR="00F07F3C" w:rsidRPr="00287FD3">
              <w:t>, struktūru un pārvaldi, finansēšanas avotus, darbības tiesiskuma nodrošināšanas un pārskatu sniegšanas kārtību.</w:t>
            </w:r>
          </w:p>
          <w:p w:rsidR="00175784" w:rsidRPr="00287FD3" w:rsidRDefault="00175784" w:rsidP="006E248C">
            <w:pPr>
              <w:pStyle w:val="naiskr"/>
              <w:spacing w:before="0" w:after="0"/>
              <w:ind w:left="102" w:right="81"/>
              <w:jc w:val="both"/>
            </w:pPr>
            <w:r w:rsidRPr="00287FD3">
              <w:t xml:space="preserve">Mainot statusu, tomēr tiek saglabāts iestādes iepriekšējais nosaukums „Latvijas Investīciju un attīstības aģentūra ”, kas ir pamatojams ar to, ka nosaukums ir starptautiskā, kā arī vietējā līmenī plaši atpazīstams. </w:t>
            </w:r>
          </w:p>
          <w:p w:rsidR="00175784" w:rsidRPr="00287FD3" w:rsidRDefault="00175784" w:rsidP="00FA3B5D">
            <w:pPr>
              <w:ind w:left="102" w:right="81"/>
              <w:jc w:val="both"/>
            </w:pPr>
            <w:r w:rsidRPr="00287FD3">
              <w:t>Nosaukuma maiņa var radīt administratīvas, sadarbības un pārstāvības rakstura problēmas, kā arī radīt neizpratni par institūcijas identitāti. LIAA starptautiskā mērogā ir pārstāvēta</w:t>
            </w:r>
            <w:r w:rsidR="00840C98" w:rsidRPr="00287FD3">
              <w:t>, piemēram, Pasaules investīciju piesaistes aģentūru asociācijā (</w:t>
            </w:r>
            <w:proofErr w:type="spellStart"/>
            <w:r w:rsidR="00840C98" w:rsidRPr="00287FD3">
              <w:t>World</w:t>
            </w:r>
            <w:proofErr w:type="spellEnd"/>
            <w:r w:rsidR="004F1247">
              <w:t xml:space="preserve"> </w:t>
            </w:r>
            <w:proofErr w:type="spellStart"/>
            <w:r w:rsidR="00840C98" w:rsidRPr="00287FD3">
              <w:t>Association</w:t>
            </w:r>
            <w:proofErr w:type="spellEnd"/>
            <w:r w:rsidR="004F1247">
              <w:t xml:space="preserve"> </w:t>
            </w:r>
            <w:proofErr w:type="spellStart"/>
            <w:r w:rsidR="00840C98" w:rsidRPr="00287FD3">
              <w:t>of</w:t>
            </w:r>
            <w:proofErr w:type="spellEnd"/>
            <w:r w:rsidR="004F1247">
              <w:t xml:space="preserve"> </w:t>
            </w:r>
            <w:proofErr w:type="spellStart"/>
            <w:r w:rsidR="00840C98" w:rsidRPr="00287FD3">
              <w:t>Investment</w:t>
            </w:r>
            <w:proofErr w:type="spellEnd"/>
            <w:r w:rsidR="004F1247">
              <w:t xml:space="preserve"> </w:t>
            </w:r>
            <w:proofErr w:type="spellStart"/>
            <w:r w:rsidR="00840C98" w:rsidRPr="00287FD3">
              <w:t>Promotion</w:t>
            </w:r>
            <w:proofErr w:type="spellEnd"/>
            <w:r w:rsidR="004F1247">
              <w:t xml:space="preserve"> </w:t>
            </w:r>
            <w:proofErr w:type="spellStart"/>
            <w:r w:rsidR="00840C98" w:rsidRPr="00287FD3">
              <w:t>Agencies</w:t>
            </w:r>
            <w:proofErr w:type="spellEnd"/>
            <w:r w:rsidR="00840C98" w:rsidRPr="00287FD3">
              <w:t>), Baltijas Dalīto pakalpojumu kopienā (</w:t>
            </w:r>
            <w:proofErr w:type="spellStart"/>
            <w:r w:rsidR="00840C98" w:rsidRPr="00287FD3">
              <w:t>Baltic</w:t>
            </w:r>
            <w:proofErr w:type="spellEnd"/>
            <w:r w:rsidR="004F1247">
              <w:t xml:space="preserve"> </w:t>
            </w:r>
            <w:proofErr w:type="spellStart"/>
            <w:r w:rsidR="00840C98" w:rsidRPr="00287FD3">
              <w:t>Shared</w:t>
            </w:r>
            <w:proofErr w:type="spellEnd"/>
            <w:r w:rsidR="004F1247">
              <w:t xml:space="preserve"> </w:t>
            </w:r>
            <w:proofErr w:type="spellStart"/>
            <w:r w:rsidR="00840C98" w:rsidRPr="00287FD3">
              <w:t>Services</w:t>
            </w:r>
            <w:proofErr w:type="spellEnd"/>
            <w:r w:rsidR="004F1247">
              <w:t xml:space="preserve"> </w:t>
            </w:r>
            <w:proofErr w:type="spellStart"/>
            <w:r w:rsidR="00840C98" w:rsidRPr="00287FD3">
              <w:t>Community</w:t>
            </w:r>
            <w:proofErr w:type="spellEnd"/>
            <w:r w:rsidR="00840C98" w:rsidRPr="00287FD3">
              <w:t>), NVO „Baltijas Attīstības forumā” (</w:t>
            </w:r>
            <w:proofErr w:type="spellStart"/>
            <w:r w:rsidR="00840C98" w:rsidRPr="00287FD3">
              <w:t>Baltic</w:t>
            </w:r>
            <w:proofErr w:type="spellEnd"/>
            <w:r w:rsidR="004F1247">
              <w:t xml:space="preserve"> </w:t>
            </w:r>
            <w:proofErr w:type="spellStart"/>
            <w:r w:rsidR="00840C98" w:rsidRPr="00287FD3">
              <w:t>Development</w:t>
            </w:r>
            <w:proofErr w:type="spellEnd"/>
            <w:r w:rsidR="004F1247">
              <w:t xml:space="preserve"> </w:t>
            </w:r>
            <w:proofErr w:type="spellStart"/>
            <w:r w:rsidR="00840C98" w:rsidRPr="00287FD3">
              <w:t>Forum</w:t>
            </w:r>
            <w:proofErr w:type="spellEnd"/>
            <w:r w:rsidR="00840C98" w:rsidRPr="00287FD3">
              <w:t xml:space="preserve">), </w:t>
            </w:r>
            <w:r w:rsidR="00840C98" w:rsidRPr="00287FD3">
              <w:rPr>
                <w:bCs/>
              </w:rPr>
              <w:t>Baltijas jūras reģiona programmas BSR Stars augsta līmeņa grupā, Centrālās Baltijas jūras reģiona INTERREG IV A programmas 2007.-2013.gadam pārrobežu projektā „</w:t>
            </w:r>
            <w:proofErr w:type="spellStart"/>
            <w:r w:rsidR="00840C98" w:rsidRPr="00287FD3">
              <w:rPr>
                <w:bCs/>
              </w:rPr>
              <w:t>Single</w:t>
            </w:r>
            <w:proofErr w:type="spellEnd"/>
            <w:r w:rsidR="00840C98" w:rsidRPr="00287FD3">
              <w:rPr>
                <w:bCs/>
              </w:rPr>
              <w:t xml:space="preserve"> CBR </w:t>
            </w:r>
            <w:proofErr w:type="spellStart"/>
            <w:r w:rsidR="00840C98" w:rsidRPr="00287FD3">
              <w:rPr>
                <w:bCs/>
              </w:rPr>
              <w:t>Home</w:t>
            </w:r>
            <w:proofErr w:type="spellEnd"/>
            <w:r w:rsidR="004F1247">
              <w:rPr>
                <w:bCs/>
              </w:rPr>
              <w:t xml:space="preserve"> </w:t>
            </w:r>
            <w:proofErr w:type="spellStart"/>
            <w:r w:rsidR="00840C98" w:rsidRPr="00287FD3">
              <w:rPr>
                <w:bCs/>
              </w:rPr>
              <w:t>Market”</w:t>
            </w:r>
            <w:r w:rsidR="00B54ACD" w:rsidRPr="00287FD3">
              <w:rPr>
                <w:bCs/>
              </w:rPr>
              <w:t>u.c</w:t>
            </w:r>
            <w:proofErr w:type="spellEnd"/>
            <w:r w:rsidRPr="00287FD3">
              <w:t>. LIAA sadarbības partneri ir</w:t>
            </w:r>
            <w:r w:rsidR="00840C98" w:rsidRPr="00287FD3">
              <w:t xml:space="preserve">, piemēram, </w:t>
            </w:r>
            <w:proofErr w:type="spellStart"/>
            <w:r w:rsidR="00840C98" w:rsidRPr="00287FD3">
              <w:t>Tallinn</w:t>
            </w:r>
            <w:proofErr w:type="spellEnd"/>
            <w:r w:rsidR="004F1247">
              <w:t xml:space="preserve"> </w:t>
            </w:r>
            <w:proofErr w:type="spellStart"/>
            <w:r w:rsidR="00840C98" w:rsidRPr="00287FD3">
              <w:t>Science</w:t>
            </w:r>
            <w:proofErr w:type="spellEnd"/>
            <w:r w:rsidR="004F1247">
              <w:t xml:space="preserve"> </w:t>
            </w:r>
            <w:proofErr w:type="spellStart"/>
            <w:r w:rsidR="00840C98" w:rsidRPr="00287FD3">
              <w:t>Park</w:t>
            </w:r>
            <w:proofErr w:type="spellEnd"/>
            <w:r w:rsidR="00840C98" w:rsidRPr="00287FD3">
              <w:t xml:space="preserve"> TEHNOPOL un </w:t>
            </w:r>
            <w:proofErr w:type="spellStart"/>
            <w:r w:rsidR="00840C98" w:rsidRPr="00287FD3">
              <w:t>Estonian</w:t>
            </w:r>
            <w:proofErr w:type="spellEnd"/>
            <w:r w:rsidR="004F1247">
              <w:t xml:space="preserve"> </w:t>
            </w:r>
            <w:proofErr w:type="spellStart"/>
            <w:r w:rsidR="00840C98" w:rsidRPr="00287FD3">
              <w:t>Development</w:t>
            </w:r>
            <w:proofErr w:type="spellEnd"/>
            <w:r w:rsidR="004F1247">
              <w:t xml:space="preserve"> </w:t>
            </w:r>
            <w:proofErr w:type="spellStart"/>
            <w:r w:rsidR="00840C98" w:rsidRPr="00287FD3">
              <w:t>Fund</w:t>
            </w:r>
            <w:proofErr w:type="spellEnd"/>
            <w:r w:rsidR="00840C98" w:rsidRPr="00287FD3">
              <w:t xml:space="preserve"> (</w:t>
            </w:r>
            <w:proofErr w:type="spellStart"/>
            <w:r w:rsidR="00840C98" w:rsidRPr="00287FD3">
              <w:t>Arengufond</w:t>
            </w:r>
            <w:proofErr w:type="spellEnd"/>
            <w:r w:rsidR="00840C98" w:rsidRPr="00287FD3">
              <w:t xml:space="preserve">) Igaunijā, Zviedrijas inovācijas aģentūra VINNOVA, Zviedrijas IT klasteris </w:t>
            </w:r>
            <w:proofErr w:type="spellStart"/>
            <w:r w:rsidR="00840C98" w:rsidRPr="00287FD3">
              <w:t>Mobile</w:t>
            </w:r>
            <w:proofErr w:type="spellEnd"/>
            <w:r w:rsidR="004F1247">
              <w:t xml:space="preserve"> </w:t>
            </w:r>
            <w:proofErr w:type="spellStart"/>
            <w:r w:rsidR="00840C98" w:rsidRPr="00287FD3">
              <w:t>Heights</w:t>
            </w:r>
            <w:proofErr w:type="spellEnd"/>
            <w:r w:rsidR="00840C98" w:rsidRPr="00287FD3">
              <w:t xml:space="preserve">, Norvēģijas inovācijas aģentūra </w:t>
            </w:r>
            <w:proofErr w:type="spellStart"/>
            <w:r w:rsidR="00840C98" w:rsidRPr="00287FD3">
              <w:t>Innovation</w:t>
            </w:r>
            <w:proofErr w:type="spellEnd"/>
            <w:r w:rsidR="004F1247">
              <w:t xml:space="preserve"> </w:t>
            </w:r>
            <w:proofErr w:type="spellStart"/>
            <w:r w:rsidR="00840C98" w:rsidRPr="00287FD3">
              <w:t>Norway</w:t>
            </w:r>
            <w:proofErr w:type="spellEnd"/>
            <w:r w:rsidR="00840C98" w:rsidRPr="00287FD3">
              <w:t xml:space="preserve">, </w:t>
            </w:r>
            <w:proofErr w:type="spellStart"/>
            <w:r w:rsidR="00840C98" w:rsidRPr="00287FD3">
              <w:t>Culminatum</w:t>
            </w:r>
            <w:proofErr w:type="spellEnd"/>
            <w:r w:rsidR="004F1247">
              <w:t xml:space="preserve"> </w:t>
            </w:r>
            <w:proofErr w:type="spellStart"/>
            <w:r w:rsidR="00840C98" w:rsidRPr="00287FD3">
              <w:t>Innovation</w:t>
            </w:r>
            <w:proofErr w:type="spellEnd"/>
            <w:r w:rsidR="00840C98" w:rsidRPr="00287FD3">
              <w:t xml:space="preserve"> un </w:t>
            </w:r>
            <w:proofErr w:type="spellStart"/>
            <w:r w:rsidR="00840C98" w:rsidRPr="00287FD3">
              <w:t>Aalto</w:t>
            </w:r>
            <w:proofErr w:type="spellEnd"/>
            <w:r w:rsidR="00840C98" w:rsidRPr="00287FD3">
              <w:t xml:space="preserve"> Universitāte Somijā, dažādu valstu tirdzniecības un rūpniecības kameras, vēstniecības, ārvalstu mediji (piemēram, </w:t>
            </w:r>
            <w:proofErr w:type="spellStart"/>
            <w:r w:rsidR="00840C98" w:rsidRPr="00287FD3">
              <w:t>Financial</w:t>
            </w:r>
            <w:proofErr w:type="spellEnd"/>
            <w:r w:rsidR="004F1247">
              <w:t xml:space="preserve"> </w:t>
            </w:r>
            <w:proofErr w:type="spellStart"/>
            <w:r w:rsidR="00840C98" w:rsidRPr="00287FD3">
              <w:t>Times</w:t>
            </w:r>
            <w:proofErr w:type="spellEnd"/>
            <w:r w:rsidR="00840C98" w:rsidRPr="00287FD3">
              <w:t xml:space="preserve">) </w:t>
            </w:r>
            <w:proofErr w:type="spellStart"/>
            <w:r w:rsidR="00840C98" w:rsidRPr="00287FD3">
              <w:rPr>
                <w:bCs/>
              </w:rPr>
              <w:t>u.c</w:t>
            </w:r>
            <w:proofErr w:type="spellEnd"/>
            <w:r w:rsidR="00840C98" w:rsidRPr="00287FD3">
              <w:rPr>
                <w:bCs/>
              </w:rPr>
              <w:t>.</w:t>
            </w:r>
            <w:r w:rsidR="004F1247">
              <w:rPr>
                <w:bCs/>
              </w:rPr>
              <w:t xml:space="preserve"> </w:t>
            </w:r>
            <w:r w:rsidRPr="00287FD3">
              <w:t>LIAA minēta pašu, kā arī sadarbības partneru dažādās valodās izdotos uzņēmējdarbības uzsākšanu, eksporta veicināšanu un investīciju piesaisti saistītos bukletos un citos reklāmas materiālos un izdevumos. LIAA ir savs konts sociālajā tīklā „</w:t>
            </w:r>
            <w:proofErr w:type="spellStart"/>
            <w:r w:rsidRPr="00287FD3">
              <w:t>Twitter</w:t>
            </w:r>
            <w:proofErr w:type="spellEnd"/>
            <w:r w:rsidRPr="00287FD3">
              <w:t xml:space="preserve">” internetā, kas ir efektīvs informācijas aprites avots. </w:t>
            </w:r>
          </w:p>
          <w:p w:rsidR="002059DF" w:rsidRPr="001A4101" w:rsidRDefault="002059DF" w:rsidP="00FA3B5D">
            <w:pPr>
              <w:ind w:left="102" w:right="81"/>
              <w:jc w:val="both"/>
            </w:pPr>
            <w:r w:rsidRPr="00287FD3">
              <w:t>Saglabājot esošo nosaukumu nav nepieciešami papildus finanšu resursi ar nosaukuma maiņu saistīto pasākumu īstenošanai.</w:t>
            </w:r>
          </w:p>
        </w:tc>
      </w:tr>
      <w:tr w:rsidR="00175784" w:rsidRPr="001A4101" w:rsidTr="00FC62FD">
        <w:trPr>
          <w:trHeight w:val="476"/>
        </w:trPr>
        <w:tc>
          <w:tcPr>
            <w:tcW w:w="431" w:type="dxa"/>
          </w:tcPr>
          <w:p w:rsidR="00175784" w:rsidRPr="001A4101" w:rsidRDefault="00175784" w:rsidP="006C4607">
            <w:pPr>
              <w:pStyle w:val="naiskr"/>
              <w:spacing w:before="0" w:after="0"/>
            </w:pPr>
            <w:r w:rsidRPr="001A4101">
              <w:lastRenderedPageBreak/>
              <w:t>5.</w:t>
            </w:r>
          </w:p>
        </w:tc>
        <w:tc>
          <w:tcPr>
            <w:tcW w:w="3685" w:type="dxa"/>
          </w:tcPr>
          <w:p w:rsidR="00175784" w:rsidRPr="001A4101" w:rsidRDefault="00175784" w:rsidP="006C4607">
            <w:pPr>
              <w:pStyle w:val="naiskr"/>
              <w:spacing w:before="0" w:after="0"/>
            </w:pPr>
            <w:r w:rsidRPr="001A4101">
              <w:t>Projekta izstrādē iesaistītās institūcijas</w:t>
            </w:r>
          </w:p>
        </w:tc>
        <w:tc>
          <w:tcPr>
            <w:tcW w:w="6025" w:type="dxa"/>
          </w:tcPr>
          <w:p w:rsidR="00175784" w:rsidRPr="001A4101" w:rsidRDefault="00175784" w:rsidP="006E248C">
            <w:pPr>
              <w:pStyle w:val="naiskr"/>
              <w:spacing w:before="0" w:after="0"/>
              <w:ind w:left="102" w:right="81"/>
            </w:pPr>
            <w:r w:rsidRPr="001A4101">
              <w:rPr>
                <w:iCs/>
              </w:rPr>
              <w:t>Nav attiecināms</w:t>
            </w:r>
          </w:p>
        </w:tc>
      </w:tr>
      <w:tr w:rsidR="00175784" w:rsidRPr="001A4101" w:rsidTr="00FC62FD">
        <w:trPr>
          <w:trHeight w:val="1340"/>
        </w:trPr>
        <w:tc>
          <w:tcPr>
            <w:tcW w:w="431" w:type="dxa"/>
          </w:tcPr>
          <w:p w:rsidR="00175784" w:rsidRPr="001A4101" w:rsidRDefault="00175784" w:rsidP="006C4607">
            <w:pPr>
              <w:pStyle w:val="naiskr"/>
              <w:spacing w:before="0" w:after="0"/>
            </w:pPr>
            <w:r w:rsidRPr="001A4101">
              <w:t>6.</w:t>
            </w:r>
          </w:p>
        </w:tc>
        <w:tc>
          <w:tcPr>
            <w:tcW w:w="3685" w:type="dxa"/>
          </w:tcPr>
          <w:p w:rsidR="00175784" w:rsidRPr="001A4101" w:rsidRDefault="00175784" w:rsidP="006C4607">
            <w:pPr>
              <w:pStyle w:val="naiskr"/>
              <w:spacing w:before="0" w:after="0"/>
              <w:rPr>
                <w:i/>
                <w:highlight w:val="yellow"/>
              </w:rPr>
            </w:pPr>
            <w:r w:rsidRPr="001A4101">
              <w:t>Iemesli, kādēļ netika nodrošināta sabiedrības līdzdalība</w:t>
            </w:r>
          </w:p>
        </w:tc>
        <w:tc>
          <w:tcPr>
            <w:tcW w:w="6025" w:type="dxa"/>
          </w:tcPr>
          <w:p w:rsidR="00175784" w:rsidRPr="001A4101" w:rsidRDefault="00175784" w:rsidP="009F1A63">
            <w:pPr>
              <w:pStyle w:val="FootnoteText"/>
              <w:ind w:left="102" w:right="81"/>
              <w:jc w:val="both"/>
              <w:rPr>
                <w:sz w:val="24"/>
                <w:szCs w:val="24"/>
              </w:rPr>
            </w:pPr>
            <w:r w:rsidRPr="001A4101">
              <w:rPr>
                <w:sz w:val="24"/>
                <w:szCs w:val="24"/>
              </w:rPr>
              <w:t>LIAA kompetence ir noteikta saskaņā ar Ekonomikas ministrijai deleģēto kompetenci, kura netiek mainīta. Tādēļ šī noteikumu projekta ietvaros LIAA funkcijas, kas tieši skartu sabiedrību, netiek grozītas, ierobežotas vai paplašinātas.</w:t>
            </w:r>
          </w:p>
        </w:tc>
      </w:tr>
      <w:tr w:rsidR="00175784" w:rsidRPr="001A4101" w:rsidTr="00FC62FD">
        <w:tc>
          <w:tcPr>
            <w:tcW w:w="431" w:type="dxa"/>
          </w:tcPr>
          <w:p w:rsidR="00175784" w:rsidRPr="001A4101" w:rsidRDefault="00175784" w:rsidP="006C4607">
            <w:pPr>
              <w:pStyle w:val="naiskr"/>
              <w:spacing w:before="0" w:after="0"/>
            </w:pPr>
            <w:r w:rsidRPr="001A4101">
              <w:t>7.</w:t>
            </w:r>
          </w:p>
        </w:tc>
        <w:tc>
          <w:tcPr>
            <w:tcW w:w="3685" w:type="dxa"/>
          </w:tcPr>
          <w:p w:rsidR="00175784" w:rsidRPr="001A4101" w:rsidRDefault="00175784" w:rsidP="006C4607">
            <w:pPr>
              <w:pStyle w:val="naiskr"/>
              <w:spacing w:before="0" w:after="0"/>
            </w:pPr>
            <w:r w:rsidRPr="001A4101">
              <w:t>Cita informācija</w:t>
            </w:r>
          </w:p>
        </w:tc>
        <w:tc>
          <w:tcPr>
            <w:tcW w:w="6025" w:type="dxa"/>
          </w:tcPr>
          <w:p w:rsidR="00175784" w:rsidRPr="001A4101" w:rsidRDefault="00175784" w:rsidP="006E248C">
            <w:pPr>
              <w:pStyle w:val="naiskr"/>
              <w:spacing w:before="0" w:after="0"/>
              <w:ind w:left="102" w:right="81"/>
            </w:pPr>
            <w:r w:rsidRPr="001A4101">
              <w:t>Nav</w:t>
            </w:r>
          </w:p>
        </w:tc>
      </w:tr>
    </w:tbl>
    <w:p w:rsidR="00175784" w:rsidRPr="00135373" w:rsidRDefault="00175784" w:rsidP="00135373">
      <w:pPr>
        <w:tabs>
          <w:tab w:val="left" w:pos="7655"/>
        </w:tabs>
        <w:spacing w:before="120" w:after="120"/>
        <w:rPr>
          <w:i/>
        </w:rPr>
      </w:pPr>
      <w:r w:rsidRPr="001A4101">
        <w:rPr>
          <w:i/>
        </w:rPr>
        <w:t>Anotācijas II un III sadaļa – nav attiecināms.</w:t>
      </w: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37"/>
        <w:gridCol w:w="6165"/>
      </w:tblGrid>
      <w:tr w:rsidR="00175784" w:rsidRPr="001A4101" w:rsidTr="00EA78DC">
        <w:trPr>
          <w:jc w:val="center"/>
        </w:trPr>
        <w:tc>
          <w:tcPr>
            <w:tcW w:w="10098" w:type="dxa"/>
            <w:gridSpan w:val="3"/>
          </w:tcPr>
          <w:p w:rsidR="00175784" w:rsidRPr="001A4101" w:rsidRDefault="00175784" w:rsidP="00EA78DC">
            <w:pPr>
              <w:pStyle w:val="naisnod"/>
              <w:spacing w:before="0" w:after="0"/>
            </w:pPr>
            <w:r w:rsidRPr="001A4101">
              <w:t>IV. Tiesību akta projekta ietekme uz spēkā esošo tiesību normu sistēmu</w:t>
            </w:r>
          </w:p>
        </w:tc>
      </w:tr>
      <w:tr w:rsidR="00175784" w:rsidRPr="001A4101" w:rsidTr="003934D8">
        <w:trPr>
          <w:jc w:val="center"/>
        </w:trPr>
        <w:tc>
          <w:tcPr>
            <w:tcW w:w="372" w:type="dxa"/>
          </w:tcPr>
          <w:p w:rsidR="00175784" w:rsidRPr="001A4101" w:rsidRDefault="00175784" w:rsidP="00EA78DC">
            <w:pPr>
              <w:pStyle w:val="naiskr"/>
              <w:tabs>
                <w:tab w:val="left" w:pos="2628"/>
              </w:tabs>
              <w:spacing w:before="0" w:after="0"/>
              <w:jc w:val="both"/>
              <w:rPr>
                <w:iCs/>
              </w:rPr>
            </w:pPr>
            <w:r w:rsidRPr="001A4101">
              <w:rPr>
                <w:iCs/>
              </w:rPr>
              <w:t>1.</w:t>
            </w:r>
          </w:p>
        </w:tc>
        <w:tc>
          <w:tcPr>
            <w:tcW w:w="3544" w:type="dxa"/>
          </w:tcPr>
          <w:p w:rsidR="00175784" w:rsidRPr="001A4101" w:rsidRDefault="00175784" w:rsidP="00EA78DC">
            <w:pPr>
              <w:pStyle w:val="naiskr"/>
              <w:tabs>
                <w:tab w:val="left" w:pos="2628"/>
              </w:tabs>
              <w:spacing w:before="0" w:after="0"/>
              <w:jc w:val="both"/>
              <w:rPr>
                <w:iCs/>
              </w:rPr>
            </w:pPr>
            <w:r w:rsidRPr="001A4101">
              <w:t xml:space="preserve">Nepieciešamie saistītie tiesību </w:t>
            </w:r>
            <w:r w:rsidRPr="001A4101">
              <w:lastRenderedPageBreak/>
              <w:t>aktu projekti</w:t>
            </w:r>
          </w:p>
        </w:tc>
        <w:tc>
          <w:tcPr>
            <w:tcW w:w="6182" w:type="dxa"/>
          </w:tcPr>
          <w:p w:rsidR="002F0F5F" w:rsidRDefault="00840C98" w:rsidP="00430962">
            <w:pPr>
              <w:pStyle w:val="naiskr"/>
              <w:tabs>
                <w:tab w:val="left" w:pos="2628"/>
              </w:tabs>
              <w:spacing w:before="0" w:after="0"/>
              <w:jc w:val="both"/>
            </w:pPr>
            <w:r>
              <w:lastRenderedPageBreak/>
              <w:t xml:space="preserve">Izdarīt grozījumus </w:t>
            </w:r>
            <w:r w:rsidR="004F1247">
              <w:t xml:space="preserve">2010.gada 20.jūlija </w:t>
            </w:r>
            <w:r>
              <w:t xml:space="preserve">Ministru kabineta </w:t>
            </w:r>
            <w:r>
              <w:lastRenderedPageBreak/>
              <w:t>noteikumos Nr.638 ”Noteikumi par valsts aģentūras „Latvijas Investīciju un attīstības aģentūra” sniegto maksas pakalpojumu cenrādi”</w:t>
            </w:r>
            <w:r w:rsidR="002F0F5F">
              <w:t xml:space="preserve"> (</w:t>
            </w:r>
            <w:r w:rsidR="002F0F5F" w:rsidRPr="00CC115C">
              <w:t xml:space="preserve">Valsts sekretāru sanāksmes </w:t>
            </w:r>
            <w:r w:rsidR="002F0F5F">
              <w:t>24.05.2012. protokol</w:t>
            </w:r>
            <w:r w:rsidR="00430962">
              <w:t>a</w:t>
            </w:r>
            <w:r w:rsidR="004F1247">
              <w:t xml:space="preserve"> Nr.21 8.§, VSS-521</w:t>
            </w:r>
            <w:r w:rsidR="002F0F5F">
              <w:t>)</w:t>
            </w:r>
            <w:r>
              <w:t>, aizstājot noteikumu nosaukumā un tekstā vārdus „valsts aģentūra „Latvijas Investīciju un attīstības aģentūra””</w:t>
            </w:r>
            <w:r w:rsidR="004F1247">
              <w:t xml:space="preserve"> </w:t>
            </w:r>
            <w:r>
              <w:t>(attiecīgā locījumā) ar vārdiem „Latvijas Investīciju un attīstības aģentūra” (attiecīgā locījumā).</w:t>
            </w:r>
          </w:p>
          <w:p w:rsidR="00CB324C" w:rsidRPr="00CB324C" w:rsidRDefault="00CB324C" w:rsidP="00CB324C">
            <w:pPr>
              <w:pStyle w:val="ListParagraph"/>
              <w:tabs>
                <w:tab w:val="left" w:pos="1134"/>
              </w:tabs>
              <w:spacing w:after="0" w:line="240" w:lineRule="auto"/>
              <w:ind w:left="0"/>
              <w:jc w:val="both"/>
              <w:rPr>
                <w:rFonts w:ascii="Times New Roman" w:hAnsi="Times New Roman"/>
                <w:sz w:val="24"/>
                <w:szCs w:val="24"/>
              </w:rPr>
            </w:pPr>
            <w:r w:rsidRPr="00CC115C">
              <w:rPr>
                <w:rFonts w:ascii="Times New Roman" w:hAnsi="Times New Roman"/>
                <w:sz w:val="24"/>
                <w:szCs w:val="24"/>
              </w:rPr>
              <w:t>Atzīt par spēku zaudējušiem Ministru kabineta 2003.gada 23.decembra noteikumus Nr.746 „Valsts aģentūras „Latvijas Investīciju un attīstības aģen</w:t>
            </w:r>
            <w:r w:rsidR="004F1247">
              <w:rPr>
                <w:rFonts w:ascii="Times New Roman" w:hAnsi="Times New Roman"/>
                <w:sz w:val="24"/>
                <w:szCs w:val="24"/>
              </w:rPr>
              <w:t>tūra” nolikums”</w:t>
            </w:r>
            <w:r w:rsidRPr="00CC115C">
              <w:rPr>
                <w:rFonts w:ascii="Times New Roman" w:hAnsi="Times New Roman"/>
                <w:sz w:val="24"/>
                <w:szCs w:val="24"/>
              </w:rPr>
              <w:t>.</w:t>
            </w:r>
          </w:p>
        </w:tc>
      </w:tr>
      <w:tr w:rsidR="00175784" w:rsidRPr="001A4101" w:rsidTr="003934D8">
        <w:trPr>
          <w:jc w:val="center"/>
        </w:trPr>
        <w:tc>
          <w:tcPr>
            <w:tcW w:w="372" w:type="dxa"/>
          </w:tcPr>
          <w:p w:rsidR="00175784" w:rsidRPr="001A4101" w:rsidRDefault="00175784" w:rsidP="00EA78DC">
            <w:pPr>
              <w:pStyle w:val="naiskr"/>
              <w:tabs>
                <w:tab w:val="left" w:pos="2628"/>
              </w:tabs>
              <w:spacing w:before="0" w:after="0"/>
              <w:jc w:val="both"/>
              <w:rPr>
                <w:iCs/>
              </w:rPr>
            </w:pPr>
            <w:r w:rsidRPr="001A4101">
              <w:rPr>
                <w:iCs/>
              </w:rPr>
              <w:lastRenderedPageBreak/>
              <w:t>2.</w:t>
            </w:r>
          </w:p>
        </w:tc>
        <w:tc>
          <w:tcPr>
            <w:tcW w:w="3544" w:type="dxa"/>
          </w:tcPr>
          <w:p w:rsidR="00175784" w:rsidRPr="001A4101" w:rsidRDefault="00175784" w:rsidP="00EA78DC">
            <w:pPr>
              <w:pStyle w:val="naiskr"/>
              <w:tabs>
                <w:tab w:val="left" w:pos="2628"/>
              </w:tabs>
              <w:spacing w:before="0" w:after="0"/>
              <w:jc w:val="both"/>
              <w:rPr>
                <w:iCs/>
              </w:rPr>
            </w:pPr>
            <w:r w:rsidRPr="001A4101">
              <w:t>Cita informācija</w:t>
            </w:r>
          </w:p>
        </w:tc>
        <w:tc>
          <w:tcPr>
            <w:tcW w:w="6182" w:type="dxa"/>
          </w:tcPr>
          <w:p w:rsidR="00175784" w:rsidRPr="001A4101" w:rsidRDefault="00175784" w:rsidP="00EA78DC">
            <w:pPr>
              <w:pStyle w:val="naiskr"/>
              <w:tabs>
                <w:tab w:val="left" w:pos="2628"/>
              </w:tabs>
              <w:spacing w:before="0" w:after="0"/>
              <w:jc w:val="both"/>
              <w:rPr>
                <w:iCs/>
              </w:rPr>
            </w:pPr>
            <w:r w:rsidRPr="001A4101">
              <w:t>Nav</w:t>
            </w:r>
          </w:p>
        </w:tc>
      </w:tr>
    </w:tbl>
    <w:p w:rsidR="00175784" w:rsidRPr="003934D8" w:rsidRDefault="00175784" w:rsidP="003934D8">
      <w:pPr>
        <w:tabs>
          <w:tab w:val="left" w:pos="7655"/>
        </w:tabs>
        <w:spacing w:before="120" w:after="120"/>
        <w:rPr>
          <w:i/>
        </w:rPr>
      </w:pPr>
      <w:r w:rsidRPr="001A4101">
        <w:rPr>
          <w:i/>
        </w:rPr>
        <w:t>Anotācijas V un VI sadaļa – nav attiecināms.</w:t>
      </w: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3544"/>
        <w:gridCol w:w="6295"/>
      </w:tblGrid>
      <w:tr w:rsidR="00175784" w:rsidRPr="001A4101" w:rsidTr="00FD2A8A">
        <w:tc>
          <w:tcPr>
            <w:tcW w:w="10264" w:type="dxa"/>
            <w:gridSpan w:val="3"/>
          </w:tcPr>
          <w:p w:rsidR="00175784" w:rsidRPr="001A4101" w:rsidRDefault="00175784" w:rsidP="007D099D">
            <w:pPr>
              <w:pStyle w:val="naisnod"/>
              <w:spacing w:before="0" w:after="0"/>
              <w:ind w:left="57" w:right="57"/>
            </w:pPr>
            <w:r w:rsidRPr="001A4101">
              <w:t>VII. Tiesību akta projekta izpildes nodrošināšana un tās ietekme uz institūcijām</w:t>
            </w:r>
          </w:p>
        </w:tc>
      </w:tr>
      <w:tr w:rsidR="00175784" w:rsidRPr="001A4101" w:rsidTr="003934D8">
        <w:trPr>
          <w:trHeight w:val="427"/>
        </w:trPr>
        <w:tc>
          <w:tcPr>
            <w:tcW w:w="425" w:type="dxa"/>
          </w:tcPr>
          <w:p w:rsidR="00175784" w:rsidRPr="001A4101" w:rsidRDefault="00175784" w:rsidP="007D099D">
            <w:pPr>
              <w:pStyle w:val="naisnod"/>
              <w:spacing w:before="0" w:after="0"/>
              <w:ind w:left="57" w:right="57"/>
              <w:jc w:val="left"/>
              <w:rPr>
                <w:b w:val="0"/>
              </w:rPr>
            </w:pPr>
            <w:r w:rsidRPr="001A4101">
              <w:rPr>
                <w:b w:val="0"/>
              </w:rPr>
              <w:t>1.</w:t>
            </w:r>
          </w:p>
        </w:tc>
        <w:tc>
          <w:tcPr>
            <w:tcW w:w="3544" w:type="dxa"/>
          </w:tcPr>
          <w:p w:rsidR="00175784" w:rsidRPr="001A4101" w:rsidRDefault="00175784" w:rsidP="007D099D">
            <w:pPr>
              <w:pStyle w:val="naisf"/>
              <w:spacing w:before="0" w:after="0"/>
              <w:ind w:left="57" w:right="57" w:firstLine="0"/>
              <w:jc w:val="left"/>
            </w:pPr>
            <w:r w:rsidRPr="001A4101">
              <w:t xml:space="preserve">Projekta izpildē iesaistītās institūcijas </w:t>
            </w:r>
          </w:p>
        </w:tc>
        <w:tc>
          <w:tcPr>
            <w:tcW w:w="6295" w:type="dxa"/>
          </w:tcPr>
          <w:p w:rsidR="00175784" w:rsidRPr="001A4101" w:rsidRDefault="007C12E5" w:rsidP="007D099D">
            <w:pPr>
              <w:pStyle w:val="naisnod"/>
              <w:spacing w:before="0" w:after="0"/>
              <w:ind w:left="57" w:right="57"/>
              <w:jc w:val="left"/>
              <w:rPr>
                <w:b w:val="0"/>
              </w:rPr>
            </w:pPr>
            <w:r>
              <w:rPr>
                <w:b w:val="0"/>
                <w:iCs/>
              </w:rPr>
              <w:t xml:space="preserve">Ekonomikas ministrija, </w:t>
            </w:r>
            <w:r w:rsidR="00175784" w:rsidRPr="001A4101">
              <w:rPr>
                <w:b w:val="0"/>
                <w:iCs/>
              </w:rPr>
              <w:t>LIAA</w:t>
            </w:r>
          </w:p>
        </w:tc>
      </w:tr>
      <w:tr w:rsidR="00175784" w:rsidRPr="001A4101" w:rsidTr="003934D8">
        <w:trPr>
          <w:trHeight w:val="463"/>
        </w:trPr>
        <w:tc>
          <w:tcPr>
            <w:tcW w:w="425" w:type="dxa"/>
          </w:tcPr>
          <w:p w:rsidR="00175784" w:rsidRPr="001A4101" w:rsidRDefault="00175784" w:rsidP="007D099D">
            <w:pPr>
              <w:pStyle w:val="naisnod"/>
              <w:spacing w:before="0" w:after="0"/>
              <w:ind w:left="57" w:right="57"/>
              <w:jc w:val="left"/>
              <w:rPr>
                <w:b w:val="0"/>
              </w:rPr>
            </w:pPr>
            <w:r w:rsidRPr="001A4101">
              <w:rPr>
                <w:b w:val="0"/>
              </w:rPr>
              <w:t>2.</w:t>
            </w:r>
          </w:p>
        </w:tc>
        <w:tc>
          <w:tcPr>
            <w:tcW w:w="3544" w:type="dxa"/>
          </w:tcPr>
          <w:p w:rsidR="00175784" w:rsidRPr="001A4101" w:rsidRDefault="00175784" w:rsidP="007D099D">
            <w:pPr>
              <w:pStyle w:val="naisf"/>
              <w:spacing w:before="0" w:after="0"/>
              <w:ind w:left="57" w:right="57" w:firstLine="0"/>
              <w:jc w:val="left"/>
            </w:pPr>
            <w:r w:rsidRPr="001A4101">
              <w:t xml:space="preserve">Projekta izpildes ietekme uz pārvaldes funkcijām </w:t>
            </w:r>
          </w:p>
        </w:tc>
        <w:tc>
          <w:tcPr>
            <w:tcW w:w="6295" w:type="dxa"/>
          </w:tcPr>
          <w:p w:rsidR="00175784" w:rsidRPr="001A4101" w:rsidRDefault="007C12E5" w:rsidP="007C12E5">
            <w:pPr>
              <w:pStyle w:val="naisnod"/>
              <w:spacing w:before="0" w:after="0"/>
              <w:ind w:left="57" w:right="57"/>
              <w:jc w:val="both"/>
              <w:rPr>
                <w:b w:val="0"/>
              </w:rPr>
            </w:pPr>
            <w:r w:rsidRPr="001A4101">
              <w:rPr>
                <w:b w:val="0"/>
                <w:iCs/>
              </w:rPr>
              <w:t>LIAA</w:t>
            </w:r>
            <w:r>
              <w:rPr>
                <w:b w:val="0"/>
                <w:iCs/>
              </w:rPr>
              <w:t xml:space="preserve"> tiks pārveidota no valsts aģentūras par tiešās valsts pārvaldes iestādi. Ekonomikas ministrs </w:t>
            </w:r>
            <w:r w:rsidRPr="001A4101">
              <w:rPr>
                <w:b w:val="0"/>
                <w:iCs/>
              </w:rPr>
              <w:t>LIAA</w:t>
            </w:r>
            <w:r>
              <w:rPr>
                <w:b w:val="0"/>
                <w:iCs/>
              </w:rPr>
              <w:t xml:space="preserve"> pakļautību īstenos ar ekonomikas ministrijas starpniecību.</w:t>
            </w:r>
          </w:p>
        </w:tc>
      </w:tr>
      <w:tr w:rsidR="00175784" w:rsidRPr="001A4101" w:rsidTr="003934D8">
        <w:trPr>
          <w:trHeight w:val="725"/>
        </w:trPr>
        <w:tc>
          <w:tcPr>
            <w:tcW w:w="425" w:type="dxa"/>
          </w:tcPr>
          <w:p w:rsidR="00175784" w:rsidRPr="001A4101" w:rsidRDefault="00175784" w:rsidP="007D099D">
            <w:pPr>
              <w:pStyle w:val="naisnod"/>
              <w:spacing w:before="0" w:after="0"/>
              <w:ind w:left="57" w:right="57"/>
              <w:jc w:val="left"/>
              <w:rPr>
                <w:b w:val="0"/>
              </w:rPr>
            </w:pPr>
            <w:r w:rsidRPr="001A4101">
              <w:rPr>
                <w:b w:val="0"/>
              </w:rPr>
              <w:t>3.</w:t>
            </w:r>
          </w:p>
        </w:tc>
        <w:tc>
          <w:tcPr>
            <w:tcW w:w="3544" w:type="dxa"/>
          </w:tcPr>
          <w:p w:rsidR="00175784" w:rsidRPr="001A4101" w:rsidRDefault="00175784" w:rsidP="007D099D">
            <w:pPr>
              <w:pStyle w:val="naisf"/>
              <w:spacing w:before="0" w:after="0"/>
              <w:ind w:left="57" w:right="57" w:firstLine="0"/>
              <w:jc w:val="left"/>
            </w:pPr>
            <w:r w:rsidRPr="001A4101">
              <w:t>Projekta izpildes ietekme uz pārvaldes institucionālo struktūru.</w:t>
            </w:r>
          </w:p>
          <w:p w:rsidR="00175784" w:rsidRPr="001A4101" w:rsidRDefault="00175784" w:rsidP="007D099D">
            <w:pPr>
              <w:pStyle w:val="naisf"/>
              <w:spacing w:before="0" w:after="0"/>
              <w:ind w:left="57" w:right="57" w:firstLine="0"/>
              <w:jc w:val="left"/>
            </w:pPr>
            <w:r w:rsidRPr="001A4101">
              <w:t>Jaunu institūciju izveide</w:t>
            </w:r>
          </w:p>
        </w:tc>
        <w:tc>
          <w:tcPr>
            <w:tcW w:w="6295" w:type="dxa"/>
          </w:tcPr>
          <w:p w:rsidR="00175784" w:rsidRPr="001A4101" w:rsidRDefault="00175784" w:rsidP="007D099D">
            <w:pPr>
              <w:pStyle w:val="naisnod"/>
              <w:spacing w:before="0" w:after="0"/>
              <w:ind w:left="57" w:right="57"/>
              <w:jc w:val="left"/>
              <w:rPr>
                <w:b w:val="0"/>
              </w:rPr>
            </w:pPr>
            <w:r w:rsidRPr="001A4101">
              <w:rPr>
                <w:b w:val="0"/>
                <w:iCs/>
              </w:rPr>
              <w:t>Nav attiecināms</w:t>
            </w:r>
          </w:p>
        </w:tc>
      </w:tr>
      <w:tr w:rsidR="00175784" w:rsidRPr="001A4101" w:rsidTr="003934D8">
        <w:trPr>
          <w:trHeight w:val="780"/>
        </w:trPr>
        <w:tc>
          <w:tcPr>
            <w:tcW w:w="425" w:type="dxa"/>
          </w:tcPr>
          <w:p w:rsidR="00175784" w:rsidRPr="001A4101" w:rsidRDefault="00175784" w:rsidP="007D099D">
            <w:pPr>
              <w:pStyle w:val="naisnod"/>
              <w:spacing w:before="0" w:after="0"/>
              <w:ind w:left="57" w:right="57"/>
              <w:jc w:val="left"/>
              <w:rPr>
                <w:b w:val="0"/>
              </w:rPr>
            </w:pPr>
            <w:r w:rsidRPr="001A4101">
              <w:rPr>
                <w:b w:val="0"/>
              </w:rPr>
              <w:t>4.</w:t>
            </w:r>
          </w:p>
        </w:tc>
        <w:tc>
          <w:tcPr>
            <w:tcW w:w="3544" w:type="dxa"/>
          </w:tcPr>
          <w:p w:rsidR="00175784" w:rsidRPr="001A4101" w:rsidRDefault="00175784" w:rsidP="007D099D">
            <w:pPr>
              <w:pStyle w:val="naisf"/>
              <w:spacing w:before="0" w:after="0"/>
              <w:ind w:left="57" w:right="57" w:firstLine="0"/>
              <w:jc w:val="left"/>
            </w:pPr>
            <w:r w:rsidRPr="001A4101">
              <w:t>Projekta izpildes ietekme uz pārvaldes institucionālo struktūru.</w:t>
            </w:r>
          </w:p>
          <w:p w:rsidR="00175784" w:rsidRPr="001A4101" w:rsidRDefault="00175784" w:rsidP="007D099D">
            <w:pPr>
              <w:pStyle w:val="naisf"/>
              <w:spacing w:before="0" w:after="0"/>
              <w:ind w:left="57" w:right="57" w:firstLine="0"/>
              <w:jc w:val="left"/>
            </w:pPr>
            <w:r w:rsidRPr="001A4101">
              <w:t>Esošu institūciju likvidācija</w:t>
            </w:r>
          </w:p>
        </w:tc>
        <w:tc>
          <w:tcPr>
            <w:tcW w:w="6295" w:type="dxa"/>
          </w:tcPr>
          <w:p w:rsidR="00175784" w:rsidRPr="001A4101" w:rsidRDefault="00175784" w:rsidP="007D099D">
            <w:pPr>
              <w:pStyle w:val="naisnod"/>
              <w:spacing w:before="0" w:after="0"/>
              <w:ind w:left="57" w:right="57"/>
              <w:jc w:val="left"/>
              <w:rPr>
                <w:b w:val="0"/>
              </w:rPr>
            </w:pPr>
            <w:r w:rsidRPr="001A4101">
              <w:rPr>
                <w:b w:val="0"/>
                <w:iCs/>
              </w:rPr>
              <w:t>Nav attiecināms</w:t>
            </w:r>
          </w:p>
        </w:tc>
      </w:tr>
      <w:tr w:rsidR="00175784" w:rsidRPr="001A4101" w:rsidTr="003934D8">
        <w:trPr>
          <w:trHeight w:val="703"/>
        </w:trPr>
        <w:tc>
          <w:tcPr>
            <w:tcW w:w="425" w:type="dxa"/>
          </w:tcPr>
          <w:p w:rsidR="00175784" w:rsidRPr="001A4101" w:rsidRDefault="00175784" w:rsidP="007D099D">
            <w:pPr>
              <w:pStyle w:val="naisnod"/>
              <w:spacing w:before="0" w:after="0"/>
              <w:ind w:left="57" w:right="57"/>
              <w:jc w:val="left"/>
              <w:rPr>
                <w:b w:val="0"/>
              </w:rPr>
            </w:pPr>
            <w:r w:rsidRPr="001A4101">
              <w:rPr>
                <w:b w:val="0"/>
              </w:rPr>
              <w:t>5.</w:t>
            </w:r>
          </w:p>
        </w:tc>
        <w:tc>
          <w:tcPr>
            <w:tcW w:w="3544" w:type="dxa"/>
          </w:tcPr>
          <w:p w:rsidR="00175784" w:rsidRPr="001A4101" w:rsidRDefault="00175784" w:rsidP="007D099D">
            <w:pPr>
              <w:pStyle w:val="naisf"/>
              <w:spacing w:before="0" w:after="0"/>
              <w:ind w:left="57" w:right="57" w:firstLine="0"/>
              <w:jc w:val="left"/>
            </w:pPr>
            <w:r w:rsidRPr="001A4101">
              <w:t>Projekta izpildes ietekme uz pārvaldes institucionālo struktūru.</w:t>
            </w:r>
          </w:p>
          <w:p w:rsidR="00175784" w:rsidRPr="001A4101" w:rsidRDefault="00175784" w:rsidP="007D099D">
            <w:pPr>
              <w:pStyle w:val="naisf"/>
              <w:spacing w:before="0" w:after="0"/>
              <w:ind w:left="57" w:right="57" w:firstLine="0"/>
              <w:jc w:val="left"/>
            </w:pPr>
            <w:r w:rsidRPr="001A4101">
              <w:t>Esošu institūciju reorganizācija</w:t>
            </w:r>
          </w:p>
        </w:tc>
        <w:tc>
          <w:tcPr>
            <w:tcW w:w="6295" w:type="dxa"/>
          </w:tcPr>
          <w:p w:rsidR="00175784" w:rsidRPr="001A4101" w:rsidRDefault="00175784" w:rsidP="007D099D">
            <w:pPr>
              <w:pStyle w:val="naisnod"/>
              <w:spacing w:before="0" w:after="0"/>
              <w:ind w:left="57" w:right="57"/>
              <w:jc w:val="left"/>
              <w:rPr>
                <w:b w:val="0"/>
              </w:rPr>
            </w:pPr>
            <w:r w:rsidRPr="001A4101">
              <w:rPr>
                <w:b w:val="0"/>
                <w:iCs/>
              </w:rPr>
              <w:t>Nav attiecināms</w:t>
            </w:r>
          </w:p>
        </w:tc>
      </w:tr>
      <w:tr w:rsidR="00175784" w:rsidRPr="001A4101" w:rsidTr="003934D8">
        <w:trPr>
          <w:trHeight w:val="476"/>
        </w:trPr>
        <w:tc>
          <w:tcPr>
            <w:tcW w:w="425" w:type="dxa"/>
          </w:tcPr>
          <w:p w:rsidR="00175784" w:rsidRPr="001A4101" w:rsidRDefault="00175784" w:rsidP="007D099D">
            <w:pPr>
              <w:pStyle w:val="naiskr"/>
              <w:spacing w:before="0" w:after="0"/>
              <w:ind w:left="57" w:right="57"/>
            </w:pPr>
            <w:r w:rsidRPr="001A4101">
              <w:t>6.</w:t>
            </w:r>
          </w:p>
        </w:tc>
        <w:tc>
          <w:tcPr>
            <w:tcW w:w="3544" w:type="dxa"/>
          </w:tcPr>
          <w:p w:rsidR="00175784" w:rsidRPr="001A4101" w:rsidRDefault="00175784" w:rsidP="007D099D">
            <w:pPr>
              <w:pStyle w:val="naiskr"/>
              <w:spacing w:before="0" w:after="0"/>
              <w:ind w:left="57" w:right="57"/>
            </w:pPr>
            <w:r w:rsidRPr="001A4101">
              <w:t>Cita informācija</w:t>
            </w:r>
          </w:p>
        </w:tc>
        <w:tc>
          <w:tcPr>
            <w:tcW w:w="6295" w:type="dxa"/>
          </w:tcPr>
          <w:p w:rsidR="00BA7F1F" w:rsidRPr="007D2471" w:rsidRDefault="001C5C8E" w:rsidP="00685AF5">
            <w:pPr>
              <w:spacing w:afterLines="60" w:after="144"/>
              <w:ind w:left="114" w:right="171"/>
              <w:jc w:val="both"/>
              <w:rPr>
                <w:iCs/>
              </w:rPr>
            </w:pPr>
            <w:r w:rsidRPr="007D2471">
              <w:rPr>
                <w:iCs/>
              </w:rPr>
              <w:t>Noteikumu projektā</w:t>
            </w:r>
            <w:r w:rsidR="00175784" w:rsidRPr="007D2471">
              <w:rPr>
                <w:iCs/>
              </w:rPr>
              <w:t xml:space="preserve"> tiek precizēts</w:t>
            </w:r>
            <w:r w:rsidRPr="007D2471">
              <w:rPr>
                <w:iCs/>
              </w:rPr>
              <w:t xml:space="preserve"> LIAA</w:t>
            </w:r>
            <w:r w:rsidR="00175784" w:rsidRPr="007D2471">
              <w:rPr>
                <w:iCs/>
              </w:rPr>
              <w:t xml:space="preserve"> statuss saskaņā ar spēkā esošo Valsts pārvaldes iekārtas likumu un Publisko aģentūru likumu, mainot to no valsts aģentūras uz valsts iestādi.</w:t>
            </w:r>
            <w:r w:rsidRPr="007D2471">
              <w:rPr>
                <w:iCs/>
              </w:rPr>
              <w:t xml:space="preserve"> LIAA funkcijas pēc būtības netiek mainītas, atsevišķas funkcijas tiek redakcionāli precizētas</w:t>
            </w:r>
            <w:r w:rsidR="00BA7F1F" w:rsidRPr="007D2471">
              <w:rPr>
                <w:iCs/>
              </w:rPr>
              <w:t xml:space="preserve"> (piemēram, funkcija </w:t>
            </w:r>
            <w:r w:rsidR="007D2471" w:rsidRPr="007D2471">
              <w:rPr>
                <w:iCs/>
              </w:rPr>
              <w:t>„</w:t>
            </w:r>
            <w:r w:rsidR="00BA7F1F" w:rsidRPr="007D2471">
              <w:rPr>
                <w:bCs/>
                <w:iCs/>
              </w:rPr>
              <w:t>veicināt Latvijas uzņēmēju (komersantu) ārējo tirdzniecību</w:t>
            </w:r>
            <w:r w:rsidR="00BA7F1F" w:rsidRPr="00A218F7">
              <w:rPr>
                <w:bCs/>
                <w:iCs/>
              </w:rPr>
              <w:t>” precizēta uz „īstenot pasākumus Latvijas uzņēmumu eksportspējas paaugstināšanai un ārējās tirdzni</w:t>
            </w:r>
            <w:r w:rsidR="00BC4E4F">
              <w:rPr>
                <w:bCs/>
                <w:iCs/>
              </w:rPr>
              <w:t>ecības veicināšanai</w:t>
            </w:r>
            <w:r w:rsidR="00BA7F1F" w:rsidRPr="00083062">
              <w:rPr>
                <w:bCs/>
                <w:iCs/>
              </w:rPr>
              <w:t>”</w:t>
            </w:r>
            <w:r w:rsidR="00037037">
              <w:rPr>
                <w:bCs/>
                <w:iCs/>
              </w:rPr>
              <w:t>.</w:t>
            </w:r>
            <w:r w:rsidR="00BA7F1F" w:rsidRPr="00083062">
              <w:rPr>
                <w:bCs/>
                <w:iCs/>
              </w:rPr>
              <w:t xml:space="preserve"> </w:t>
            </w:r>
            <w:r w:rsidR="00BA7F1F" w:rsidRPr="007D2471">
              <w:rPr>
                <w:lang w:eastAsia="zh-CN"/>
              </w:rPr>
              <w:t>Atbilstoši esošai situācijai ir p</w:t>
            </w:r>
            <w:r w:rsidR="00BA7F1F" w:rsidRPr="007D2471">
              <w:t>recizētas fu</w:t>
            </w:r>
            <w:r w:rsidR="00BC4E4F">
              <w:t>nkcijas un uzdevumi saistībā ar</w:t>
            </w:r>
            <w:r w:rsidR="00BA7F1F" w:rsidRPr="00A218F7">
              <w:t xml:space="preserve"> valsts atbalsta programmu pasākumu īstenošanu un Eiropas Savienības fondu un citu ārvalstu finanšu instrumentu līdzfinansēto aktivitāšu administrēšanu.</w:t>
            </w:r>
            <w:r w:rsidR="007D2471" w:rsidRPr="007D2471">
              <w:rPr>
                <w:iCs/>
              </w:rPr>
              <w:t xml:space="preserve"> Noteikumu projektā i</w:t>
            </w:r>
            <w:r w:rsidR="00BA7F1F" w:rsidRPr="007D2471">
              <w:rPr>
                <w:lang w:eastAsia="zh-CN"/>
              </w:rPr>
              <w:t xml:space="preserve">r izslēgta LIAA funkcija un uzdevums saistībā ar valsts un privāto partnerību, jo valsts un privātās partnerības projekti ir ieviesti, bet politikas izstrāde ir nodota Finanšu ministrijas kompetencē. </w:t>
            </w:r>
          </w:p>
          <w:p w:rsidR="00A218F7" w:rsidRPr="00A218F7" w:rsidRDefault="00DB5AF9" w:rsidP="00A218F7">
            <w:pPr>
              <w:pStyle w:val="BodyText"/>
              <w:ind w:left="114" w:right="171"/>
              <w:outlineLvl w:val="0"/>
              <w:rPr>
                <w:sz w:val="24"/>
                <w:szCs w:val="24"/>
                <w:lang w:eastAsia="lv-LV"/>
              </w:rPr>
            </w:pPr>
            <w:r w:rsidRPr="00A218F7">
              <w:rPr>
                <w:sz w:val="24"/>
                <w:szCs w:val="24"/>
                <w:lang w:eastAsia="lv-LV"/>
              </w:rPr>
              <w:t>Noteikumu projekts neparedz LIAA konsultatīvās padomes izveidi un darbību, jo LIAA uzraudzību veic ekonomikas ministrs saskaņā ar Ekonomikas ministrijas iekšējiem noteikumiem, savukārt</w:t>
            </w:r>
            <w:r w:rsidR="00E55D32" w:rsidRPr="00A218F7">
              <w:rPr>
                <w:sz w:val="24"/>
                <w:szCs w:val="24"/>
                <w:lang w:eastAsia="lv-LV"/>
              </w:rPr>
              <w:t xml:space="preserve"> sadarbība ar partneriem – </w:t>
            </w:r>
            <w:r w:rsidRPr="00A218F7">
              <w:rPr>
                <w:sz w:val="24"/>
                <w:szCs w:val="24"/>
                <w:lang w:eastAsia="lv-LV"/>
              </w:rPr>
              <w:t xml:space="preserve">Latvijas </w:t>
            </w:r>
            <w:r w:rsidRPr="00A218F7">
              <w:rPr>
                <w:sz w:val="24"/>
                <w:szCs w:val="24"/>
                <w:lang w:eastAsia="lv-LV"/>
              </w:rPr>
              <w:lastRenderedPageBreak/>
              <w:t>Tirdzniecības un rūpniec</w:t>
            </w:r>
            <w:r w:rsidR="00E55D32" w:rsidRPr="00A218F7">
              <w:rPr>
                <w:sz w:val="24"/>
                <w:szCs w:val="24"/>
                <w:lang w:eastAsia="lv-LV"/>
              </w:rPr>
              <w:t>ības kameru</w:t>
            </w:r>
            <w:r w:rsidRPr="00A218F7">
              <w:rPr>
                <w:sz w:val="24"/>
                <w:szCs w:val="24"/>
                <w:lang w:eastAsia="lv-LV"/>
              </w:rPr>
              <w:t xml:space="preserve">, Latvijas </w:t>
            </w:r>
            <w:r w:rsidR="00E55D32" w:rsidRPr="00A218F7">
              <w:rPr>
                <w:sz w:val="24"/>
                <w:szCs w:val="24"/>
                <w:lang w:eastAsia="lv-LV"/>
              </w:rPr>
              <w:t>D</w:t>
            </w:r>
            <w:r w:rsidRPr="00A218F7">
              <w:rPr>
                <w:sz w:val="24"/>
                <w:szCs w:val="24"/>
                <w:lang w:eastAsia="lv-LV"/>
              </w:rPr>
              <w:t>arba devēju konfeder</w:t>
            </w:r>
            <w:r w:rsidR="00E55D32" w:rsidRPr="00A218F7">
              <w:rPr>
                <w:sz w:val="24"/>
                <w:szCs w:val="24"/>
                <w:lang w:eastAsia="lv-LV"/>
              </w:rPr>
              <w:t>āciju</w:t>
            </w:r>
            <w:r w:rsidR="00083062">
              <w:rPr>
                <w:sz w:val="24"/>
                <w:szCs w:val="24"/>
                <w:lang w:eastAsia="lv-LV"/>
              </w:rPr>
              <w:t xml:space="preserve"> un</w:t>
            </w:r>
            <w:r w:rsidR="00A218F7">
              <w:rPr>
                <w:sz w:val="24"/>
                <w:szCs w:val="24"/>
                <w:lang w:eastAsia="lv-LV"/>
              </w:rPr>
              <w:t xml:space="preserve"> Ārlietu ministriju</w:t>
            </w:r>
            <w:r w:rsidR="00E55D32" w:rsidRPr="00A218F7">
              <w:rPr>
                <w:sz w:val="24"/>
                <w:szCs w:val="24"/>
                <w:lang w:eastAsia="lv-LV"/>
              </w:rPr>
              <w:t xml:space="preserve"> tiek nodrošināta </w:t>
            </w:r>
            <w:r w:rsidR="00A218F7" w:rsidRPr="00A218F7">
              <w:rPr>
                <w:sz w:val="24"/>
                <w:szCs w:val="24"/>
                <w:lang w:eastAsia="lv-LV"/>
              </w:rPr>
              <w:t xml:space="preserve">Ārējās ekonomiskās politikas koordinācijas padomes </w:t>
            </w:r>
            <w:r w:rsidR="00A218F7">
              <w:rPr>
                <w:sz w:val="24"/>
                <w:szCs w:val="24"/>
                <w:lang w:eastAsia="lv-LV"/>
              </w:rPr>
              <w:t xml:space="preserve">ietvaros, bet ar </w:t>
            </w:r>
          </w:p>
          <w:p w:rsidR="00BC4E4F" w:rsidRDefault="00A218F7" w:rsidP="00A218F7">
            <w:pPr>
              <w:pStyle w:val="naisnod"/>
              <w:spacing w:before="0" w:after="0"/>
              <w:ind w:left="114" w:right="171"/>
              <w:jc w:val="both"/>
              <w:rPr>
                <w:b w:val="0"/>
                <w:bCs w:val="0"/>
              </w:rPr>
            </w:pPr>
            <w:r w:rsidRPr="00A218F7">
              <w:rPr>
                <w:b w:val="0"/>
                <w:bCs w:val="0"/>
              </w:rPr>
              <w:t xml:space="preserve">Latvijas Pašvaldību savienību un </w:t>
            </w:r>
            <w:r w:rsidR="00E55D32" w:rsidRPr="00A218F7">
              <w:rPr>
                <w:b w:val="0"/>
                <w:bCs w:val="0"/>
              </w:rPr>
              <w:t>Latvijas Brīvo arodbiedrību savienīb</w:t>
            </w:r>
            <w:r w:rsidRPr="00A218F7">
              <w:rPr>
                <w:b w:val="0"/>
                <w:bCs w:val="0"/>
              </w:rPr>
              <w:t>u un nozaru asociācijām –</w:t>
            </w:r>
            <w:r w:rsidR="00083062">
              <w:rPr>
                <w:b w:val="0"/>
                <w:bCs w:val="0"/>
              </w:rPr>
              <w:t xml:space="preserve"> T</w:t>
            </w:r>
            <w:r w:rsidRPr="00A218F7">
              <w:rPr>
                <w:b w:val="0"/>
                <w:bCs w:val="0"/>
              </w:rPr>
              <w:t>autsaimniecības padomes ietvaros.</w:t>
            </w:r>
          </w:p>
          <w:p w:rsidR="00037037" w:rsidRPr="00037037" w:rsidRDefault="00175784" w:rsidP="00037037">
            <w:pPr>
              <w:pStyle w:val="naisnod"/>
              <w:spacing w:before="0" w:after="0"/>
              <w:ind w:left="114" w:right="171"/>
              <w:jc w:val="both"/>
              <w:rPr>
                <w:b w:val="0"/>
                <w:iCs/>
              </w:rPr>
            </w:pPr>
            <w:r w:rsidRPr="001A4101">
              <w:rPr>
                <w:b w:val="0"/>
                <w:iCs/>
              </w:rPr>
              <w:t>Noteikumu projekts pēc tā pieņemšanas tiks publicēts laikrakstā „Latvijas Vēstnesis” un iekļauts tiesību aktu portālā</w:t>
            </w:r>
            <w:r w:rsidR="00037037">
              <w:rPr>
                <w:b w:val="0"/>
                <w:iCs/>
              </w:rPr>
              <w:t xml:space="preserve"> </w:t>
            </w:r>
            <w:hyperlink r:id="rId9" w:history="1">
              <w:r w:rsidR="00037037" w:rsidRPr="00DE6221">
                <w:rPr>
                  <w:rStyle w:val="Hyperlink"/>
                  <w:b w:val="0"/>
                  <w:iCs/>
                </w:rPr>
                <w:t>www.likumi.lv</w:t>
              </w:r>
            </w:hyperlink>
            <w:r w:rsidR="00037037">
              <w:rPr>
                <w:b w:val="0"/>
                <w:iCs/>
              </w:rPr>
              <w:t xml:space="preserve">. </w:t>
            </w:r>
          </w:p>
        </w:tc>
      </w:tr>
    </w:tbl>
    <w:p w:rsidR="00175784" w:rsidRPr="001A4101" w:rsidRDefault="00175784" w:rsidP="006C4607">
      <w:pPr>
        <w:pStyle w:val="naisf"/>
        <w:tabs>
          <w:tab w:val="left" w:pos="5760"/>
        </w:tabs>
        <w:spacing w:before="0" w:after="0"/>
        <w:ind w:firstLine="720"/>
      </w:pPr>
    </w:p>
    <w:p w:rsidR="00175784" w:rsidRPr="001A4101" w:rsidRDefault="00175784" w:rsidP="006C4607">
      <w:pPr>
        <w:pStyle w:val="naisf"/>
        <w:tabs>
          <w:tab w:val="left" w:pos="5760"/>
        </w:tabs>
        <w:spacing w:before="0" w:after="0"/>
        <w:ind w:firstLine="720"/>
      </w:pPr>
    </w:p>
    <w:p w:rsidR="00175784" w:rsidRPr="001A4101" w:rsidRDefault="00175784" w:rsidP="00135373">
      <w:pPr>
        <w:pStyle w:val="Heading2"/>
        <w:keepNext w:val="0"/>
        <w:widowControl w:val="0"/>
        <w:tabs>
          <w:tab w:val="left" w:pos="7797"/>
        </w:tabs>
        <w:spacing w:before="600"/>
        <w:ind w:hanging="567"/>
        <w:jc w:val="both"/>
        <w:rPr>
          <w:b/>
          <w:sz w:val="24"/>
        </w:rPr>
      </w:pPr>
      <w:r w:rsidRPr="001A4101">
        <w:rPr>
          <w:b/>
          <w:sz w:val="24"/>
        </w:rPr>
        <w:t>Ekonomikas ministrs</w:t>
      </w:r>
      <w:r w:rsidRPr="001A4101">
        <w:rPr>
          <w:b/>
          <w:sz w:val="24"/>
        </w:rPr>
        <w:tab/>
        <w:t>D.Pavļuts</w:t>
      </w:r>
    </w:p>
    <w:p w:rsidR="00175784" w:rsidRPr="001A4101" w:rsidRDefault="00175784" w:rsidP="00135373">
      <w:pPr>
        <w:tabs>
          <w:tab w:val="left" w:pos="8222"/>
        </w:tabs>
        <w:spacing w:before="840"/>
        <w:ind w:hanging="567"/>
        <w:rPr>
          <w:b/>
        </w:rPr>
      </w:pPr>
      <w:r w:rsidRPr="001A4101">
        <w:rPr>
          <w:b/>
        </w:rPr>
        <w:t>Vīza: valsts sekretārs</w:t>
      </w:r>
      <w:r w:rsidRPr="001A4101">
        <w:rPr>
          <w:b/>
        </w:rPr>
        <w:tab/>
        <w:t>J.Pūce</w:t>
      </w:r>
    </w:p>
    <w:p w:rsidR="00175784" w:rsidRPr="001A4101" w:rsidRDefault="00FA5688" w:rsidP="00135373">
      <w:pPr>
        <w:spacing w:before="960"/>
        <w:ind w:right="-1" w:hanging="567"/>
        <w:jc w:val="both"/>
        <w:rPr>
          <w:sz w:val="20"/>
          <w:szCs w:val="20"/>
        </w:rPr>
      </w:pPr>
      <w:r>
        <w:rPr>
          <w:sz w:val="20"/>
          <w:szCs w:val="20"/>
        </w:rPr>
        <w:t>13</w:t>
      </w:r>
      <w:r w:rsidR="004954DE">
        <w:rPr>
          <w:sz w:val="20"/>
          <w:szCs w:val="20"/>
        </w:rPr>
        <w:t>.11</w:t>
      </w:r>
      <w:r w:rsidR="00175784" w:rsidRPr="001A4101">
        <w:rPr>
          <w:sz w:val="20"/>
          <w:szCs w:val="20"/>
        </w:rPr>
        <w:t xml:space="preserve">.2012. </w:t>
      </w:r>
      <w:r w:rsidR="00C073E3">
        <w:rPr>
          <w:sz w:val="20"/>
          <w:szCs w:val="20"/>
        </w:rPr>
        <w:t>09</w:t>
      </w:r>
      <w:r w:rsidR="00175784" w:rsidRPr="001A4101">
        <w:rPr>
          <w:sz w:val="20"/>
          <w:szCs w:val="20"/>
        </w:rPr>
        <w:t>:</w:t>
      </w:r>
      <w:r w:rsidR="00C073E3">
        <w:rPr>
          <w:sz w:val="20"/>
          <w:szCs w:val="20"/>
        </w:rPr>
        <w:t>3</w:t>
      </w:r>
      <w:r w:rsidR="00821AB3">
        <w:rPr>
          <w:sz w:val="20"/>
          <w:szCs w:val="20"/>
        </w:rPr>
        <w:t>0</w:t>
      </w:r>
    </w:p>
    <w:p w:rsidR="00175784" w:rsidRPr="001A4101" w:rsidRDefault="00FA5688" w:rsidP="00135373">
      <w:pPr>
        <w:ind w:right="-1" w:hanging="567"/>
        <w:jc w:val="both"/>
        <w:rPr>
          <w:sz w:val="20"/>
          <w:szCs w:val="20"/>
        </w:rPr>
      </w:pPr>
      <w:r>
        <w:fldChar w:fldCharType="begin"/>
      </w:r>
      <w:r>
        <w:instrText xml:space="preserve"> NUMWORDS   \* MERGEFORMAT </w:instrText>
      </w:r>
      <w:r>
        <w:fldChar w:fldCharType="separate"/>
      </w:r>
      <w:r w:rsidRPr="00FA5688">
        <w:rPr>
          <w:noProof/>
          <w:sz w:val="20"/>
          <w:szCs w:val="20"/>
        </w:rPr>
        <w:t>1667</w:t>
      </w:r>
      <w:r>
        <w:rPr>
          <w:noProof/>
          <w:sz w:val="20"/>
          <w:szCs w:val="20"/>
        </w:rPr>
        <w:fldChar w:fldCharType="end"/>
      </w:r>
    </w:p>
    <w:p w:rsidR="00A82703" w:rsidRDefault="00821AB3" w:rsidP="00821AB3">
      <w:pPr>
        <w:ind w:right="-1" w:hanging="567"/>
        <w:jc w:val="both"/>
        <w:rPr>
          <w:sz w:val="20"/>
          <w:szCs w:val="20"/>
        </w:rPr>
      </w:pPr>
      <w:r>
        <w:rPr>
          <w:sz w:val="20"/>
          <w:szCs w:val="20"/>
        </w:rPr>
        <w:t>Z.Kronberga, 67013023</w:t>
      </w:r>
      <w:r w:rsidR="00175784" w:rsidRPr="001A4101">
        <w:rPr>
          <w:sz w:val="20"/>
          <w:szCs w:val="20"/>
        </w:rPr>
        <w:t xml:space="preserve"> </w:t>
      </w:r>
    </w:p>
    <w:p w:rsidR="00175784" w:rsidRPr="001A4101" w:rsidRDefault="00FA5688" w:rsidP="00135373">
      <w:pPr>
        <w:ind w:right="-1" w:hanging="567"/>
        <w:jc w:val="both"/>
        <w:rPr>
          <w:sz w:val="20"/>
          <w:szCs w:val="20"/>
        </w:rPr>
      </w:pPr>
      <w:hyperlink r:id="rId10" w:history="1">
        <w:r w:rsidR="00821AB3" w:rsidRPr="009D4F3B">
          <w:rPr>
            <w:rStyle w:val="Hyperlink"/>
            <w:sz w:val="20"/>
            <w:szCs w:val="20"/>
          </w:rPr>
          <w:t>Zaiga.Kronberga@em.gov.lv</w:t>
        </w:r>
      </w:hyperlink>
    </w:p>
    <w:p w:rsidR="00175784" w:rsidRPr="001A4101" w:rsidRDefault="00175784" w:rsidP="00135373">
      <w:pPr>
        <w:pStyle w:val="naisf"/>
        <w:tabs>
          <w:tab w:val="left" w:pos="6804"/>
        </w:tabs>
        <w:spacing w:before="0" w:after="0"/>
        <w:ind w:hanging="567"/>
      </w:pPr>
      <w:bookmarkStart w:id="1" w:name="_GoBack"/>
      <w:bookmarkEnd w:id="1"/>
    </w:p>
    <w:sectPr w:rsidR="00175784" w:rsidRPr="001A4101" w:rsidSect="00C31E36">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C6" w:rsidRDefault="007023C6">
      <w:r>
        <w:separator/>
      </w:r>
    </w:p>
  </w:endnote>
  <w:endnote w:type="continuationSeparator" w:id="0">
    <w:p w:rsidR="007023C6" w:rsidRDefault="0070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20002A87" w:usb1="80000000" w:usb2="00000008"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47" w:rsidRPr="009F1A63" w:rsidRDefault="004F1247" w:rsidP="009F1A63">
    <w:pPr>
      <w:pStyle w:val="naislab"/>
      <w:spacing w:before="0" w:after="0"/>
      <w:jc w:val="both"/>
      <w:outlineLvl w:val="0"/>
      <w:rPr>
        <w:sz w:val="20"/>
        <w:szCs w:val="20"/>
      </w:rPr>
    </w:pPr>
    <w:r w:rsidRPr="006E415E">
      <w:rPr>
        <w:sz w:val="20"/>
        <w:szCs w:val="20"/>
      </w:rPr>
      <w:t>E</w:t>
    </w:r>
    <w:r w:rsidR="00FA5688">
      <w:rPr>
        <w:sz w:val="20"/>
        <w:szCs w:val="20"/>
      </w:rPr>
      <w:t>MAnot_13</w:t>
    </w:r>
    <w:r w:rsidR="004954DE">
      <w:rPr>
        <w:sz w:val="20"/>
        <w:szCs w:val="20"/>
      </w:rPr>
      <w:t>11</w:t>
    </w:r>
    <w:r>
      <w:rPr>
        <w:sz w:val="20"/>
        <w:szCs w:val="20"/>
      </w:rPr>
      <w:t>12_LIAA_nolikums</w:t>
    </w:r>
    <w:r w:rsidRPr="006E415E">
      <w:rPr>
        <w:sz w:val="20"/>
        <w:szCs w:val="20"/>
      </w:rPr>
      <w:t xml:space="preserve">; </w:t>
    </w:r>
    <w:r w:rsidRPr="009F1A63">
      <w:rPr>
        <w:sz w:val="20"/>
        <w:szCs w:val="20"/>
      </w:rPr>
      <w:t xml:space="preserve">Ministru kabineta noteikumu „Latvijas Investīciju un attīstības aģentūra nolikums” sākotnējās ietekmes novērtējuma </w:t>
    </w:r>
    <w:smartTag w:uri="schemas-tilde-lv/tildestengine" w:element="veidnes">
      <w:smartTagPr>
        <w:attr w:name="text" w:val="ziņojums"/>
        <w:attr w:name="baseform" w:val="ziņojums"/>
        <w:attr w:name="id" w:val="-1"/>
      </w:smartTagPr>
      <w:r w:rsidRPr="009F1A63">
        <w:rPr>
          <w:sz w:val="20"/>
          <w:szCs w:val="20"/>
        </w:rPr>
        <w:t>ziņojums</w:t>
      </w:r>
    </w:smartTag>
    <w:r w:rsidRPr="009F1A63">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47" w:rsidRPr="009F1A63" w:rsidRDefault="004F1247" w:rsidP="009F1A63">
    <w:pPr>
      <w:pStyle w:val="naislab"/>
      <w:spacing w:before="0" w:after="0"/>
      <w:jc w:val="both"/>
      <w:outlineLvl w:val="0"/>
      <w:rPr>
        <w:sz w:val="20"/>
        <w:szCs w:val="20"/>
      </w:rPr>
    </w:pPr>
    <w:r w:rsidRPr="006E415E">
      <w:rPr>
        <w:sz w:val="20"/>
        <w:szCs w:val="20"/>
      </w:rPr>
      <w:t>E</w:t>
    </w:r>
    <w:r w:rsidR="00FA5688">
      <w:rPr>
        <w:sz w:val="20"/>
        <w:szCs w:val="20"/>
      </w:rPr>
      <w:t>MAnot_13</w:t>
    </w:r>
    <w:r w:rsidR="004616AD">
      <w:rPr>
        <w:sz w:val="20"/>
        <w:szCs w:val="20"/>
      </w:rPr>
      <w:t>1</w:t>
    </w:r>
    <w:r w:rsidR="004954DE">
      <w:rPr>
        <w:sz w:val="20"/>
        <w:szCs w:val="20"/>
      </w:rPr>
      <w:t>1</w:t>
    </w:r>
    <w:r>
      <w:rPr>
        <w:sz w:val="20"/>
        <w:szCs w:val="20"/>
      </w:rPr>
      <w:t>12_LIAA_nolikums</w:t>
    </w:r>
    <w:r w:rsidRPr="006E415E">
      <w:rPr>
        <w:sz w:val="20"/>
        <w:szCs w:val="20"/>
      </w:rPr>
      <w:t xml:space="preserve">; </w:t>
    </w:r>
    <w:r w:rsidRPr="009F1A63">
      <w:rPr>
        <w:sz w:val="20"/>
        <w:szCs w:val="20"/>
      </w:rPr>
      <w:t xml:space="preserve">Ministru kabineta noteikumu „Latvijas Investīciju un attīstības aģentūra nolikums” sākotnējās ietekmes novērtējuma </w:t>
    </w:r>
    <w:smartTag w:uri="schemas-tilde-lv/tildestengine" w:element="veidnes">
      <w:smartTagPr>
        <w:attr w:name="text" w:val="ziņojums"/>
        <w:attr w:name="baseform" w:val="ziņojums"/>
        <w:attr w:name="id" w:val="-1"/>
      </w:smartTagPr>
      <w:r w:rsidRPr="009F1A63">
        <w:rPr>
          <w:sz w:val="20"/>
          <w:szCs w:val="20"/>
        </w:rPr>
        <w:t>ziņojums</w:t>
      </w:r>
    </w:smartTag>
    <w:r w:rsidRPr="009F1A63">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C6" w:rsidRDefault="007023C6">
      <w:r>
        <w:separator/>
      </w:r>
    </w:p>
  </w:footnote>
  <w:footnote w:type="continuationSeparator" w:id="0">
    <w:p w:rsidR="007023C6" w:rsidRDefault="00702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47" w:rsidRDefault="002A0A85" w:rsidP="003C449B">
    <w:pPr>
      <w:pStyle w:val="Header"/>
      <w:framePr w:wrap="around" w:vAnchor="text" w:hAnchor="margin" w:xAlign="center" w:y="1"/>
      <w:rPr>
        <w:rStyle w:val="PageNumber"/>
      </w:rPr>
    </w:pPr>
    <w:r>
      <w:rPr>
        <w:rStyle w:val="PageNumber"/>
      </w:rPr>
      <w:fldChar w:fldCharType="begin"/>
    </w:r>
    <w:r w:rsidR="004F1247">
      <w:rPr>
        <w:rStyle w:val="PageNumber"/>
      </w:rPr>
      <w:instrText xml:space="preserve">PAGE  </w:instrText>
    </w:r>
    <w:r>
      <w:rPr>
        <w:rStyle w:val="PageNumber"/>
      </w:rPr>
      <w:fldChar w:fldCharType="end"/>
    </w:r>
  </w:p>
  <w:p w:rsidR="004F1247" w:rsidRDefault="004F1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47" w:rsidRDefault="002A0A85" w:rsidP="003C449B">
    <w:pPr>
      <w:pStyle w:val="Header"/>
      <w:framePr w:wrap="around" w:vAnchor="text" w:hAnchor="margin" w:xAlign="center" w:y="1"/>
      <w:rPr>
        <w:rStyle w:val="PageNumber"/>
      </w:rPr>
    </w:pPr>
    <w:r>
      <w:rPr>
        <w:rStyle w:val="PageNumber"/>
      </w:rPr>
      <w:fldChar w:fldCharType="begin"/>
    </w:r>
    <w:r w:rsidR="004F1247">
      <w:rPr>
        <w:rStyle w:val="PageNumber"/>
      </w:rPr>
      <w:instrText xml:space="preserve">PAGE  </w:instrText>
    </w:r>
    <w:r>
      <w:rPr>
        <w:rStyle w:val="PageNumber"/>
      </w:rPr>
      <w:fldChar w:fldCharType="separate"/>
    </w:r>
    <w:r w:rsidR="00FA5688">
      <w:rPr>
        <w:rStyle w:val="PageNumber"/>
        <w:noProof/>
      </w:rPr>
      <w:t>5</w:t>
    </w:r>
    <w:r>
      <w:rPr>
        <w:rStyle w:val="PageNumber"/>
      </w:rPr>
      <w:fldChar w:fldCharType="end"/>
    </w:r>
  </w:p>
  <w:p w:rsidR="004F1247" w:rsidRDefault="004F1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5649"/>
    <w:rsid w:val="00001FD7"/>
    <w:rsid w:val="00011D24"/>
    <w:rsid w:val="00013FF4"/>
    <w:rsid w:val="00015A8E"/>
    <w:rsid w:val="00020FE1"/>
    <w:rsid w:val="00022E13"/>
    <w:rsid w:val="00032388"/>
    <w:rsid w:val="00035CE2"/>
    <w:rsid w:val="00037037"/>
    <w:rsid w:val="0005553B"/>
    <w:rsid w:val="000604D2"/>
    <w:rsid w:val="00075778"/>
    <w:rsid w:val="000808DE"/>
    <w:rsid w:val="00083062"/>
    <w:rsid w:val="0009005E"/>
    <w:rsid w:val="000941C5"/>
    <w:rsid w:val="000A6451"/>
    <w:rsid w:val="000B064E"/>
    <w:rsid w:val="000B4FC6"/>
    <w:rsid w:val="000B69CF"/>
    <w:rsid w:val="000C790C"/>
    <w:rsid w:val="000F061D"/>
    <w:rsid w:val="000F4794"/>
    <w:rsid w:val="0010102C"/>
    <w:rsid w:val="00124F12"/>
    <w:rsid w:val="001254F9"/>
    <w:rsid w:val="00131428"/>
    <w:rsid w:val="00135373"/>
    <w:rsid w:val="00144E3A"/>
    <w:rsid w:val="0015060C"/>
    <w:rsid w:val="0016018A"/>
    <w:rsid w:val="00161F0E"/>
    <w:rsid w:val="00170E2A"/>
    <w:rsid w:val="001744C5"/>
    <w:rsid w:val="00175784"/>
    <w:rsid w:val="00177394"/>
    <w:rsid w:val="00182C18"/>
    <w:rsid w:val="00183CC2"/>
    <w:rsid w:val="001900E4"/>
    <w:rsid w:val="00190F88"/>
    <w:rsid w:val="001A4066"/>
    <w:rsid w:val="001A4101"/>
    <w:rsid w:val="001A6AE4"/>
    <w:rsid w:val="001A70A1"/>
    <w:rsid w:val="001B01FD"/>
    <w:rsid w:val="001B4A71"/>
    <w:rsid w:val="001C1FE0"/>
    <w:rsid w:val="001C5C8E"/>
    <w:rsid w:val="001C7767"/>
    <w:rsid w:val="001D5B54"/>
    <w:rsid w:val="001E1DBF"/>
    <w:rsid w:val="001E25B9"/>
    <w:rsid w:val="001E32FC"/>
    <w:rsid w:val="001E4639"/>
    <w:rsid w:val="001E4A7D"/>
    <w:rsid w:val="001E6D47"/>
    <w:rsid w:val="001F05F5"/>
    <w:rsid w:val="001F0EFB"/>
    <w:rsid w:val="001F1283"/>
    <w:rsid w:val="001F4209"/>
    <w:rsid w:val="001F43A8"/>
    <w:rsid w:val="001F5CD6"/>
    <w:rsid w:val="002059DF"/>
    <w:rsid w:val="0021263D"/>
    <w:rsid w:val="00213F0C"/>
    <w:rsid w:val="00214094"/>
    <w:rsid w:val="0021592D"/>
    <w:rsid w:val="00222D76"/>
    <w:rsid w:val="00223EB1"/>
    <w:rsid w:val="00231344"/>
    <w:rsid w:val="002319F3"/>
    <w:rsid w:val="0023436E"/>
    <w:rsid w:val="002347C0"/>
    <w:rsid w:val="00241A6C"/>
    <w:rsid w:val="00242D2B"/>
    <w:rsid w:val="00262E2B"/>
    <w:rsid w:val="00267523"/>
    <w:rsid w:val="00270429"/>
    <w:rsid w:val="002723E9"/>
    <w:rsid w:val="00277929"/>
    <w:rsid w:val="00283B82"/>
    <w:rsid w:val="002846E9"/>
    <w:rsid w:val="00284C34"/>
    <w:rsid w:val="00287FD3"/>
    <w:rsid w:val="0029066C"/>
    <w:rsid w:val="002A0A85"/>
    <w:rsid w:val="002B031B"/>
    <w:rsid w:val="002B50DB"/>
    <w:rsid w:val="002C12AB"/>
    <w:rsid w:val="002C7CAC"/>
    <w:rsid w:val="002D3306"/>
    <w:rsid w:val="002D48AA"/>
    <w:rsid w:val="002D7BAA"/>
    <w:rsid w:val="002D7F54"/>
    <w:rsid w:val="002E3FF4"/>
    <w:rsid w:val="002F0F5F"/>
    <w:rsid w:val="002F78C8"/>
    <w:rsid w:val="00301CF3"/>
    <w:rsid w:val="0032715C"/>
    <w:rsid w:val="00337CA5"/>
    <w:rsid w:val="00362478"/>
    <w:rsid w:val="00364211"/>
    <w:rsid w:val="00375B25"/>
    <w:rsid w:val="0038132C"/>
    <w:rsid w:val="003934D8"/>
    <w:rsid w:val="00396542"/>
    <w:rsid w:val="0039685B"/>
    <w:rsid w:val="003A31A6"/>
    <w:rsid w:val="003A7F0C"/>
    <w:rsid w:val="003A7F79"/>
    <w:rsid w:val="003B6404"/>
    <w:rsid w:val="003C449B"/>
    <w:rsid w:val="003D21FF"/>
    <w:rsid w:val="003F0112"/>
    <w:rsid w:val="003F071A"/>
    <w:rsid w:val="003F160B"/>
    <w:rsid w:val="00400032"/>
    <w:rsid w:val="00400B5B"/>
    <w:rsid w:val="00404C97"/>
    <w:rsid w:val="00405A00"/>
    <w:rsid w:val="00420870"/>
    <w:rsid w:val="00430962"/>
    <w:rsid w:val="00432D0C"/>
    <w:rsid w:val="0043791B"/>
    <w:rsid w:val="00441483"/>
    <w:rsid w:val="00441BCB"/>
    <w:rsid w:val="00442C7B"/>
    <w:rsid w:val="0045176A"/>
    <w:rsid w:val="00456332"/>
    <w:rsid w:val="004616AD"/>
    <w:rsid w:val="00461826"/>
    <w:rsid w:val="00467FD6"/>
    <w:rsid w:val="004800F9"/>
    <w:rsid w:val="0049134A"/>
    <w:rsid w:val="004954DE"/>
    <w:rsid w:val="004A58CB"/>
    <w:rsid w:val="004B1795"/>
    <w:rsid w:val="004B56DD"/>
    <w:rsid w:val="004C020F"/>
    <w:rsid w:val="004C1AFD"/>
    <w:rsid w:val="004C558B"/>
    <w:rsid w:val="004E0954"/>
    <w:rsid w:val="004E6AEC"/>
    <w:rsid w:val="004F1247"/>
    <w:rsid w:val="004F1F88"/>
    <w:rsid w:val="004F5F1B"/>
    <w:rsid w:val="00502374"/>
    <w:rsid w:val="005060A1"/>
    <w:rsid w:val="00516072"/>
    <w:rsid w:val="005332A4"/>
    <w:rsid w:val="005332EC"/>
    <w:rsid w:val="00534418"/>
    <w:rsid w:val="005353AB"/>
    <w:rsid w:val="005560BC"/>
    <w:rsid w:val="005573BE"/>
    <w:rsid w:val="00572700"/>
    <w:rsid w:val="00580468"/>
    <w:rsid w:val="00582231"/>
    <w:rsid w:val="005832E3"/>
    <w:rsid w:val="0058603B"/>
    <w:rsid w:val="0059431B"/>
    <w:rsid w:val="005A39CC"/>
    <w:rsid w:val="005B4730"/>
    <w:rsid w:val="005E05D7"/>
    <w:rsid w:val="005E41E7"/>
    <w:rsid w:val="005E450F"/>
    <w:rsid w:val="005E632F"/>
    <w:rsid w:val="0062298A"/>
    <w:rsid w:val="00626514"/>
    <w:rsid w:val="00626589"/>
    <w:rsid w:val="006339A0"/>
    <w:rsid w:val="006413A8"/>
    <w:rsid w:val="00642660"/>
    <w:rsid w:val="00642E56"/>
    <w:rsid w:val="00647376"/>
    <w:rsid w:val="00651E00"/>
    <w:rsid w:val="00674572"/>
    <w:rsid w:val="0068055A"/>
    <w:rsid w:val="00685AF5"/>
    <w:rsid w:val="0068671E"/>
    <w:rsid w:val="00687763"/>
    <w:rsid w:val="00692B0D"/>
    <w:rsid w:val="00693E0E"/>
    <w:rsid w:val="006A1AE3"/>
    <w:rsid w:val="006C30E1"/>
    <w:rsid w:val="006C3C59"/>
    <w:rsid w:val="006C4607"/>
    <w:rsid w:val="006D1853"/>
    <w:rsid w:val="006D48F1"/>
    <w:rsid w:val="006E248C"/>
    <w:rsid w:val="006E415E"/>
    <w:rsid w:val="006F45BE"/>
    <w:rsid w:val="007004FC"/>
    <w:rsid w:val="007023C6"/>
    <w:rsid w:val="00706670"/>
    <w:rsid w:val="00711F59"/>
    <w:rsid w:val="007237DA"/>
    <w:rsid w:val="0072417C"/>
    <w:rsid w:val="00734450"/>
    <w:rsid w:val="00745F67"/>
    <w:rsid w:val="0075039E"/>
    <w:rsid w:val="00752D9D"/>
    <w:rsid w:val="00754784"/>
    <w:rsid w:val="00757C6E"/>
    <w:rsid w:val="00762BDA"/>
    <w:rsid w:val="007805FD"/>
    <w:rsid w:val="00784422"/>
    <w:rsid w:val="007B18A4"/>
    <w:rsid w:val="007B3B54"/>
    <w:rsid w:val="007B3FA0"/>
    <w:rsid w:val="007C0F2C"/>
    <w:rsid w:val="007C12E5"/>
    <w:rsid w:val="007C2BCC"/>
    <w:rsid w:val="007C4EF0"/>
    <w:rsid w:val="007D099D"/>
    <w:rsid w:val="007D2471"/>
    <w:rsid w:val="007E2664"/>
    <w:rsid w:val="007E3ABF"/>
    <w:rsid w:val="007E5BFA"/>
    <w:rsid w:val="007E6689"/>
    <w:rsid w:val="007E731C"/>
    <w:rsid w:val="007E7B8A"/>
    <w:rsid w:val="007F0A03"/>
    <w:rsid w:val="00810040"/>
    <w:rsid w:val="0082023A"/>
    <w:rsid w:val="00821A7A"/>
    <w:rsid w:val="00821AB3"/>
    <w:rsid w:val="008253F8"/>
    <w:rsid w:val="008325E4"/>
    <w:rsid w:val="00832A2B"/>
    <w:rsid w:val="00840C98"/>
    <w:rsid w:val="008442DB"/>
    <w:rsid w:val="00845811"/>
    <w:rsid w:val="00846994"/>
    <w:rsid w:val="00850451"/>
    <w:rsid w:val="00852042"/>
    <w:rsid w:val="008534C9"/>
    <w:rsid w:val="0085599D"/>
    <w:rsid w:val="0087510C"/>
    <w:rsid w:val="008968D2"/>
    <w:rsid w:val="0089738E"/>
    <w:rsid w:val="008B5FDB"/>
    <w:rsid w:val="008C33FA"/>
    <w:rsid w:val="008C50F4"/>
    <w:rsid w:val="008C5649"/>
    <w:rsid w:val="008E44A2"/>
    <w:rsid w:val="008E697D"/>
    <w:rsid w:val="00903263"/>
    <w:rsid w:val="00906A21"/>
    <w:rsid w:val="009079C3"/>
    <w:rsid w:val="00910462"/>
    <w:rsid w:val="00915AB1"/>
    <w:rsid w:val="00917532"/>
    <w:rsid w:val="009235BA"/>
    <w:rsid w:val="00924023"/>
    <w:rsid w:val="00924CE2"/>
    <w:rsid w:val="00925B9F"/>
    <w:rsid w:val="00931AED"/>
    <w:rsid w:val="009476A3"/>
    <w:rsid w:val="0095334F"/>
    <w:rsid w:val="00965897"/>
    <w:rsid w:val="0096765C"/>
    <w:rsid w:val="009727E4"/>
    <w:rsid w:val="00973268"/>
    <w:rsid w:val="009934C5"/>
    <w:rsid w:val="00994C0F"/>
    <w:rsid w:val="009B126E"/>
    <w:rsid w:val="009B22D7"/>
    <w:rsid w:val="009B4B4A"/>
    <w:rsid w:val="009B72ED"/>
    <w:rsid w:val="009C6DEB"/>
    <w:rsid w:val="009D6504"/>
    <w:rsid w:val="009E12D7"/>
    <w:rsid w:val="009E661A"/>
    <w:rsid w:val="009F1A63"/>
    <w:rsid w:val="00A06781"/>
    <w:rsid w:val="00A074C3"/>
    <w:rsid w:val="00A1509C"/>
    <w:rsid w:val="00A218F7"/>
    <w:rsid w:val="00A249B9"/>
    <w:rsid w:val="00A34260"/>
    <w:rsid w:val="00A46C15"/>
    <w:rsid w:val="00A70CFD"/>
    <w:rsid w:val="00A72A0B"/>
    <w:rsid w:val="00A7400E"/>
    <w:rsid w:val="00A81E42"/>
    <w:rsid w:val="00A82703"/>
    <w:rsid w:val="00A864FE"/>
    <w:rsid w:val="00A86F41"/>
    <w:rsid w:val="00A871EE"/>
    <w:rsid w:val="00A87D04"/>
    <w:rsid w:val="00A950C5"/>
    <w:rsid w:val="00AA1D25"/>
    <w:rsid w:val="00AB2B1A"/>
    <w:rsid w:val="00AB397F"/>
    <w:rsid w:val="00AB5832"/>
    <w:rsid w:val="00AC51F2"/>
    <w:rsid w:val="00AD3269"/>
    <w:rsid w:val="00AD7CED"/>
    <w:rsid w:val="00AE1792"/>
    <w:rsid w:val="00AE4FF1"/>
    <w:rsid w:val="00AE5066"/>
    <w:rsid w:val="00AE5E24"/>
    <w:rsid w:val="00AE61B7"/>
    <w:rsid w:val="00AE6CBA"/>
    <w:rsid w:val="00AE79AD"/>
    <w:rsid w:val="00AF06C1"/>
    <w:rsid w:val="00AF35E4"/>
    <w:rsid w:val="00AF5928"/>
    <w:rsid w:val="00AF5CDE"/>
    <w:rsid w:val="00B11A57"/>
    <w:rsid w:val="00B211C3"/>
    <w:rsid w:val="00B25597"/>
    <w:rsid w:val="00B267B9"/>
    <w:rsid w:val="00B3288F"/>
    <w:rsid w:val="00B33E09"/>
    <w:rsid w:val="00B50708"/>
    <w:rsid w:val="00B50C68"/>
    <w:rsid w:val="00B51293"/>
    <w:rsid w:val="00B51C42"/>
    <w:rsid w:val="00B52B1E"/>
    <w:rsid w:val="00B54ACD"/>
    <w:rsid w:val="00B55481"/>
    <w:rsid w:val="00B56C32"/>
    <w:rsid w:val="00B57ACF"/>
    <w:rsid w:val="00B64BB1"/>
    <w:rsid w:val="00B67346"/>
    <w:rsid w:val="00B73166"/>
    <w:rsid w:val="00B8426C"/>
    <w:rsid w:val="00B91B8D"/>
    <w:rsid w:val="00B94E90"/>
    <w:rsid w:val="00BA7F1F"/>
    <w:rsid w:val="00BB0A82"/>
    <w:rsid w:val="00BB7C94"/>
    <w:rsid w:val="00BC0A9D"/>
    <w:rsid w:val="00BC4E4F"/>
    <w:rsid w:val="00BD5DE6"/>
    <w:rsid w:val="00BF40ED"/>
    <w:rsid w:val="00BF5BC2"/>
    <w:rsid w:val="00C073E3"/>
    <w:rsid w:val="00C1133D"/>
    <w:rsid w:val="00C1786A"/>
    <w:rsid w:val="00C27A08"/>
    <w:rsid w:val="00C31312"/>
    <w:rsid w:val="00C31E36"/>
    <w:rsid w:val="00C326C6"/>
    <w:rsid w:val="00C35295"/>
    <w:rsid w:val="00C36ADD"/>
    <w:rsid w:val="00C36E74"/>
    <w:rsid w:val="00C40595"/>
    <w:rsid w:val="00C41621"/>
    <w:rsid w:val="00C449FA"/>
    <w:rsid w:val="00C5384F"/>
    <w:rsid w:val="00C56964"/>
    <w:rsid w:val="00C656D5"/>
    <w:rsid w:val="00C67103"/>
    <w:rsid w:val="00C71BB9"/>
    <w:rsid w:val="00C73294"/>
    <w:rsid w:val="00C75A03"/>
    <w:rsid w:val="00C8588D"/>
    <w:rsid w:val="00C94C28"/>
    <w:rsid w:val="00CB0247"/>
    <w:rsid w:val="00CB324C"/>
    <w:rsid w:val="00CB3440"/>
    <w:rsid w:val="00CC1692"/>
    <w:rsid w:val="00CD138B"/>
    <w:rsid w:val="00CD3E31"/>
    <w:rsid w:val="00CD74A3"/>
    <w:rsid w:val="00CE0527"/>
    <w:rsid w:val="00CE5B23"/>
    <w:rsid w:val="00CF5777"/>
    <w:rsid w:val="00CF70AD"/>
    <w:rsid w:val="00CF7729"/>
    <w:rsid w:val="00D00059"/>
    <w:rsid w:val="00D03EBB"/>
    <w:rsid w:val="00D107FA"/>
    <w:rsid w:val="00D12275"/>
    <w:rsid w:val="00D12766"/>
    <w:rsid w:val="00D20FF4"/>
    <w:rsid w:val="00D24D2C"/>
    <w:rsid w:val="00D35881"/>
    <w:rsid w:val="00D3596E"/>
    <w:rsid w:val="00D7628F"/>
    <w:rsid w:val="00DA7DA5"/>
    <w:rsid w:val="00DB073B"/>
    <w:rsid w:val="00DB5AF9"/>
    <w:rsid w:val="00DB78F0"/>
    <w:rsid w:val="00DC0CEA"/>
    <w:rsid w:val="00DC2E43"/>
    <w:rsid w:val="00DD095C"/>
    <w:rsid w:val="00DD1020"/>
    <w:rsid w:val="00DD1330"/>
    <w:rsid w:val="00DE0B83"/>
    <w:rsid w:val="00DE1A81"/>
    <w:rsid w:val="00DE1C13"/>
    <w:rsid w:val="00DE4E10"/>
    <w:rsid w:val="00E02ABF"/>
    <w:rsid w:val="00E14995"/>
    <w:rsid w:val="00E179CD"/>
    <w:rsid w:val="00E23E8D"/>
    <w:rsid w:val="00E37F98"/>
    <w:rsid w:val="00E433D3"/>
    <w:rsid w:val="00E46559"/>
    <w:rsid w:val="00E55D32"/>
    <w:rsid w:val="00E6670C"/>
    <w:rsid w:val="00E76075"/>
    <w:rsid w:val="00E776E8"/>
    <w:rsid w:val="00E92C1F"/>
    <w:rsid w:val="00E93A8C"/>
    <w:rsid w:val="00E95D4B"/>
    <w:rsid w:val="00EA78DC"/>
    <w:rsid w:val="00EB0FEE"/>
    <w:rsid w:val="00EB199F"/>
    <w:rsid w:val="00EB6B14"/>
    <w:rsid w:val="00EC23F7"/>
    <w:rsid w:val="00EC4BD8"/>
    <w:rsid w:val="00EC58BE"/>
    <w:rsid w:val="00EC63EB"/>
    <w:rsid w:val="00ED412F"/>
    <w:rsid w:val="00EF36B2"/>
    <w:rsid w:val="00F000A8"/>
    <w:rsid w:val="00F07F3C"/>
    <w:rsid w:val="00F1246B"/>
    <w:rsid w:val="00F1272C"/>
    <w:rsid w:val="00F17488"/>
    <w:rsid w:val="00F201EC"/>
    <w:rsid w:val="00F208A9"/>
    <w:rsid w:val="00F41D75"/>
    <w:rsid w:val="00F5139D"/>
    <w:rsid w:val="00F63DAC"/>
    <w:rsid w:val="00F7454F"/>
    <w:rsid w:val="00F75558"/>
    <w:rsid w:val="00F77988"/>
    <w:rsid w:val="00F77F48"/>
    <w:rsid w:val="00FA3B5D"/>
    <w:rsid w:val="00FA5688"/>
    <w:rsid w:val="00FB30F1"/>
    <w:rsid w:val="00FB53E7"/>
    <w:rsid w:val="00FC62FD"/>
    <w:rsid w:val="00FD2A8A"/>
    <w:rsid w:val="00FD6E9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467F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7607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rPr>
      <w:rFonts w:cs="Times New Roman"/>
    </w:rPr>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rsid w:val="008C5649"/>
    <w:rPr>
      <w:rFonts w:cs="Times New Roman"/>
      <w:b/>
      <w:bCs/>
      <w:color w:val="333333"/>
    </w:rPr>
  </w:style>
  <w:style w:type="character" w:styleId="CommentReference">
    <w:name w:val="annotation reference"/>
    <w:basedOn w:val="DefaultParagraphFont"/>
    <w:semiHidden/>
    <w:rsid w:val="008C5649"/>
    <w:rPr>
      <w:rFonts w:cs="Times New Roman"/>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locked/>
    <w:rsid w:val="008C5649"/>
    <w:rPr>
      <w:rFonts w:cs="Times New Roman"/>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rFonts w:cs="Times New Roman"/>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locked/>
    <w:rsid w:val="00231344"/>
    <w:rPr>
      <w:rFonts w:cs="Times New Roman"/>
      <w:sz w:val="24"/>
      <w:szCs w:val="24"/>
      <w:lang w:val="lv-LV" w:eastAsia="lv-LV" w:bidi="ar-SA"/>
    </w:rPr>
  </w:style>
  <w:style w:type="character" w:styleId="Hyperlink">
    <w:name w:val="Hyperlink"/>
    <w:basedOn w:val="DefaultParagraphFont"/>
    <w:rsid w:val="007004FC"/>
    <w:rPr>
      <w:rFonts w:cs="Times New Roman"/>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basedOn w:val="DefaultParagraphFont"/>
    <w:link w:val="Header"/>
    <w:locked/>
    <w:rsid w:val="000B4FC6"/>
    <w:rPr>
      <w:rFonts w:cs="Times New Roman"/>
      <w:sz w:val="24"/>
      <w:szCs w:val="24"/>
    </w:rPr>
  </w:style>
  <w:style w:type="character" w:customStyle="1" w:styleId="apple-converted-space">
    <w:name w:val="apple-converted-space"/>
    <w:basedOn w:val="DefaultParagraphFont"/>
    <w:rsid w:val="00C8588D"/>
    <w:rPr>
      <w:rFonts w:cs="Times New Roman"/>
    </w:rPr>
  </w:style>
  <w:style w:type="character" w:customStyle="1" w:styleId="Heading2Char">
    <w:name w:val="Heading 2 Char"/>
    <w:basedOn w:val="DefaultParagraphFont"/>
    <w:link w:val="Heading2"/>
    <w:locked/>
    <w:rsid w:val="00E76075"/>
    <w:rPr>
      <w:rFonts w:cs="Times New Roman"/>
      <w:sz w:val="24"/>
      <w:szCs w:val="24"/>
    </w:rPr>
  </w:style>
  <w:style w:type="character" w:customStyle="1" w:styleId="Heading1Char">
    <w:name w:val="Heading 1 Char"/>
    <w:basedOn w:val="DefaultParagraphFont"/>
    <w:link w:val="Heading1"/>
    <w:locked/>
    <w:rsid w:val="00467FD6"/>
    <w:rPr>
      <w:rFonts w:ascii="Cambria" w:hAnsi="Cambria" w:cs="Times New Roman"/>
      <w:b/>
      <w:bCs/>
      <w:kern w:val="32"/>
      <w:sz w:val="32"/>
      <w:szCs w:val="32"/>
    </w:rPr>
  </w:style>
  <w:style w:type="paragraph" w:styleId="ListParagraph">
    <w:name w:val="List Paragraph"/>
    <w:basedOn w:val="Normal"/>
    <w:uiPriority w:val="34"/>
    <w:qFormat/>
    <w:rsid w:val="00CB324C"/>
    <w:pPr>
      <w:spacing w:after="200" w:line="276" w:lineRule="auto"/>
      <w:ind w:left="720"/>
      <w:contextualSpacing/>
    </w:pPr>
    <w:rPr>
      <w:rFonts w:ascii="Calibri" w:hAnsi="Calibri"/>
      <w:sz w:val="22"/>
      <w:szCs w:val="22"/>
      <w:lang w:eastAsia="en-US"/>
    </w:rPr>
  </w:style>
  <w:style w:type="paragraph" w:styleId="BodyText">
    <w:name w:val="Body Text"/>
    <w:basedOn w:val="Normal"/>
    <w:link w:val="BodyTextChar"/>
    <w:rsid w:val="00A218F7"/>
    <w:pPr>
      <w:jc w:val="both"/>
    </w:pPr>
    <w:rPr>
      <w:sz w:val="28"/>
      <w:szCs w:val="20"/>
      <w:lang w:eastAsia="en-US"/>
    </w:rPr>
  </w:style>
  <w:style w:type="character" w:customStyle="1" w:styleId="BodyTextChar">
    <w:name w:val="Body Text Char"/>
    <w:basedOn w:val="DefaultParagraphFont"/>
    <w:link w:val="BodyText"/>
    <w:rsid w:val="00A218F7"/>
    <w:rPr>
      <w:sz w:val="28"/>
      <w:lang w:eastAsia="en-US"/>
    </w:rPr>
  </w:style>
  <w:style w:type="paragraph" w:customStyle="1" w:styleId="tv20787921">
    <w:name w:val="tv207_87_921"/>
    <w:basedOn w:val="Normal"/>
    <w:rsid w:val="00442C7B"/>
    <w:pPr>
      <w:spacing w:after="567" w:line="360" w:lineRule="auto"/>
      <w:jc w:val="center"/>
    </w:pPr>
    <w:rPr>
      <w:rFonts w:ascii="Verdana" w:hAnsi="Verdana"/>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467F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7607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rPr>
      <w:rFonts w:cs="Times New Roman"/>
    </w:rPr>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rFonts w:cs="Times New Roman"/>
      <w:b/>
      <w:bCs/>
      <w:color w:val="333333"/>
    </w:rPr>
  </w:style>
  <w:style w:type="character" w:styleId="CommentReference">
    <w:name w:val="annotation reference"/>
    <w:basedOn w:val="DefaultParagraphFont"/>
    <w:semiHidden/>
    <w:rsid w:val="008C5649"/>
    <w:rPr>
      <w:rFonts w:cs="Times New Roman"/>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locked/>
    <w:rsid w:val="008C5649"/>
    <w:rPr>
      <w:rFonts w:cs="Times New Roman"/>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rFonts w:cs="Times New Roman"/>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locked/>
    <w:rsid w:val="00231344"/>
    <w:rPr>
      <w:rFonts w:cs="Times New Roman"/>
      <w:sz w:val="24"/>
      <w:szCs w:val="24"/>
      <w:lang w:val="lv-LV" w:eastAsia="lv-LV" w:bidi="ar-SA"/>
    </w:rPr>
  </w:style>
  <w:style w:type="character" w:styleId="Hyperlink">
    <w:name w:val="Hyperlink"/>
    <w:basedOn w:val="DefaultParagraphFont"/>
    <w:rsid w:val="007004FC"/>
    <w:rPr>
      <w:rFonts w:cs="Times New Roman"/>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basedOn w:val="DefaultParagraphFont"/>
    <w:link w:val="Header"/>
    <w:locked/>
    <w:rsid w:val="000B4FC6"/>
    <w:rPr>
      <w:rFonts w:cs="Times New Roman"/>
      <w:sz w:val="24"/>
      <w:szCs w:val="24"/>
    </w:rPr>
  </w:style>
  <w:style w:type="character" w:customStyle="1" w:styleId="apple-converted-space">
    <w:name w:val="apple-converted-space"/>
    <w:basedOn w:val="DefaultParagraphFont"/>
    <w:rsid w:val="00C8588D"/>
    <w:rPr>
      <w:rFonts w:cs="Times New Roman"/>
    </w:rPr>
  </w:style>
  <w:style w:type="character" w:customStyle="1" w:styleId="Heading2Char">
    <w:name w:val="Heading 2 Char"/>
    <w:basedOn w:val="DefaultParagraphFont"/>
    <w:link w:val="Heading2"/>
    <w:locked/>
    <w:rsid w:val="00E76075"/>
    <w:rPr>
      <w:rFonts w:cs="Times New Roman"/>
      <w:sz w:val="24"/>
      <w:szCs w:val="24"/>
    </w:rPr>
  </w:style>
  <w:style w:type="character" w:customStyle="1" w:styleId="Heading1Char">
    <w:name w:val="Heading 1 Char"/>
    <w:basedOn w:val="DefaultParagraphFont"/>
    <w:link w:val="Heading1"/>
    <w:locked/>
    <w:rsid w:val="00467FD6"/>
    <w:rPr>
      <w:rFonts w:ascii="Cambria" w:hAnsi="Cambria" w:cs="Times New Roman"/>
      <w:b/>
      <w:bCs/>
      <w:kern w:val="32"/>
      <w:sz w:val="32"/>
      <w:szCs w:val="32"/>
    </w:rPr>
  </w:style>
  <w:style w:type="paragraph" w:styleId="ListParagraph">
    <w:name w:val="List Paragraph"/>
    <w:basedOn w:val="Normal"/>
    <w:uiPriority w:val="34"/>
    <w:qFormat/>
    <w:rsid w:val="00CB324C"/>
    <w:pPr>
      <w:spacing w:after="200" w:line="276" w:lineRule="auto"/>
      <w:ind w:left="720"/>
      <w:contextualSpacing/>
    </w:pPr>
    <w:rPr>
      <w:rFonts w:ascii="Calibri" w:hAnsi="Calibri"/>
      <w:sz w:val="22"/>
      <w:szCs w:val="22"/>
      <w:lang w:eastAsia="en-US"/>
    </w:rPr>
  </w:style>
  <w:style w:type="paragraph" w:styleId="BodyText">
    <w:name w:val="Body Text"/>
    <w:basedOn w:val="Normal"/>
    <w:link w:val="BodyTextChar"/>
    <w:rsid w:val="00A218F7"/>
    <w:pPr>
      <w:jc w:val="both"/>
    </w:pPr>
    <w:rPr>
      <w:sz w:val="28"/>
      <w:szCs w:val="20"/>
      <w:lang w:eastAsia="en-US"/>
    </w:rPr>
  </w:style>
  <w:style w:type="character" w:customStyle="1" w:styleId="BodyTextChar">
    <w:name w:val="Body Text Char"/>
    <w:basedOn w:val="DefaultParagraphFont"/>
    <w:link w:val="BodyText"/>
    <w:rsid w:val="00A218F7"/>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45"/>
      <w:marRight w:val="45"/>
      <w:marTop w:val="90"/>
      <w:marBottom w:val="90"/>
      <w:divBdr>
        <w:top w:val="none" w:sz="0" w:space="0" w:color="auto"/>
        <w:left w:val="none" w:sz="0" w:space="0" w:color="auto"/>
        <w:bottom w:val="none" w:sz="0" w:space="0" w:color="auto"/>
        <w:right w:val="none" w:sz="0" w:space="0" w:color="auto"/>
      </w:divBdr>
      <w:divsChild>
        <w:div w:id="3">
          <w:marLeft w:val="0"/>
          <w:marRight w:val="0"/>
          <w:marTop w:val="480"/>
          <w:marBottom w:val="240"/>
          <w:divBdr>
            <w:top w:val="none" w:sz="0" w:space="0" w:color="auto"/>
            <w:left w:val="none" w:sz="0" w:space="0" w:color="auto"/>
            <w:bottom w:val="none" w:sz="0" w:space="0" w:color="auto"/>
            <w:right w:val="none" w:sz="0" w:space="0" w:color="auto"/>
          </w:divBdr>
        </w:div>
        <w:div w:id="6">
          <w:marLeft w:val="0"/>
          <w:marRight w:val="0"/>
          <w:marTop w:val="0"/>
          <w:marBottom w:val="567"/>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45"/>
      <w:marRight w:val="45"/>
      <w:marTop w:val="90"/>
      <w:marBottom w:val="90"/>
      <w:divBdr>
        <w:top w:val="none" w:sz="0" w:space="0" w:color="auto"/>
        <w:left w:val="none" w:sz="0" w:space="0" w:color="auto"/>
        <w:bottom w:val="none" w:sz="0" w:space="0" w:color="auto"/>
        <w:right w:val="none" w:sz="0" w:space="0" w:color="auto"/>
      </w:divBdr>
      <w:divsChild>
        <w:div w:id="4">
          <w:marLeft w:val="0"/>
          <w:marRight w:val="0"/>
          <w:marTop w:val="480"/>
          <w:marBottom w:val="240"/>
          <w:divBdr>
            <w:top w:val="none" w:sz="0" w:space="0" w:color="auto"/>
            <w:left w:val="none" w:sz="0" w:space="0" w:color="auto"/>
            <w:bottom w:val="none" w:sz="0" w:space="0" w:color="auto"/>
            <w:right w:val="none" w:sz="0" w:space="0" w:color="auto"/>
          </w:divBdr>
        </w:div>
        <w:div w:id="7">
          <w:marLeft w:val="0"/>
          <w:marRight w:val="0"/>
          <w:marTop w:val="0"/>
          <w:marBottom w:val="567"/>
          <w:divBdr>
            <w:top w:val="none" w:sz="0" w:space="0" w:color="auto"/>
            <w:left w:val="none" w:sz="0" w:space="0" w:color="auto"/>
            <w:bottom w:val="none" w:sz="0" w:space="0" w:color="auto"/>
            <w:right w:val="none" w:sz="0" w:space="0" w:color="auto"/>
          </w:divBdr>
        </w:div>
      </w:divsChild>
    </w:div>
    <w:div w:id="1176917356">
      <w:bodyDiv w:val="1"/>
      <w:marLeft w:val="0"/>
      <w:marRight w:val="0"/>
      <w:marTop w:val="0"/>
      <w:marBottom w:val="0"/>
      <w:divBdr>
        <w:top w:val="none" w:sz="0" w:space="0" w:color="auto"/>
        <w:left w:val="none" w:sz="0" w:space="0" w:color="auto"/>
        <w:bottom w:val="none" w:sz="0" w:space="0" w:color="auto"/>
        <w:right w:val="none" w:sz="0" w:space="0" w:color="auto"/>
      </w:divBdr>
      <w:divsChild>
        <w:div w:id="239680962">
          <w:marLeft w:val="0"/>
          <w:marRight w:val="0"/>
          <w:marTop w:val="0"/>
          <w:marBottom w:val="0"/>
          <w:divBdr>
            <w:top w:val="none" w:sz="0" w:space="0" w:color="auto"/>
            <w:left w:val="none" w:sz="0" w:space="0" w:color="auto"/>
            <w:bottom w:val="none" w:sz="0" w:space="0" w:color="auto"/>
            <w:right w:val="none" w:sz="0" w:space="0" w:color="auto"/>
          </w:divBdr>
          <w:divsChild>
            <w:div w:id="1882743995">
              <w:marLeft w:val="0"/>
              <w:marRight w:val="0"/>
              <w:marTop w:val="0"/>
              <w:marBottom w:val="0"/>
              <w:divBdr>
                <w:top w:val="none" w:sz="0" w:space="0" w:color="auto"/>
                <w:left w:val="none" w:sz="0" w:space="0" w:color="auto"/>
                <w:bottom w:val="none" w:sz="0" w:space="0" w:color="auto"/>
                <w:right w:val="none" w:sz="0" w:space="0" w:color="auto"/>
              </w:divBdr>
              <w:divsChild>
                <w:div w:id="1510753925">
                  <w:marLeft w:val="0"/>
                  <w:marRight w:val="0"/>
                  <w:marTop w:val="0"/>
                  <w:marBottom w:val="0"/>
                  <w:divBdr>
                    <w:top w:val="none" w:sz="0" w:space="0" w:color="auto"/>
                    <w:left w:val="none" w:sz="0" w:space="0" w:color="auto"/>
                    <w:bottom w:val="none" w:sz="0" w:space="0" w:color="auto"/>
                    <w:right w:val="none" w:sz="0" w:space="0" w:color="auto"/>
                  </w:divBdr>
                  <w:divsChild>
                    <w:div w:id="1532110943">
                      <w:marLeft w:val="0"/>
                      <w:marRight w:val="0"/>
                      <w:marTop w:val="0"/>
                      <w:marBottom w:val="0"/>
                      <w:divBdr>
                        <w:top w:val="none" w:sz="0" w:space="0" w:color="auto"/>
                        <w:left w:val="none" w:sz="0" w:space="0" w:color="auto"/>
                        <w:bottom w:val="none" w:sz="0" w:space="0" w:color="auto"/>
                        <w:right w:val="none" w:sz="0" w:space="0" w:color="auto"/>
                      </w:divBdr>
                      <w:divsChild>
                        <w:div w:id="54743778">
                          <w:marLeft w:val="0"/>
                          <w:marRight w:val="0"/>
                          <w:marTop w:val="0"/>
                          <w:marBottom w:val="0"/>
                          <w:divBdr>
                            <w:top w:val="none" w:sz="0" w:space="0" w:color="auto"/>
                            <w:left w:val="none" w:sz="0" w:space="0" w:color="auto"/>
                            <w:bottom w:val="none" w:sz="0" w:space="0" w:color="auto"/>
                            <w:right w:val="none" w:sz="0" w:space="0" w:color="auto"/>
                          </w:divBdr>
                          <w:divsChild>
                            <w:div w:id="1330447710">
                              <w:marLeft w:val="0"/>
                              <w:marRight w:val="0"/>
                              <w:marTop w:val="0"/>
                              <w:marBottom w:val="0"/>
                              <w:divBdr>
                                <w:top w:val="none" w:sz="0" w:space="0" w:color="auto"/>
                                <w:left w:val="none" w:sz="0" w:space="0" w:color="auto"/>
                                <w:bottom w:val="none" w:sz="0" w:space="0" w:color="auto"/>
                                <w:right w:val="none" w:sz="0" w:space="0" w:color="auto"/>
                              </w:divBdr>
                              <w:divsChild>
                                <w:div w:id="496656990">
                                  <w:marLeft w:val="0"/>
                                  <w:marRight w:val="0"/>
                                  <w:marTop w:val="0"/>
                                  <w:marBottom w:val="0"/>
                                  <w:divBdr>
                                    <w:top w:val="none" w:sz="0" w:space="0" w:color="auto"/>
                                    <w:left w:val="none" w:sz="0" w:space="0" w:color="auto"/>
                                    <w:bottom w:val="none" w:sz="0" w:space="0" w:color="auto"/>
                                    <w:right w:val="none" w:sz="0" w:space="0" w:color="auto"/>
                                  </w:divBdr>
                                  <w:divsChild>
                                    <w:div w:id="2034650952">
                                      <w:marLeft w:val="0"/>
                                      <w:marRight w:val="0"/>
                                      <w:marTop w:val="0"/>
                                      <w:marBottom w:val="0"/>
                                      <w:divBdr>
                                        <w:top w:val="none" w:sz="0" w:space="0" w:color="auto"/>
                                        <w:left w:val="none" w:sz="0" w:space="0" w:color="auto"/>
                                        <w:bottom w:val="none" w:sz="0" w:space="0" w:color="auto"/>
                                        <w:right w:val="none" w:sz="0" w:space="0" w:color="auto"/>
                                      </w:divBdr>
                                      <w:divsChild>
                                        <w:div w:id="1158110574">
                                          <w:marLeft w:val="0"/>
                                          <w:marRight w:val="0"/>
                                          <w:marTop w:val="0"/>
                                          <w:marBottom w:val="0"/>
                                          <w:divBdr>
                                            <w:top w:val="none" w:sz="0" w:space="0" w:color="auto"/>
                                            <w:left w:val="none" w:sz="0" w:space="0" w:color="auto"/>
                                            <w:bottom w:val="none" w:sz="0" w:space="0" w:color="auto"/>
                                            <w:right w:val="none" w:sz="0" w:space="0" w:color="auto"/>
                                          </w:divBdr>
                                          <w:divsChild>
                                            <w:div w:id="849027039">
                                              <w:marLeft w:val="0"/>
                                              <w:marRight w:val="0"/>
                                              <w:marTop w:val="0"/>
                                              <w:marBottom w:val="0"/>
                                              <w:divBdr>
                                                <w:top w:val="none" w:sz="0" w:space="0" w:color="auto"/>
                                                <w:left w:val="none" w:sz="0" w:space="0" w:color="auto"/>
                                                <w:bottom w:val="none" w:sz="0" w:space="0" w:color="auto"/>
                                                <w:right w:val="none" w:sz="0" w:space="0" w:color="auto"/>
                                              </w:divBdr>
                                              <w:divsChild>
                                                <w:div w:id="1950311722">
                                                  <w:marLeft w:val="0"/>
                                                  <w:marRight w:val="0"/>
                                                  <w:marTop w:val="0"/>
                                                  <w:marBottom w:val="0"/>
                                                  <w:divBdr>
                                                    <w:top w:val="none" w:sz="0" w:space="0" w:color="auto"/>
                                                    <w:left w:val="none" w:sz="0" w:space="0" w:color="auto"/>
                                                    <w:bottom w:val="none" w:sz="0" w:space="0" w:color="auto"/>
                                                    <w:right w:val="none" w:sz="0" w:space="0" w:color="auto"/>
                                                  </w:divBdr>
                                                  <w:divsChild>
                                                    <w:div w:id="1084306262">
                                                      <w:marLeft w:val="0"/>
                                                      <w:marRight w:val="0"/>
                                                      <w:marTop w:val="0"/>
                                                      <w:marBottom w:val="0"/>
                                                      <w:divBdr>
                                                        <w:top w:val="none" w:sz="0" w:space="0" w:color="auto"/>
                                                        <w:left w:val="none" w:sz="0" w:space="0" w:color="auto"/>
                                                        <w:bottom w:val="none" w:sz="0" w:space="0" w:color="auto"/>
                                                        <w:right w:val="none" w:sz="0" w:space="0" w:color="auto"/>
                                                      </w:divBdr>
                                                      <w:divsChild>
                                                        <w:div w:id="121652734">
                                                          <w:marLeft w:val="0"/>
                                                          <w:marRight w:val="0"/>
                                                          <w:marTop w:val="0"/>
                                                          <w:marBottom w:val="0"/>
                                                          <w:divBdr>
                                                            <w:top w:val="none" w:sz="0" w:space="0" w:color="auto"/>
                                                            <w:left w:val="none" w:sz="0" w:space="0" w:color="auto"/>
                                                            <w:bottom w:val="none" w:sz="0" w:space="0" w:color="auto"/>
                                                            <w:right w:val="none" w:sz="0" w:space="0" w:color="auto"/>
                                                          </w:divBdr>
                                                          <w:divsChild>
                                                            <w:div w:id="1808425230">
                                                              <w:marLeft w:val="0"/>
                                                              <w:marRight w:val="150"/>
                                                              <w:marTop w:val="0"/>
                                                              <w:marBottom w:val="150"/>
                                                              <w:divBdr>
                                                                <w:top w:val="none" w:sz="0" w:space="0" w:color="auto"/>
                                                                <w:left w:val="none" w:sz="0" w:space="0" w:color="auto"/>
                                                                <w:bottom w:val="none" w:sz="0" w:space="0" w:color="auto"/>
                                                                <w:right w:val="none" w:sz="0" w:space="0" w:color="auto"/>
                                                              </w:divBdr>
                                                              <w:divsChild>
                                                                <w:div w:id="373043656">
                                                                  <w:marLeft w:val="0"/>
                                                                  <w:marRight w:val="0"/>
                                                                  <w:marTop w:val="0"/>
                                                                  <w:marBottom w:val="0"/>
                                                                  <w:divBdr>
                                                                    <w:top w:val="none" w:sz="0" w:space="0" w:color="auto"/>
                                                                    <w:left w:val="none" w:sz="0" w:space="0" w:color="auto"/>
                                                                    <w:bottom w:val="none" w:sz="0" w:space="0" w:color="auto"/>
                                                                    <w:right w:val="none" w:sz="0" w:space="0" w:color="auto"/>
                                                                  </w:divBdr>
                                                                  <w:divsChild>
                                                                    <w:div w:id="191919887">
                                                                      <w:marLeft w:val="0"/>
                                                                      <w:marRight w:val="0"/>
                                                                      <w:marTop w:val="0"/>
                                                                      <w:marBottom w:val="0"/>
                                                                      <w:divBdr>
                                                                        <w:top w:val="none" w:sz="0" w:space="0" w:color="auto"/>
                                                                        <w:left w:val="none" w:sz="0" w:space="0" w:color="auto"/>
                                                                        <w:bottom w:val="none" w:sz="0" w:space="0" w:color="auto"/>
                                                                        <w:right w:val="none" w:sz="0" w:space="0" w:color="auto"/>
                                                                      </w:divBdr>
                                                                      <w:divsChild>
                                                                        <w:div w:id="1644578608">
                                                                          <w:marLeft w:val="0"/>
                                                                          <w:marRight w:val="0"/>
                                                                          <w:marTop w:val="0"/>
                                                                          <w:marBottom w:val="0"/>
                                                                          <w:divBdr>
                                                                            <w:top w:val="none" w:sz="0" w:space="0" w:color="auto"/>
                                                                            <w:left w:val="none" w:sz="0" w:space="0" w:color="auto"/>
                                                                            <w:bottom w:val="none" w:sz="0" w:space="0" w:color="auto"/>
                                                                            <w:right w:val="none" w:sz="0" w:space="0" w:color="auto"/>
                                                                          </w:divBdr>
                                                                          <w:divsChild>
                                                                            <w:div w:id="306980005">
                                                                              <w:marLeft w:val="0"/>
                                                                              <w:marRight w:val="0"/>
                                                                              <w:marTop w:val="0"/>
                                                                              <w:marBottom w:val="0"/>
                                                                              <w:divBdr>
                                                                                <w:top w:val="none" w:sz="0" w:space="0" w:color="auto"/>
                                                                                <w:left w:val="none" w:sz="0" w:space="0" w:color="auto"/>
                                                                                <w:bottom w:val="none" w:sz="0" w:space="0" w:color="auto"/>
                                                                                <w:right w:val="none" w:sz="0" w:space="0" w:color="auto"/>
                                                                              </w:divBdr>
                                                                              <w:divsChild>
                                                                                <w:div w:id="1234394599">
                                                                                  <w:marLeft w:val="0"/>
                                                                                  <w:marRight w:val="0"/>
                                                                                  <w:marTop w:val="0"/>
                                                                                  <w:marBottom w:val="0"/>
                                                                                  <w:divBdr>
                                                                                    <w:top w:val="none" w:sz="0" w:space="0" w:color="auto"/>
                                                                                    <w:left w:val="none" w:sz="0" w:space="0" w:color="auto"/>
                                                                                    <w:bottom w:val="none" w:sz="0" w:space="0" w:color="auto"/>
                                                                                    <w:right w:val="none" w:sz="0" w:space="0" w:color="auto"/>
                                                                                  </w:divBdr>
                                                                                  <w:divsChild>
                                                                                    <w:div w:id="1245531474">
                                                                                      <w:marLeft w:val="0"/>
                                                                                      <w:marRight w:val="0"/>
                                                                                      <w:marTop w:val="0"/>
                                                                                      <w:marBottom w:val="0"/>
                                                                                      <w:divBdr>
                                                                                        <w:top w:val="none" w:sz="0" w:space="0" w:color="auto"/>
                                                                                        <w:left w:val="none" w:sz="0" w:space="0" w:color="auto"/>
                                                                                        <w:bottom w:val="none" w:sz="0" w:space="0" w:color="auto"/>
                                                                                        <w:right w:val="none" w:sz="0" w:space="0" w:color="auto"/>
                                                                                      </w:divBdr>
                                                                                    </w:div>
                                                                                    <w:div w:id="1417479282">
                                                                                      <w:marLeft w:val="0"/>
                                                                                      <w:marRight w:val="0"/>
                                                                                      <w:marTop w:val="0"/>
                                                                                      <w:marBottom w:val="0"/>
                                                                                      <w:divBdr>
                                                                                        <w:top w:val="none" w:sz="0" w:space="0" w:color="auto"/>
                                                                                        <w:left w:val="none" w:sz="0" w:space="0" w:color="auto"/>
                                                                                        <w:bottom w:val="none" w:sz="0" w:space="0" w:color="auto"/>
                                                                                        <w:right w:val="none" w:sz="0" w:space="0" w:color="auto"/>
                                                                                      </w:divBdr>
                                                                                    </w:div>
                                                                                    <w:div w:id="213929313">
                                                                                      <w:marLeft w:val="0"/>
                                                                                      <w:marRight w:val="0"/>
                                                                                      <w:marTop w:val="0"/>
                                                                                      <w:marBottom w:val="0"/>
                                                                                      <w:divBdr>
                                                                                        <w:top w:val="none" w:sz="0" w:space="0" w:color="auto"/>
                                                                                        <w:left w:val="none" w:sz="0" w:space="0" w:color="auto"/>
                                                                                        <w:bottom w:val="none" w:sz="0" w:space="0" w:color="auto"/>
                                                                                        <w:right w:val="none" w:sz="0" w:space="0" w:color="auto"/>
                                                                                      </w:divBdr>
                                                                                    </w:div>
                                                                                    <w:div w:id="336689846">
                                                                                      <w:marLeft w:val="0"/>
                                                                                      <w:marRight w:val="0"/>
                                                                                      <w:marTop w:val="0"/>
                                                                                      <w:marBottom w:val="0"/>
                                                                                      <w:divBdr>
                                                                                        <w:top w:val="none" w:sz="0" w:space="0" w:color="auto"/>
                                                                                        <w:left w:val="none" w:sz="0" w:space="0" w:color="auto"/>
                                                                                        <w:bottom w:val="none" w:sz="0" w:space="0" w:color="auto"/>
                                                                                        <w:right w:val="none" w:sz="0" w:space="0" w:color="auto"/>
                                                                                      </w:divBdr>
                                                                                    </w:div>
                                                                                    <w:div w:id="933169448">
                                                                                      <w:marLeft w:val="0"/>
                                                                                      <w:marRight w:val="0"/>
                                                                                      <w:marTop w:val="0"/>
                                                                                      <w:marBottom w:val="0"/>
                                                                                      <w:divBdr>
                                                                                        <w:top w:val="none" w:sz="0" w:space="0" w:color="auto"/>
                                                                                        <w:left w:val="none" w:sz="0" w:space="0" w:color="auto"/>
                                                                                        <w:bottom w:val="none" w:sz="0" w:space="0" w:color="auto"/>
                                                                                        <w:right w:val="none" w:sz="0" w:space="0" w:color="auto"/>
                                                                                      </w:divBdr>
                                                                                    </w:div>
                                                                                    <w:div w:id="12283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iga.Kronberga@em.gov.lv" TargetMode="Externa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5893-5DE0-464A-BBA8-BD04C46A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1667</Words>
  <Characters>12196</Characters>
  <Application>Microsoft Office Word</Application>
  <DocSecurity>0</DocSecurity>
  <Lines>312</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instrukcijas projekts “Tiesību akta projekta sākotnējās ietekmes izvērtēšanas kārtība”</vt:lpstr>
      <vt:lpstr>Ministru kabineta instrukcijas projekts “Tiesību akta projekta sākotnējās ietekmes izvērtēšanas kārtība”</vt:lpstr>
    </vt:vector>
  </TitlesOfParts>
  <Company>Valsts kanceleja, Politikas koordinācijas departaments</Company>
  <LinksUpToDate>false</LinksUpToDate>
  <CharactersWithSpaces>13764</CharactersWithSpaces>
  <SharedDoc>false</SharedDoc>
  <HLinks>
    <vt:vector size="6" baseType="variant">
      <vt:variant>
        <vt:i4>1638473</vt:i4>
      </vt:variant>
      <vt:variant>
        <vt:i4>0</vt:i4>
      </vt:variant>
      <vt:variant>
        <vt:i4>0</vt:i4>
      </vt:variant>
      <vt:variant>
        <vt:i4>5</vt:i4>
      </vt:variant>
      <vt:variant>
        <vt:lpwstr>http://www.likumi.lv/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“Tiesību akta projekta sākotnējās ietekmes izvērtēšanas kārtība”</dc:title>
  <dc:subject>Instrukcijas pielikums</dc:subject>
  <dc:creator>Arta.Kruze@em.gov.lv</dc:creator>
  <dc:description>67082972_x000d_
Ieva.Bloma@mk.gov.lv</dc:description>
  <cp:lastModifiedBy>Zaiga Kronberga</cp:lastModifiedBy>
  <cp:revision>53</cp:revision>
  <cp:lastPrinted>2012-08-03T12:02:00Z</cp:lastPrinted>
  <dcterms:created xsi:type="dcterms:W3CDTF">2012-05-03T08:41:00Z</dcterms:created>
  <dcterms:modified xsi:type="dcterms:W3CDTF">2012-11-13T10:00:00Z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1LM4fEz3q72QDicWtX5AUjIpz9JT3ikIUv8y3irqDocE</vt:lpwstr>
  </property>
  <property fmtid="{D5CDD505-2E9C-101B-9397-08002B2CF9AE}" pid="4" name="Google.Documents.RevisionId">
    <vt:lpwstr>05098947425260021728</vt:lpwstr>
  </property>
  <property fmtid="{D5CDD505-2E9C-101B-9397-08002B2CF9AE}" pid="5" name="Google.Documents.PreviousRevisionId">
    <vt:lpwstr>03007769031379332698</vt:lpwstr>
  </property>
  <property fmtid="{D5CDD505-2E9C-101B-9397-08002B2CF9AE}" pid="6" name="Google.Documents.PluginVersion">
    <vt:lpwstr>2.0.2662.553</vt:lpwstr>
  </property>
  <property fmtid="{D5CDD505-2E9C-101B-9397-08002B2CF9AE}" pid="7" name="Google.Documents.MergeIncapabilityFlags">
    <vt:i4>0</vt:i4>
  </property>
</Properties>
</file>