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CE" w:rsidRPr="00927884" w:rsidRDefault="00186551" w:rsidP="00CA2BE6">
      <w:pPr>
        <w:jc w:val="center"/>
        <w:rPr>
          <w:sz w:val="28"/>
          <w:szCs w:val="28"/>
        </w:rPr>
      </w:pPr>
      <w:bookmarkStart w:id="0" w:name="OLE_LINK3"/>
      <w:bookmarkStart w:id="1" w:name="OLE_LINK4"/>
      <w:r w:rsidRPr="00927884">
        <w:rPr>
          <w:sz w:val="28"/>
          <w:szCs w:val="28"/>
        </w:rPr>
        <w:t>Li</w:t>
      </w:r>
      <w:r w:rsidR="004260CD" w:rsidRPr="00927884">
        <w:rPr>
          <w:sz w:val="28"/>
          <w:szCs w:val="28"/>
        </w:rPr>
        <w:t>kum</w:t>
      </w:r>
      <w:r w:rsidR="00504DD3" w:rsidRPr="00927884">
        <w:rPr>
          <w:sz w:val="28"/>
          <w:szCs w:val="28"/>
        </w:rPr>
        <w:t>projekta</w:t>
      </w:r>
      <w:r w:rsidR="00D633CE" w:rsidRPr="00927884">
        <w:rPr>
          <w:sz w:val="28"/>
          <w:szCs w:val="28"/>
        </w:rPr>
        <w:t xml:space="preserve"> </w:t>
      </w:r>
    </w:p>
    <w:p w:rsidR="00DD2225" w:rsidRPr="0056365F" w:rsidRDefault="00DD2225" w:rsidP="00214094">
      <w:pPr>
        <w:pStyle w:val="naislab"/>
        <w:spacing w:before="0" w:after="0"/>
        <w:jc w:val="center"/>
        <w:outlineLvl w:val="0"/>
        <w:rPr>
          <w:b/>
          <w:sz w:val="28"/>
          <w:szCs w:val="28"/>
        </w:rPr>
      </w:pPr>
      <w:r w:rsidRPr="0056365F">
        <w:rPr>
          <w:b/>
          <w:bCs/>
          <w:sz w:val="28"/>
          <w:szCs w:val="28"/>
        </w:rPr>
        <w:t>„</w:t>
      </w:r>
      <w:r w:rsidR="004260CD">
        <w:rPr>
          <w:b/>
          <w:sz w:val="28"/>
          <w:szCs w:val="28"/>
        </w:rPr>
        <w:t>Atjaunojamās enerģijas likums</w:t>
      </w:r>
      <w:r w:rsidRPr="0056365F">
        <w:rPr>
          <w:b/>
          <w:sz w:val="28"/>
          <w:szCs w:val="28"/>
        </w:rPr>
        <w:t xml:space="preserve">” </w:t>
      </w:r>
    </w:p>
    <w:p w:rsidR="008C5649" w:rsidRPr="00927884" w:rsidRDefault="00852042" w:rsidP="00214094">
      <w:pPr>
        <w:pStyle w:val="naislab"/>
        <w:spacing w:before="0" w:after="0"/>
        <w:jc w:val="center"/>
        <w:outlineLvl w:val="0"/>
        <w:rPr>
          <w:sz w:val="28"/>
          <w:szCs w:val="28"/>
        </w:rPr>
      </w:pPr>
      <w:r w:rsidRPr="00927884">
        <w:rPr>
          <w:sz w:val="28"/>
          <w:szCs w:val="28"/>
        </w:rPr>
        <w:t>sākotnējā</w:t>
      </w:r>
      <w:r w:rsidR="002D3306" w:rsidRPr="00927884">
        <w:rPr>
          <w:sz w:val="28"/>
          <w:szCs w:val="28"/>
        </w:rPr>
        <w:t>s</w:t>
      </w:r>
      <w:r w:rsidRPr="00927884">
        <w:rPr>
          <w:sz w:val="28"/>
          <w:szCs w:val="28"/>
        </w:rPr>
        <w:t xml:space="preserve"> ietekmes novērtējuma </w:t>
      </w:r>
      <w:smartTag w:uri="schemas-tilde-lv/tildestengine" w:element="veidnes">
        <w:smartTagPr>
          <w:attr w:name="baseform" w:val="ziņojums"/>
          <w:attr w:name="id" w:val="-1"/>
          <w:attr w:name="text" w:val="ziņojums"/>
        </w:smartTagPr>
        <w:r w:rsidRPr="00927884">
          <w:rPr>
            <w:sz w:val="28"/>
            <w:szCs w:val="28"/>
          </w:rPr>
          <w:t>ziņojums</w:t>
        </w:r>
      </w:smartTag>
      <w:r w:rsidRPr="00927884">
        <w:rPr>
          <w:sz w:val="28"/>
          <w:szCs w:val="28"/>
        </w:rPr>
        <w:t xml:space="preserve"> (anotācija)</w:t>
      </w:r>
      <w:bookmarkEnd w:id="0"/>
      <w:bookmarkEnd w:id="1"/>
    </w:p>
    <w:p w:rsidR="009327EA" w:rsidRPr="0056365F" w:rsidRDefault="009327EA" w:rsidP="00214094">
      <w:pPr>
        <w:pStyle w:val="naislab"/>
        <w:spacing w:before="0" w:after="0"/>
        <w:jc w:val="center"/>
        <w:outlineLvl w:val="0"/>
        <w:rPr>
          <w:b/>
          <w:sz w:val="28"/>
          <w:szCs w:val="28"/>
        </w:rPr>
      </w:pPr>
    </w:p>
    <w:tbl>
      <w:tblPr>
        <w:tblW w:w="9454" w:type="dxa"/>
        <w:jc w:val="center"/>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8"/>
        <w:gridCol w:w="1866"/>
        <w:gridCol w:w="7250"/>
      </w:tblGrid>
      <w:tr w:rsidR="00852042" w:rsidRPr="0056365F" w:rsidTr="00483D7F">
        <w:trPr>
          <w:trHeight w:val="51"/>
          <w:jc w:val="center"/>
        </w:trPr>
        <w:tc>
          <w:tcPr>
            <w:tcW w:w="9454" w:type="dxa"/>
            <w:gridSpan w:val="3"/>
            <w:vAlign w:val="center"/>
          </w:tcPr>
          <w:p w:rsidR="00852042" w:rsidRPr="0056365F" w:rsidRDefault="00852042" w:rsidP="00483D7F">
            <w:pPr>
              <w:pStyle w:val="naisnod"/>
              <w:spacing w:before="0" w:after="120"/>
            </w:pPr>
            <w:r w:rsidRPr="0056365F">
              <w:t>I</w:t>
            </w:r>
            <w:r w:rsidR="000941C5" w:rsidRPr="0056365F">
              <w:t>.</w:t>
            </w:r>
            <w:r w:rsidRPr="0056365F">
              <w:t xml:space="preserve"> Tiesību akta </w:t>
            </w:r>
            <w:r w:rsidR="002E3FF4" w:rsidRPr="0056365F">
              <w:t xml:space="preserve">projekta </w:t>
            </w:r>
            <w:r w:rsidRPr="0056365F">
              <w:t>izstrādes nepieciešamība</w:t>
            </w:r>
          </w:p>
        </w:tc>
      </w:tr>
      <w:tr w:rsidR="00262E2B" w:rsidRPr="0056365F" w:rsidTr="00483D7F">
        <w:trPr>
          <w:trHeight w:val="224"/>
          <w:jc w:val="center"/>
        </w:trPr>
        <w:tc>
          <w:tcPr>
            <w:tcW w:w="600" w:type="dxa"/>
          </w:tcPr>
          <w:p w:rsidR="00262E2B" w:rsidRPr="0056365F" w:rsidRDefault="00262E2B" w:rsidP="00483D7F">
            <w:pPr>
              <w:pStyle w:val="naiskr"/>
              <w:spacing w:before="0" w:after="0"/>
              <w:jc w:val="center"/>
            </w:pPr>
            <w:r w:rsidRPr="0056365F">
              <w:t>1.</w:t>
            </w:r>
          </w:p>
        </w:tc>
        <w:tc>
          <w:tcPr>
            <w:tcW w:w="3047" w:type="dxa"/>
          </w:tcPr>
          <w:p w:rsidR="00262E2B" w:rsidRPr="0056365F" w:rsidRDefault="002D7F54" w:rsidP="004260CD">
            <w:pPr>
              <w:pStyle w:val="naiskr"/>
              <w:spacing w:before="0" w:after="0"/>
              <w:jc w:val="both"/>
            </w:pPr>
            <w:r w:rsidRPr="0056365F">
              <w:t>Pamatojums</w:t>
            </w:r>
          </w:p>
        </w:tc>
        <w:tc>
          <w:tcPr>
            <w:tcW w:w="5807" w:type="dxa"/>
          </w:tcPr>
          <w:p w:rsidR="00C07071" w:rsidRDefault="00C07071" w:rsidP="00806C74">
            <w:pPr>
              <w:tabs>
                <w:tab w:val="left" w:pos="9071"/>
              </w:tabs>
              <w:ind w:left="145" w:right="48"/>
              <w:jc w:val="both"/>
            </w:pPr>
            <w:r w:rsidRPr="00E93B25">
              <w:t xml:space="preserve">Eiropas Parlamenta un Padomes Direktīva 2009/28/EK par atjaunojamo energoresursu izmantošanas veicināšanu un ar ko groza un </w:t>
            </w:r>
            <w:r w:rsidRPr="005D0CC5">
              <w:t>sekojoši atceļ Direk</w:t>
            </w:r>
            <w:r>
              <w:t>tīvas 2001/77/EK un 2003/30/EK.</w:t>
            </w:r>
            <w:r w:rsidR="004F0CF5">
              <w:rPr>
                <w:bCs/>
              </w:rPr>
              <w:t xml:space="preserve"> Direktīvas prasības jāpārņem līdz </w:t>
            </w:r>
            <w:r w:rsidR="004F0CF5" w:rsidRPr="00E97A4F">
              <w:t xml:space="preserve">2010.gada </w:t>
            </w:r>
            <w:r w:rsidR="004F0CF5">
              <w:t>5</w:t>
            </w:r>
            <w:r w:rsidR="004F0CF5" w:rsidRPr="00E97A4F">
              <w:t>.decembrim.</w:t>
            </w:r>
          </w:p>
          <w:p w:rsidR="00C07071" w:rsidRPr="00294BFF" w:rsidRDefault="00C07071" w:rsidP="00806C74">
            <w:pPr>
              <w:pStyle w:val="naiskr"/>
              <w:snapToGrid w:val="0"/>
              <w:spacing w:before="0" w:after="0"/>
              <w:ind w:left="145" w:right="48"/>
              <w:jc w:val="both"/>
              <w:rPr>
                <w:color w:val="000000"/>
              </w:rPr>
            </w:pPr>
            <w:r>
              <w:rPr>
                <w:rStyle w:val="Strong"/>
                <w:b w:val="0"/>
              </w:rPr>
              <w:t xml:space="preserve">Likumprojekts sagatavots atbilstoši </w:t>
            </w:r>
            <w:r w:rsidRPr="003F62BF">
              <w:rPr>
                <w:rStyle w:val="Strong"/>
                <w:b w:val="0"/>
              </w:rPr>
              <w:t>Deklarācijas par Valda Dombrovska vadītā Ministru kabineta iecerēto darbību</w:t>
            </w:r>
            <w:r w:rsidRPr="003F62BF">
              <w:rPr>
                <w:b/>
              </w:rPr>
              <w:t xml:space="preserve"> </w:t>
            </w:r>
            <w:r w:rsidR="001E0CD5" w:rsidRPr="00294BFF">
              <w:rPr>
                <w:color w:val="000000"/>
              </w:rPr>
              <w:t>11</w:t>
            </w:r>
            <w:r w:rsidR="00361173" w:rsidRPr="00294BFF">
              <w:rPr>
                <w:color w:val="000000"/>
              </w:rPr>
              <w:t>.</w:t>
            </w:r>
            <w:r w:rsidR="001E0CD5" w:rsidRPr="00294BFF">
              <w:rPr>
                <w:color w:val="000000"/>
              </w:rPr>
              <w:t>39</w:t>
            </w:r>
            <w:r w:rsidR="00361173" w:rsidRPr="00294BFF">
              <w:rPr>
                <w:color w:val="000000"/>
              </w:rPr>
              <w:t xml:space="preserve">., </w:t>
            </w:r>
            <w:r w:rsidR="001E0CD5" w:rsidRPr="00294BFF">
              <w:rPr>
                <w:color w:val="000000"/>
              </w:rPr>
              <w:t>11</w:t>
            </w:r>
            <w:r w:rsidR="00361173" w:rsidRPr="00294BFF">
              <w:rPr>
                <w:color w:val="000000"/>
              </w:rPr>
              <w:t>.</w:t>
            </w:r>
            <w:r w:rsidR="001E0CD5" w:rsidRPr="00294BFF">
              <w:rPr>
                <w:color w:val="000000"/>
              </w:rPr>
              <w:t>40</w:t>
            </w:r>
            <w:r w:rsidR="00361173" w:rsidRPr="00294BFF">
              <w:rPr>
                <w:color w:val="000000"/>
              </w:rPr>
              <w:t xml:space="preserve">., </w:t>
            </w:r>
            <w:r w:rsidR="001E0CD5" w:rsidRPr="00294BFF">
              <w:rPr>
                <w:color w:val="000000"/>
              </w:rPr>
              <w:t>11</w:t>
            </w:r>
            <w:r w:rsidRPr="00294BFF">
              <w:rPr>
                <w:color w:val="000000"/>
              </w:rPr>
              <w:t>.</w:t>
            </w:r>
            <w:r w:rsidR="001E0CD5" w:rsidRPr="00294BFF">
              <w:rPr>
                <w:color w:val="000000"/>
              </w:rPr>
              <w:t>45</w:t>
            </w:r>
            <w:r w:rsidRPr="00294BFF">
              <w:rPr>
                <w:color w:val="000000"/>
              </w:rPr>
              <w:t>.</w:t>
            </w:r>
            <w:r w:rsidR="001E0CD5" w:rsidRPr="00294BFF">
              <w:rPr>
                <w:color w:val="000000"/>
              </w:rPr>
              <w:t xml:space="preserve"> un 11.46.</w:t>
            </w:r>
            <w:r w:rsidRPr="00294BFF">
              <w:rPr>
                <w:color w:val="000000"/>
              </w:rPr>
              <w:t xml:space="preserve"> apakšpunktam.</w:t>
            </w:r>
          </w:p>
          <w:p w:rsidR="00421E3F" w:rsidRPr="00421E3F" w:rsidRDefault="00421E3F" w:rsidP="00806C74">
            <w:pPr>
              <w:tabs>
                <w:tab w:val="left" w:pos="9071"/>
              </w:tabs>
              <w:ind w:left="145" w:right="48"/>
              <w:jc w:val="both"/>
            </w:pPr>
            <w:r w:rsidRPr="00421E3F">
              <w:rPr>
                <w:bCs/>
              </w:rPr>
              <w:t xml:space="preserve">Likumprojekts „Atjaunojamās enerģijas likums” (turpmāk - likumprojekts) sagatavots, izpildot </w:t>
            </w:r>
            <w:r w:rsidR="006E335C">
              <w:t>Ministru kabineta 2009.gada 26.</w:t>
            </w:r>
            <w:r w:rsidR="005F3764" w:rsidRPr="00421E3F">
              <w:t xml:space="preserve">maija sēdes </w:t>
            </w:r>
            <w:r w:rsidR="005F3764" w:rsidRPr="00421E3F">
              <w:rPr>
                <w:rFonts w:eastAsia="Calibri"/>
              </w:rPr>
              <w:t>protokollēmuma Nr.</w:t>
            </w:r>
            <w:r w:rsidR="005F3764" w:rsidRPr="00421E3F">
              <w:t>33</w:t>
            </w:r>
            <w:r w:rsidR="005F3764" w:rsidRPr="00421E3F">
              <w:rPr>
                <w:rFonts w:eastAsia="Calibri"/>
              </w:rPr>
              <w:t xml:space="preserve"> </w:t>
            </w:r>
            <w:r w:rsidR="005F3764" w:rsidRPr="00421E3F">
              <w:t xml:space="preserve">54. </w:t>
            </w:r>
            <w:r w:rsidR="005F3764" w:rsidRPr="00421E3F">
              <w:rPr>
                <w:rFonts w:eastAsia="Calibri"/>
              </w:rPr>
              <w:t xml:space="preserve">§ </w:t>
            </w:r>
            <w:r w:rsidR="005F3764" w:rsidRPr="00421E3F">
              <w:t>2</w:t>
            </w:r>
            <w:r w:rsidR="006E335C">
              <w:rPr>
                <w:rFonts w:eastAsia="Calibri"/>
              </w:rPr>
              <w:t>.</w:t>
            </w:r>
            <w:r w:rsidRPr="00421E3F">
              <w:rPr>
                <w:rFonts w:eastAsia="Calibri"/>
              </w:rPr>
              <w:t>p</w:t>
            </w:r>
            <w:r w:rsidR="005F3764" w:rsidRPr="00421E3F">
              <w:rPr>
                <w:rFonts w:eastAsia="Calibri"/>
              </w:rPr>
              <w:t>unkt</w:t>
            </w:r>
            <w:r w:rsidRPr="00421E3F">
              <w:rPr>
                <w:rFonts w:eastAsia="Calibri"/>
              </w:rPr>
              <w:t xml:space="preserve">u, ar kuru </w:t>
            </w:r>
            <w:r w:rsidRPr="00421E3F">
              <w:t>Ekonomikas ministrijai uzdots strādāt pie likumprojekta par atjaunojamiem energoresursiem sagatavošanas.</w:t>
            </w:r>
          </w:p>
          <w:p w:rsidR="002379C8" w:rsidRPr="00C07071" w:rsidRDefault="00421E3F" w:rsidP="002379C8">
            <w:pPr>
              <w:tabs>
                <w:tab w:val="left" w:pos="9071"/>
              </w:tabs>
              <w:ind w:left="145" w:right="48"/>
              <w:jc w:val="both"/>
            </w:pPr>
            <w:r w:rsidRPr="00421E3F">
              <w:t xml:space="preserve">Likumprojekts sagatavots, izpildot </w:t>
            </w:r>
            <w:r w:rsidR="005F3764" w:rsidRPr="00421E3F">
              <w:t>Ministru kabineta 2009. gada 10</w:t>
            </w:r>
            <w:r w:rsidR="00927884">
              <w:t>. no</w:t>
            </w:r>
            <w:r w:rsidR="006E335C">
              <w:t>vembra sēdes protokollēmuma Nr.</w:t>
            </w:r>
            <w:r w:rsidR="00927884">
              <w:t>79 45.</w:t>
            </w:r>
            <w:r w:rsidR="005F3764" w:rsidRPr="00421E3F">
              <w:t xml:space="preserve"> </w:t>
            </w:r>
            <w:r w:rsidR="006E335C">
              <w:rPr>
                <w:rFonts w:eastAsia="Calibri"/>
              </w:rPr>
              <w:t>§ 3.</w:t>
            </w:r>
            <w:r w:rsidRPr="00421E3F">
              <w:rPr>
                <w:rFonts w:eastAsia="Calibri"/>
              </w:rPr>
              <w:t>p</w:t>
            </w:r>
            <w:r w:rsidR="005F3764" w:rsidRPr="00421E3F">
              <w:rPr>
                <w:rFonts w:eastAsia="Calibri"/>
              </w:rPr>
              <w:t>unktu</w:t>
            </w:r>
            <w:r w:rsidRPr="00421E3F">
              <w:rPr>
                <w:rFonts w:eastAsia="Calibri"/>
              </w:rPr>
              <w:t xml:space="preserve">, </w:t>
            </w:r>
            <w:r w:rsidRPr="00421E3F">
              <w:t>ar kuru ekonomikas mini</w:t>
            </w:r>
            <w:r w:rsidR="006E335C">
              <w:t>stram uzdots līdz 2010.gada 1.</w:t>
            </w:r>
            <w:r w:rsidRPr="00421E3F">
              <w:t>martam iesniegt izskatīšanai Ministru kabinetā noteiktā kārtībā likumprojektu "Atjaunojamo energoresursu likums".</w:t>
            </w:r>
          </w:p>
        </w:tc>
      </w:tr>
      <w:tr w:rsidR="00262E2B" w:rsidRPr="0056365F" w:rsidTr="00483D7F">
        <w:trPr>
          <w:trHeight w:val="168"/>
          <w:jc w:val="center"/>
        </w:trPr>
        <w:tc>
          <w:tcPr>
            <w:tcW w:w="600" w:type="dxa"/>
          </w:tcPr>
          <w:p w:rsidR="00262E2B" w:rsidRPr="0056365F" w:rsidRDefault="00262E2B" w:rsidP="00483D7F">
            <w:pPr>
              <w:pStyle w:val="naiskr"/>
              <w:spacing w:before="0" w:after="0"/>
              <w:jc w:val="center"/>
            </w:pPr>
            <w:r w:rsidRPr="0056365F">
              <w:t>2.</w:t>
            </w:r>
          </w:p>
        </w:tc>
        <w:tc>
          <w:tcPr>
            <w:tcW w:w="3047" w:type="dxa"/>
          </w:tcPr>
          <w:p w:rsidR="00262E2B" w:rsidRPr="0056365F" w:rsidRDefault="00262E2B" w:rsidP="009327EA">
            <w:pPr>
              <w:pStyle w:val="naiskr"/>
              <w:tabs>
                <w:tab w:val="left" w:pos="170"/>
              </w:tabs>
              <w:spacing w:before="0" w:after="0"/>
            </w:pPr>
            <w:r w:rsidRPr="0056365F">
              <w:t>Pašreizējā situācija</w:t>
            </w:r>
            <w:r w:rsidR="001F5CD6" w:rsidRPr="0056365F">
              <w:t xml:space="preserve"> un problēmas</w:t>
            </w:r>
          </w:p>
        </w:tc>
        <w:tc>
          <w:tcPr>
            <w:tcW w:w="5807" w:type="dxa"/>
          </w:tcPr>
          <w:p w:rsidR="00EF6A76" w:rsidRDefault="00EF6A76" w:rsidP="00806C74">
            <w:pPr>
              <w:ind w:left="145" w:right="48"/>
              <w:jc w:val="both"/>
            </w:pPr>
            <w:r>
              <w:t>Š</w:t>
            </w:r>
            <w:r w:rsidRPr="000F3F45">
              <w:t>obrīd pastāvošās atbalsta shēmas elektroenerģijas ražošanai no atjaunojamiem energoresursiem</w:t>
            </w:r>
            <w:r w:rsidR="00361173">
              <w:t xml:space="preserve"> (turpmāk - AER)</w:t>
            </w:r>
            <w:r w:rsidRPr="000F3F45">
              <w:t>, kuru pamatā ir Elektroenerģijas tirgus likums un enerģētikas politikas vidēja termiņa plānošanas dokumenti (Enerģētikas attīstīb</w:t>
            </w:r>
            <w:r w:rsidR="006E335C">
              <w:t>as pamatnostādnes 2007. – 2016.</w:t>
            </w:r>
            <w:r w:rsidRPr="000F3F45">
              <w:t>gadam, Latvijas Atjaunojamo energoresursu izmantošan</w:t>
            </w:r>
            <w:r w:rsidR="006E335C">
              <w:t>as pamatnostādnes 2006. – 2013.</w:t>
            </w:r>
            <w:r w:rsidRPr="000F3F45">
              <w:t xml:space="preserve">gadam), kas paredz no </w:t>
            </w:r>
            <w:r w:rsidR="00361173">
              <w:t>AER</w:t>
            </w:r>
            <w:r w:rsidRPr="000F3F45">
              <w:t xml:space="preserve"> saražotā elektroenerģijas apjoma, kas iepērkams obligātā iepirkuma ietvaros, ierobežošanu, izveidotas tā, lai būtu iespējams kontrolēt obligātā iepirkuma ietvaros no </w:t>
            </w:r>
            <w:r w:rsidR="00361173">
              <w:t>AER</w:t>
            </w:r>
            <w:r w:rsidRPr="000F3F45">
              <w:t xml:space="preserve"> ražotas elektroenerģijas radītu izmaksu slogu elektroenerģijas gala lietotājiem.</w:t>
            </w:r>
          </w:p>
          <w:p w:rsidR="00EF6A76" w:rsidRPr="00220B1F" w:rsidRDefault="00EF6A76" w:rsidP="00806C74">
            <w:pPr>
              <w:ind w:left="145" w:right="48"/>
              <w:jc w:val="both"/>
            </w:pPr>
            <w:r w:rsidRPr="00220B1F">
              <w:t>Ņemot vērā to, ka Eiropas Savienībā</w:t>
            </w:r>
            <w:r w:rsidR="00361173">
              <w:t xml:space="preserve"> (turpmāk - ES)</w:t>
            </w:r>
            <w:r w:rsidRPr="00220B1F">
              <w:t xml:space="preserve"> nepastāv vienotas </w:t>
            </w:r>
            <w:r w:rsidR="00361173">
              <w:t>AER</w:t>
            </w:r>
            <w:r w:rsidRPr="00220B1F">
              <w:t xml:space="preserve"> izmantošanas veicināšanas politikas un atbalsta shēmas dalībvalstu starpā nav harmonizētas, jo dalībvalstu situācijas un tehniski un ekonomiski izmantojamais resursu potenciāls ir atšķirīgs, katrai dalībvalstij ir sava </w:t>
            </w:r>
            <w:r w:rsidR="00361173">
              <w:t>AER</w:t>
            </w:r>
            <w:r w:rsidRPr="00220B1F">
              <w:t xml:space="preserve"> atbalsta politika, kas ne vienmēr ir vienkāršoti vērtējama kā līdzīga vai atšķirīga, ja salīdzina ar citu dalībvalsti iepriekš minēto situācijas atšķirību un valstu atšķirīgo labklājības līmeņu dēļ.</w:t>
            </w:r>
          </w:p>
          <w:p w:rsidR="00220B1F" w:rsidRPr="00220B1F" w:rsidRDefault="00220B1F" w:rsidP="00806C74">
            <w:pPr>
              <w:pStyle w:val="naislab"/>
              <w:spacing w:before="0" w:after="0"/>
              <w:ind w:left="145" w:right="48"/>
              <w:jc w:val="both"/>
            </w:pPr>
            <w:r w:rsidRPr="00220B1F">
              <w:t>Latvijā par speciālajiem</w:t>
            </w:r>
            <w:r>
              <w:t xml:space="preserve"> atjaunojamās enerģijas jomu regulējošiem</w:t>
            </w:r>
            <w:r w:rsidRPr="00220B1F">
              <w:t xml:space="preserve"> normatīv</w:t>
            </w:r>
            <w:r w:rsidR="006E335C">
              <w:t>ajiem aktiem ir uzskatāms 1998.gada 3.</w:t>
            </w:r>
            <w:r w:rsidRPr="00220B1F">
              <w:t>dec</w:t>
            </w:r>
            <w:r w:rsidR="006E335C">
              <w:t>embra Enerģētikas likums, 2005.gada 5.</w:t>
            </w:r>
            <w:r w:rsidRPr="00220B1F">
              <w:t xml:space="preserve">maija Elektroenerģijas tirgus likums un saskaņā ar to </w:t>
            </w:r>
            <w:r w:rsidR="006E335C">
              <w:t>izdotie Ministru kabineta 2010.gada 16.marta noteikumi Nr.</w:t>
            </w:r>
            <w:r w:rsidRPr="00220B1F">
              <w:t>262 „</w:t>
            </w:r>
            <w:r w:rsidRPr="00220B1F">
              <w:rPr>
                <w:bCs/>
                <w:color w:val="000000"/>
              </w:rPr>
              <w:t>Noteikumi par elektroenerģijas ražošanu, izmantojot atjaunojamos energoresursus, un cenu noteikšanas kārtību</w:t>
            </w:r>
            <w:r w:rsidR="006E335C">
              <w:t>” un Ministru kabineta 2009.gada 10.marta noteikumi Nr.</w:t>
            </w:r>
            <w:r w:rsidRPr="00220B1F">
              <w:t>221 „Noteikumi par elektroenerģijas ražošanu un cenu noteikšanu, ražojot elektroenerģ</w:t>
            </w:r>
            <w:r w:rsidR="006E335C">
              <w:t>iju koģenerācijā”, kā arī 2000.gada 19.</w:t>
            </w:r>
            <w:r w:rsidRPr="00220B1F">
              <w:t xml:space="preserve">oktobra likums “Par sabiedrisko pakalpojumu regulatoriem” un saskaņā ar to izdotie Ministru kabineta noteikumi.  </w:t>
            </w:r>
          </w:p>
          <w:p w:rsidR="00220B1F" w:rsidRDefault="00220B1F" w:rsidP="00806C74">
            <w:pPr>
              <w:tabs>
                <w:tab w:val="left" w:pos="9071"/>
              </w:tabs>
              <w:ind w:left="145" w:right="48"/>
              <w:jc w:val="both"/>
            </w:pPr>
            <w:r w:rsidRPr="00220B1F">
              <w:t xml:space="preserve">Uz elektroenerģijas ražošanu, izmantojot AER, attiecas arī vispārējie </w:t>
            </w:r>
            <w:r w:rsidRPr="00220B1F">
              <w:lastRenderedPageBreak/>
              <w:t xml:space="preserve">normatīvie </w:t>
            </w:r>
            <w:smartTag w:uri="schemas-tilde-lv/tildestengine" w:element="veidnes">
              <w:smartTagPr>
                <w:attr w:name="text" w:val="akti"/>
                <w:attr w:name="id" w:val="-1"/>
                <w:attr w:name="baseform" w:val="akt|s"/>
              </w:smartTagPr>
              <w:r w:rsidRPr="00220B1F">
                <w:t>akti</w:t>
              </w:r>
            </w:smartTag>
            <w:r w:rsidRPr="00220B1F">
              <w:t>, kas reglamentē komercdarbību un darījumus, piemēram, Komerclikums, Civillikums, Darba likums, vides aizsardzību un būvniecību reglamentējošie normatīvie akti.</w:t>
            </w:r>
          </w:p>
          <w:p w:rsidR="00EF6A76" w:rsidRDefault="00EF6A76" w:rsidP="00806C74">
            <w:pPr>
              <w:tabs>
                <w:tab w:val="left" w:pos="9071"/>
              </w:tabs>
              <w:ind w:left="145" w:right="48"/>
              <w:jc w:val="both"/>
            </w:pPr>
            <w:r w:rsidRPr="00EF6A76">
              <w:t xml:space="preserve">Lai gan Latvijā ir  izveidota normatīvo aktu bāze, kas radījusi priekšnoteikumus </w:t>
            </w:r>
            <w:r w:rsidR="00361173">
              <w:t>AER</w:t>
            </w:r>
            <w:r w:rsidRPr="00EF6A76">
              <w:t xml:space="preserve"> izmantošanai gan elektroenerģijas ražošanā, gan arī siltumapgādē, ir nepieciešams attīstīt un regulāri izvērtēt nacionālo atjaunojamās enerģ</w:t>
            </w:r>
            <w:r w:rsidR="00B80BBC">
              <w:t>ētikas</w:t>
            </w:r>
            <w:r w:rsidRPr="00EF6A76">
              <w:t xml:space="preserve"> politikas un tajā ietverto atbalsta mehānismu efektivitāti</w:t>
            </w:r>
            <w:r>
              <w:t>,</w:t>
            </w:r>
            <w:r w:rsidRPr="000F3F45">
              <w:t xml:space="preserve"> uzsverot </w:t>
            </w:r>
            <w:r w:rsidR="00361173">
              <w:t>AER</w:t>
            </w:r>
            <w:r w:rsidRPr="000F3F45">
              <w:t xml:space="preserve"> nozīmi ilgtspējīgas valsts enerģētikas politikas veidošanā, nepieciešamību palielināt elektrisko jaudu pašnodrošinājumu un samazināt importētās elektroenerģijas apjomu, </w:t>
            </w:r>
            <w:r>
              <w:t xml:space="preserve">mazinot Latvijas energoatkarību un veicinot energoresursu efektīvu izmantošanu </w:t>
            </w:r>
            <w:r w:rsidR="00B80BBC">
              <w:t>enerģijas</w:t>
            </w:r>
            <w:r>
              <w:t xml:space="preserve"> ražošanā.</w:t>
            </w:r>
          </w:p>
          <w:p w:rsidR="00EF6A76" w:rsidRDefault="00EF6A76" w:rsidP="00806C74">
            <w:pPr>
              <w:ind w:left="145" w:right="48"/>
              <w:jc w:val="both"/>
            </w:pPr>
            <w:r w:rsidRPr="00220B1F">
              <w:t>Vienlaikus, lai noteiktu stingrākus kontroles mehānismus elektroenerģijas obligātā iepirkuma tiesību ieguvējiem, lai radītu iespēju kontrolēt projektu īstenošanu un novērstu elektroenerģijas obligātā iepirkuma tiesību nelietderīgu piešķiršanu, kā arī, lai risinātu jautājumu par iesniegumu iesniegša</w:t>
            </w:r>
            <w:r w:rsidR="006E335C">
              <w:t xml:space="preserve">nas kārtību tiesību saņemšanai </w:t>
            </w:r>
            <w:r w:rsidRPr="00220B1F">
              <w:t xml:space="preserve">pārdot no </w:t>
            </w:r>
            <w:r w:rsidR="00361173">
              <w:t>AER</w:t>
            </w:r>
            <w:r w:rsidRPr="00220B1F">
              <w:t xml:space="preserve"> saražoto elektroenerģiju ob</w:t>
            </w:r>
            <w:r w:rsidR="006E335C">
              <w:t>ligātā iepirkuma ietvaros 2010.</w:t>
            </w:r>
            <w:r w:rsidRPr="00220B1F">
              <w:t>gadam, E</w:t>
            </w:r>
            <w:r w:rsidR="006E335C">
              <w:t>konomikas ministrija kopš 2009.</w:t>
            </w:r>
            <w:r w:rsidRPr="00220B1F">
              <w:t>gada pavasara ir strādājusi pie līdzšinējās atbalsta sistēmas izmaiņām, padarot caurspīdīgākas administratīvās procedūras.</w:t>
            </w:r>
          </w:p>
          <w:p w:rsidR="00EF6A76" w:rsidRDefault="006E335C" w:rsidP="00806C74">
            <w:pPr>
              <w:ind w:left="145" w:right="48"/>
              <w:jc w:val="both"/>
            </w:pPr>
            <w:r>
              <w:t>2010.gada 1.aprīlī spēkā stājās 2010.</w:t>
            </w:r>
            <w:r w:rsidR="00EF6A76" w:rsidRPr="00220B1F">
              <w:t>g</w:t>
            </w:r>
            <w:r>
              <w:t>ada 16.</w:t>
            </w:r>
            <w:r w:rsidR="00EF6A76" w:rsidRPr="00220B1F">
              <w:t xml:space="preserve">marta </w:t>
            </w:r>
            <w:r>
              <w:t>Ministru kabineta noteikumi Nr.</w:t>
            </w:r>
            <w:r w:rsidR="00EF6A76" w:rsidRPr="00220B1F">
              <w:t>262 „Noteikumi par elektroenerģijas ražošanu,  izmantojot atjaunojamos energoresursus, un cenu noteikšanas kārtī</w:t>
            </w:r>
            <w:r>
              <w:t>bu” (turpmāk – MK noteikumi Nr.</w:t>
            </w:r>
            <w:r w:rsidR="00EF6A76" w:rsidRPr="00220B1F">
              <w:t>262), ar kuru apstiprināšanu spēku zaudēja Ministru kabineta 2009.</w:t>
            </w:r>
            <w:r>
              <w:t>gada 24.februāra noteikumi Nr.</w:t>
            </w:r>
            <w:r w:rsidR="00EF6A76" w:rsidRPr="00220B1F">
              <w:t>198  „Noteikumi par elektroenerģijas ražošanu, izmantojot atjaunojamos energoresursus un cenu noteikšanas kārtību”</w:t>
            </w:r>
            <w:r>
              <w:t xml:space="preserve"> (turpmāk – MK noteikumi Nr.</w:t>
            </w:r>
            <w:r w:rsidR="006D5CF3">
              <w:t>198)</w:t>
            </w:r>
            <w:r>
              <w:t>. MK noteikumos Nr.</w:t>
            </w:r>
            <w:r w:rsidR="00EF6A76" w:rsidRPr="00220B1F">
              <w:t>262 iekļautas tiesību normas, kas izriet no Eiropas Parl</w:t>
            </w:r>
            <w:r>
              <w:t>amenta 2001.gada 27.</w:t>
            </w:r>
            <w:r w:rsidR="00EF6A76" w:rsidRPr="00220B1F">
              <w:t>septembra direktīvas 2001/77/EK par tādas elektroenerģijas pielietojuma veicināšanu iekšējā elektrības tirgū, kas ražota, izmantojot neizsīkstošos enerģijas avotus (turpmāk – Direktīva 2001/77/EK).</w:t>
            </w:r>
          </w:p>
          <w:p w:rsidR="00EF6A76" w:rsidRPr="00EF6A76" w:rsidRDefault="00EF6A76" w:rsidP="00806C74">
            <w:pPr>
              <w:ind w:left="145" w:right="48"/>
              <w:jc w:val="both"/>
            </w:pPr>
            <w:r w:rsidRPr="00EF6A76">
              <w:t xml:space="preserve">Latvijas ekonomiskās attīstības iespējas un konkurētspēju nosaka arī enerģijas apgādes sistēmas stāvoklis, tās darbības efektivitāte un apgādes drošums. </w:t>
            </w:r>
            <w:r w:rsidR="006E335C">
              <w:rPr>
                <w:bCs/>
              </w:rPr>
              <w:t>2008.</w:t>
            </w:r>
            <w:r w:rsidRPr="00EF6A76">
              <w:rPr>
                <w:bCs/>
              </w:rPr>
              <w:t>gadā Latvijas bruto nacionālais elektroenerģija</w:t>
            </w:r>
            <w:r w:rsidR="006E335C">
              <w:rPr>
                <w:bCs/>
              </w:rPr>
              <w:t>s patēriņš, salīdzinot ar 2000.</w:t>
            </w:r>
            <w:r w:rsidRPr="00EF6A76">
              <w:rPr>
                <w:bCs/>
              </w:rPr>
              <w:t>gadu, ir pieaudzis par 31,6%</w:t>
            </w:r>
            <w:r w:rsidR="00361173">
              <w:rPr>
                <w:bCs/>
              </w:rPr>
              <w:t>.</w:t>
            </w:r>
            <w:r w:rsidRPr="00EF6A76">
              <w:t xml:space="preserve"> </w:t>
            </w:r>
            <w:r w:rsidR="00361173">
              <w:t>Tas</w:t>
            </w:r>
            <w:r w:rsidR="006E335C">
              <w:t xml:space="preserve"> var ietekmēt 2010.</w:t>
            </w:r>
            <w:r w:rsidRPr="00EF6A76">
              <w:t>gada mērķa sasniegšanas iespējas.</w:t>
            </w:r>
          </w:p>
          <w:p w:rsidR="00EF6A76" w:rsidRPr="00EF6A76" w:rsidRDefault="006E335C" w:rsidP="00806C74">
            <w:pPr>
              <w:ind w:left="145" w:right="48"/>
              <w:jc w:val="both"/>
            </w:pPr>
            <w:r>
              <w:rPr>
                <w:bCs/>
              </w:rPr>
              <w:t>2008.</w:t>
            </w:r>
            <w:r w:rsidR="00EF6A76" w:rsidRPr="00EF6A76">
              <w:rPr>
                <w:bCs/>
              </w:rPr>
              <w:t xml:space="preserve">gadā Latvijas bruto nacionālais elektroenerģijas patēriņš bija 7794 GWh. Tajā skaitā elektroenerģijas, kas ražota no </w:t>
            </w:r>
            <w:r w:rsidR="00361173">
              <w:rPr>
                <w:bCs/>
              </w:rPr>
              <w:t>AER</w:t>
            </w:r>
            <w:r w:rsidR="00EF6A76" w:rsidRPr="00EF6A76">
              <w:rPr>
                <w:bCs/>
              </w:rPr>
              <w:t>, patēri</w:t>
            </w:r>
            <w:r>
              <w:rPr>
                <w:bCs/>
              </w:rPr>
              <w:t>ņš Latvijā bija 3212 GWh. 2008.</w:t>
            </w:r>
            <w:r w:rsidR="00EF6A76" w:rsidRPr="00EF6A76">
              <w:rPr>
                <w:bCs/>
              </w:rPr>
              <w:t xml:space="preserve">gadā elektroenerģijas, kas ražota no </w:t>
            </w:r>
            <w:r w:rsidR="00361173">
              <w:rPr>
                <w:bCs/>
              </w:rPr>
              <w:t>AER</w:t>
            </w:r>
            <w:r w:rsidR="00EF6A76" w:rsidRPr="00EF6A76">
              <w:rPr>
                <w:bCs/>
              </w:rPr>
              <w:t xml:space="preserve">, procentuālais īpatsvars bruto nacionālajā elektroenerģijas patēriņā, ņemot vērā hidroenerģijas resursu īpatsvara samazinājumu, sastādīja 41,2%, kas ir par 7,2% mazāk, salīdzinot ar 2005. gadu.  </w:t>
            </w:r>
            <w:r w:rsidR="00B80BBC">
              <w:rPr>
                <w:bCs/>
              </w:rPr>
              <w:t xml:space="preserve">2009.gadā </w:t>
            </w:r>
            <w:r w:rsidR="00B80BBC" w:rsidRPr="00EF6A76">
              <w:rPr>
                <w:bCs/>
              </w:rPr>
              <w:t xml:space="preserve">elektroenerģijas, kas ražota no </w:t>
            </w:r>
            <w:r w:rsidR="00B80BBC">
              <w:rPr>
                <w:bCs/>
              </w:rPr>
              <w:t>AER</w:t>
            </w:r>
            <w:r w:rsidR="00B80BBC" w:rsidRPr="00EF6A76">
              <w:rPr>
                <w:bCs/>
              </w:rPr>
              <w:t>, procentuālais īpatsvars bruto nacionālajā elektroenerģijas patēriņā</w:t>
            </w:r>
            <w:r w:rsidR="00B80BBC">
              <w:rPr>
                <w:bCs/>
              </w:rPr>
              <w:t xml:space="preserve"> bija 49,22%. </w:t>
            </w:r>
            <w:r w:rsidR="00B80BBC" w:rsidRPr="00EF6A76">
              <w:rPr>
                <w:bCs/>
              </w:rPr>
              <w:t xml:space="preserve"> </w:t>
            </w:r>
            <w:r w:rsidR="00EF6A76" w:rsidRPr="00EF6A76">
              <w:rPr>
                <w:bCs/>
              </w:rPr>
              <w:t xml:space="preserve">Tas ir par </w:t>
            </w:r>
            <w:r w:rsidR="00B80BBC">
              <w:rPr>
                <w:bCs/>
              </w:rPr>
              <w:t>0</w:t>
            </w:r>
            <w:r w:rsidR="00EF6A76" w:rsidRPr="00EF6A76">
              <w:rPr>
                <w:bCs/>
              </w:rPr>
              <w:t>,</w:t>
            </w:r>
            <w:r w:rsidR="00B80BBC">
              <w:rPr>
                <w:bCs/>
              </w:rPr>
              <w:t>08</w:t>
            </w:r>
            <w:r w:rsidR="00EF6A76" w:rsidRPr="00EF6A76">
              <w:rPr>
                <w:bCs/>
              </w:rPr>
              <w:t xml:space="preserve">% mazāk nekā Direktīvā 2001/77/EK noteiktais Latvijas indikatīvais mērķis, saskaņā ar kuru līdz 2010.gadam elektroenerģijas, kas ražota no </w:t>
            </w:r>
            <w:r w:rsidR="00361173">
              <w:rPr>
                <w:bCs/>
              </w:rPr>
              <w:t>AER</w:t>
            </w:r>
            <w:r w:rsidR="00EF6A76" w:rsidRPr="00EF6A76">
              <w:rPr>
                <w:bCs/>
              </w:rPr>
              <w:t>, procentuālajam īpatsvaram kopējā elektroenerģijas patēriņā jāsasniedz  49,3%.</w:t>
            </w:r>
          </w:p>
          <w:p w:rsidR="00EF6A76" w:rsidRPr="00EF6A76" w:rsidRDefault="00EF6A76" w:rsidP="00806C74">
            <w:pPr>
              <w:ind w:left="145" w:right="48"/>
              <w:jc w:val="both"/>
            </w:pPr>
            <w:r w:rsidRPr="00EF6A76">
              <w:t xml:space="preserve">Ekonomiskā krīze ir ietekmējusi visu Latvijas tautsaimniecību kopumā, </w:t>
            </w:r>
            <w:r w:rsidRPr="00EF6A76">
              <w:lastRenderedPageBreak/>
              <w:t>tajā skaitā enerģētikas nozari, līdz ar to būtiski mainās energore</w:t>
            </w:r>
            <w:r w:rsidR="009C48EF">
              <w:t>sursu patēriņa prognozes, kuras</w:t>
            </w:r>
            <w:r w:rsidRPr="00EF6A76">
              <w:t xml:space="preserve"> būs jāņem vērā, veicot vidējā termiņa politikas plānošanas dokumentu izvērtējumu un precizēšanu atbilstoši jaunākajām ekonomikas attīstības prognozēm.</w:t>
            </w:r>
          </w:p>
          <w:p w:rsidR="00EF6A76" w:rsidRDefault="00EF6A76" w:rsidP="00806C74">
            <w:pPr>
              <w:tabs>
                <w:tab w:val="left" w:pos="9071"/>
              </w:tabs>
              <w:ind w:left="145" w:right="48"/>
              <w:jc w:val="both"/>
            </w:pPr>
            <w:r w:rsidRPr="00EF6A76">
              <w:t>Var secināt, ka atjaunojamās enerģ</w:t>
            </w:r>
            <w:r w:rsidR="00FB4974">
              <w:t>ijas</w:t>
            </w:r>
            <w:r w:rsidRPr="00EF6A76">
              <w:t xml:space="preserve"> politika, ko nosaka</w:t>
            </w:r>
            <w:bookmarkStart w:id="2" w:name="_Toc124936046"/>
            <w:r w:rsidRPr="00EF6A76">
              <w:t xml:space="preserve"> </w:t>
            </w:r>
            <w:bookmarkEnd w:id="2"/>
            <w:r w:rsidRPr="00EF6A76">
              <w:t xml:space="preserve">Latvijas vidējā termiņa plānošanas dokumenti, nozares likumi un Ministru kabineta noteikumi par atbalstu enerģijas ražošanai no </w:t>
            </w:r>
            <w:r w:rsidR="00361173">
              <w:t>AER</w:t>
            </w:r>
            <w:r w:rsidRPr="00EF6A76">
              <w:t xml:space="preserve"> un koģenerācijai, ņemot vērā ekonomiskās attīstības tendences, nav pietiekami elastīgi, lai nodroš</w:t>
            </w:r>
            <w:r w:rsidR="006E335C">
              <w:t>inātu 2010.</w:t>
            </w:r>
            <w:r w:rsidRPr="00EF6A76">
              <w:t xml:space="preserve">gadam izvirzīto mērķu sasniegšanu. </w:t>
            </w:r>
            <w:r w:rsidRPr="00EF6A76">
              <w:rPr>
                <w:rFonts w:eastAsia="Calibri"/>
              </w:rPr>
              <w:t>Izvērtējot</w:t>
            </w:r>
            <w:r w:rsidRPr="00EF6A76">
              <w:t xml:space="preserve"> arī Eiro</w:t>
            </w:r>
            <w:r w:rsidR="006E335C">
              <w:t>pas Parlamenta un Padomes 2009.gada 23.</w:t>
            </w:r>
            <w:r w:rsidRPr="00EF6A76">
              <w:t>aprīļa direktīvā 2009/28/EK par atjaunojamo energoresursu izmantošanas veicināšanu un ar ko groza un sekojoši atceļ Direktīvas 2001/77/EK un 2003/30/EK</w:t>
            </w:r>
            <w:r w:rsidR="00585498">
              <w:t xml:space="preserve"> (turpmāk – Direktīva 2009/28/EK)</w:t>
            </w:r>
            <w:r w:rsidRPr="00EF6A76">
              <w:t xml:space="preserve"> izvirzīto mērķu ieviešanas tehniskos un finansiālos aspektus, ir pamats ap</w:t>
            </w:r>
            <w:r w:rsidR="00612867">
              <w:t>galvot, ka Latvijai 2020.</w:t>
            </w:r>
            <w:r>
              <w:t>g</w:t>
            </w:r>
            <w:r w:rsidRPr="00EF6A76">
              <w:t>adā noteiktie mērķi ir pietiekami ambiciozi.</w:t>
            </w:r>
          </w:p>
          <w:p w:rsidR="00220B1F" w:rsidRDefault="00585498" w:rsidP="00806C74">
            <w:pPr>
              <w:ind w:left="145" w:right="48"/>
              <w:jc w:val="both"/>
            </w:pPr>
            <w:r w:rsidRPr="00585498">
              <w:rPr>
                <w:bCs/>
              </w:rPr>
              <w:t xml:space="preserve">Lai sasniegtu Direktīvā 2009/28/EK noteiktos mērķus, joprojām ir vajadzīgi pastāvīgi valsts atbalsta mehānismi, kas veicina no </w:t>
            </w:r>
            <w:r w:rsidR="00361173">
              <w:rPr>
                <w:bCs/>
              </w:rPr>
              <w:t>AER</w:t>
            </w:r>
            <w:r w:rsidRPr="00585498">
              <w:rPr>
                <w:bCs/>
              </w:rPr>
              <w:t xml:space="preserve"> saražotas enerģijas izmantošanu, saglabājot investoru uzticību. Direktīva 2009/28/EK kā būtisku uzsver valsts atbalsta shēmu pareizu darbību atbilstoši Direktīvai 2001/77/EK. Tādēļ</w:t>
            </w:r>
            <w:r w:rsidR="00FB4974">
              <w:rPr>
                <w:bCs/>
              </w:rPr>
              <w:t xml:space="preserve"> šī</w:t>
            </w:r>
            <w:r w:rsidRPr="00585498">
              <w:rPr>
                <w:bCs/>
              </w:rPr>
              <w:t xml:space="preserve"> l</w:t>
            </w:r>
            <w:r w:rsidRPr="00585498">
              <w:t xml:space="preserve">ikumprojekta mērķis ir ne tikai veicināt </w:t>
            </w:r>
            <w:r w:rsidR="00361173">
              <w:t>AER</w:t>
            </w:r>
            <w:r w:rsidRPr="00585498">
              <w:t xml:space="preserve"> izmantošanu Latvijā un iekļaut tiesību normas, kas izriet no Direktīvas 2009/28/EK, bet vienlaikus arī pārskatīt šobrīd ieviestās atbalsta shēmas </w:t>
            </w:r>
            <w:r w:rsidR="00361173">
              <w:t>AER</w:t>
            </w:r>
            <w:r w:rsidRPr="00585498">
              <w:t xml:space="preserve"> izmantošanai</w:t>
            </w:r>
            <w:r w:rsidR="00FB4974">
              <w:t>. Tā izstādē jāņem vērā</w:t>
            </w:r>
            <w:r w:rsidR="006E335C">
              <w:t xml:space="preserve"> 2009.gada 17.</w:t>
            </w:r>
            <w:r w:rsidRPr="00585498">
              <w:t>jūnijā Baltijas reģiona valdību vadītāju, tai skaitā trīs Baltijas valstu valdību vadītāju, parakstītajam memorandam „Saprašanās memorands par Baltijas enerģētikas tirgus ieviešanas plānu” (</w:t>
            </w:r>
            <w:r w:rsidRPr="00585498">
              <w:rPr>
                <w:i/>
                <w:iCs/>
              </w:rPr>
              <w:t xml:space="preserve">BEMIP - </w:t>
            </w:r>
            <w:proofErr w:type="spellStart"/>
            <w:r w:rsidRPr="00585498">
              <w:rPr>
                <w:i/>
                <w:iCs/>
              </w:rPr>
              <w:t>Baltic</w:t>
            </w:r>
            <w:proofErr w:type="spellEnd"/>
            <w:r w:rsidRPr="00585498">
              <w:rPr>
                <w:i/>
                <w:iCs/>
              </w:rPr>
              <w:t xml:space="preserve"> Energy Market </w:t>
            </w:r>
            <w:proofErr w:type="spellStart"/>
            <w:r w:rsidRPr="00585498">
              <w:rPr>
                <w:i/>
                <w:iCs/>
              </w:rPr>
              <w:t>Interconnection</w:t>
            </w:r>
            <w:proofErr w:type="spellEnd"/>
            <w:r w:rsidRPr="00585498">
              <w:rPr>
                <w:i/>
                <w:iCs/>
              </w:rPr>
              <w:t xml:space="preserve"> </w:t>
            </w:r>
            <w:proofErr w:type="spellStart"/>
            <w:r w:rsidRPr="00585498">
              <w:rPr>
                <w:i/>
                <w:iCs/>
              </w:rPr>
              <w:t>Plan</w:t>
            </w:r>
            <w:proofErr w:type="spellEnd"/>
            <w:r w:rsidRPr="00585498">
              <w:t>), ko apstiprinājusi arī Eiropas Ko</w:t>
            </w:r>
            <w:r w:rsidR="004E7D9E">
              <w:t xml:space="preserve">misija. BEMIP paredz </w:t>
            </w:r>
            <w:r w:rsidRPr="00585498">
              <w:t xml:space="preserve">trīs Baltijas valstu elektroenerģijas tirgū nodrošināt vienotus tirgus nosacījumus visiem tirgus dalībniekiem, brīvu elektroenerģijas tirdzniecību, lai sasniegtu BEMIP mērķi </w:t>
            </w:r>
            <w:r w:rsidRPr="00585498">
              <w:sym w:font="Symbol" w:char="F02D"/>
            </w:r>
            <w:r w:rsidRPr="00585498">
              <w:t xml:space="preserve"> Baltijas enerģētikas tirgu integrācija kopējā Eiropas Savienības enerģētikas tirgū.</w:t>
            </w:r>
          </w:p>
          <w:p w:rsidR="00FB4974" w:rsidRDefault="00316241" w:rsidP="00806C74">
            <w:pPr>
              <w:ind w:left="145" w:right="48"/>
              <w:jc w:val="both"/>
            </w:pPr>
            <w:r w:rsidRPr="00316241">
              <w:t>Ņemot vērā komersantu aktivitāti iesniegumu iesniegšanā, lai saņemtu tiesības pārdot elektroenerģiju obligātā iepirkuma ietvaros, nākamos gados nepieciešams attīstīt atbalsta mehānismus elek</w:t>
            </w:r>
            <w:r w:rsidR="00FB4974">
              <w:t xml:space="preserve">troenerģijas ražošanai no AER. </w:t>
            </w:r>
          </w:p>
          <w:p w:rsidR="00316241" w:rsidRDefault="00316241" w:rsidP="00806C74">
            <w:pPr>
              <w:ind w:left="145" w:right="48"/>
              <w:jc w:val="both"/>
            </w:pPr>
            <w:r w:rsidRPr="00316241">
              <w:t>Šobrīd ieviestā</w:t>
            </w:r>
            <w:r w:rsidR="00FB4974">
              <w:t>s</w:t>
            </w:r>
            <w:r w:rsidRPr="00316241">
              <w:t xml:space="preserve"> atbalsta shēmas ir komersantiem pietiekami motivējoša</w:t>
            </w:r>
            <w:r w:rsidR="00FB4974">
              <w:t>s</w:t>
            </w:r>
            <w:r w:rsidRPr="00316241">
              <w:t xml:space="preserve">, lai tie investētu elektroenerģijas ražošanā no </w:t>
            </w:r>
            <w:r w:rsidR="00361173">
              <w:t>AER</w:t>
            </w:r>
            <w:r w:rsidRPr="00316241">
              <w:t xml:space="preserve">, tomēr šī brīža ekonomiskās krīzes ietekmē nav nodrošinājuma tam, ka viss šādai elektroenerģijai izdotais apjoms tiks aizpildīts un elektroenerģijas ražošanu un pārdošanu AS „Latvenergo” </w:t>
            </w:r>
            <w:r w:rsidRPr="00A45645">
              <w:t>komersanti uzsāks noteiktajā periodā.</w:t>
            </w:r>
          </w:p>
          <w:p w:rsidR="00A45645" w:rsidRDefault="00A45645" w:rsidP="00806C74">
            <w:pPr>
              <w:pStyle w:val="naisf"/>
              <w:spacing w:before="0" w:after="120"/>
              <w:ind w:left="145" w:right="48" w:firstLine="0"/>
              <w:rPr>
                <w:b/>
              </w:rPr>
            </w:pPr>
            <w:r w:rsidRPr="00A45645">
              <w:t>Pielietojot Direktīvā 2009/28/EK noteikto AER mērķa enerģijas gala patēriņ</w:t>
            </w:r>
            <w:r w:rsidR="006E335C">
              <w:t>ā aprēķināšanas metodiku, 2008.</w:t>
            </w:r>
            <w:r w:rsidRPr="00A45645">
              <w:t xml:space="preserve">gadā Latvijā AER sastādīja attiecīgi RES-E </w:t>
            </w:r>
            <w:r w:rsidRPr="00B80BBC">
              <w:t>normalizētais 6%, RES-H 23,9% un RES-F 0</w:t>
            </w:r>
            <w:r w:rsidR="00FB4974" w:rsidRPr="00B80BBC">
              <w:t>, kopumā</w:t>
            </w:r>
            <w:r w:rsidR="00FB4974" w:rsidRPr="00FB4974">
              <w:t xml:space="preserve"> veidojot </w:t>
            </w:r>
            <w:r w:rsidR="00FB4974">
              <w:rPr>
                <w:b/>
              </w:rPr>
              <w:t>29,9%.</w:t>
            </w:r>
          </w:p>
          <w:p w:rsidR="00FB4974" w:rsidRPr="00FB4974" w:rsidRDefault="00FB4974" w:rsidP="00806C74">
            <w:pPr>
              <w:pStyle w:val="naisf"/>
              <w:spacing w:before="0" w:after="120"/>
              <w:ind w:left="145" w:right="48" w:firstLine="0"/>
            </w:pPr>
            <w:r w:rsidRPr="00FB4974">
              <w:t xml:space="preserve">Saskaņā ar Direktīvas 2009/28/EK </w:t>
            </w:r>
            <w:r w:rsidR="000D7F80">
              <w:t>I pielikum</w:t>
            </w:r>
            <w:r w:rsidR="003C5B77">
              <w:t>u</w:t>
            </w:r>
            <w:r w:rsidRPr="00FB4974">
              <w:t xml:space="preserve">, Latvijas mērķis, ir palielināt AER izmantošanu no </w:t>
            </w:r>
            <w:r w:rsidRPr="00FB4974">
              <w:rPr>
                <w:b/>
              </w:rPr>
              <w:t>32,6%</w:t>
            </w:r>
            <w:r w:rsidRPr="00FB4974">
              <w:t xml:space="preserve"> 2005. gadā līdz </w:t>
            </w:r>
            <w:r w:rsidRPr="00FB4974">
              <w:rPr>
                <w:b/>
              </w:rPr>
              <w:t>40%</w:t>
            </w:r>
            <w:r w:rsidRPr="00FB4974">
              <w:t xml:space="preserve"> 2020. gadā no enerģijas bruto gala patēriņa.</w:t>
            </w:r>
          </w:p>
          <w:p w:rsidR="00FB4974" w:rsidRDefault="00FB4974" w:rsidP="00361173">
            <w:pPr>
              <w:tabs>
                <w:tab w:val="left" w:pos="9071"/>
              </w:tabs>
              <w:ind w:left="145" w:right="48"/>
              <w:jc w:val="both"/>
            </w:pPr>
            <w:r w:rsidRPr="00FB4974">
              <w:t xml:space="preserve">Elektroenerģijas patēriņa struktūras </w:t>
            </w:r>
            <w:r w:rsidRPr="00FB4974">
              <w:rPr>
                <w:color w:val="000000"/>
              </w:rPr>
              <w:t xml:space="preserve">atjaunojamo energoresursu </w:t>
            </w:r>
            <w:r w:rsidRPr="00FB4974">
              <w:t xml:space="preserve">segmentu veido hidroelektrostacijas, vēja elektrostacijas, biogāzes elektrostacijas </w:t>
            </w:r>
            <w:r w:rsidRPr="00FB4974">
              <w:lastRenderedPageBreak/>
              <w:t xml:space="preserve">un biomasas elektrostacijas, kā arī </w:t>
            </w:r>
            <w:r w:rsidRPr="00FB4974">
              <w:rPr>
                <w:color w:val="000000"/>
              </w:rPr>
              <w:t xml:space="preserve">atjaunojamos energoresursus </w:t>
            </w:r>
            <w:r w:rsidRPr="00FB4974">
              <w:t>izmantojošas koģenerācijas stacijas. Atjaunojamie energoresursi kopējā elektroenerģijas gala patēriņā 2008.gadā sastādīja 39,6% un šeit lielāko daļu, mazliet vairāk par 97%, nodrošināja lielās hidroelektrostacijas, bet atlikušo daļu deva vēja elektrostacijas, biomasas koģenerācijas elektrostacijas un mazās hidroelektrostacijas. Vislielāko daļu atjaunojamie energoresursi aizņem siltumenerģijas gala patēriņā ieskaitot centralizēto siltumenerģiju, un tas ir 42,7%.</w:t>
            </w:r>
          </w:p>
          <w:p w:rsidR="00A45645" w:rsidRPr="00006540" w:rsidRDefault="00EF743C" w:rsidP="00FB4974">
            <w:pPr>
              <w:tabs>
                <w:tab w:val="left" w:pos="9071"/>
              </w:tabs>
              <w:ind w:left="145" w:right="48"/>
              <w:jc w:val="both"/>
            </w:pPr>
            <w:r w:rsidRPr="00FB4974">
              <w:t>L</w:t>
            </w:r>
            <w:r>
              <w:t xml:space="preserve">ai nodrošinātu </w:t>
            </w:r>
            <w:r w:rsidR="00FB4974">
              <w:t xml:space="preserve">šā </w:t>
            </w:r>
            <w:r>
              <w:t>likumprojekta izstrādi ekonomikas ministrs</w:t>
            </w:r>
            <w:r w:rsidRPr="00585498">
              <w:t xml:space="preserve"> </w:t>
            </w:r>
            <w:r w:rsidRPr="00585498">
              <w:rPr>
                <w:rFonts w:eastAsia="Calibri"/>
              </w:rPr>
              <w:t xml:space="preserve">ar </w:t>
            </w:r>
            <w:r w:rsidR="006E335C">
              <w:rPr>
                <w:bCs/>
              </w:rPr>
              <w:t>2010.gada 15.</w:t>
            </w:r>
            <w:r w:rsidRPr="00585498">
              <w:rPr>
                <w:bCs/>
              </w:rPr>
              <w:t xml:space="preserve">februāra rīkojumu Nr.39 </w:t>
            </w:r>
            <w:r>
              <w:rPr>
                <w:bCs/>
              </w:rPr>
              <w:t>izveido</w:t>
            </w:r>
            <w:r w:rsidR="00FB4974">
              <w:rPr>
                <w:bCs/>
              </w:rPr>
              <w:t>ja</w:t>
            </w:r>
            <w:r w:rsidRPr="00585498">
              <w:rPr>
                <w:bCs/>
              </w:rPr>
              <w:t xml:space="preserve"> darba grup</w:t>
            </w:r>
            <w:r>
              <w:rPr>
                <w:bCs/>
              </w:rPr>
              <w:t>u, iesaistot tajā pārstāvjus no nozaru ministrijām un citām iesaistītajām institūcijām.</w:t>
            </w:r>
            <w:r w:rsidR="00A45645" w:rsidRPr="00A45645">
              <w:t xml:space="preserve"> </w:t>
            </w:r>
          </w:p>
        </w:tc>
      </w:tr>
      <w:tr w:rsidR="00262E2B" w:rsidRPr="0056365F" w:rsidTr="00483D7F">
        <w:trPr>
          <w:trHeight w:val="381"/>
          <w:jc w:val="center"/>
        </w:trPr>
        <w:tc>
          <w:tcPr>
            <w:tcW w:w="600" w:type="dxa"/>
          </w:tcPr>
          <w:p w:rsidR="00262E2B" w:rsidRPr="0056365F" w:rsidRDefault="00262E2B" w:rsidP="00483D7F">
            <w:pPr>
              <w:pStyle w:val="naiskr"/>
              <w:spacing w:before="0" w:after="0"/>
              <w:jc w:val="center"/>
            </w:pPr>
            <w:r w:rsidRPr="0056365F">
              <w:lastRenderedPageBreak/>
              <w:t>3.</w:t>
            </w:r>
          </w:p>
        </w:tc>
        <w:tc>
          <w:tcPr>
            <w:tcW w:w="3047" w:type="dxa"/>
          </w:tcPr>
          <w:p w:rsidR="00262E2B" w:rsidRPr="0056365F" w:rsidRDefault="00420870" w:rsidP="007657C2">
            <w:pPr>
              <w:pStyle w:val="naiskr"/>
              <w:spacing w:before="0" w:after="0"/>
            </w:pPr>
            <w:r w:rsidRPr="0056365F">
              <w:t>S</w:t>
            </w:r>
            <w:r w:rsidR="000B69CF" w:rsidRPr="0056365F">
              <w:t xml:space="preserve">aistītie </w:t>
            </w:r>
            <w:r w:rsidR="001A6AE4" w:rsidRPr="0056365F">
              <w:t>politikas ietekmes novērtējumi</w:t>
            </w:r>
            <w:r w:rsidR="00CB0247" w:rsidRPr="0056365F">
              <w:t xml:space="preserve"> un</w:t>
            </w:r>
            <w:r w:rsidR="001A6AE4" w:rsidRPr="0056365F">
              <w:t xml:space="preserve"> </w:t>
            </w:r>
            <w:r w:rsidR="000B69CF" w:rsidRPr="0056365F">
              <w:t>pētījumi</w:t>
            </w:r>
          </w:p>
        </w:tc>
        <w:tc>
          <w:tcPr>
            <w:tcW w:w="5807" w:type="dxa"/>
          </w:tcPr>
          <w:p w:rsidR="00997015" w:rsidRDefault="006E335C" w:rsidP="00806C74">
            <w:pPr>
              <w:ind w:left="59" w:right="48"/>
              <w:jc w:val="both"/>
            </w:pPr>
            <w:r>
              <w:t>2010.gada 12.</w:t>
            </w:r>
            <w:r w:rsidR="00A01434" w:rsidRPr="00A01434">
              <w:t>m</w:t>
            </w:r>
            <w:r w:rsidR="00220B1F" w:rsidRPr="00A01434">
              <w:t>aija Ministru kabineta sēdē apstiprināta</w:t>
            </w:r>
            <w:r w:rsidR="00A01434" w:rsidRPr="00A01434">
              <w:t xml:space="preserve"> </w:t>
            </w:r>
            <w:r w:rsidR="00A01434" w:rsidRPr="00A01434">
              <w:rPr>
                <w:color w:val="2A2A2A"/>
              </w:rPr>
              <w:t>Latvijas Republikas nostāja</w:t>
            </w:r>
            <w:r w:rsidR="00A01434">
              <w:rPr>
                <w:color w:val="2A2A2A"/>
              </w:rPr>
              <w:t>s projekts</w:t>
            </w:r>
            <w:r w:rsidR="00A01434" w:rsidRPr="00A01434">
              <w:rPr>
                <w:color w:val="2A2A2A"/>
              </w:rPr>
              <w:t xml:space="preserve"> "</w:t>
            </w:r>
            <w:r w:rsidR="00A01434" w:rsidRPr="00BC42B4">
              <w:rPr>
                <w:i/>
                <w:color w:val="2A2A2A"/>
              </w:rPr>
              <w:t>Par Eiropas Komisijas 2010.gada 18.marta formālo paziņojumu pārkāpumu procedūras lietā Nr.2010/2020</w:t>
            </w:r>
            <w:r w:rsidR="00A01434" w:rsidRPr="00A01434">
              <w:rPr>
                <w:color w:val="2A2A2A"/>
              </w:rPr>
              <w:t>" un</w:t>
            </w:r>
            <w:r w:rsidR="00220B1F" w:rsidRPr="00A01434">
              <w:t xml:space="preserve">  </w:t>
            </w:r>
            <w:r w:rsidR="00220B1F" w:rsidRPr="00A01434">
              <w:rPr>
                <w:bCs/>
              </w:rPr>
              <w:t>Latvijas Republikas regulārais ziņojums par Indikatīvā mērķa sasniegšanas gaitu atbilstoši Eiro</w:t>
            </w:r>
            <w:r>
              <w:rPr>
                <w:bCs/>
              </w:rPr>
              <w:t>pas Parlamenta un Padomes 2001.gada 27.</w:t>
            </w:r>
            <w:r w:rsidR="00220B1F" w:rsidRPr="00A01434">
              <w:rPr>
                <w:bCs/>
              </w:rPr>
              <w:t xml:space="preserve">septembra Direktīvas Nr. 2001/77/EK par tādas elektroenerģijas pielietojuma veicināšanu iekšējā elektrības tirgū, kas ražota, izmantojot neizsīkstošos enerģijas avotus, 3. panta 3. </w:t>
            </w:r>
            <w:r w:rsidR="00A01434">
              <w:rPr>
                <w:bCs/>
              </w:rPr>
              <w:t>p</w:t>
            </w:r>
            <w:r w:rsidR="00220B1F" w:rsidRPr="00A01434">
              <w:rPr>
                <w:bCs/>
              </w:rPr>
              <w:t>unktam</w:t>
            </w:r>
            <w:r w:rsidR="00A01434">
              <w:rPr>
                <w:bCs/>
              </w:rPr>
              <w:t xml:space="preserve"> (prot. Nr. 23 54. § )</w:t>
            </w:r>
            <w:r w:rsidR="00A01434" w:rsidRPr="00A01434">
              <w:t>.</w:t>
            </w:r>
            <w:r w:rsidR="00A01434">
              <w:t xml:space="preserve"> </w:t>
            </w:r>
            <w:hyperlink r:id="rId8" w:history="1">
              <w:r w:rsidR="00A01434" w:rsidRPr="00EC65DA">
                <w:rPr>
                  <w:rStyle w:val="Hyperlink"/>
                </w:rPr>
                <w:t>http://www.mk.gov.lv/lv/mk/tap/?pid=40175879&amp;mode=mk&amp;date=2010-05-12</w:t>
              </w:r>
            </w:hyperlink>
            <w:r w:rsidR="00006540">
              <w:t>.</w:t>
            </w:r>
          </w:p>
          <w:p w:rsidR="00BC42B4" w:rsidRDefault="00006540" w:rsidP="00BC42B4">
            <w:pPr>
              <w:ind w:left="59" w:right="48"/>
              <w:jc w:val="both"/>
              <w:rPr>
                <w:bCs/>
              </w:rPr>
            </w:pPr>
            <w:r w:rsidRPr="00006540">
              <w:rPr>
                <w:rFonts w:eastAsia="Calibri"/>
                <w:bCs/>
              </w:rPr>
              <w:t xml:space="preserve">Latvijas Republikas </w:t>
            </w:r>
            <w:r w:rsidRPr="00006540">
              <w:rPr>
                <w:bCs/>
              </w:rPr>
              <w:t>prognožu dokuments</w:t>
            </w:r>
            <w:r w:rsidRPr="00006540">
              <w:rPr>
                <w:rFonts w:eastAsia="Calibri"/>
                <w:bCs/>
              </w:rPr>
              <w:t xml:space="preserve"> par </w:t>
            </w:r>
            <w:r w:rsidR="00361173">
              <w:rPr>
                <w:bCs/>
              </w:rPr>
              <w:t>AER</w:t>
            </w:r>
            <w:r w:rsidRPr="00006540">
              <w:rPr>
                <w:bCs/>
              </w:rPr>
              <w:t xml:space="preserve"> īpatsvara bruto enerģijas galapatēriņā līdz 2020. gadam sasniegšanu atbilstoši Direktīvas 2009/28/EK 4. panta 3. </w:t>
            </w:r>
            <w:r w:rsidR="00DD27E3">
              <w:rPr>
                <w:bCs/>
              </w:rPr>
              <w:t>p</w:t>
            </w:r>
            <w:r w:rsidRPr="00006540">
              <w:rPr>
                <w:bCs/>
              </w:rPr>
              <w:t>unktam</w:t>
            </w:r>
            <w:r>
              <w:rPr>
                <w:bCs/>
              </w:rPr>
              <w:t xml:space="preserve"> pieejams Ekonomikas ministrijas mājas lapā internetā</w:t>
            </w:r>
            <w:r>
              <w:t xml:space="preserve"> </w:t>
            </w:r>
            <w:hyperlink r:id="rId9" w:history="1">
              <w:r w:rsidRPr="00FB4974">
                <w:rPr>
                  <w:rStyle w:val="Hyperlink"/>
                  <w:bCs/>
                </w:rPr>
                <w:t>http://www.em.gov.lv/em/2nd/?cat=14281</w:t>
              </w:r>
            </w:hyperlink>
            <w:r w:rsidR="00FB4974" w:rsidRPr="00FB4974">
              <w:rPr>
                <w:bCs/>
              </w:rPr>
              <w:t>.</w:t>
            </w:r>
          </w:p>
          <w:p w:rsidR="00BC42B4" w:rsidRDefault="00F45B4B" w:rsidP="00BC42B4">
            <w:pPr>
              <w:ind w:left="59" w:right="48"/>
              <w:jc w:val="both"/>
              <w:rPr>
                <w:bCs/>
              </w:rPr>
            </w:pPr>
            <w:r w:rsidRPr="00B80BBC">
              <w:t>Ar Ministru kabineta 2010. gada 12. oktobra protokollēmuma (prot. Nr. 52 44. §) 1.punktu Ministru kabinets pieņēma zināšanai Ekonomikas ministrijas iesniegto informatīvo ziņojumu “</w:t>
            </w:r>
            <w:r w:rsidRPr="00B80BBC">
              <w:rPr>
                <w:i/>
              </w:rPr>
              <w:t>Latvijas Republikas Rīcība atjaunojamās enerģijas jomā Eiropas Parlamenta un Padomes 2009. gada 23. aprīļa direktīvas 2009/28/EK par atjaunojamo energoresursu izmantošanas veicināšanu un ar ko groza un sekojoši atceļ Direktīvas 2001/77/EK un 2003/30/EK ieviešanai līdz 2020.gadam</w:t>
            </w:r>
            <w:r w:rsidRPr="00B80BBC">
              <w:t>” (tur</w:t>
            </w:r>
            <w:r w:rsidR="00BC42B4">
              <w:t>pmāk – plāns atjaunojamās enerģijas jomā), kas</w:t>
            </w:r>
            <w:r w:rsidR="00BC42B4" w:rsidRPr="00F45B4B">
              <w:rPr>
                <w:bCs/>
              </w:rPr>
              <w:t xml:space="preserve"> </w:t>
            </w:r>
            <w:r w:rsidR="00BC42B4">
              <w:rPr>
                <w:bCs/>
              </w:rPr>
              <w:t>tika</w:t>
            </w:r>
            <w:r w:rsidR="00BC42B4" w:rsidRPr="00F45B4B">
              <w:rPr>
                <w:bCs/>
              </w:rPr>
              <w:t xml:space="preserve"> izstrādāts </w:t>
            </w:r>
            <w:r w:rsidR="00BC42B4" w:rsidRPr="00F45B4B">
              <w:t xml:space="preserve">atbilstoši Eiropas Kopienu komisijas (turpmāk - Komisija) </w:t>
            </w:r>
            <w:r w:rsidR="00BC42B4" w:rsidRPr="00F45B4B">
              <w:rPr>
                <w:bCs/>
              </w:rPr>
              <w:t xml:space="preserve">izstrādātam un ar 2009. gada 30. jūnija lēmumu </w:t>
            </w:r>
            <w:r w:rsidR="00BC42B4" w:rsidRPr="00F45B4B">
              <w:rPr>
                <w:bCs/>
                <w:i/>
              </w:rPr>
              <w:t>Komisijas lēmums ar ko izveido paraugu valsts rīcības plāniem atjaunojamo energoresursu jomā atbilstoši direktīvai 2009/28/EK</w:t>
            </w:r>
            <w:r w:rsidR="00BC42B4" w:rsidRPr="00F45B4B">
              <w:rPr>
                <w:bCs/>
              </w:rPr>
              <w:t xml:space="preserve"> (izziņots ar dokumenta numuru C(2009) 5174) pieņemtam paraugam (VSS-981, prot. Nr. 31 7.§).</w:t>
            </w:r>
          </w:p>
          <w:p w:rsidR="00F45B4B" w:rsidRPr="00BC42B4" w:rsidRDefault="00F45B4B" w:rsidP="00BC42B4">
            <w:pPr>
              <w:ind w:left="59" w:right="48"/>
              <w:jc w:val="both"/>
              <w:rPr>
                <w:bCs/>
              </w:rPr>
            </w:pPr>
            <w:r w:rsidRPr="00B80BBC">
              <w:t>Šī protokollēmuma 2.punkts nosaka, ka Ministru kabineta 2010.gada 2.februāra sēdes protokollēmuma (prot. Nr.6 33.§) "Informatīvais ziņojums „Par Enerģētikas attīstības pamatnostādnēm 2007.-2016.gadam" 3.punktā dotais uzdevums izpildāms līdz 2011.gada 1.martam atbilstoši  informatīvajā ziņojumā sniegtajai informācijai. Līdz ar to, līdz 2011.gada 1.martam Ekonomikas ministram Ministru kabinetā jāiesniedz precizētas Enerģētikas attīstības pamatnostādnes 2007. – 2016.gadam.</w:t>
            </w:r>
            <w:r w:rsidR="00BC42B4">
              <w:t xml:space="preserve"> </w:t>
            </w:r>
          </w:p>
          <w:p w:rsidR="00BC42B4" w:rsidRPr="00B80BBC" w:rsidRDefault="00334A15" w:rsidP="00334A15">
            <w:pPr>
              <w:tabs>
                <w:tab w:val="left" w:pos="-139"/>
              </w:tabs>
              <w:spacing w:before="75" w:after="75"/>
              <w:ind w:right="190"/>
              <w:jc w:val="both"/>
            </w:pPr>
            <w:r>
              <w:t xml:space="preserve"> </w:t>
            </w:r>
            <w:r w:rsidR="00BC42B4">
              <w:t xml:space="preserve">Plāns atjaunojamās enerģijas jomā pieejams Ekonomikas ministrijas </w:t>
            </w:r>
            <w:r w:rsidR="00486876">
              <w:t>mājas lapā</w:t>
            </w:r>
            <w:r w:rsidR="00BC42B4">
              <w:t xml:space="preserve"> internetā: </w:t>
            </w:r>
            <w:hyperlink r:id="rId10" w:history="1">
              <w:r w:rsidR="00BC42B4" w:rsidRPr="005D2BAA">
                <w:rPr>
                  <w:rStyle w:val="Hyperlink"/>
                </w:rPr>
                <w:t>http://www.em.gov.lv/em/2nd/?cat=30168</w:t>
              </w:r>
            </w:hyperlink>
            <w:r w:rsidR="00BC42B4">
              <w:t xml:space="preserve">. </w:t>
            </w:r>
          </w:p>
        </w:tc>
      </w:tr>
      <w:tr w:rsidR="00262E2B" w:rsidRPr="0056365F" w:rsidTr="00483D7F">
        <w:trPr>
          <w:trHeight w:val="137"/>
          <w:jc w:val="center"/>
        </w:trPr>
        <w:tc>
          <w:tcPr>
            <w:tcW w:w="600" w:type="dxa"/>
          </w:tcPr>
          <w:p w:rsidR="00262E2B" w:rsidRPr="0056365F" w:rsidRDefault="00262E2B" w:rsidP="00483D7F">
            <w:pPr>
              <w:pStyle w:val="naiskr"/>
              <w:spacing w:before="0" w:after="0"/>
              <w:jc w:val="center"/>
            </w:pPr>
            <w:r w:rsidRPr="0056365F">
              <w:t>4.</w:t>
            </w:r>
          </w:p>
        </w:tc>
        <w:tc>
          <w:tcPr>
            <w:tcW w:w="3047" w:type="dxa"/>
          </w:tcPr>
          <w:p w:rsidR="00262E2B" w:rsidRPr="0056365F" w:rsidRDefault="000C790C" w:rsidP="007657C2">
            <w:pPr>
              <w:pStyle w:val="naiskr"/>
              <w:spacing w:before="0" w:after="0"/>
            </w:pPr>
            <w:r w:rsidRPr="0056365F">
              <w:t>Tiesiskā r</w:t>
            </w:r>
            <w:r w:rsidR="00400032" w:rsidRPr="0056365F">
              <w:t xml:space="preserve">egulējuma </w:t>
            </w:r>
            <w:r w:rsidR="00262E2B" w:rsidRPr="0056365F">
              <w:t>mērķis un būtība</w:t>
            </w:r>
          </w:p>
        </w:tc>
        <w:tc>
          <w:tcPr>
            <w:tcW w:w="5807" w:type="dxa"/>
          </w:tcPr>
          <w:p w:rsidR="00585498" w:rsidRDefault="004260CD" w:rsidP="00806C74">
            <w:pPr>
              <w:pStyle w:val="NormalWeb"/>
              <w:spacing w:before="0" w:beforeAutospacing="0" w:after="0" w:afterAutospacing="0"/>
              <w:ind w:left="115" w:right="190"/>
              <w:jc w:val="both"/>
            </w:pPr>
            <w:r>
              <w:rPr>
                <w:bCs/>
              </w:rPr>
              <w:t>Likumprojekt</w:t>
            </w:r>
            <w:r w:rsidR="00483502">
              <w:rPr>
                <w:bCs/>
              </w:rPr>
              <w:t>a</w:t>
            </w:r>
            <w:r w:rsidR="004E7D9E">
              <w:rPr>
                <w:bCs/>
              </w:rPr>
              <w:t xml:space="preserve"> </w:t>
            </w:r>
            <w:r w:rsidR="00483502">
              <w:rPr>
                <w:bCs/>
              </w:rPr>
              <w:t xml:space="preserve">izdošanas mērķis ir nodrošināt </w:t>
            </w:r>
            <w:r w:rsidR="00585498" w:rsidRPr="00585498">
              <w:t>Direktīvas 2009/28/EK</w:t>
            </w:r>
            <w:r w:rsidR="00585498">
              <w:t xml:space="preserve"> ieviešan</w:t>
            </w:r>
            <w:r w:rsidR="00483502">
              <w:t>u Latvijā.</w:t>
            </w:r>
          </w:p>
          <w:p w:rsidR="00483502" w:rsidRPr="00927884" w:rsidRDefault="009C48EF" w:rsidP="00806C74">
            <w:pPr>
              <w:tabs>
                <w:tab w:val="left" w:pos="-139"/>
              </w:tabs>
              <w:spacing w:before="75" w:after="75"/>
              <w:ind w:left="115" w:right="190"/>
              <w:jc w:val="both"/>
            </w:pPr>
            <w:r w:rsidRPr="00927884">
              <w:t>Likum</w:t>
            </w:r>
            <w:r w:rsidR="004E7D9E" w:rsidRPr="00927884">
              <w:t>projekta</w:t>
            </w:r>
            <w:r w:rsidRPr="00927884">
              <w:t xml:space="preserve"> mērķis ir </w:t>
            </w:r>
            <w:r w:rsidR="00927884" w:rsidRPr="00927884">
              <w:t xml:space="preserve">veicināt vietējo atjaunojamo energoresursu </w:t>
            </w:r>
            <w:r w:rsidR="00927884" w:rsidRPr="00927884">
              <w:lastRenderedPageBreak/>
              <w:t>izmantošanu tautsaimniecības vajadzībām, noteikt stabilu ilgtermiņa investīciju vidi atjaunojamās enerģijas ražošanai</w:t>
            </w:r>
            <w:r w:rsidRPr="00927884">
              <w:t xml:space="preserve">, lai līdz 2020.gadam atjaunojamās enerģijas īpatsvars kopējā bruto enerģijas gala patēriņā sasniegtu vismaz 40% </w:t>
            </w:r>
            <w:r w:rsidR="000D7F80" w:rsidRPr="00DC0BEA">
              <w:t>(</w:t>
            </w:r>
            <w:r w:rsidRPr="00DC0BEA">
              <w:t>2</w:t>
            </w:r>
            <w:r w:rsidR="000D7F80" w:rsidRPr="00DC0BEA">
              <w:t>.pants</w:t>
            </w:r>
            <w:r w:rsidR="00352D8F" w:rsidRPr="00DC0BEA">
              <w:t xml:space="preserve">, 4.panta </w:t>
            </w:r>
            <w:r w:rsidR="00720C67" w:rsidRPr="00DC0BEA">
              <w:t>otrā daļa</w:t>
            </w:r>
            <w:r w:rsidR="000D7F80" w:rsidRPr="00DC0BEA">
              <w:t>).</w:t>
            </w:r>
          </w:p>
          <w:p w:rsidR="00006540" w:rsidRDefault="00006540" w:rsidP="00806C74">
            <w:pPr>
              <w:ind w:left="115" w:right="190"/>
              <w:jc w:val="both"/>
            </w:pPr>
            <w:r w:rsidRPr="00A45645">
              <w:t>Analizējot AER veidus pēc to potenciāla un iespējamā devuma nākotnē</w:t>
            </w:r>
            <w:r w:rsidR="000D7F80">
              <w:t>, lai izvērtētu primāri atbalstāmos</w:t>
            </w:r>
            <w:r w:rsidRPr="00A45645">
              <w:t xml:space="preserve"> AER</w:t>
            </w:r>
            <w:r w:rsidR="000D7F80">
              <w:t xml:space="preserve"> veidus</w:t>
            </w:r>
            <w:r w:rsidRPr="00A45645">
              <w:t xml:space="preserve"> mērķa izpildīšanā Latvijā,</w:t>
            </w:r>
            <w:r w:rsidR="000D7F80">
              <w:t xml:space="preserve"> kā</w:t>
            </w:r>
            <w:r w:rsidRPr="00A45645">
              <w:t xml:space="preserve"> galvenie</w:t>
            </w:r>
            <w:r w:rsidR="000D7F80">
              <w:t xml:space="preserve"> izmantojamie</w:t>
            </w:r>
            <w:r w:rsidRPr="00A45645">
              <w:t xml:space="preserve"> resursi </w:t>
            </w:r>
            <w:r w:rsidR="000D7F80">
              <w:t>tiek novērtēta</w:t>
            </w:r>
            <w:r w:rsidRPr="00A45645">
              <w:t xml:space="preserve"> biomasa, galvenokārt koksne, </w:t>
            </w:r>
            <w:r w:rsidR="000D7F80">
              <w:t xml:space="preserve">kā arī </w:t>
            </w:r>
            <w:r w:rsidRPr="00A45645">
              <w:t>vēja enerģija, biogāze un hidroenerģija.</w:t>
            </w:r>
          </w:p>
          <w:p w:rsidR="00006540" w:rsidRDefault="00006540" w:rsidP="00806C74">
            <w:pPr>
              <w:tabs>
                <w:tab w:val="left" w:pos="-139"/>
              </w:tabs>
              <w:spacing w:before="75" w:after="75"/>
              <w:ind w:left="115" w:right="190"/>
              <w:jc w:val="both"/>
              <w:rPr>
                <w:bCs/>
              </w:rPr>
            </w:pPr>
            <w:r w:rsidRPr="00006540">
              <w:t xml:space="preserve">Lai </w:t>
            </w:r>
            <w:r w:rsidR="000D7F80">
              <w:t xml:space="preserve">Latvija </w:t>
            </w:r>
            <w:r w:rsidRPr="00006540">
              <w:t xml:space="preserve">sasniegtu </w:t>
            </w:r>
            <w:r>
              <w:t>Direktīv</w:t>
            </w:r>
            <w:r w:rsidR="000D7F80">
              <w:t>as</w:t>
            </w:r>
            <w:r>
              <w:t xml:space="preserve"> 2009/28/EK</w:t>
            </w:r>
            <w:r w:rsidR="000D7F80">
              <w:t xml:space="preserve"> I pielikumā </w:t>
            </w:r>
            <w:r>
              <w:t>noteikto</w:t>
            </w:r>
            <w:r w:rsidRPr="00006540">
              <w:t xml:space="preserve"> mērķ</w:t>
            </w:r>
            <w:r>
              <w:t>i</w:t>
            </w:r>
            <w:r w:rsidR="009C48EF">
              <w:t xml:space="preserve"> 2020.</w:t>
            </w:r>
            <w:r w:rsidRPr="00006540">
              <w:t>gadā</w:t>
            </w:r>
            <w:r w:rsidR="00F45B4B">
              <w:t>,</w:t>
            </w:r>
            <w:r w:rsidRPr="00006540">
              <w:t xml:space="preserve"> ir iespējami dažādi scenāriji, kuros ir atšķirīg</w:t>
            </w:r>
            <w:r>
              <w:t>s elektroenerģijas, siltumenerģijas-dzesēšanas un transporta sektora devums</w:t>
            </w:r>
            <w:r w:rsidR="009C48EF">
              <w:t xml:space="preserve"> kopējā mērķī. </w:t>
            </w:r>
            <w:r w:rsidRPr="00006540">
              <w:t xml:space="preserve">Viens no iespējamiem mērķa sasniegšanas scenārijiem ir dots </w:t>
            </w:r>
            <w:r w:rsidRPr="002D6EA2">
              <w:rPr>
                <w:rFonts w:eastAsia="Calibri"/>
                <w:bCs/>
              </w:rPr>
              <w:t xml:space="preserve">Latvijas Republikas </w:t>
            </w:r>
            <w:r w:rsidRPr="002D6EA2">
              <w:rPr>
                <w:bCs/>
              </w:rPr>
              <w:t>prognožu dokumentā</w:t>
            </w:r>
            <w:r w:rsidRPr="002D6EA2">
              <w:rPr>
                <w:rFonts w:eastAsia="Calibri"/>
                <w:bCs/>
              </w:rPr>
              <w:t xml:space="preserve"> par </w:t>
            </w:r>
            <w:r w:rsidR="00361173">
              <w:rPr>
                <w:bCs/>
              </w:rPr>
              <w:t>AER</w:t>
            </w:r>
            <w:r w:rsidRPr="002D6EA2">
              <w:rPr>
                <w:bCs/>
              </w:rPr>
              <w:t xml:space="preserve"> īpatsvara bruto en</w:t>
            </w:r>
            <w:r w:rsidR="006E335C">
              <w:rPr>
                <w:bCs/>
              </w:rPr>
              <w:t>erģijas galapatēriņā līdz 2020.</w:t>
            </w:r>
            <w:r w:rsidRPr="002D6EA2">
              <w:rPr>
                <w:bCs/>
              </w:rPr>
              <w:t xml:space="preserve">gadam sasniegšanu atbilstoši Direktīvas 2009/28/EK 4. panta 3. </w:t>
            </w:r>
            <w:r w:rsidR="00DD27E3">
              <w:rPr>
                <w:bCs/>
              </w:rPr>
              <w:t>p</w:t>
            </w:r>
            <w:r w:rsidRPr="002D6EA2">
              <w:rPr>
                <w:bCs/>
              </w:rPr>
              <w:t>unktam</w:t>
            </w:r>
            <w:r w:rsidR="00816C29">
              <w:t xml:space="preserve"> (turpmāk – prognožu dokuments)</w:t>
            </w:r>
            <w:r w:rsidRPr="00006540">
              <w:t>, kas nosūt</w:t>
            </w:r>
            <w:r>
              <w:t xml:space="preserve">īts Eiropas Komisijai, </w:t>
            </w:r>
            <w:r w:rsidR="002D6EA2">
              <w:t>un</w:t>
            </w:r>
            <w:r>
              <w:t xml:space="preserve"> ir </w:t>
            </w:r>
            <w:r w:rsidRPr="00006540">
              <w:t xml:space="preserve">pamats tālākai nacionālā </w:t>
            </w:r>
            <w:r>
              <w:t>atjaunojamās enerģijas</w:t>
            </w:r>
            <w:r w:rsidRPr="00006540">
              <w:t xml:space="preserve"> rīcības plāna izstrādei, k</w:t>
            </w:r>
            <w:r w:rsidR="00BE5921">
              <w:t>urā</w:t>
            </w:r>
            <w:r>
              <w:t xml:space="preserve"> </w:t>
            </w:r>
            <w:r w:rsidR="002D6EA2">
              <w:t>jā</w:t>
            </w:r>
            <w:r w:rsidRPr="00006540">
              <w:t>izvērtē iespējam</w:t>
            </w:r>
            <w:r w:rsidR="00BE5921">
              <w:t>ā</w:t>
            </w:r>
            <w:r w:rsidRPr="00006540">
              <w:t xml:space="preserve"> šī scenārija ietekm</w:t>
            </w:r>
            <w:r w:rsidR="00BE5921">
              <w:t>e</w:t>
            </w:r>
            <w:r w:rsidRPr="00006540">
              <w:t xml:space="preserve"> uz izmaksām, ieguvumiem un zaudējumiem</w:t>
            </w:r>
            <w:r w:rsidR="000D7F80">
              <w:t xml:space="preserve">, kas bijis par pamatu izstrādājot </w:t>
            </w:r>
            <w:r w:rsidR="00BC42B4">
              <w:t>plānu atjaunojamās enerģijas jomā</w:t>
            </w:r>
            <w:r w:rsidR="000D7F80">
              <w:rPr>
                <w:bCs/>
              </w:rPr>
              <w:t>.</w:t>
            </w:r>
          </w:p>
          <w:p w:rsidR="0063359B" w:rsidRDefault="00352D8F" w:rsidP="000D7F80">
            <w:pPr>
              <w:tabs>
                <w:tab w:val="left" w:pos="-139"/>
              </w:tabs>
              <w:spacing w:before="75" w:after="75"/>
              <w:ind w:left="115" w:right="190"/>
              <w:jc w:val="both"/>
            </w:pPr>
            <w:r>
              <w:t xml:space="preserve">Prognožu dokumenta un </w:t>
            </w:r>
            <w:r w:rsidR="00BC42B4">
              <w:t xml:space="preserve">plāna atjaunojamās enerģijas jomā </w:t>
            </w:r>
            <w:r>
              <w:t xml:space="preserve">ietvaros </w:t>
            </w:r>
            <w:r w:rsidR="000D7F80">
              <w:t>veiktie aprēķini</w:t>
            </w:r>
            <w:r w:rsidR="00816C29" w:rsidRPr="00816C29">
              <w:t xml:space="preserve"> paredz sasniegt uzs</w:t>
            </w:r>
            <w:r w:rsidR="006E335C">
              <w:t xml:space="preserve">tādīto </w:t>
            </w:r>
            <w:r>
              <w:t xml:space="preserve">valsts </w:t>
            </w:r>
            <w:r w:rsidR="006E335C">
              <w:t>mērķi Latvijai 40% 2020.</w:t>
            </w:r>
            <w:r w:rsidR="00816C29" w:rsidRPr="00816C29">
              <w:t xml:space="preserve">gadā, pamatojoties galvenokārt uz Latvijā pieejamo </w:t>
            </w:r>
            <w:r w:rsidR="00361173">
              <w:t>AER</w:t>
            </w:r>
            <w:r w:rsidR="00816C29" w:rsidRPr="00816C29">
              <w:t xml:space="preserve"> potenciāla izmantošanu bez Direktīvā 2009/28/EK paredzētiem papildu mehānismiem</w:t>
            </w:r>
            <w:r w:rsidR="00853FD9">
              <w:t>, ņemot vērā plānotos energoefektivitātes pasākumus.</w:t>
            </w:r>
          </w:p>
          <w:p w:rsidR="00816C29" w:rsidRPr="000547A8" w:rsidRDefault="0063359B" w:rsidP="000D7F80">
            <w:pPr>
              <w:tabs>
                <w:tab w:val="left" w:pos="-139"/>
              </w:tabs>
              <w:spacing w:before="75" w:after="75"/>
              <w:ind w:left="115" w:right="190"/>
              <w:jc w:val="both"/>
              <w:rPr>
                <w:b/>
              </w:rPr>
            </w:pPr>
            <w:r w:rsidRPr="000547A8">
              <w:rPr>
                <w:b/>
              </w:rPr>
              <w:t xml:space="preserve">Likumprojekts atjaunojamās elektroenerģijas izmantošanas veicināšanai paredz izveidot šādus </w:t>
            </w:r>
            <w:r w:rsidR="00817322" w:rsidRPr="000547A8">
              <w:rPr>
                <w:b/>
              </w:rPr>
              <w:t>atbalsta</w:t>
            </w:r>
            <w:r w:rsidRPr="000547A8">
              <w:rPr>
                <w:b/>
              </w:rPr>
              <w:t xml:space="preserve"> instrumentus:</w:t>
            </w:r>
          </w:p>
          <w:p w:rsidR="0063359B" w:rsidRPr="000547A8" w:rsidRDefault="000547A8" w:rsidP="00727513">
            <w:pPr>
              <w:tabs>
                <w:tab w:val="left" w:pos="-139"/>
              </w:tabs>
              <w:spacing w:before="75" w:after="75"/>
              <w:ind w:left="115" w:right="190"/>
              <w:jc w:val="both"/>
            </w:pPr>
            <w:r>
              <w:t>1</w:t>
            </w:r>
            <w:r w:rsidR="00727513" w:rsidRPr="000547A8">
              <w:t xml:space="preserve">) </w:t>
            </w:r>
            <w:r w:rsidR="0063359B" w:rsidRPr="000547A8">
              <w:rPr>
                <w:u w:val="single"/>
              </w:rPr>
              <w:t>piemaksa par elektroenerģijas</w:t>
            </w:r>
            <w:r w:rsidR="00817322" w:rsidRPr="000547A8">
              <w:rPr>
                <w:u w:val="single"/>
              </w:rPr>
              <w:t>, kas</w:t>
            </w:r>
            <w:r w:rsidR="0063359B" w:rsidRPr="000547A8">
              <w:t xml:space="preserve"> ražo</w:t>
            </w:r>
            <w:r w:rsidR="00817322" w:rsidRPr="000547A8">
              <w:t>ta</w:t>
            </w:r>
            <w:r w:rsidR="0063359B" w:rsidRPr="000547A8">
              <w:t xml:space="preserve"> no atjaunojamiem energoresursiem</w:t>
            </w:r>
            <w:r w:rsidR="00817322" w:rsidRPr="000547A8">
              <w:t>,</w:t>
            </w:r>
            <w:r w:rsidR="001B0075" w:rsidRPr="000547A8">
              <w:t xml:space="preserve"> </w:t>
            </w:r>
            <w:r w:rsidR="0063359B" w:rsidRPr="000547A8">
              <w:t>pārdošanu;</w:t>
            </w:r>
          </w:p>
          <w:p w:rsidR="0063359B" w:rsidRPr="000547A8" w:rsidRDefault="000547A8" w:rsidP="000547A8">
            <w:pPr>
              <w:tabs>
                <w:tab w:val="left" w:pos="-139"/>
              </w:tabs>
              <w:spacing w:before="75" w:after="75"/>
              <w:ind w:left="115" w:right="190"/>
              <w:jc w:val="both"/>
            </w:pPr>
            <w:r>
              <w:t>2</w:t>
            </w:r>
            <w:r w:rsidR="00727513" w:rsidRPr="000547A8">
              <w:t xml:space="preserve">) </w:t>
            </w:r>
            <w:r w:rsidR="0063359B" w:rsidRPr="000547A8">
              <w:t xml:space="preserve">atbalsts atjaunojamās enerģijas ražotnes, kuras uzstādītā elektriskā jauda nepārsniedz 5MW, </w:t>
            </w:r>
            <w:r w:rsidR="0063359B" w:rsidRPr="000547A8">
              <w:rPr>
                <w:u w:val="single"/>
              </w:rPr>
              <w:t>pieslēgšanai elektroenerģijas tīklam</w:t>
            </w:r>
            <w:r w:rsidR="0098664F">
              <w:rPr>
                <w:u w:val="single"/>
              </w:rPr>
              <w:t>.</w:t>
            </w:r>
          </w:p>
          <w:p w:rsidR="000547A8" w:rsidRPr="000547A8" w:rsidRDefault="000547A8" w:rsidP="000547A8">
            <w:pPr>
              <w:tabs>
                <w:tab w:val="left" w:pos="-139"/>
              </w:tabs>
              <w:spacing w:before="75" w:after="75"/>
              <w:ind w:left="115" w:right="190"/>
              <w:jc w:val="both"/>
              <w:rPr>
                <w:b/>
              </w:rPr>
            </w:pPr>
            <w:r w:rsidRPr="000547A8">
              <w:rPr>
                <w:b/>
              </w:rPr>
              <w:t>Likumprojekts paredz, ka atjaunojamās enerģijas</w:t>
            </w:r>
            <w:r w:rsidR="0098664F">
              <w:rPr>
                <w:b/>
              </w:rPr>
              <w:t xml:space="preserve"> (elektroenerģijas un siltumenerģijas)</w:t>
            </w:r>
            <w:r w:rsidRPr="000547A8">
              <w:rPr>
                <w:b/>
              </w:rPr>
              <w:t xml:space="preserve"> izmantošanas veicināšanai valsts un pašvaldību iestādes ir tiesīgas veidot šādus atbalsta instrumentus, </w:t>
            </w:r>
            <w:r>
              <w:rPr>
                <w:b/>
              </w:rPr>
              <w:t xml:space="preserve">īstenošanu veicot </w:t>
            </w:r>
            <w:r w:rsidRPr="000547A8">
              <w:rPr>
                <w:b/>
              </w:rPr>
              <w:t>atbilstoši komercdarbības atbalsta kontroles jomu regulējošiem tiesību aktiem:</w:t>
            </w:r>
          </w:p>
          <w:p w:rsidR="000547A8" w:rsidRPr="000547A8" w:rsidRDefault="000547A8" w:rsidP="000547A8">
            <w:pPr>
              <w:tabs>
                <w:tab w:val="left" w:pos="180"/>
                <w:tab w:val="left" w:pos="360"/>
              </w:tabs>
              <w:spacing w:before="75" w:after="75"/>
              <w:ind w:left="115"/>
              <w:jc w:val="both"/>
            </w:pPr>
            <w:r w:rsidRPr="000547A8">
              <w:t>1) atbalsta novirzīšana atjaunojamās enerģijas ražošanai un patēriņam, tai skaitā enerģijas ražošanas iekārtu, kurās izmanto fosilos energoresursus, nomaiņai ar enerģijas ražošanas iekārtām, kurās izmanto atjaunojamos energoresursus, izņemot tādu enerģijas ražošanas iekārtu nomaiņai, kurās izmanto fosilos energoresursus, un kuru izveidošanai, uzstādīšanai vai darbībai līdz šā likuma spēkā stāšanās dienai ir saņemts jebkāda veida un apmēra atbalsts;</w:t>
            </w:r>
          </w:p>
          <w:p w:rsidR="000547A8" w:rsidRPr="000547A8" w:rsidRDefault="000547A8" w:rsidP="000547A8">
            <w:pPr>
              <w:tabs>
                <w:tab w:val="left" w:pos="180"/>
                <w:tab w:val="left" w:pos="360"/>
              </w:tabs>
              <w:spacing w:before="75" w:after="75"/>
              <w:ind w:left="115"/>
              <w:jc w:val="both"/>
            </w:pPr>
            <w:r>
              <w:t>2</w:t>
            </w:r>
            <w:r w:rsidRPr="000547A8">
              <w:t xml:space="preserve">) atbalsts pētniecības, attīstības un inovāciju programmām atjaunojamās enerģijas jomā; </w:t>
            </w:r>
          </w:p>
          <w:p w:rsidR="000547A8" w:rsidRPr="000547A8" w:rsidRDefault="000547A8" w:rsidP="000547A8">
            <w:pPr>
              <w:tabs>
                <w:tab w:val="left" w:pos="180"/>
                <w:tab w:val="left" w:pos="360"/>
              </w:tabs>
              <w:spacing w:before="75" w:after="75"/>
              <w:ind w:left="115"/>
              <w:jc w:val="both"/>
            </w:pPr>
            <w:r>
              <w:t>3</w:t>
            </w:r>
            <w:r w:rsidRPr="000547A8">
              <w:t>) ar citiem normatīvajiem aktiem noteiktus atjaunojamās enerģijas izmantošanas veicināšanas pasākumus, kas vērsti uz atjaunojamās enerģijas izmaksu samazināšanu.</w:t>
            </w:r>
          </w:p>
          <w:p w:rsidR="000547A8" w:rsidRPr="000547A8" w:rsidRDefault="000547A8" w:rsidP="000547A8">
            <w:pPr>
              <w:tabs>
                <w:tab w:val="left" w:pos="-139"/>
              </w:tabs>
              <w:spacing w:before="75" w:after="75"/>
              <w:ind w:left="115" w:right="190"/>
              <w:jc w:val="both"/>
            </w:pPr>
          </w:p>
          <w:p w:rsidR="00891F8F" w:rsidRPr="000547A8" w:rsidRDefault="001B0075" w:rsidP="00891F8F">
            <w:pPr>
              <w:tabs>
                <w:tab w:val="left" w:pos="-139"/>
              </w:tabs>
              <w:ind w:left="113" w:right="193"/>
              <w:jc w:val="both"/>
              <w:rPr>
                <w:b/>
              </w:rPr>
            </w:pPr>
            <w:r w:rsidRPr="00E5226D">
              <w:rPr>
                <w:b/>
              </w:rPr>
              <w:t>Pašvaldība</w:t>
            </w:r>
            <w:r w:rsidR="00B75DAB" w:rsidRPr="00E5226D">
              <w:rPr>
                <w:b/>
              </w:rPr>
              <w:t>s dome nepieciešamības gadījumā, izdodot saistošos noteikumus,</w:t>
            </w:r>
            <w:r w:rsidRPr="00E5226D">
              <w:rPr>
                <w:b/>
              </w:rPr>
              <w:t xml:space="preserve"> var sniegt atbalstu visu veidu a</w:t>
            </w:r>
            <w:r w:rsidR="000547A8">
              <w:rPr>
                <w:b/>
              </w:rPr>
              <w:t xml:space="preserve">tjaunojamās enerģijas ražošanai. </w:t>
            </w:r>
            <w:r w:rsidR="000547A8" w:rsidRPr="000547A8">
              <w:rPr>
                <w:b/>
              </w:rPr>
              <w:t>Pašvaldība, gadījumā, ja tā nepieciešamību nosaka tiesību akti komercdarbības atbalsta kontroles jomā,  šā panta trešajā daļā minētā atbalsta sniegšanu saskaņo ar Finanšu ministriju</w:t>
            </w:r>
            <w:r w:rsidR="000547A8">
              <w:rPr>
                <w:b/>
              </w:rPr>
              <w:t xml:space="preserve"> (8.pants)</w:t>
            </w:r>
            <w:r w:rsidR="000547A8" w:rsidRPr="000547A8">
              <w:rPr>
                <w:b/>
              </w:rPr>
              <w:t>.</w:t>
            </w:r>
          </w:p>
          <w:p w:rsidR="004E7D9E" w:rsidRPr="00227447" w:rsidRDefault="00891F8F" w:rsidP="00927884">
            <w:pPr>
              <w:tabs>
                <w:tab w:val="left" w:pos="-139"/>
              </w:tabs>
              <w:ind w:left="113" w:right="193"/>
              <w:jc w:val="both"/>
              <w:rPr>
                <w:b/>
              </w:rPr>
            </w:pPr>
            <w:r w:rsidRPr="00227447">
              <w:rPr>
                <w:b/>
              </w:rPr>
              <w:t>Likumprojekts paredz noteikta atjaunojamās enerģijas ražotāja</w:t>
            </w:r>
            <w:r w:rsidR="00927884" w:rsidRPr="00227447">
              <w:rPr>
                <w:b/>
              </w:rPr>
              <w:t>, kas ir komersants, kas ražo atjaunojamo enerģiju,</w:t>
            </w:r>
            <w:r w:rsidRPr="00227447">
              <w:rPr>
                <w:b/>
              </w:rPr>
              <w:t xml:space="preserve"> tiesības</w:t>
            </w:r>
            <w:r w:rsidR="00666811" w:rsidRPr="00227447">
              <w:rPr>
                <w:b/>
              </w:rPr>
              <w:t xml:space="preserve"> </w:t>
            </w:r>
            <w:r w:rsidRPr="00227447">
              <w:rPr>
                <w:b/>
              </w:rPr>
              <w:t>(</w:t>
            </w:r>
            <w:r w:rsidR="00501519" w:rsidRPr="00227447">
              <w:rPr>
                <w:b/>
              </w:rPr>
              <w:t>10</w:t>
            </w:r>
            <w:r w:rsidRPr="00227447">
              <w:rPr>
                <w:b/>
              </w:rPr>
              <w:t>.pants):</w:t>
            </w:r>
          </w:p>
          <w:p w:rsidR="00891F8F" w:rsidRPr="00501519" w:rsidRDefault="00501519" w:rsidP="00927884">
            <w:pPr>
              <w:tabs>
                <w:tab w:val="left" w:pos="-139"/>
              </w:tabs>
              <w:ind w:left="113" w:right="193"/>
              <w:jc w:val="both"/>
            </w:pPr>
            <w:r w:rsidRPr="00227447">
              <w:t>1</w:t>
            </w:r>
            <w:r w:rsidR="00727513" w:rsidRPr="00227447">
              <w:t>.</w:t>
            </w:r>
            <w:r w:rsidR="00927884" w:rsidRPr="00227447">
              <w:t xml:space="preserve"> </w:t>
            </w:r>
            <w:r w:rsidR="00227447" w:rsidRPr="00227447">
              <w:t xml:space="preserve">tikt pieslēgtam elektroenerģijas pārvades vai sadales tīklam prioritārā kārtā attiecībā pret fosilos energoresursus izmantojošiem enerģijas ražotājiem, kā arī tikt iekļautam </w:t>
            </w:r>
            <w:r w:rsidR="00227447" w:rsidRPr="00227447">
              <w:rPr>
                <w:bCs/>
              </w:rPr>
              <w:t>tīkla pieslēguma pretendentu reģistrā</w:t>
            </w:r>
            <w:r w:rsidR="00227447" w:rsidRPr="00227447">
              <w:t xml:space="preserve"> pieslēgumam elektroenerģijas sadales vai pārvades tīkliem vai pieslēguma jaudas palielinājumam.</w:t>
            </w:r>
          </w:p>
          <w:p w:rsidR="00501519" w:rsidRDefault="00501519" w:rsidP="00927884">
            <w:pPr>
              <w:tabs>
                <w:tab w:val="left" w:pos="-139"/>
              </w:tabs>
              <w:ind w:left="113" w:right="193"/>
              <w:jc w:val="both"/>
            </w:pPr>
            <w:r w:rsidRPr="00501519">
              <w:t xml:space="preserve">2. </w:t>
            </w:r>
            <w:r w:rsidR="00227447">
              <w:t>j</w:t>
            </w:r>
            <w:r w:rsidR="00227447" w:rsidRPr="00227447">
              <w:t xml:space="preserve">a atjaunojamās enerģijas ražotājs, kas ir komersants, var vienlaikus pretendēt uz tiesību iegūšanu saskaņā ar normatīvajiem aktiem, kas regulē elektroenerģijas obligāto iepirkumu vai garantēto jaudas maksājuma tiesību iegūšanu un šā likuma </w:t>
            </w:r>
            <w:r w:rsidR="000547A8">
              <w:t>13</w:t>
            </w:r>
            <w:r w:rsidR="00227447" w:rsidRPr="00227447">
              <w:t>.pantā noteikto tiesību izmantošanu, atjaunojamās enerģijas ražotājs pēc paša izvēles var izmantot tikai vienā no minētajiem likumiem paredzētās tiesības.</w:t>
            </w:r>
          </w:p>
          <w:p w:rsidR="00227447" w:rsidRPr="00227447" w:rsidRDefault="00227447" w:rsidP="00227447">
            <w:pPr>
              <w:pStyle w:val="ListParagraph"/>
              <w:spacing w:before="0" w:after="0" w:line="240" w:lineRule="auto"/>
              <w:ind w:left="115" w:right="193" w:firstLine="0"/>
              <w:rPr>
                <w:bCs/>
                <w:sz w:val="24"/>
                <w:szCs w:val="24"/>
                <w:lang w:val="lv-LV"/>
              </w:rPr>
            </w:pPr>
            <w:r w:rsidRPr="00227447">
              <w:rPr>
                <w:bCs/>
                <w:sz w:val="24"/>
                <w:szCs w:val="24"/>
                <w:lang w:val="lv-LV"/>
              </w:rPr>
              <w:t>Pārvades sistēmas operators reģistrē atjaunojamās elektroenerģijas ražotāju tīkla pieslēguma pretendentu tos atjaunojamās enerģijas ražotājus, kas vēlas veikt pieslēgumu pie elektroenerģijas pārvades vai sadales tīkla.</w:t>
            </w:r>
          </w:p>
          <w:p w:rsidR="00227447" w:rsidRPr="00227447" w:rsidRDefault="00227447" w:rsidP="00227447">
            <w:pPr>
              <w:tabs>
                <w:tab w:val="left" w:pos="-139"/>
              </w:tabs>
              <w:ind w:left="115" w:right="193"/>
              <w:jc w:val="both"/>
              <w:rPr>
                <w:b/>
              </w:rPr>
            </w:pPr>
            <w:r w:rsidRPr="00227447">
              <w:rPr>
                <w:bCs/>
              </w:rPr>
              <w:t>Pārvades sistēmas operators uztur tīkla pieslēguma pretendentu reģistru un nodrošina tā publisku pieejamību pārvades sistēmas operatora mājas lapā internetā. Reģistra informāciju atjauno ne retāk kā vienu reizi mēnesī</w:t>
            </w:r>
            <w:r w:rsidRPr="00227447">
              <w:t>.</w:t>
            </w:r>
          </w:p>
          <w:p w:rsidR="00891F8F" w:rsidRPr="00891F8F" w:rsidRDefault="00727513" w:rsidP="00227447">
            <w:pPr>
              <w:tabs>
                <w:tab w:val="left" w:pos="-139"/>
              </w:tabs>
              <w:ind w:left="115" w:right="193"/>
              <w:jc w:val="both"/>
              <w:rPr>
                <w:b/>
              </w:rPr>
            </w:pPr>
            <w:r w:rsidRPr="00227447">
              <w:rPr>
                <w:b/>
              </w:rPr>
              <w:t>A</w:t>
            </w:r>
            <w:r w:rsidR="00891F8F" w:rsidRPr="00227447">
              <w:rPr>
                <w:b/>
              </w:rPr>
              <w:t>tjaunojamās</w:t>
            </w:r>
            <w:r w:rsidR="00891F8F" w:rsidRPr="00666811">
              <w:rPr>
                <w:b/>
              </w:rPr>
              <w:t xml:space="preserve"> enerģijas ražotājam, kas izmanto šā likuma 10.pantā paredzētos atjaunojamās enerģijas izmantošanas veicināšanai paredzētos </w:t>
            </w:r>
            <w:r w:rsidR="00666811" w:rsidRPr="00666811">
              <w:rPr>
                <w:b/>
              </w:rPr>
              <w:t>atbalsta</w:t>
            </w:r>
            <w:r w:rsidR="00891F8F" w:rsidRPr="00666811">
              <w:rPr>
                <w:b/>
              </w:rPr>
              <w:t xml:space="preserve"> instrumentus, ir šādi pienākumi</w:t>
            </w:r>
            <w:r w:rsidR="00891F8F" w:rsidRPr="0089218E">
              <w:t>:</w:t>
            </w:r>
          </w:p>
          <w:p w:rsidR="00891F8F" w:rsidRPr="00227447" w:rsidRDefault="008C643F" w:rsidP="00927884">
            <w:pPr>
              <w:spacing w:before="75" w:after="75"/>
              <w:ind w:left="115"/>
              <w:jc w:val="both"/>
            </w:pPr>
            <w:r>
              <w:t>1.</w:t>
            </w:r>
            <w:r w:rsidR="00891F8F" w:rsidRPr="008C643F">
              <w:t xml:space="preserve"> </w:t>
            </w:r>
            <w:r w:rsidR="00227447" w:rsidRPr="00227447">
              <w:t>Atjaunojamās enerģijas ražotājs, kura atjaunojamās enerģijas ražotne tiek pieslēgta tīklam,  sniedz informāciju pārvades sistēmas operatoram atbilstoši šā likuma 6.panta 4.punktā noteiktajai kārtībai</w:t>
            </w:r>
            <w:r w:rsidRPr="00227447">
              <w:t>;</w:t>
            </w:r>
          </w:p>
          <w:p w:rsidR="008C643F" w:rsidRPr="00227447" w:rsidRDefault="008C643F" w:rsidP="00927884">
            <w:pPr>
              <w:spacing w:before="75" w:after="75"/>
              <w:ind w:left="115"/>
              <w:jc w:val="both"/>
            </w:pPr>
            <w:r w:rsidRPr="00227447">
              <w:t xml:space="preserve">2. </w:t>
            </w:r>
            <w:r w:rsidR="00227447" w:rsidRPr="00227447">
              <w:t>Atjaunojamās enerģijas ražotājs, kas izmanto šā likuma 12.pantā paredzētos atjaunojamās enerģijas izmantošanas veicināšanai paredzētos atbalsta instrumentus pēc Ekonomikas ministrijas pieprasījuma nodrošina pieeju dokumentu oriģināliem</w:t>
            </w:r>
            <w:r w:rsidR="00227447">
              <w:t>.;</w:t>
            </w:r>
          </w:p>
          <w:p w:rsidR="00227447" w:rsidRDefault="008C643F" w:rsidP="008C643F">
            <w:pPr>
              <w:spacing w:before="75" w:after="75"/>
              <w:ind w:left="115"/>
              <w:jc w:val="both"/>
            </w:pPr>
            <w:r>
              <w:t xml:space="preserve">3. </w:t>
            </w:r>
            <w:r w:rsidR="00227447" w:rsidRPr="00227447">
              <w:t>Atjaunojamās enerģijas ražotājs, kas izmanto šā likuma 12.pantā paredzētos atjaunojamās enerģijas izmantošanas veicināšanai paredzētos atbalsta instrumentus, ražojot atjaunojamo enerģiju no dažādu veidu bioloģiskajiem šķidrajiem kurināmajiem nodrošina, ka tā saražotā atjaunojamā enerģija atbilst bioloģisko šķidro kurināmo ilgtspējības kritērijiem</w:t>
            </w:r>
            <w:r w:rsidR="00227447">
              <w:t>;</w:t>
            </w:r>
          </w:p>
          <w:p w:rsidR="00891F8F" w:rsidRPr="00227447" w:rsidRDefault="00227447" w:rsidP="008C643F">
            <w:pPr>
              <w:spacing w:before="75" w:after="75"/>
              <w:ind w:left="115"/>
              <w:jc w:val="both"/>
            </w:pPr>
            <w:r>
              <w:t>4</w:t>
            </w:r>
            <w:r w:rsidRPr="00227447">
              <w:t xml:space="preserve">. </w:t>
            </w:r>
            <w:r w:rsidR="00722373" w:rsidRPr="00227447">
              <w:rPr>
                <w:iCs/>
              </w:rPr>
              <w:t>Atjaunojamās</w:t>
            </w:r>
            <w:r w:rsidRPr="00227447">
              <w:rPr>
                <w:iCs/>
              </w:rPr>
              <w:t xml:space="preserve"> enerģijas ražotājs, kas atjaunojamās enerģijas ražošanai koģenerācijā izmanto biomasu vai biogāzi un, kas pretendē uz šā likuma 12.pantā paredzētajiem finanšu instrumentiem, nodrošina, ka vismaz 50% no koģenerācijā gada laikā saražotā siltumenerģijas daudzuma, kas paliek pāri pēc enerģiju ražojošo vai pārveidojošo galveno iekārtu enerģijas </w:t>
            </w:r>
            <w:r w:rsidRPr="00227447">
              <w:rPr>
                <w:iCs/>
              </w:rPr>
              <w:lastRenderedPageBreak/>
              <w:t>patēriņa</w:t>
            </w:r>
            <w:r w:rsidRPr="00227447">
              <w:rPr>
                <w:b/>
                <w:iCs/>
              </w:rPr>
              <w:t xml:space="preserve">, </w:t>
            </w:r>
            <w:r w:rsidRPr="00227447">
              <w:rPr>
                <w:iCs/>
              </w:rPr>
              <w:t xml:space="preserve">ir lietderīgā siltumenerģija, , kas, neieskaitot siltumenerģiju, kas ražota atsevišķos ūdenssildāmajos vai tvaika katlos, atbilst </w:t>
            </w:r>
            <w:r>
              <w:rPr>
                <w:iCs/>
              </w:rPr>
              <w:t>noteiktiem</w:t>
            </w:r>
            <w:r w:rsidRPr="00227447">
              <w:rPr>
                <w:iCs/>
              </w:rPr>
              <w:t xml:space="preserve"> šādiem nosacījumiem</w:t>
            </w:r>
            <w:r>
              <w:rPr>
                <w:iCs/>
              </w:rPr>
              <w:t>.</w:t>
            </w:r>
          </w:p>
          <w:p w:rsidR="00666811" w:rsidRDefault="003C576B" w:rsidP="00927884">
            <w:pPr>
              <w:tabs>
                <w:tab w:val="left" w:pos="-139"/>
              </w:tabs>
              <w:ind w:left="115" w:right="193"/>
              <w:jc w:val="both"/>
              <w:rPr>
                <w:b/>
                <w:iCs/>
              </w:rPr>
            </w:pPr>
            <w:r>
              <w:rPr>
                <w:b/>
                <w:iCs/>
              </w:rPr>
              <w:t xml:space="preserve">Atbalsta instrumentu </w:t>
            </w:r>
            <w:r w:rsidR="00D03092">
              <w:rPr>
                <w:b/>
                <w:iCs/>
              </w:rPr>
              <w:t>pamatojums</w:t>
            </w:r>
            <w:r w:rsidR="00EE311E" w:rsidRPr="00EE311E">
              <w:rPr>
                <w:b/>
                <w:iCs/>
              </w:rPr>
              <w:t>:</w:t>
            </w:r>
          </w:p>
          <w:p w:rsidR="008C643F" w:rsidRPr="004122E1" w:rsidRDefault="008C643F" w:rsidP="00927884">
            <w:pPr>
              <w:tabs>
                <w:tab w:val="left" w:pos="-139"/>
              </w:tabs>
              <w:ind w:left="115" w:right="193"/>
              <w:jc w:val="both"/>
              <w:rPr>
                <w:b/>
                <w:iCs/>
              </w:rPr>
            </w:pPr>
          </w:p>
          <w:p w:rsidR="003C576B" w:rsidRPr="004122E1" w:rsidRDefault="00C763DB" w:rsidP="003C576B">
            <w:pPr>
              <w:ind w:left="115" w:right="190"/>
              <w:jc w:val="both"/>
            </w:pPr>
            <w:r w:rsidRPr="004122E1">
              <w:t xml:space="preserve">Izvērtējot nepieciešamību atbalstīt enerģijas ražošanu no </w:t>
            </w:r>
            <w:r w:rsidR="00632111" w:rsidRPr="004122E1">
              <w:t>AER</w:t>
            </w:r>
            <w:r w:rsidRPr="004122E1">
              <w:t>, veicinot to izmantošanu un, ņemot vērā BEMIP rīcības plānu, kas balstīts uz visā Baltijā vienādiem elektroenerģijas tirgus principiem,</w:t>
            </w:r>
            <w:r w:rsidR="004122E1" w:rsidRPr="004122E1">
              <w:t xml:space="preserve"> ar likumprojektu ir paredzēts ieviest tādu atbalsta mehānismu enerģijas ražošanai no atjaunojamiem energoresursiem, kad, pārdodot elektroenerģiju tirgū,  kopējo ieguvumu atjaunojamās enerģijas ražotājam noteiktu pēc iespējas racionāli izmantoti tie atjaunojamie energoresursi, kas ir nozīmīgākie Latvijas tautsaimniecībai, par elektroenerģijas pārdošanu saņemot papildu piemaksu. </w:t>
            </w:r>
            <w:r w:rsidRPr="004122E1">
              <w:t xml:space="preserve"> </w:t>
            </w:r>
            <w:r w:rsidR="004122E1" w:rsidRPr="004122E1">
              <w:t>Tas</w:t>
            </w:r>
            <w:r w:rsidRPr="004122E1">
              <w:t xml:space="preserve"> ļauj elektroenerģijas ražotājiem, kas elektroenerģiju ražo no atjaunojamiem energoresursiem, darboties brīvā elektroenerģijas tirgū, </w:t>
            </w:r>
            <w:r w:rsidR="004122E1" w:rsidRPr="004122E1">
              <w:t>likumā noteiktajos gadījumos saņemot piemaksu</w:t>
            </w:r>
            <w:r w:rsidRPr="004122E1">
              <w:t xml:space="preserve">. </w:t>
            </w:r>
          </w:p>
          <w:p w:rsidR="003C576B" w:rsidRPr="003C576B" w:rsidRDefault="00FB4EAC" w:rsidP="003C576B">
            <w:pPr>
              <w:ind w:left="115" w:right="190"/>
              <w:jc w:val="both"/>
            </w:pPr>
            <w:r w:rsidRPr="00632111">
              <w:t>Ja tiek salīdzināts investīciju ieguvums Latvijai, tie projekti, kas enerģijas ražošanā paredz izmantot Latvijā iegūtus biomasas resursus, ir ekonomiski izdevīgāki, radot papildu ieguvumus tautsaimniecības attīstībai</w:t>
            </w:r>
            <w:r w:rsidR="006F0171" w:rsidRPr="00632111">
              <w:t>.</w:t>
            </w:r>
            <w:r w:rsidR="003C576B" w:rsidRPr="00B034EE">
              <w:rPr>
                <w:sz w:val="22"/>
                <w:szCs w:val="22"/>
              </w:rPr>
              <w:t xml:space="preserve"> Ir jāuzsver, ka biomasu var izmantot gan siltumenerģijas un elektroenerģijas ražošanai, gan kā „biodegvielu”, t.i. biomasas izmantošanu transporta nozarē.</w:t>
            </w:r>
          </w:p>
          <w:p w:rsidR="006F0171" w:rsidRPr="00632111" w:rsidRDefault="006F0171" w:rsidP="006F0171">
            <w:pPr>
              <w:tabs>
                <w:tab w:val="left" w:pos="-139"/>
              </w:tabs>
              <w:ind w:left="115" w:right="193"/>
              <w:jc w:val="both"/>
            </w:pPr>
            <w:r w:rsidRPr="00632111">
              <w:t>Likumprojektā tiek ievēroti sekojoši piemaksas veidošanas principi:</w:t>
            </w:r>
          </w:p>
          <w:p w:rsidR="006F0171" w:rsidRPr="00632111" w:rsidRDefault="006F0171" w:rsidP="006F0171">
            <w:pPr>
              <w:tabs>
                <w:tab w:val="left" w:pos="180"/>
                <w:tab w:val="left" w:pos="360"/>
              </w:tabs>
              <w:ind w:left="115"/>
              <w:jc w:val="both"/>
            </w:pPr>
            <w:r w:rsidRPr="00632111">
              <w:t>- tiem jābūt pēc iespējas vienkāršākiem;</w:t>
            </w:r>
          </w:p>
          <w:p w:rsidR="006F0171" w:rsidRPr="00632111" w:rsidRDefault="006F0171" w:rsidP="006F0171">
            <w:pPr>
              <w:tabs>
                <w:tab w:val="left" w:pos="180"/>
                <w:tab w:val="left" w:pos="360"/>
              </w:tabs>
              <w:ind w:left="115" w:right="190"/>
              <w:jc w:val="both"/>
            </w:pPr>
            <w:r w:rsidRPr="00632111">
              <w:t>- iespējami jāveicina, lai AER ražotņu attīstība notiktu pēc ekonomiskā izdevīguma principa.</w:t>
            </w:r>
          </w:p>
          <w:p w:rsidR="004122E1" w:rsidRDefault="004122E1" w:rsidP="00927884">
            <w:pPr>
              <w:tabs>
                <w:tab w:val="left" w:pos="-139"/>
              </w:tabs>
              <w:ind w:left="115" w:right="193"/>
              <w:jc w:val="both"/>
              <w:rPr>
                <w:b/>
                <w:iCs/>
              </w:rPr>
            </w:pPr>
            <w:r>
              <w:rPr>
                <w:b/>
                <w:iCs/>
              </w:rPr>
              <w:t>Likumprojekts paredz piemaksu par elektroenerģijas pārdošanu, kas likumā noteiktajos gadījumos var veidoties no sekojošām komponentēm:</w:t>
            </w:r>
          </w:p>
          <w:p w:rsidR="00EE311E" w:rsidRDefault="00EE311E" w:rsidP="00927884">
            <w:pPr>
              <w:tabs>
                <w:tab w:val="left" w:pos="-139"/>
              </w:tabs>
              <w:ind w:left="115" w:right="193"/>
              <w:jc w:val="both"/>
              <w:rPr>
                <w:b/>
                <w:iCs/>
              </w:rPr>
            </w:pPr>
            <w:r w:rsidRPr="00EE311E">
              <w:rPr>
                <w:b/>
                <w:iCs/>
              </w:rPr>
              <w:t>1) jaudas komponente</w:t>
            </w:r>
          </w:p>
          <w:p w:rsidR="00171704" w:rsidRPr="00171704" w:rsidRDefault="00171704" w:rsidP="00171704">
            <w:pPr>
              <w:tabs>
                <w:tab w:val="left" w:pos="-139"/>
              </w:tabs>
              <w:ind w:left="113" w:right="193"/>
              <w:jc w:val="both"/>
            </w:pPr>
            <w:r w:rsidRPr="001D1400">
              <w:t xml:space="preserve">Atjaunojamās </w:t>
            </w:r>
            <w:r w:rsidRPr="00171704">
              <w:t>enerģijas ražotājs, kas ražo atjaunojamo elektroenerģiju un pārdod to elektroenerģijas tirgū, kas spēj nodrošināt elektrostacijas ražošanas jaudas izmantošanas stundu skaitu ne mazāku kā 3500 stundas gadā, 15 gadus no atjaunojamās enerģijas ražotnē ražotās elektroenerģijas pārdošanas uzsākšanas dienas var iegūt tiesības saņemt SEG komponenti, kas līdz 2015.gada 31.decembrim ir konstants lielums.</w:t>
            </w:r>
          </w:p>
          <w:p w:rsidR="00525EDB" w:rsidRPr="004122E1" w:rsidRDefault="00EE311E" w:rsidP="00525EDB">
            <w:pPr>
              <w:tabs>
                <w:tab w:val="left" w:pos="115"/>
                <w:tab w:val="left" w:pos="180"/>
              </w:tabs>
              <w:ind w:left="115" w:right="190"/>
              <w:jc w:val="both"/>
            </w:pPr>
            <w:r w:rsidRPr="001D1400">
              <w:t>Jaudas komponentes noteikšanas princips - komponenti ir tiesīgi saņemt tie atjaunojamās enerģijas ražotāji, kuru atjaunojamās enerģijas ražotņu jaudas izmantošanas ilgums gada laikā ir pietiekami liels, lai varētu uzskatīt, ka šāda ražotne piedalās elektrosistēmas t.s. „bāzes slodzes” nodrošināšanā</w:t>
            </w:r>
            <w:r w:rsidR="00FB4EAC" w:rsidRPr="001D1400">
              <w:t xml:space="preserve">, ņemot vērā nepieciešamību palielināt bāzes jaudas elektrosistēmā. </w:t>
            </w:r>
            <w:r w:rsidRPr="001D1400">
              <w:t>Tādā gadījumā ir pamats uzskatīt, ka minētā ražotne „novērš” nepieciešamību pēc investīcijām fosilos energoresursus izmantojošas bāzes jaudu spēkstacijas būvniecībā un ir tiesīgs saņemt jaudas komponenti</w:t>
            </w:r>
            <w:r w:rsidR="006F0171" w:rsidRPr="001D1400">
              <w:t>.</w:t>
            </w:r>
            <w:r w:rsidRPr="001D1400">
              <w:t xml:space="preserve"> (</w:t>
            </w:r>
            <w:r w:rsidR="006F0171" w:rsidRPr="001D1400">
              <w:t>L</w:t>
            </w:r>
            <w:r w:rsidRPr="001D1400">
              <w:t>īdzīgu komponenti līdz 2010.gada 1.novembrim bija tiesīga saņemt arī fosilos energoresursus izmantojošā spēkstacija, kas elektroenerģiju ražo koģenerācijā, saskaņā ar MK noteikumiem Nr.221, ja tā atbilda noteiktiem efektivitātes kritērijiem).</w:t>
            </w:r>
            <w:r w:rsidR="006F0171" w:rsidRPr="001D1400">
              <w:t xml:space="preserve"> Aprēķina princips - jaudas komponente tiek </w:t>
            </w:r>
            <w:r w:rsidR="006F0171" w:rsidRPr="004122E1">
              <w:t xml:space="preserve">noteikta, izmantojot to pašu </w:t>
            </w:r>
            <w:r w:rsidR="006F0171" w:rsidRPr="004122E1">
              <w:lastRenderedPageBreak/>
              <w:t>maksājumu par 1 MW jaudas gadā (157 750 Ls</w:t>
            </w:r>
            <w:r w:rsidR="004122E1" w:rsidRPr="004122E1">
              <w:t>/</w:t>
            </w:r>
            <w:r w:rsidR="004122E1" w:rsidRPr="004122E1">
              <w:rPr>
                <w:bCs/>
                <w:color w:val="000000"/>
              </w:rPr>
              <w:t>224 458</w:t>
            </w:r>
            <w:r w:rsidR="00171704">
              <w:rPr>
                <w:bCs/>
                <w:color w:val="000000"/>
              </w:rPr>
              <w:t xml:space="preserve"> EUR</w:t>
            </w:r>
            <w:r w:rsidR="006F0171" w:rsidRPr="004122E1">
              <w:t>), kas</w:t>
            </w:r>
            <w:r w:rsidR="006F0171" w:rsidRPr="001D1400">
              <w:t xml:space="preserve"> noteikts MK noteikum</w:t>
            </w:r>
            <w:r w:rsidR="008C643F">
              <w:t>u</w:t>
            </w:r>
            <w:r w:rsidR="006F0171" w:rsidRPr="001D1400">
              <w:t xml:space="preserve"> Nr. 262 80.punktā, rēķinot </w:t>
            </w:r>
            <w:r w:rsidR="004122E1">
              <w:t xml:space="preserve">garantēto </w:t>
            </w:r>
            <w:r w:rsidR="006F0171" w:rsidRPr="001D1400">
              <w:t>maksu par jaudu. Šāda skaitļa piemērošanai likumprojektā</w:t>
            </w:r>
            <w:r w:rsidR="004122E1">
              <w:t xml:space="preserve"> </w:t>
            </w:r>
            <w:r w:rsidR="006F0171" w:rsidRPr="001D1400">
              <w:t xml:space="preserve">tika ņemts vērā šobrīd pastāvošais regulējums, kur šis skaitlis noteikts atbilstoši ogļu elektrostacijas kapitālizmaksām gadā, rēķinot uz 1 MW uzstādītās elektriskās jaudas. Šajā gadījumā jaudas komponentes Cj aprēķinā uzstādītā jauda netiek ņemta </w:t>
            </w:r>
            <w:r w:rsidR="006F0171" w:rsidRPr="004122E1">
              <w:t>vērā, aprēķinu veicot uz 1 MWh elektroenerģijas.</w:t>
            </w:r>
          </w:p>
          <w:p w:rsidR="00525EDB" w:rsidRPr="00525EDB" w:rsidRDefault="00EE311E" w:rsidP="00525EDB">
            <w:pPr>
              <w:tabs>
                <w:tab w:val="left" w:pos="115"/>
                <w:tab w:val="left" w:pos="180"/>
              </w:tabs>
              <w:ind w:left="115" w:right="190"/>
              <w:jc w:val="both"/>
            </w:pPr>
            <w:r w:rsidRPr="004122E1">
              <w:t xml:space="preserve">Atjaunojamās enerģijas ražotnes, kuras ražošanas jauda ir laikā ievērojami nepastāvīga un </w:t>
            </w:r>
            <w:r w:rsidR="004122E1" w:rsidRPr="004122E1">
              <w:t>uzstādītās elektriskās jaudas izmantošanas stundu skait</w:t>
            </w:r>
            <w:r w:rsidR="00171704">
              <w:t>s</w:t>
            </w:r>
            <w:r w:rsidR="004122E1" w:rsidRPr="004122E1">
              <w:t xml:space="preserve"> ir mazāks par 3500 stundām gadā, </w:t>
            </w:r>
            <w:r w:rsidRPr="004122E1">
              <w:t>nebūtu uzskatām</w:t>
            </w:r>
            <w:r w:rsidR="00171704">
              <w:t>as</w:t>
            </w:r>
            <w:r w:rsidRPr="00525EDB">
              <w:t xml:space="preserve"> par bāzes jaudas avotiem. </w:t>
            </w:r>
            <w:r w:rsidR="00525EDB" w:rsidRPr="00525EDB">
              <w:t xml:space="preserve">Nosakot katram AER tehnoloģiju veidam savu stundu skaitu pilnībā zustu jaudas komponentes piemērošanas jēga un piemaksas veidošanas princips, pat, ja tiek piemērots korekcijas koeficients.  </w:t>
            </w:r>
          </w:p>
          <w:p w:rsidR="00EE311E" w:rsidRPr="001D1400" w:rsidRDefault="004122E1" w:rsidP="00EE311E">
            <w:pPr>
              <w:tabs>
                <w:tab w:val="left" w:pos="115"/>
                <w:tab w:val="left" w:pos="180"/>
              </w:tabs>
              <w:ind w:left="115" w:right="190"/>
              <w:jc w:val="both"/>
            </w:pPr>
            <w:r>
              <w:t xml:space="preserve">Veidojot jaudas komponentes apjomu, </w:t>
            </w:r>
            <w:r w:rsidR="00171704">
              <w:t xml:space="preserve">tika ņemts vērā </w:t>
            </w:r>
            <w:r>
              <w:t>e</w:t>
            </w:r>
            <w:r w:rsidR="00EE311E" w:rsidRPr="001D1400">
              <w:t>lektriskās jaudas izmantošanas stundu skaits 4800</w:t>
            </w:r>
            <w:r w:rsidR="00171704">
              <w:t>, kas</w:t>
            </w:r>
            <w:r w:rsidR="00EE311E" w:rsidRPr="001D1400">
              <w:t xml:space="preserve"> izvēlēts, pamatojoties uz sekojošiem apsvērumiem:</w:t>
            </w:r>
          </w:p>
          <w:p w:rsidR="00EE311E" w:rsidRPr="001D1400" w:rsidRDefault="00EE311E" w:rsidP="00EE311E">
            <w:pPr>
              <w:tabs>
                <w:tab w:val="left" w:pos="-139"/>
                <w:tab w:val="left" w:pos="115"/>
                <w:tab w:val="left" w:pos="180"/>
              </w:tabs>
              <w:ind w:left="115" w:right="190"/>
              <w:jc w:val="both"/>
            </w:pPr>
            <w:r w:rsidRPr="001D1400">
              <w:t>- lielāko īpatsvaru starp jaudas komponentes saņēmējiem veidos koģenerācijas stacijas, kuru uzstādīto jaudu parasti izvēlas tādu, lai tās izmantošanas stundu skaits būtu ne mazāks kā apkures perioda ilgums;</w:t>
            </w:r>
          </w:p>
          <w:p w:rsidR="00EE311E" w:rsidRPr="001D1400" w:rsidRDefault="00EE311E" w:rsidP="00EE311E">
            <w:pPr>
              <w:tabs>
                <w:tab w:val="left" w:pos="-139"/>
                <w:tab w:val="left" w:pos="115"/>
                <w:tab w:val="left" w:pos="180"/>
              </w:tabs>
              <w:ind w:left="115" w:right="190"/>
              <w:jc w:val="both"/>
              <w:rPr>
                <w:b/>
              </w:rPr>
            </w:pPr>
            <w:r w:rsidRPr="001D1400">
              <w:t>- kā raksturīgais apkures perioda ilgums tika izvēlēts apkures perioda ilgums Rīgas pilsētā (ievērojot, ka Rīgas centralizētās siltumapgādes sistēmā tiek realizēti vidēji 50% no visas Latvijas centralizētās siltumapgādes siltuma patēriņa</w:t>
            </w:r>
            <w:r w:rsidRPr="001D1400">
              <w:rPr>
                <w:rStyle w:val="FootnoteReference"/>
              </w:rPr>
              <w:footnoteReference w:id="1"/>
            </w:r>
            <w:r w:rsidRPr="001D1400">
              <w:t>), kas ir norādīts LBN 003-01 „</w:t>
            </w:r>
            <w:proofErr w:type="spellStart"/>
            <w:r w:rsidRPr="001D1400">
              <w:t>Būvklimatoloģija</w:t>
            </w:r>
            <w:proofErr w:type="spellEnd"/>
            <w:r w:rsidRPr="001D1400">
              <w:t xml:space="preserve">”, t.i. 203 diennaktis jeb </w:t>
            </w:r>
            <w:r w:rsidRPr="008C643F">
              <w:t>4872 stundas. Likumprojektā tiek ietverta noapaļota summa 4800 stundas</w:t>
            </w:r>
            <w:r w:rsidRPr="008C643F">
              <w:rPr>
                <w:rStyle w:val="FootnoteReference"/>
              </w:rPr>
              <w:footnoteReference w:id="2"/>
            </w:r>
            <w:r w:rsidRPr="008C643F">
              <w:t>.</w:t>
            </w:r>
          </w:p>
          <w:p w:rsidR="00EE311E" w:rsidRDefault="00FB4EAC" w:rsidP="00EE311E">
            <w:pPr>
              <w:tabs>
                <w:tab w:val="left" w:pos="-139"/>
                <w:tab w:val="left" w:pos="115"/>
                <w:tab w:val="left" w:pos="180"/>
              </w:tabs>
              <w:ind w:left="115" w:right="190"/>
              <w:jc w:val="both"/>
            </w:pPr>
            <w:r w:rsidRPr="00FB4EAC">
              <w:rPr>
                <w:iCs/>
              </w:rPr>
              <w:t>Reizinātājs</w:t>
            </w:r>
            <w:r>
              <w:rPr>
                <w:i/>
                <w:iCs/>
              </w:rPr>
              <w:t xml:space="preserve"> </w:t>
            </w:r>
            <w:r w:rsidR="00EE311E" w:rsidRPr="003832E9">
              <w:rPr>
                <w:i/>
                <w:iCs/>
              </w:rPr>
              <w:t>e</w:t>
            </w:r>
            <w:r>
              <w:t xml:space="preserve"> ir </w:t>
            </w:r>
            <w:r w:rsidRPr="003832E9">
              <w:t xml:space="preserve">Latvijas Bankas noteiktais Eiropas Savienības vienotais valūtas kurss pret latu dienā, kad </w:t>
            </w:r>
            <w:r w:rsidR="00171704">
              <w:t>veic no</w:t>
            </w:r>
            <w:r w:rsidRPr="003832E9">
              <w:t>rēķin</w:t>
            </w:r>
            <w:r w:rsidR="00171704">
              <w:t>u</w:t>
            </w:r>
            <w:r w:rsidRPr="003832E9">
              <w:t xml:space="preserve"> </w:t>
            </w:r>
            <w:r>
              <w:t>(eiro</w:t>
            </w:r>
            <w:r w:rsidR="00171704">
              <w:t>). Tas</w:t>
            </w:r>
            <w:r w:rsidR="00EE311E" w:rsidRPr="003832E9">
              <w:t xml:space="preserve"> </w:t>
            </w:r>
            <w:r>
              <w:t xml:space="preserve">tiek </w:t>
            </w:r>
            <w:r w:rsidR="00171704">
              <w:t>piemērots</w:t>
            </w:r>
            <w:r>
              <w:t>, lai atjaunojamās enerģijas ražotājs būtu pasargāts no valūtu svārstībām.</w:t>
            </w:r>
          </w:p>
          <w:p w:rsidR="00FB4EAC" w:rsidRPr="00171704" w:rsidRDefault="00171704" w:rsidP="00EE311E">
            <w:pPr>
              <w:tabs>
                <w:tab w:val="left" w:pos="-139"/>
                <w:tab w:val="left" w:pos="115"/>
                <w:tab w:val="left" w:pos="180"/>
              </w:tabs>
              <w:ind w:left="115" w:right="190"/>
              <w:jc w:val="both"/>
            </w:pPr>
            <w:r w:rsidRPr="00171704">
              <w:t>Ražotāji, kas nenodrošina elektrostacijas ražošanas jaudas izmantošanas stundu skaitu 3500 stundas gadā, ir</w:t>
            </w:r>
            <w:r w:rsidR="00FB4EAC" w:rsidRPr="00171704">
              <w:t xml:space="preserve"> tiesīgi saņemt SEG komponenti un pretendēt uz citiem atbalsta mehānismiem.</w:t>
            </w:r>
          </w:p>
          <w:p w:rsidR="00EE311E" w:rsidRPr="001D1400" w:rsidRDefault="00EE311E" w:rsidP="00927884">
            <w:pPr>
              <w:tabs>
                <w:tab w:val="left" w:pos="-139"/>
              </w:tabs>
              <w:ind w:left="115" w:right="193"/>
              <w:jc w:val="both"/>
              <w:rPr>
                <w:b/>
                <w:iCs/>
              </w:rPr>
            </w:pPr>
            <w:r w:rsidRPr="001D1400">
              <w:rPr>
                <w:b/>
                <w:iCs/>
              </w:rPr>
              <w:t>2) SEG komponente</w:t>
            </w:r>
          </w:p>
          <w:p w:rsidR="00171704" w:rsidRPr="00171704" w:rsidRDefault="00ED0290" w:rsidP="00171704">
            <w:pPr>
              <w:tabs>
                <w:tab w:val="left" w:pos="-139"/>
              </w:tabs>
              <w:ind w:left="113" w:right="193"/>
              <w:jc w:val="both"/>
            </w:pPr>
            <w:r w:rsidRPr="001D1400">
              <w:t>Atjaunojamās enerģijas ražotājs, kas ražo atjaunojamo elektroenerģiju un pārdod to elektroenerģijas tirgū, 15 gadu periodā no atjaunojamās enerģijas ražotnē ražotās elektroenerģijas pārdošanas uzsākšanas dienas var iegūt</w:t>
            </w:r>
            <w:r w:rsidR="00171704">
              <w:t xml:space="preserve"> tiesības saņemt SEG komponenti,</w:t>
            </w:r>
            <w:r w:rsidR="00171704" w:rsidRPr="00171704">
              <w:t xml:space="preserve"> kas līdz 2015.gada 31.decembrim ir konstants lielums.</w:t>
            </w:r>
          </w:p>
          <w:p w:rsidR="001D1400" w:rsidRPr="001D1400" w:rsidRDefault="001D1400" w:rsidP="001D1400">
            <w:pPr>
              <w:tabs>
                <w:tab w:val="left" w:pos="-139"/>
              </w:tabs>
              <w:ind w:left="113" w:right="193"/>
              <w:jc w:val="both"/>
            </w:pPr>
            <w:r w:rsidRPr="001D1400">
              <w:t>SEG komponentes reizinājuma pamatojams ar to, ka, pirmkārt, atjaunojamo energoresursu tehnoloģijas „novērš” CO</w:t>
            </w:r>
            <w:r w:rsidRPr="001D1400">
              <w:rPr>
                <w:vertAlign w:val="subscript"/>
              </w:rPr>
              <w:t>2</w:t>
            </w:r>
            <w:r w:rsidRPr="001D1400">
              <w:t xml:space="preserve"> izmaksas, kas saistītas ar elektroenerģijas ražošanu potenciālā ogļu elektrostacijā, otrkārt, SEG komponentes reizinātāju aprēķina sekojoši:</w:t>
            </w:r>
          </w:p>
          <w:p w:rsidR="001D1400" w:rsidRPr="001D1400" w:rsidRDefault="001D1400" w:rsidP="001D1400">
            <w:pPr>
              <w:tabs>
                <w:tab w:val="left" w:pos="-139"/>
              </w:tabs>
              <w:ind w:left="113" w:right="193"/>
              <w:jc w:val="both"/>
            </w:pPr>
            <w:r w:rsidRPr="001D1400">
              <w:t xml:space="preserve"> -  kurināmā (ogļu) enerģijas patēriņu, kāds būtu ogļu stacijā, saražojot atbilstošo elektroenerģijas daudzumu, reizinot ar CO</w:t>
            </w:r>
            <w:r w:rsidRPr="001D1400">
              <w:rPr>
                <w:vertAlign w:val="subscript"/>
              </w:rPr>
              <w:t>2</w:t>
            </w:r>
            <w:r w:rsidRPr="001D1400">
              <w:t xml:space="preserve"> emisiju faktoru oglēm. Proti, SEG komponentes reizinātājs = kurināmā patēriņš x CO</w:t>
            </w:r>
            <w:r w:rsidRPr="001D1400">
              <w:rPr>
                <w:vertAlign w:val="subscript"/>
              </w:rPr>
              <w:t>2</w:t>
            </w:r>
            <w:r w:rsidRPr="001D1400">
              <w:t xml:space="preserve"> </w:t>
            </w:r>
            <w:r w:rsidRPr="001D1400">
              <w:lastRenderedPageBreak/>
              <w:t>emisiju faktors oglēm. Pieņemot, ka elektroenerģijas pārvades un sadales zudumi ir 10%, tad, lai nodrošinātu 1 MWh elektroenerģijas piegādi (MWhe) ir nepieciešams saražot 1,1 MWhe. Ja ogļu stacijas elektrības ražošanas neto lietderības koeficients ir 45%, tad kurināmā patēriņš ir 1,1/0,45 = 2,44 (</w:t>
            </w:r>
            <w:proofErr w:type="spellStart"/>
            <w:r w:rsidRPr="001D1400">
              <w:t>MWhk</w:t>
            </w:r>
            <w:proofErr w:type="spellEnd"/>
            <w:r w:rsidRPr="001D1400">
              <w:t>/MWhe). CO</w:t>
            </w:r>
            <w:r w:rsidRPr="001D1400">
              <w:rPr>
                <w:vertAlign w:val="subscript"/>
              </w:rPr>
              <w:t>2</w:t>
            </w:r>
            <w:r w:rsidRPr="001D1400">
              <w:t xml:space="preserve"> emisiju faktors oglēm saskaņā ar Klimata Pārmaiņu Starpvaldību padomes (IPCC) izstrādātajām vadlīnijām ir 0,339 t CO</w:t>
            </w:r>
            <w:r w:rsidRPr="001D1400">
              <w:rPr>
                <w:vertAlign w:val="subscript"/>
              </w:rPr>
              <w:t>2</w:t>
            </w:r>
            <w:r w:rsidRPr="001D1400">
              <w:t>/</w:t>
            </w:r>
            <w:proofErr w:type="spellStart"/>
            <w:r w:rsidRPr="001D1400">
              <w:t>MWhk</w:t>
            </w:r>
            <w:proofErr w:type="spellEnd"/>
            <w:r w:rsidRPr="001D1400">
              <w:t>, un līdz ar to SEG komponentes reizinātājs = kurināmā patēriņš x CO</w:t>
            </w:r>
            <w:r w:rsidRPr="001D1400">
              <w:rPr>
                <w:vertAlign w:val="subscript"/>
              </w:rPr>
              <w:t>2</w:t>
            </w:r>
            <w:r w:rsidRPr="001D1400">
              <w:t xml:space="preserve"> emisiju faktors oglēm = 2,44 x 0,339 = 0,83 tCO</w:t>
            </w:r>
            <w:r w:rsidRPr="001D1400">
              <w:rPr>
                <w:vertAlign w:val="subscript"/>
              </w:rPr>
              <w:t>2</w:t>
            </w:r>
            <w:r w:rsidRPr="001D1400">
              <w:t>/MWhe.</w:t>
            </w:r>
          </w:p>
          <w:p w:rsidR="00ED0290" w:rsidRPr="001D1400" w:rsidRDefault="00ED0290" w:rsidP="001D1400">
            <w:pPr>
              <w:tabs>
                <w:tab w:val="left" w:pos="-139"/>
              </w:tabs>
              <w:ind w:left="113" w:right="193"/>
              <w:jc w:val="both"/>
              <w:rPr>
                <w:bCs/>
              </w:rPr>
            </w:pPr>
            <w:r w:rsidRPr="001D1400">
              <w:t>C</w:t>
            </w:r>
            <w:r w:rsidRPr="001D1400">
              <w:rPr>
                <w:vertAlign w:val="subscript"/>
              </w:rPr>
              <w:t>CO2</w:t>
            </w:r>
            <w:r w:rsidRPr="001D1400">
              <w:rPr>
                <w:vertAlign w:val="superscript"/>
              </w:rPr>
              <w:t xml:space="preserve"> </w:t>
            </w:r>
            <w:r w:rsidRPr="001D1400">
              <w:t>likumprojektā tiek skaidrota kā</w:t>
            </w:r>
            <w:r w:rsidRPr="001D1400">
              <w:rPr>
                <w:bCs/>
              </w:rPr>
              <w:t xml:space="preserve"> novērsto CO</w:t>
            </w:r>
            <w:r w:rsidRPr="001D1400">
              <w:rPr>
                <w:bCs/>
                <w:vertAlign w:val="subscript"/>
              </w:rPr>
              <w:t xml:space="preserve">2 </w:t>
            </w:r>
            <w:r w:rsidRPr="001D1400">
              <w:rPr>
                <w:bCs/>
              </w:rPr>
              <w:t>ekonomiskā efektivitāte (Ls/t), piesaistot to emisiju kvotu cenai biržā attiecīgajā brīdī  per</w:t>
            </w:r>
            <w:r w:rsidR="00810FEB">
              <w:rPr>
                <w:bCs/>
              </w:rPr>
              <w:t>iodā pēc 2015.gada</w:t>
            </w:r>
            <w:r w:rsidRPr="001D1400">
              <w:rPr>
                <w:bCs/>
              </w:rPr>
              <w:t>, kad tā varētu būt augstāka kā šobrīd aktuālā.</w:t>
            </w:r>
            <w:r w:rsidR="00E0415E" w:rsidRPr="009C4B27">
              <w:rPr>
                <w:sz w:val="22"/>
                <w:szCs w:val="22"/>
              </w:rPr>
              <w:t xml:space="preserve"> Pēc 2015.gada </w:t>
            </w:r>
            <w:r w:rsidR="00E0415E">
              <w:rPr>
                <w:sz w:val="22"/>
                <w:szCs w:val="22"/>
              </w:rPr>
              <w:t>SEG komponente</w:t>
            </w:r>
            <w:r w:rsidR="00E0415E" w:rsidRPr="009C4B27">
              <w:rPr>
                <w:sz w:val="22"/>
                <w:szCs w:val="22"/>
              </w:rPr>
              <w:t xml:space="preserve"> būs</w:t>
            </w:r>
            <w:r w:rsidR="00E0415E">
              <w:rPr>
                <w:sz w:val="22"/>
                <w:szCs w:val="22"/>
              </w:rPr>
              <w:t xml:space="preserve"> atkarīga no</w:t>
            </w:r>
            <w:r w:rsidR="00E0415E" w:rsidRPr="009C4B27">
              <w:rPr>
                <w:sz w:val="22"/>
                <w:szCs w:val="22"/>
              </w:rPr>
              <w:t xml:space="preserve"> tā brīža emisiju tirdzniecības cenām biržā.</w:t>
            </w:r>
          </w:p>
          <w:p w:rsidR="00EE311E" w:rsidRDefault="00EE311E" w:rsidP="00927884">
            <w:pPr>
              <w:tabs>
                <w:tab w:val="left" w:pos="-139"/>
              </w:tabs>
              <w:ind w:left="115" w:right="193"/>
              <w:jc w:val="both"/>
              <w:rPr>
                <w:b/>
                <w:iCs/>
              </w:rPr>
            </w:pPr>
            <w:r w:rsidRPr="00EE311E">
              <w:rPr>
                <w:b/>
                <w:iCs/>
              </w:rPr>
              <w:t>3) lauksaimniecības komponente</w:t>
            </w:r>
          </w:p>
          <w:p w:rsidR="00810FEB" w:rsidRPr="00E0415E" w:rsidRDefault="00810FEB" w:rsidP="00810FEB">
            <w:pPr>
              <w:tabs>
                <w:tab w:val="left" w:pos="-139"/>
              </w:tabs>
              <w:ind w:left="113" w:right="193"/>
              <w:jc w:val="both"/>
            </w:pPr>
            <w:r w:rsidRPr="001D1400">
              <w:t>Atjaunojamās enerģijas ražotājs, kas ražo atjaunojamo elektroenerģiju</w:t>
            </w:r>
            <w:r>
              <w:t xml:space="preserve"> no kūtsmēsliem</w:t>
            </w:r>
            <w:r w:rsidRPr="001D1400">
              <w:t xml:space="preserve"> un pārdod to elektroenerģijas tirgū, 15 gadu periodā no atjaunojamās enerģijas ražotnē ražotās elektroenerģijas pārdošanas uzsākšanas </w:t>
            </w:r>
            <w:r w:rsidRPr="00E0415E">
              <w:t>dienas var iegūt tiesības saņemt lauksaimniecības komponenti, kas līdz 2015.gada 31.decembrim ir konstants lielums.</w:t>
            </w:r>
          </w:p>
          <w:p w:rsidR="00E0415E" w:rsidRPr="00171704" w:rsidRDefault="00E0415E" w:rsidP="00810FEB">
            <w:pPr>
              <w:tabs>
                <w:tab w:val="left" w:pos="-139"/>
              </w:tabs>
              <w:ind w:left="113" w:right="193"/>
              <w:jc w:val="both"/>
            </w:pPr>
            <w:r w:rsidRPr="00E0415E">
              <w:t>Pēc 2015.gada lauksaimniecības komponente būs atkarīga no tā brīža emisiju tirdzniecības cenām biržā</w:t>
            </w:r>
            <w:r w:rsidRPr="009C4B27">
              <w:rPr>
                <w:sz w:val="22"/>
                <w:szCs w:val="22"/>
              </w:rPr>
              <w:t>.</w:t>
            </w:r>
          </w:p>
          <w:p w:rsidR="007813FF" w:rsidRPr="00525EDB" w:rsidRDefault="007813FF" w:rsidP="00927884">
            <w:pPr>
              <w:tabs>
                <w:tab w:val="left" w:pos="-139"/>
              </w:tabs>
              <w:ind w:left="115" w:right="193"/>
              <w:jc w:val="both"/>
              <w:rPr>
                <w:b/>
                <w:iCs/>
              </w:rPr>
            </w:pPr>
            <w:r w:rsidRPr="00525EDB">
              <w:t>Plānojot lauksaimniecības komponentes ieviešanu, tiek ņemts vērā efekts, kāds biogāzes uztveršanai ir uz siltumnīcefektu gāzu (turpmāk - SEG) emisiju samazināšanas procesu, aizstājot fosilos kurināmos un samazinot  metāna emisijas, kas kopumā veicina vides aizsardzību un lauksaimniecības attīstību.</w:t>
            </w:r>
            <w:r w:rsidR="00525EDB" w:rsidRPr="00525EDB">
              <w:t xml:space="preserve"> Vienlaikus ir jāapsver iespējamais kontroles mehānisms, kas nodrošina, lai, attīstot decentralizētas  koģenerācijas stacijas, energoresursu loģistika tiktu plānota  racionāli. Saistībā ar bioloģiski šķidro kurināmo ilgtspējības kritēriju noteikšanas nepieciešamību, ir jāapsver efektīva mehānisma izveidošanu, kas nodrošinātu šādu enerģijas resursu ieguves kontroli.</w:t>
            </w:r>
          </w:p>
          <w:p w:rsidR="003C576B" w:rsidRPr="008C643F" w:rsidRDefault="00814534" w:rsidP="003C576B">
            <w:pPr>
              <w:tabs>
                <w:tab w:val="left" w:pos="-139"/>
              </w:tabs>
              <w:spacing w:before="120"/>
              <w:ind w:left="113" w:right="193"/>
              <w:jc w:val="both"/>
            </w:pPr>
            <w:r w:rsidRPr="008C643F">
              <w:t xml:space="preserve">Direktīvas 2009/28/EK preambulas 25.punktā ir minēts, ka, lai valsts atbalsta shēmas pareizi darbotos, ir būtiski, lai dalībvalstis varētu kontrolēt savu valsts atbalsta shēmu ietekmi un izmaksas, līdz ar to,  ir nepieciešams veicināt elektroenerģijas, kas ražota no AER, konkurētspēju elektroenerģijas tirgū, līdz 2015.gadam ir paredzēts noteikt </w:t>
            </w:r>
            <w:r w:rsidR="00A14406">
              <w:t>konstantus</w:t>
            </w:r>
            <w:r w:rsidR="00E0415E">
              <w:t xml:space="preserve"> jaudas, </w:t>
            </w:r>
            <w:r w:rsidRPr="008C643F">
              <w:t>SEG komponenšu</w:t>
            </w:r>
            <w:r w:rsidR="00E0415E">
              <w:t xml:space="preserve"> un lauksaimniecības komponenšu</w:t>
            </w:r>
            <w:r w:rsidRPr="008C643F">
              <w:t xml:space="preserve"> apjomus, ko periodā pēc 2015.gada noteikts gan </w:t>
            </w:r>
            <w:r w:rsidR="00E0415E" w:rsidRPr="00E0415E">
              <w:t>emisiju tirdzniecības cen</w:t>
            </w:r>
            <w:r w:rsidR="00E0415E">
              <w:t>as</w:t>
            </w:r>
            <w:r w:rsidR="00E0415E" w:rsidRPr="00E0415E">
              <w:t xml:space="preserve"> biržā</w:t>
            </w:r>
            <w:r w:rsidR="00545647" w:rsidRPr="008C643F">
              <w:t>, gan valsts mērķa izpilde atbilstoši Direktīvas 2009/28/EK  I pielikuma B punktā noteiktajai trajektorijai.</w:t>
            </w:r>
          </w:p>
          <w:p w:rsidR="003C576B" w:rsidRPr="008C643F" w:rsidRDefault="003C576B" w:rsidP="003C576B">
            <w:pPr>
              <w:tabs>
                <w:tab w:val="left" w:pos="-139"/>
              </w:tabs>
              <w:spacing w:before="120"/>
              <w:ind w:left="113" w:right="193"/>
              <w:jc w:val="both"/>
            </w:pPr>
            <w:r w:rsidRPr="008C643F">
              <w:t xml:space="preserve">Lai neradītu nepamatoti augstu atbalsta intensitāti un sekojošu konkurences deformāciju tirgū, ir atbilstīgi jāizvērtē paralēli piemaksai lietojami citi atbalsta instrumenti (valsts piešķirtas subsīdijas, nodokļu atlaides un citi atbalsta veidi, kas būtu definējami kā valsts atbalsts Līguma par Eiropas Savienību darbību izpratnē), novērtējot kopējo atbalsta intensitāti atbildoši Komisijas 2008.gada 6.augusta Regulai Nr.800/2008, </w:t>
            </w:r>
            <w:r w:rsidRPr="008C643F">
              <w:rPr>
                <w:bCs/>
              </w:rPr>
              <w:t>kas atzīst noteiktas atbalsta kategorijas par saderīgām ar kopējo tirgu, piemērojot Līguma 107. un 108.</w:t>
            </w:r>
            <w:r w:rsidRPr="008C643F">
              <w:t xml:space="preserve"> </w:t>
            </w:r>
            <w:r w:rsidRPr="008C643F">
              <w:rPr>
                <w:bCs/>
              </w:rPr>
              <w:t>pantu (vispārējā grupu atbrīvojuma regula)</w:t>
            </w:r>
            <w:r w:rsidRPr="008C643F">
              <w:t>.</w:t>
            </w:r>
          </w:p>
          <w:p w:rsidR="003C576B" w:rsidRPr="00227447" w:rsidRDefault="003C576B" w:rsidP="003C576B">
            <w:pPr>
              <w:tabs>
                <w:tab w:val="left" w:pos="-139"/>
              </w:tabs>
              <w:spacing w:before="120"/>
              <w:ind w:left="113" w:right="193"/>
              <w:jc w:val="both"/>
            </w:pPr>
            <w:r w:rsidRPr="008C643F">
              <w:lastRenderedPageBreak/>
              <w:t xml:space="preserve">Vienlaikus Finanšu </w:t>
            </w:r>
            <w:r w:rsidRPr="00227447">
              <w:t>ministrija ir norādījusi, ka, sagatavojot 2011. un 2012.gada valsts budžetu būs jāturpina veikt fiskālās konsolidācijas pasākumi, tai skaitā valsts budžeta izdevumu samazināšana, lai izpildītu uzņemtās saistības pret starptautiskajiem aizdevējiem, bet turpmākajos gados jānodrošina saņemto starptautisko aizdevumu atmaksa.</w:t>
            </w:r>
          </w:p>
          <w:p w:rsidR="00632C4F" w:rsidRPr="00932CAB" w:rsidRDefault="00932CAB" w:rsidP="000844B5">
            <w:pPr>
              <w:tabs>
                <w:tab w:val="left" w:pos="-139"/>
              </w:tabs>
              <w:spacing w:before="120"/>
              <w:ind w:left="113" w:right="193"/>
              <w:jc w:val="both"/>
            </w:pPr>
            <w:r w:rsidRPr="00227447">
              <w:t>Likumprojekts paredz atbalstu atjaunojamās enerģijas ražotnēm, kuras uzstādītā elektriskā jauda nepārsniedz piecus megavatus, pieslēgšanai elektroenerģijas tīklam, ja ražotne atbilst noteiktajiem kritērijiem.</w:t>
            </w:r>
            <w:r w:rsidRPr="00227447" w:rsidDel="00932CAB">
              <w:t xml:space="preserve"> </w:t>
            </w:r>
            <w:r w:rsidR="00632C4F" w:rsidRPr="00227447">
              <w:t>Lai nodrošinātu Latvijas normatīvo aktu atbilstību Direktīvas 2009/28/EK 16.panam, nolūkā nodrošināt atjaunojamās elektroenerģijas ražotnes prioritāru pieslēgšanu elektroenerģijas pārvades vai sadales sistēmas</w:t>
            </w:r>
            <w:r w:rsidR="00632C4F" w:rsidRPr="00932CAB">
              <w:t xml:space="preserve"> pieslēguma vietai, kurā atbilstoši pamatotām tehniskajām prasībām un ekonomiski pamatotām izmaksām iespējams pieslēgt atjaunojamās elektroenerģijas ražotni, likumprojektā paredzēts ietvert deleģējumu Ministru kabinetam noteikt </w:t>
            </w:r>
            <w:r w:rsidR="00632C4F" w:rsidRPr="00932CAB">
              <w:rPr>
                <w:bCs/>
              </w:rPr>
              <w:t>tīkla pieslēguma pretendentu reģistra, kurā reģistrēti atjaunojamās enerģijas ražotāji, kas vēlas veikt jaunas atjaunojamās enerģijas ražotnes pieslēgšanu sistēmai vai esošā sistēmas pieslēguma pārveidošanu,  saturu, izveides, uzturēšanas un informācijas apmaiņas kārtību, kā arī kārtību, kādā atjaunojamās enerģijas ražotājs tiek iekļauts tīkla pieslēguma pretendentu reģistrā</w:t>
            </w:r>
            <w:r w:rsidRPr="00932CAB">
              <w:rPr>
                <w:bCs/>
              </w:rPr>
              <w:t xml:space="preserve"> un kārtību, kādā sniedzama informācija par </w:t>
            </w:r>
            <w:r w:rsidRPr="00932CAB">
              <w:t>atjaunojamās enerģijas ražotnē saražoto un patērēto enerģiju un izmantotajiem atjaunojamiem energoresursiem</w:t>
            </w:r>
            <w:r w:rsidR="004E3155" w:rsidRPr="00932CAB">
              <w:rPr>
                <w:bCs/>
              </w:rPr>
              <w:t>.</w:t>
            </w:r>
          </w:p>
          <w:p w:rsidR="000844B5" w:rsidRPr="000844B5" w:rsidRDefault="000844B5" w:rsidP="004D3CD8">
            <w:pPr>
              <w:tabs>
                <w:tab w:val="left" w:pos="-139"/>
              </w:tabs>
              <w:spacing w:before="120"/>
              <w:ind w:left="113" w:right="193"/>
              <w:jc w:val="both"/>
            </w:pPr>
            <w:r w:rsidRPr="0089218E">
              <w:t xml:space="preserve">Lai veicinātu </w:t>
            </w:r>
            <w:r w:rsidRPr="004D3CD8">
              <w:t xml:space="preserve">atjaunojamās elektroenerģijas ražošanu un patēriņu mājsaimniecībās, likumprojekts paredz </w:t>
            </w:r>
            <w:r w:rsidR="005D37E8" w:rsidRPr="004D3CD8">
              <w:t>noteiktu atbalstu mājsaimniecības sektoram</w:t>
            </w:r>
            <w:r w:rsidR="004D3CD8" w:rsidRPr="004D3CD8">
              <w:t>, paredzot autonomiem ražotājam, kam pieder vai kura lietošanā ir viena vai vairākas atjaunojamās elektroenerģijas ražošanas iekārtas, kuru nominālā jauda nepārsniedz 50kW, ir tiesības izmantot elektroenerģijas neto uzskaiti, kas ir publiskā tirgotāja un autonomā ražotāja savstarpējs norēķins, izmantojot elektroenerģijas apjomu 1kWh pret 1kWh</w:t>
            </w:r>
            <w:r w:rsidR="004D3CD8">
              <w:t xml:space="preserve">. Paredzēts noteikt norēķina periodu viena mēneša ietvaros. </w:t>
            </w:r>
          </w:p>
        </w:tc>
      </w:tr>
      <w:tr w:rsidR="00262E2B" w:rsidRPr="0056365F" w:rsidTr="00483D7F">
        <w:trPr>
          <w:trHeight w:val="169"/>
          <w:jc w:val="center"/>
        </w:trPr>
        <w:tc>
          <w:tcPr>
            <w:tcW w:w="600" w:type="dxa"/>
          </w:tcPr>
          <w:p w:rsidR="00262E2B" w:rsidRPr="0056365F" w:rsidRDefault="00262E2B" w:rsidP="00483D7F">
            <w:pPr>
              <w:pStyle w:val="naiskr"/>
              <w:spacing w:before="0" w:after="0"/>
              <w:jc w:val="center"/>
            </w:pPr>
            <w:r w:rsidRPr="0056365F">
              <w:lastRenderedPageBreak/>
              <w:t>5.</w:t>
            </w:r>
          </w:p>
        </w:tc>
        <w:tc>
          <w:tcPr>
            <w:tcW w:w="3047" w:type="dxa"/>
          </w:tcPr>
          <w:p w:rsidR="00262E2B" w:rsidRPr="0056365F" w:rsidRDefault="001A4066" w:rsidP="007657C2">
            <w:pPr>
              <w:pStyle w:val="naiskr"/>
              <w:spacing w:before="0" w:after="0"/>
            </w:pPr>
            <w:r w:rsidRPr="0056365F">
              <w:t>Projekta i</w:t>
            </w:r>
            <w:r w:rsidR="00262E2B" w:rsidRPr="0056365F">
              <w:t>zstrād</w:t>
            </w:r>
            <w:r w:rsidR="00420870" w:rsidRPr="0056365F">
              <w:t xml:space="preserve">ē </w:t>
            </w:r>
            <w:r w:rsidR="00262E2B" w:rsidRPr="0056365F">
              <w:t>iesaistītās institūcijas</w:t>
            </w:r>
          </w:p>
        </w:tc>
        <w:tc>
          <w:tcPr>
            <w:tcW w:w="5807" w:type="dxa"/>
          </w:tcPr>
          <w:p w:rsidR="00483502" w:rsidRPr="004C046A" w:rsidRDefault="004C046A" w:rsidP="00806C74">
            <w:pPr>
              <w:ind w:left="115" w:right="48"/>
              <w:jc w:val="both"/>
            </w:pPr>
            <w:r>
              <w:rPr>
                <w:color w:val="000000"/>
              </w:rPr>
              <w:t>L</w:t>
            </w:r>
            <w:r w:rsidR="00483502" w:rsidRPr="004C046A">
              <w:rPr>
                <w:color w:val="000000"/>
              </w:rPr>
              <w:t>ikumprojekta izstrād</w:t>
            </w:r>
            <w:r>
              <w:rPr>
                <w:color w:val="000000"/>
              </w:rPr>
              <w:t>ei</w:t>
            </w:r>
            <w:r w:rsidRPr="004C046A">
              <w:rPr>
                <w:color w:val="000000"/>
              </w:rPr>
              <w:t xml:space="preserve"> ar 2010.gada 15.februāra ekonomikas ministra rīkojumu Nr.39</w:t>
            </w:r>
            <w:r w:rsidR="00483502" w:rsidRPr="004C046A">
              <w:rPr>
                <w:color w:val="000000"/>
              </w:rPr>
              <w:t xml:space="preserve"> ir </w:t>
            </w:r>
            <w:r>
              <w:rPr>
                <w:color w:val="000000"/>
              </w:rPr>
              <w:t>izveidota</w:t>
            </w:r>
            <w:r w:rsidR="00483502" w:rsidRPr="004C046A">
              <w:rPr>
                <w:color w:val="000000"/>
              </w:rPr>
              <w:t xml:space="preserve"> darba </w:t>
            </w:r>
            <w:r>
              <w:rPr>
                <w:color w:val="000000"/>
              </w:rPr>
              <w:t>grupa.</w:t>
            </w:r>
          </w:p>
          <w:p w:rsidR="004260CD" w:rsidRPr="0056365F" w:rsidRDefault="00922E0A" w:rsidP="00806C74">
            <w:pPr>
              <w:ind w:left="115" w:right="48"/>
              <w:jc w:val="both"/>
            </w:pPr>
            <w:r w:rsidRPr="004C046A">
              <w:rPr>
                <w:color w:val="000000"/>
              </w:rPr>
              <w:t xml:space="preserve">Darba grupā ir pārstāvji no </w:t>
            </w:r>
            <w:r w:rsidR="004260CD" w:rsidRPr="004C046A">
              <w:t>Ekonomikas</w:t>
            </w:r>
            <w:r w:rsidR="004260CD">
              <w:t xml:space="preserve"> ministrija</w:t>
            </w:r>
            <w:r>
              <w:t xml:space="preserve">s, </w:t>
            </w:r>
            <w:r w:rsidR="004260CD">
              <w:t>Vides ministrija</w:t>
            </w:r>
            <w:r>
              <w:t xml:space="preserve">s, </w:t>
            </w:r>
            <w:r w:rsidR="004260CD">
              <w:t>Reģionālās attīstības un pašvaldību lietu ministrija</w:t>
            </w:r>
            <w:r>
              <w:t xml:space="preserve">s, </w:t>
            </w:r>
            <w:r w:rsidR="004260CD">
              <w:t>Satiksmes ministrija</w:t>
            </w:r>
            <w:r>
              <w:t xml:space="preserve">s, </w:t>
            </w:r>
            <w:r w:rsidR="004260CD">
              <w:t>Zemkopības ministrija</w:t>
            </w:r>
            <w:r>
              <w:t xml:space="preserve">s, </w:t>
            </w:r>
            <w:r w:rsidR="004260CD">
              <w:t>AS „Latvenergo”</w:t>
            </w:r>
            <w:r>
              <w:t xml:space="preserve">, </w:t>
            </w:r>
            <w:r w:rsidR="004260CD">
              <w:t>AS „Augstsprieguma tīkls”</w:t>
            </w:r>
            <w:r>
              <w:t xml:space="preserve">, </w:t>
            </w:r>
            <w:r w:rsidR="004260CD">
              <w:t>AS „Sadales tīkls”</w:t>
            </w:r>
            <w:r>
              <w:t xml:space="preserve">, </w:t>
            </w:r>
            <w:r w:rsidR="004260CD">
              <w:t>Sabiedrisko pakalpojumu regulēšanas komisija</w:t>
            </w:r>
            <w:r>
              <w:t xml:space="preserve">s, </w:t>
            </w:r>
            <w:r w:rsidR="002735E8">
              <w:t>Latvijas Pašvaldību savienības, Fizikālā Enerģētikas Institūta, Rīgas Tehniskās universitātes, Latvijas Lauksaimniecības universitātes, Latvijas Valsts mežzinātnes institūta „Silava”.</w:t>
            </w:r>
          </w:p>
        </w:tc>
      </w:tr>
      <w:tr w:rsidR="00262E2B" w:rsidRPr="0056365F" w:rsidTr="00483D7F">
        <w:trPr>
          <w:trHeight w:val="477"/>
          <w:jc w:val="center"/>
        </w:trPr>
        <w:tc>
          <w:tcPr>
            <w:tcW w:w="600" w:type="dxa"/>
          </w:tcPr>
          <w:p w:rsidR="00262E2B" w:rsidRPr="0056365F" w:rsidRDefault="00262E2B" w:rsidP="00483D7F">
            <w:pPr>
              <w:pStyle w:val="naiskr"/>
              <w:spacing w:before="0" w:after="0"/>
              <w:jc w:val="center"/>
            </w:pPr>
            <w:r w:rsidRPr="0056365F">
              <w:t>6.</w:t>
            </w:r>
          </w:p>
        </w:tc>
        <w:tc>
          <w:tcPr>
            <w:tcW w:w="3047" w:type="dxa"/>
          </w:tcPr>
          <w:p w:rsidR="00262E2B" w:rsidRPr="0056365F" w:rsidRDefault="00BB7C94" w:rsidP="007657C2">
            <w:pPr>
              <w:pStyle w:val="naiskr"/>
              <w:spacing w:before="0" w:after="0"/>
              <w:rPr>
                <w:i/>
                <w:highlight w:val="yellow"/>
              </w:rPr>
            </w:pPr>
            <w:r w:rsidRPr="0056365F">
              <w:t xml:space="preserve">Iemesli, kādēļ netika nodrošināta </w:t>
            </w:r>
            <w:r w:rsidR="00262E2B" w:rsidRPr="0056365F">
              <w:t xml:space="preserve">sabiedrības </w:t>
            </w:r>
            <w:r w:rsidRPr="0056365F">
              <w:t>līdzdalība</w:t>
            </w:r>
            <w:r w:rsidR="00AE1239" w:rsidRPr="0056365F">
              <w:t xml:space="preserve"> </w:t>
            </w:r>
          </w:p>
        </w:tc>
        <w:tc>
          <w:tcPr>
            <w:tcW w:w="5807" w:type="dxa"/>
          </w:tcPr>
          <w:p w:rsidR="00D20FF4" w:rsidRPr="0056365F" w:rsidRDefault="00834259" w:rsidP="00483D7F">
            <w:pPr>
              <w:pStyle w:val="FootnoteText"/>
              <w:jc w:val="both"/>
              <w:rPr>
                <w:sz w:val="24"/>
                <w:szCs w:val="24"/>
              </w:rPr>
            </w:pPr>
            <w:r w:rsidRPr="0056365F">
              <w:rPr>
                <w:sz w:val="24"/>
                <w:szCs w:val="24"/>
              </w:rPr>
              <w:t xml:space="preserve"> </w:t>
            </w:r>
            <w:r w:rsidR="0048458B" w:rsidRPr="0048458B">
              <w:rPr>
                <w:iCs/>
                <w:sz w:val="24"/>
                <w:szCs w:val="24"/>
              </w:rPr>
              <w:t>Projekts šo jomu neskar</w:t>
            </w:r>
            <w:r w:rsidR="0048458B">
              <w:rPr>
                <w:iCs/>
                <w:sz w:val="24"/>
                <w:szCs w:val="24"/>
              </w:rPr>
              <w:t>.</w:t>
            </w:r>
          </w:p>
        </w:tc>
      </w:tr>
      <w:tr w:rsidR="00262E2B" w:rsidRPr="0056365F" w:rsidTr="008E1108">
        <w:trPr>
          <w:trHeight w:val="341"/>
          <w:jc w:val="center"/>
        </w:trPr>
        <w:tc>
          <w:tcPr>
            <w:tcW w:w="600" w:type="dxa"/>
          </w:tcPr>
          <w:p w:rsidR="00262E2B" w:rsidRPr="0056365F" w:rsidRDefault="00262E2B" w:rsidP="00483D7F">
            <w:pPr>
              <w:pStyle w:val="naiskr"/>
              <w:spacing w:before="0" w:after="0"/>
              <w:jc w:val="center"/>
            </w:pPr>
            <w:r w:rsidRPr="0056365F">
              <w:t>7.</w:t>
            </w:r>
          </w:p>
        </w:tc>
        <w:tc>
          <w:tcPr>
            <w:tcW w:w="3047" w:type="dxa"/>
          </w:tcPr>
          <w:p w:rsidR="00262E2B" w:rsidRPr="0056365F" w:rsidRDefault="00262E2B" w:rsidP="00BE0FB6">
            <w:pPr>
              <w:pStyle w:val="naiskr"/>
              <w:spacing w:before="0" w:after="0"/>
            </w:pPr>
            <w:r w:rsidRPr="0056365F">
              <w:t>Cita informācija</w:t>
            </w:r>
          </w:p>
        </w:tc>
        <w:tc>
          <w:tcPr>
            <w:tcW w:w="5807" w:type="dxa"/>
          </w:tcPr>
          <w:p w:rsidR="00262E2B" w:rsidRPr="0056365F" w:rsidRDefault="00A94378" w:rsidP="00483D7F">
            <w:pPr>
              <w:pStyle w:val="naiskr"/>
              <w:spacing w:before="0" w:after="0"/>
              <w:jc w:val="both"/>
            </w:pPr>
            <w:r w:rsidRPr="0056365F">
              <w:t>Nav</w:t>
            </w:r>
            <w:r w:rsidR="00083EC5">
              <w:t>.</w:t>
            </w:r>
          </w:p>
        </w:tc>
      </w:tr>
    </w:tbl>
    <w:p w:rsidR="00852042" w:rsidRPr="0056365F" w:rsidRDefault="00852042" w:rsidP="006C4607">
      <w:pPr>
        <w:pStyle w:val="naisf"/>
        <w:spacing w:before="0" w:after="0"/>
      </w:pPr>
    </w:p>
    <w:tbl>
      <w:tblPr>
        <w:tblW w:w="9492"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0"/>
        <w:gridCol w:w="2478"/>
        <w:gridCol w:w="6304"/>
      </w:tblGrid>
      <w:tr w:rsidR="0062298A" w:rsidRPr="0056365F" w:rsidTr="008E1108">
        <w:trPr>
          <w:jc w:val="center"/>
        </w:trPr>
        <w:tc>
          <w:tcPr>
            <w:tcW w:w="9492" w:type="dxa"/>
            <w:gridSpan w:val="3"/>
            <w:vAlign w:val="center"/>
          </w:tcPr>
          <w:p w:rsidR="0062298A" w:rsidRPr="0056365F" w:rsidRDefault="0062298A" w:rsidP="007657C2">
            <w:pPr>
              <w:pStyle w:val="naisnod"/>
              <w:spacing w:before="0" w:after="120"/>
              <w:rPr>
                <w:highlight w:val="yellow"/>
              </w:rPr>
            </w:pPr>
            <w:r w:rsidRPr="0056365F">
              <w:t>II</w:t>
            </w:r>
            <w:r w:rsidR="000941C5" w:rsidRPr="0056365F">
              <w:t>.</w:t>
            </w:r>
            <w:r w:rsidRPr="0056365F">
              <w:t xml:space="preserve"> Tiesību akta projekta ietekme uz sabiedrību</w:t>
            </w:r>
          </w:p>
        </w:tc>
      </w:tr>
      <w:tr w:rsidR="001A105D" w:rsidRPr="0056365F" w:rsidTr="008E1108">
        <w:trPr>
          <w:trHeight w:val="38"/>
          <w:jc w:val="center"/>
        </w:trPr>
        <w:tc>
          <w:tcPr>
            <w:tcW w:w="710" w:type="dxa"/>
          </w:tcPr>
          <w:p w:rsidR="00D05AC4" w:rsidRPr="0056365F" w:rsidRDefault="00D05AC4" w:rsidP="00806C74">
            <w:pPr>
              <w:pStyle w:val="naisnod"/>
              <w:spacing w:before="0" w:after="0"/>
              <w:rPr>
                <w:b w:val="0"/>
              </w:rPr>
            </w:pPr>
            <w:r w:rsidRPr="0056365F">
              <w:rPr>
                <w:b w:val="0"/>
              </w:rPr>
              <w:lastRenderedPageBreak/>
              <w:t>1.</w:t>
            </w:r>
          </w:p>
        </w:tc>
        <w:tc>
          <w:tcPr>
            <w:tcW w:w="2478" w:type="dxa"/>
          </w:tcPr>
          <w:p w:rsidR="00D05AC4" w:rsidRPr="0056365F" w:rsidRDefault="00D05AC4" w:rsidP="00675DB9">
            <w:pPr>
              <w:spacing w:before="100" w:beforeAutospacing="1" w:after="100" w:afterAutospacing="1"/>
            </w:pPr>
            <w:r w:rsidRPr="0056365F">
              <w:t xml:space="preserve">Sabiedrības </w:t>
            </w:r>
            <w:proofErr w:type="spellStart"/>
            <w:r w:rsidRPr="0056365F">
              <w:t>mērķgrupa</w:t>
            </w:r>
            <w:proofErr w:type="spellEnd"/>
          </w:p>
          <w:p w:rsidR="00D05AC4" w:rsidRPr="0056365F" w:rsidRDefault="00D05AC4" w:rsidP="00806C74">
            <w:pPr>
              <w:spacing w:before="100" w:beforeAutospacing="1" w:after="100" w:afterAutospacing="1"/>
              <w:rPr>
                <w:b/>
              </w:rPr>
            </w:pPr>
          </w:p>
        </w:tc>
        <w:tc>
          <w:tcPr>
            <w:tcW w:w="6304" w:type="dxa"/>
          </w:tcPr>
          <w:p w:rsidR="005F64EA" w:rsidRDefault="004260CD" w:rsidP="005F64EA">
            <w:pPr>
              <w:pStyle w:val="naisnod"/>
              <w:spacing w:before="0" w:after="0"/>
              <w:ind w:left="142" w:right="136"/>
              <w:jc w:val="both"/>
              <w:rPr>
                <w:b w:val="0"/>
              </w:rPr>
            </w:pPr>
            <w:r>
              <w:rPr>
                <w:b w:val="0"/>
              </w:rPr>
              <w:t>Likumprojekt</w:t>
            </w:r>
            <w:r w:rsidR="00C31B23">
              <w:rPr>
                <w:b w:val="0"/>
              </w:rPr>
              <w:t>a tiesiskais regulējums</w:t>
            </w:r>
            <w:r w:rsidR="00587030" w:rsidRPr="0056365F">
              <w:rPr>
                <w:b w:val="0"/>
              </w:rPr>
              <w:t xml:space="preserve"> </w:t>
            </w:r>
            <w:r w:rsidR="00564673">
              <w:rPr>
                <w:b w:val="0"/>
              </w:rPr>
              <w:t>attiec</w:t>
            </w:r>
            <w:r w:rsidR="007C1860">
              <w:rPr>
                <w:b w:val="0"/>
              </w:rPr>
              <w:t>ināms</w:t>
            </w:r>
            <w:r w:rsidR="00564673">
              <w:rPr>
                <w:b w:val="0"/>
              </w:rPr>
              <w:t xml:space="preserve"> uz</w:t>
            </w:r>
            <w:r w:rsidR="007C1860">
              <w:rPr>
                <w:b w:val="0"/>
              </w:rPr>
              <w:t xml:space="preserve"> atjaunojamās enerģijas ražotājiem</w:t>
            </w:r>
            <w:r w:rsidR="00FE6884">
              <w:rPr>
                <w:b w:val="0"/>
              </w:rPr>
              <w:t>,</w:t>
            </w:r>
            <w:r w:rsidR="005F64EA">
              <w:rPr>
                <w:b w:val="0"/>
              </w:rPr>
              <w:t xml:space="preserve"> kuru īpašumā vai lietojumā ir atjaunojamās enerģijas ražotne,</w:t>
            </w:r>
            <w:r w:rsidR="00FE6884">
              <w:rPr>
                <w:b w:val="0"/>
              </w:rPr>
              <w:t xml:space="preserve"> tai skaitā uz</w:t>
            </w:r>
            <w:r w:rsidR="005F64EA">
              <w:rPr>
                <w:b w:val="0"/>
              </w:rPr>
              <w:t xml:space="preserve"> </w:t>
            </w:r>
            <w:r w:rsidR="00FE6884">
              <w:rPr>
                <w:b w:val="0"/>
              </w:rPr>
              <w:t xml:space="preserve">komersantiem, kas vēlēsies saņemt piemaksu par pārdotu atjaunojamo elektroenerģiju </w:t>
            </w:r>
            <w:r w:rsidR="005F64EA">
              <w:rPr>
                <w:b w:val="0"/>
              </w:rPr>
              <w:t>un vienlaikus at</w:t>
            </w:r>
            <w:r w:rsidR="007346FF">
              <w:rPr>
                <w:b w:val="0"/>
              </w:rPr>
              <w:t>bildīs noteiktajiem kritērijiem, kā arī mājsaimniec</w:t>
            </w:r>
            <w:r w:rsidR="004D3CD8">
              <w:rPr>
                <w:b w:val="0"/>
              </w:rPr>
              <w:t>ības sektoram</w:t>
            </w:r>
            <w:r w:rsidR="007346FF">
              <w:rPr>
                <w:b w:val="0"/>
              </w:rPr>
              <w:t xml:space="preserve">. </w:t>
            </w:r>
          </w:p>
          <w:p w:rsidR="00F87631" w:rsidRPr="00455EC8" w:rsidRDefault="00F87631" w:rsidP="005F64EA">
            <w:pPr>
              <w:pStyle w:val="naisnod"/>
              <w:spacing w:before="0" w:after="0"/>
              <w:ind w:left="142" w:right="136"/>
              <w:jc w:val="both"/>
              <w:rPr>
                <w:b w:val="0"/>
              </w:rPr>
            </w:pPr>
          </w:p>
        </w:tc>
      </w:tr>
      <w:tr w:rsidR="001A105D" w:rsidRPr="0056365F" w:rsidTr="008E1108">
        <w:trPr>
          <w:trHeight w:val="38"/>
          <w:jc w:val="center"/>
        </w:trPr>
        <w:tc>
          <w:tcPr>
            <w:tcW w:w="710" w:type="dxa"/>
            <w:vAlign w:val="center"/>
          </w:tcPr>
          <w:p w:rsidR="00C8556C" w:rsidRPr="0056365F" w:rsidRDefault="00C8556C" w:rsidP="007657C2">
            <w:pPr>
              <w:pStyle w:val="naisnod"/>
              <w:spacing w:before="0" w:after="0"/>
              <w:rPr>
                <w:b w:val="0"/>
              </w:rPr>
            </w:pPr>
            <w:r w:rsidRPr="0056365F">
              <w:rPr>
                <w:b w:val="0"/>
              </w:rPr>
              <w:t>2.</w:t>
            </w:r>
          </w:p>
        </w:tc>
        <w:tc>
          <w:tcPr>
            <w:tcW w:w="2478" w:type="dxa"/>
            <w:vAlign w:val="center"/>
          </w:tcPr>
          <w:p w:rsidR="00C8556C" w:rsidRPr="0056365F" w:rsidRDefault="00C8556C" w:rsidP="009327EA">
            <w:pPr>
              <w:spacing w:before="100" w:beforeAutospacing="1" w:after="100" w:afterAutospacing="1"/>
              <w:ind w:left="43"/>
            </w:pPr>
            <w:r w:rsidRPr="0056365F">
              <w:t xml:space="preserve">Citas sabiedrības grupas (bez </w:t>
            </w:r>
            <w:proofErr w:type="spellStart"/>
            <w:r w:rsidRPr="0056365F">
              <w:t>mērķgrupas</w:t>
            </w:r>
            <w:proofErr w:type="spellEnd"/>
            <w:r w:rsidRPr="0056365F">
              <w:t>), kuras tiesiskais regulējums arī ietekmē vai varētu ietekmēt</w:t>
            </w:r>
          </w:p>
        </w:tc>
        <w:tc>
          <w:tcPr>
            <w:tcW w:w="6304" w:type="dxa"/>
          </w:tcPr>
          <w:p w:rsidR="00C8556C" w:rsidRDefault="00503F0A" w:rsidP="00806C74">
            <w:pPr>
              <w:pStyle w:val="naisnod"/>
              <w:spacing w:before="0" w:after="0"/>
              <w:ind w:left="142" w:right="136"/>
              <w:jc w:val="both"/>
              <w:rPr>
                <w:b w:val="0"/>
              </w:rPr>
            </w:pPr>
            <w:r>
              <w:rPr>
                <w:b w:val="0"/>
              </w:rPr>
              <w:t>Paredzams, ka l</w:t>
            </w:r>
            <w:r w:rsidR="000275BD">
              <w:rPr>
                <w:b w:val="0"/>
              </w:rPr>
              <w:t>ikumprojekts radīs ietekmi uz</w:t>
            </w:r>
            <w:r w:rsidR="00C81F32">
              <w:rPr>
                <w:b w:val="0"/>
              </w:rPr>
              <w:t xml:space="preserve"> publisko tirgotāju, elektroenerģijas sistēmas operatoriem, kā arī uz citiem </w:t>
            </w:r>
            <w:r>
              <w:rPr>
                <w:b w:val="0"/>
              </w:rPr>
              <w:t>elektroenerģijas tirgus dalībniekiem, tajā skaitā uz el</w:t>
            </w:r>
            <w:r w:rsidR="00B40E10">
              <w:rPr>
                <w:b w:val="0"/>
              </w:rPr>
              <w:t xml:space="preserve">ektroenerģijas gala </w:t>
            </w:r>
            <w:r w:rsidR="005F64EA">
              <w:rPr>
                <w:b w:val="0"/>
              </w:rPr>
              <w:t>lietotājiem.</w:t>
            </w:r>
          </w:p>
          <w:p w:rsidR="00D663D7" w:rsidRDefault="00D663D7" w:rsidP="00CA2BE6">
            <w:pPr>
              <w:pStyle w:val="naisnod"/>
              <w:spacing w:before="0" w:after="0"/>
              <w:ind w:left="142" w:right="136"/>
              <w:jc w:val="both"/>
              <w:rPr>
                <w:b w:val="0"/>
              </w:rPr>
            </w:pPr>
            <w:r w:rsidRPr="00D663D7">
              <w:rPr>
                <w:b w:val="0"/>
              </w:rPr>
              <w:t>Likumprojekts varētu ietekmēt tos komersantus, kas ir izrādījuši interesi elektroenerģijas ražošanai no AER un attiecīgi saņēmuši atļaujas ražošanas jaudu palielināšanai vai jaunas ražošanas iekārtas  ieviešanai</w:t>
            </w:r>
            <w:r>
              <w:rPr>
                <w:b w:val="0"/>
              </w:rPr>
              <w:t>.</w:t>
            </w:r>
          </w:p>
          <w:p w:rsidR="00D663D7" w:rsidRDefault="00D663D7" w:rsidP="00D663D7">
            <w:pPr>
              <w:pStyle w:val="naisnod"/>
              <w:spacing w:before="0" w:after="0"/>
              <w:ind w:left="142" w:right="136"/>
              <w:jc w:val="both"/>
              <w:rPr>
                <w:b w:val="0"/>
              </w:rPr>
            </w:pPr>
            <w:r w:rsidRPr="00455EC8">
              <w:rPr>
                <w:b w:val="0"/>
              </w:rPr>
              <w:t>Ekonomikas ministrijas</w:t>
            </w:r>
            <w:r>
              <w:rPr>
                <w:b w:val="0"/>
              </w:rPr>
              <w:t xml:space="preserve"> rīcībā ir informācija par tiem </w:t>
            </w:r>
            <w:r w:rsidRPr="00455EC8">
              <w:rPr>
                <w:b w:val="0"/>
              </w:rPr>
              <w:t>atjaunojamās enerģijas ražotājiem, kuri ir saņēmuši Ekonomikas ministrijas atļauju pamatojoties uz Ministru kabineta noteikumiem, kas izdoti pamatojoties uz Elektroen</w:t>
            </w:r>
            <w:r w:rsidR="000844B5">
              <w:rPr>
                <w:b w:val="0"/>
              </w:rPr>
              <w:t>erģijas tirgus</w:t>
            </w:r>
            <w:r w:rsidR="006E335C">
              <w:rPr>
                <w:b w:val="0"/>
              </w:rPr>
              <w:t xml:space="preserve"> likuma 22.</w:t>
            </w:r>
            <w:r w:rsidR="000844B5">
              <w:rPr>
                <w:b w:val="0"/>
              </w:rPr>
              <w:t>panta</w:t>
            </w:r>
            <w:r w:rsidR="006E335C">
              <w:rPr>
                <w:b w:val="0"/>
              </w:rPr>
              <w:t xml:space="preserve"> pirmo daļu (2006.gada  29.</w:t>
            </w:r>
            <w:r w:rsidRPr="00455EC8">
              <w:rPr>
                <w:b w:val="0"/>
              </w:rPr>
              <w:t>augusta Ministru kabineta  noteikumi Nr. 695 "Noteikumi par atļaujām elektroenerģijas ražošanas jaudu palielināšanai vai jaunu ražošanas iekārtu ieviešanai" (turpmāk – MK notei</w:t>
            </w:r>
            <w:r w:rsidR="006E335C">
              <w:rPr>
                <w:b w:val="0"/>
              </w:rPr>
              <w:t>kumi Nr. 695) un 2009.gada 11.</w:t>
            </w:r>
            <w:r w:rsidRPr="00455EC8">
              <w:rPr>
                <w:b w:val="0"/>
              </w:rPr>
              <w:t>augusta Mi</w:t>
            </w:r>
            <w:r w:rsidR="006E335C">
              <w:rPr>
                <w:b w:val="0"/>
              </w:rPr>
              <w:t>nistru kabineta noteikumiem Nr.</w:t>
            </w:r>
            <w:r w:rsidRPr="00455EC8">
              <w:rPr>
                <w:b w:val="0"/>
              </w:rPr>
              <w:t>883 "Noteikumi par atļaujām elektroenerģijas ražošanas jaudu palielināšanai vai jaunu ražošanas iekārtu ieviešanai" (turpmāk – MK noteikumi Nr. 883)).</w:t>
            </w:r>
          </w:p>
          <w:p w:rsidR="00D663D7" w:rsidRDefault="00594270" w:rsidP="00594270">
            <w:pPr>
              <w:pStyle w:val="naisnod"/>
              <w:spacing w:before="0" w:after="0"/>
              <w:ind w:left="142" w:right="136"/>
              <w:jc w:val="both"/>
              <w:rPr>
                <w:b w:val="0"/>
              </w:rPr>
            </w:pPr>
            <w:r>
              <w:rPr>
                <w:b w:val="0"/>
              </w:rPr>
              <w:t xml:space="preserve">Šobrīd </w:t>
            </w:r>
            <w:r w:rsidRPr="00594270">
              <w:rPr>
                <w:b w:val="0"/>
              </w:rPr>
              <w:t>(</w:t>
            </w:r>
            <w:r w:rsidRPr="00594270">
              <w:rPr>
                <w:b w:val="0"/>
                <w:i/>
                <w:iCs/>
              </w:rPr>
              <w:t>dati uz 2010. gada 1.septembri)</w:t>
            </w:r>
            <w:r>
              <w:rPr>
                <w:b w:val="0"/>
              </w:rPr>
              <w:t xml:space="preserve"> </w:t>
            </w:r>
            <w:r w:rsidRPr="00594270">
              <w:rPr>
                <w:b w:val="0"/>
              </w:rPr>
              <w:t>kopš</w:t>
            </w:r>
            <w:r>
              <w:rPr>
                <w:b w:val="0"/>
              </w:rPr>
              <w:t xml:space="preserve"> </w:t>
            </w:r>
            <w:r w:rsidRPr="00594270">
              <w:rPr>
                <w:b w:val="0"/>
              </w:rPr>
              <w:t xml:space="preserve"> 2006.gada 2.septembra, kad spēkā stājās MK noteikumi Nr.695</w:t>
            </w:r>
            <w:r>
              <w:rPr>
                <w:b w:val="0"/>
              </w:rPr>
              <w:t>,</w:t>
            </w:r>
            <w:r w:rsidRPr="00594270">
              <w:rPr>
                <w:b w:val="0"/>
              </w:rPr>
              <w:t xml:space="preserve"> Ekonomikas ministrija </w:t>
            </w:r>
            <w:r>
              <w:rPr>
                <w:b w:val="0"/>
              </w:rPr>
              <w:t>ir izdevusi un ir spēkā</w:t>
            </w:r>
            <w:r w:rsidRPr="00594270">
              <w:rPr>
                <w:b w:val="0"/>
              </w:rPr>
              <w:t xml:space="preserve"> </w:t>
            </w:r>
            <w:r w:rsidRPr="00D44D1D">
              <w:t>719</w:t>
            </w:r>
            <w:r w:rsidRPr="00594270">
              <w:rPr>
                <w:b w:val="0"/>
              </w:rPr>
              <w:t xml:space="preserve"> atļaujas elektroenerģijas ražošanas jaudu palielināšanai vai jaunu ražošanas iekārtu ieviešanai ar kopējo jaudu  4711,77666 MW, no </w:t>
            </w:r>
            <w:r w:rsidRPr="00D44D1D">
              <w:rPr>
                <w:b w:val="0"/>
              </w:rPr>
              <w:t xml:space="preserve">tām </w:t>
            </w:r>
            <w:r w:rsidRPr="00D44D1D">
              <w:t>633</w:t>
            </w:r>
            <w:r w:rsidRPr="00D44D1D">
              <w:rPr>
                <w:b w:val="0"/>
              </w:rPr>
              <w:t xml:space="preserve"> atļaujas</w:t>
            </w:r>
            <w:r w:rsidRPr="00594270">
              <w:rPr>
                <w:b w:val="0"/>
              </w:rPr>
              <w:t xml:space="preserve"> komersantiem, kas elektroenerģijas ražošanai izmanto vai plāno izmantot atjaunojamos energoresursus jaudu palielināšanai vai jaunu ražošanas iekārtu ieviešanai ar kopējo jaudu  </w:t>
            </w:r>
            <w:r w:rsidRPr="00594270">
              <w:t>4007,51266 MW</w:t>
            </w:r>
            <w:r w:rsidRPr="00594270">
              <w:rPr>
                <w:b w:val="0"/>
              </w:rPr>
              <w:t>.</w:t>
            </w:r>
          </w:p>
          <w:p w:rsidR="00B40E10" w:rsidRPr="00594270" w:rsidRDefault="00B40E10" w:rsidP="00B40E10">
            <w:pPr>
              <w:pStyle w:val="naisnod"/>
              <w:spacing w:before="0" w:after="0"/>
              <w:ind w:right="136"/>
              <w:jc w:val="both"/>
              <w:rPr>
                <w:b w:val="0"/>
              </w:rPr>
            </w:pPr>
          </w:p>
        </w:tc>
      </w:tr>
      <w:tr w:rsidR="001A105D" w:rsidRPr="0056365F" w:rsidTr="008E1108">
        <w:trPr>
          <w:trHeight w:val="691"/>
          <w:jc w:val="center"/>
        </w:trPr>
        <w:tc>
          <w:tcPr>
            <w:tcW w:w="710" w:type="dxa"/>
            <w:vAlign w:val="center"/>
          </w:tcPr>
          <w:p w:rsidR="00D05AC4" w:rsidRPr="0056365F" w:rsidRDefault="00C8556C" w:rsidP="007657C2">
            <w:pPr>
              <w:pStyle w:val="naisnod"/>
              <w:spacing w:before="0" w:after="0"/>
              <w:rPr>
                <w:b w:val="0"/>
              </w:rPr>
            </w:pPr>
            <w:r w:rsidRPr="0056365F">
              <w:rPr>
                <w:b w:val="0"/>
              </w:rPr>
              <w:t>3.</w:t>
            </w:r>
          </w:p>
        </w:tc>
        <w:tc>
          <w:tcPr>
            <w:tcW w:w="2478" w:type="dxa"/>
            <w:vAlign w:val="center"/>
          </w:tcPr>
          <w:p w:rsidR="00D05AC4" w:rsidRPr="0056365F" w:rsidRDefault="00D05AC4" w:rsidP="00BE0FB6">
            <w:r w:rsidRPr="0056365F">
              <w:t>Tiesiskā regulējuma finansiālā ietekme</w:t>
            </w:r>
          </w:p>
        </w:tc>
        <w:tc>
          <w:tcPr>
            <w:tcW w:w="6304" w:type="dxa"/>
          </w:tcPr>
          <w:p w:rsidR="000E52B9" w:rsidRPr="002F7BC5" w:rsidRDefault="00B87078" w:rsidP="00B87078">
            <w:pPr>
              <w:tabs>
                <w:tab w:val="left" w:pos="888"/>
              </w:tabs>
              <w:ind w:left="142" w:right="136"/>
              <w:jc w:val="both"/>
            </w:pPr>
            <w:r w:rsidRPr="002F7BC5">
              <w:t>Sagaidāma ietekme uz elektroenerģijas cenām</w:t>
            </w:r>
            <w:r w:rsidR="004C0FE5" w:rsidRPr="002F7BC5">
              <w:t>:</w:t>
            </w:r>
          </w:p>
          <w:p w:rsidR="0085014D" w:rsidRPr="002F7BC5" w:rsidRDefault="000E52B9" w:rsidP="0085014D">
            <w:pPr>
              <w:tabs>
                <w:tab w:val="left" w:pos="888"/>
              </w:tabs>
              <w:ind w:left="142" w:right="136"/>
              <w:jc w:val="both"/>
            </w:pPr>
            <w:r w:rsidRPr="002F7BC5">
              <w:t>Likumprojektā paredzēto normu ieviešanas radītais pieaugums</w:t>
            </w:r>
            <w:r w:rsidR="004C0FE5" w:rsidRPr="002F7BC5">
              <w:t>, sasniedzot likumprojekta izvirzītos mērķus,</w:t>
            </w:r>
            <w:r w:rsidR="002F7BC5" w:rsidRPr="002F7BC5">
              <w:t xml:space="preserve"> ņemot vērā šobrīd spēkā esošās atbalsta shēmas, </w:t>
            </w:r>
            <w:r w:rsidR="004C0FE5" w:rsidRPr="002F7BC5">
              <w:t>attiecībā uz tarifu elektroenerģijas gala lietotājiem,</w:t>
            </w:r>
            <w:r w:rsidRPr="002F7BC5">
              <w:t xml:space="preserve"> tiek prognozēts</w:t>
            </w:r>
            <w:r w:rsidR="004C0FE5" w:rsidRPr="002F7BC5">
              <w:t xml:space="preserve"> pieaugums</w:t>
            </w:r>
            <w:r w:rsidRPr="002F7BC5">
              <w:t xml:space="preserve"> līdz </w:t>
            </w:r>
            <w:r w:rsidR="0085014D" w:rsidRPr="002F7BC5">
              <w:t>1,8</w:t>
            </w:r>
            <w:r w:rsidRPr="002F7BC5">
              <w:t xml:space="preserve"> </w:t>
            </w:r>
            <w:r w:rsidR="00270D49" w:rsidRPr="002F7BC5">
              <w:t>sant.</w:t>
            </w:r>
            <w:r w:rsidRPr="002F7BC5">
              <w:t>/</w:t>
            </w:r>
            <w:r w:rsidR="0085014D" w:rsidRPr="002F7BC5">
              <w:t>kWh</w:t>
            </w:r>
            <w:r w:rsidR="004C0FE5" w:rsidRPr="002F7BC5">
              <w:t xml:space="preserve">. </w:t>
            </w:r>
          </w:p>
          <w:p w:rsidR="00C31B23" w:rsidRPr="0056365F" w:rsidRDefault="0085014D" w:rsidP="0085014D">
            <w:pPr>
              <w:tabs>
                <w:tab w:val="left" w:pos="888"/>
              </w:tabs>
              <w:ind w:left="142" w:right="136"/>
              <w:jc w:val="both"/>
            </w:pPr>
            <w:r w:rsidRPr="002F7BC5">
              <w:t>Budžeta iestādēm šāds sadārdzinājums būs jāsedz piešķirto valsts budžeta vai pašvaldību budžetu ietvaros.</w:t>
            </w:r>
            <w:r w:rsidRPr="003229FA">
              <w:rPr>
                <w:sz w:val="22"/>
                <w:szCs w:val="22"/>
              </w:rPr>
              <w:t xml:space="preserve">  </w:t>
            </w:r>
          </w:p>
        </w:tc>
      </w:tr>
      <w:tr w:rsidR="001A105D" w:rsidRPr="0056365F" w:rsidTr="008E1108">
        <w:trPr>
          <w:trHeight w:val="34"/>
          <w:jc w:val="center"/>
        </w:trPr>
        <w:tc>
          <w:tcPr>
            <w:tcW w:w="710" w:type="dxa"/>
            <w:vAlign w:val="center"/>
          </w:tcPr>
          <w:p w:rsidR="00D05AC4" w:rsidRPr="0056365F" w:rsidRDefault="00C8556C" w:rsidP="00A52D73">
            <w:pPr>
              <w:pStyle w:val="naisnod"/>
              <w:spacing w:before="0" w:after="0"/>
              <w:rPr>
                <w:b w:val="0"/>
              </w:rPr>
            </w:pPr>
            <w:r w:rsidRPr="0056365F">
              <w:rPr>
                <w:b w:val="0"/>
              </w:rPr>
              <w:t>4.</w:t>
            </w:r>
          </w:p>
        </w:tc>
        <w:tc>
          <w:tcPr>
            <w:tcW w:w="2478" w:type="dxa"/>
            <w:vAlign w:val="center"/>
          </w:tcPr>
          <w:p w:rsidR="00D05AC4" w:rsidRPr="00F71870" w:rsidRDefault="00D05AC4" w:rsidP="00F71870">
            <w:pPr>
              <w:spacing w:before="100" w:beforeAutospacing="1" w:after="100" w:afterAutospacing="1"/>
            </w:pPr>
            <w:r w:rsidRPr="0056365F">
              <w:t>Tiesiskā regulējuma nefinansiālā ietekme</w:t>
            </w:r>
          </w:p>
        </w:tc>
        <w:tc>
          <w:tcPr>
            <w:tcW w:w="6304" w:type="dxa"/>
          </w:tcPr>
          <w:p w:rsidR="00DD36FB" w:rsidRPr="00F9177B" w:rsidRDefault="00F9177B" w:rsidP="00F9177B">
            <w:pPr>
              <w:pStyle w:val="naiskr"/>
              <w:spacing w:before="0" w:after="0"/>
              <w:ind w:left="142" w:right="136"/>
              <w:jc w:val="both"/>
            </w:pPr>
            <w:r w:rsidRPr="00F9177B">
              <w:t>Likumprojekts tieši neietekmēs tos komersantus, kas lēmumus par tiesībām pārdot elektroenerģiju obligātā iepirkuma ietvaros ir saņēmuši saskaņā ar tiem Ministru kabineta noteikumiem, kas izdoti, pamatojoties uz Ele</w:t>
            </w:r>
            <w:r w:rsidR="006234AF">
              <w:t>ktroenerģijas tirgus likuma 29.</w:t>
            </w:r>
            <w:r w:rsidRPr="00F9177B">
              <w:t>panta otro, ceturto un piekto daļu un 29.</w:t>
            </w:r>
            <w:r w:rsidRPr="00F9177B">
              <w:rPr>
                <w:vertAlign w:val="superscript"/>
              </w:rPr>
              <w:t xml:space="preserve">1 </w:t>
            </w:r>
            <w:r w:rsidRPr="00F9177B">
              <w:t xml:space="preserve">otro </w:t>
            </w:r>
            <w:r w:rsidRPr="00F9177B">
              <w:lastRenderedPageBreak/>
              <w:t xml:space="preserve">un piekto daļu, kā arī pamatojoties uz Elektroenerģijas tirgus likuma </w:t>
            </w:r>
            <w:r w:rsidRPr="00F9177B">
              <w:rPr>
                <w:iCs/>
              </w:rPr>
              <w:t>28. panta otro un septīto daļu un 28.</w:t>
            </w:r>
            <w:r w:rsidRPr="00F9177B">
              <w:rPr>
                <w:iCs/>
                <w:vertAlign w:val="superscript"/>
              </w:rPr>
              <w:t xml:space="preserve">1 </w:t>
            </w:r>
            <w:r w:rsidRPr="00F9177B">
              <w:rPr>
                <w:iCs/>
              </w:rPr>
              <w:t>panta otro un piekto daļu. Šiem komersantiem,</w:t>
            </w:r>
            <w:r w:rsidRPr="00F9177B">
              <w:t xml:space="preserve"> ievērojot Administratīvā procesa likuma 10. pantā noteiktais tiesiskās paļāvības principu,</w:t>
            </w:r>
            <w:r w:rsidRPr="00F9177B">
              <w:rPr>
                <w:iCs/>
              </w:rPr>
              <w:t xml:space="preserve"> tiks nodrošināts, ka tie varēs </w:t>
            </w:r>
            <w:r w:rsidRPr="00F9177B">
              <w:rPr>
                <w:bCs/>
              </w:rPr>
              <w:t xml:space="preserve">turpinās </w:t>
            </w:r>
            <w:r w:rsidRPr="00F9177B">
              <w:t>pārdod elektroenerģiju publiskajam tirgotājam atbilstoši tiem nosacījumiem par darbības režīmu, iepirkuma termiņiem un cenas noteikšanas mehānismiem, kas uz tiem attieksies likumprojekta spēkā stāšanās brīdī.</w:t>
            </w:r>
          </w:p>
        </w:tc>
      </w:tr>
      <w:tr w:rsidR="001A105D" w:rsidRPr="0056365F" w:rsidTr="008E1108">
        <w:trPr>
          <w:trHeight w:val="880"/>
          <w:jc w:val="center"/>
        </w:trPr>
        <w:tc>
          <w:tcPr>
            <w:tcW w:w="710" w:type="dxa"/>
            <w:vAlign w:val="center"/>
          </w:tcPr>
          <w:p w:rsidR="00D05AC4" w:rsidRPr="0056365F" w:rsidRDefault="00C8556C" w:rsidP="00A52D73">
            <w:pPr>
              <w:pStyle w:val="naisnod"/>
              <w:spacing w:before="0" w:after="0"/>
              <w:rPr>
                <w:b w:val="0"/>
              </w:rPr>
            </w:pPr>
            <w:r w:rsidRPr="0056365F">
              <w:rPr>
                <w:b w:val="0"/>
              </w:rPr>
              <w:lastRenderedPageBreak/>
              <w:t>5.</w:t>
            </w:r>
          </w:p>
        </w:tc>
        <w:tc>
          <w:tcPr>
            <w:tcW w:w="2478" w:type="dxa"/>
            <w:vAlign w:val="center"/>
          </w:tcPr>
          <w:p w:rsidR="00D05AC4" w:rsidRPr="0056365F" w:rsidRDefault="00C8556C" w:rsidP="0057345E">
            <w:pPr>
              <w:spacing w:before="100" w:beforeAutospacing="1" w:after="100" w:afterAutospacing="1"/>
            </w:pPr>
            <w:r w:rsidRPr="0056365F">
              <w:t>Administratīvās procedūras raksturojum</w:t>
            </w:r>
            <w:r w:rsidR="0057345E" w:rsidRPr="0056365F">
              <w:t>s</w:t>
            </w:r>
          </w:p>
        </w:tc>
        <w:tc>
          <w:tcPr>
            <w:tcW w:w="6304" w:type="dxa"/>
          </w:tcPr>
          <w:p w:rsidR="001A105D" w:rsidRPr="00B87078" w:rsidRDefault="00B87078" w:rsidP="00B87078">
            <w:pPr>
              <w:pStyle w:val="naiskr"/>
              <w:spacing w:before="0" w:after="0"/>
              <w:ind w:left="142" w:right="136"/>
              <w:jc w:val="both"/>
            </w:pPr>
            <w:r w:rsidRPr="00B87078">
              <w:t xml:space="preserve">Likumprojekts paredz </w:t>
            </w:r>
            <w:r>
              <w:t>vienkāršot administratīvās procedūras.</w:t>
            </w:r>
          </w:p>
        </w:tc>
      </w:tr>
      <w:tr w:rsidR="001A105D" w:rsidRPr="0056365F" w:rsidTr="008E1108">
        <w:trPr>
          <w:trHeight w:val="34"/>
          <w:jc w:val="center"/>
        </w:trPr>
        <w:tc>
          <w:tcPr>
            <w:tcW w:w="710" w:type="dxa"/>
            <w:vAlign w:val="center"/>
          </w:tcPr>
          <w:p w:rsidR="00D05AC4" w:rsidRPr="0056365F" w:rsidRDefault="00C8556C" w:rsidP="00A52D73">
            <w:pPr>
              <w:pStyle w:val="naisnod"/>
              <w:spacing w:before="0" w:after="0"/>
              <w:rPr>
                <w:b w:val="0"/>
              </w:rPr>
            </w:pPr>
            <w:r w:rsidRPr="0056365F">
              <w:rPr>
                <w:b w:val="0"/>
              </w:rPr>
              <w:t>6.</w:t>
            </w:r>
          </w:p>
        </w:tc>
        <w:tc>
          <w:tcPr>
            <w:tcW w:w="2478" w:type="dxa"/>
            <w:vAlign w:val="center"/>
          </w:tcPr>
          <w:p w:rsidR="00C8556C" w:rsidRPr="0056365F" w:rsidRDefault="00C8556C" w:rsidP="007657C2">
            <w:pPr>
              <w:spacing w:before="100" w:beforeAutospacing="1" w:after="100" w:afterAutospacing="1"/>
            </w:pPr>
            <w:r w:rsidRPr="0056365F">
              <w:t>Administratīvo izmaksu monetārs novērtējums</w:t>
            </w:r>
          </w:p>
          <w:p w:rsidR="00D05AC4" w:rsidRPr="0056365F" w:rsidRDefault="00D05AC4" w:rsidP="007657C2">
            <w:pPr>
              <w:pStyle w:val="naisnod"/>
              <w:spacing w:before="0" w:after="0"/>
              <w:rPr>
                <w:b w:val="0"/>
              </w:rPr>
            </w:pPr>
          </w:p>
        </w:tc>
        <w:tc>
          <w:tcPr>
            <w:tcW w:w="6304" w:type="dxa"/>
            <w:vAlign w:val="center"/>
          </w:tcPr>
          <w:p w:rsidR="00D05AC4" w:rsidRPr="0056365F" w:rsidRDefault="00885F3D" w:rsidP="00885F3D">
            <w:pPr>
              <w:pStyle w:val="naisnod"/>
              <w:spacing w:before="0" w:after="0"/>
              <w:ind w:left="142" w:right="136"/>
              <w:jc w:val="both"/>
              <w:rPr>
                <w:b w:val="0"/>
              </w:rPr>
            </w:pPr>
            <w:r>
              <w:rPr>
                <w:b w:val="0"/>
              </w:rPr>
              <w:t>N</w:t>
            </w:r>
            <w:r w:rsidR="00AE1239" w:rsidRPr="0056365F">
              <w:rPr>
                <w:b w:val="0"/>
              </w:rPr>
              <w:t xml:space="preserve">etiek grozīts vai aizstāts tiesību </w:t>
            </w:r>
            <w:smartTag w:uri="schemas-tilde-lv/tildestengine" w:element="veidnes">
              <w:smartTagPr>
                <w:attr w:name="text" w:val="akts"/>
                <w:attr w:name="baseform" w:val="akts"/>
                <w:attr w:name="id" w:val="-1"/>
              </w:smartTagPr>
              <w:r w:rsidR="00AE1239" w:rsidRPr="0056365F">
                <w:rPr>
                  <w:b w:val="0"/>
                </w:rPr>
                <w:t>akts</w:t>
              </w:r>
            </w:smartTag>
            <w:r w:rsidR="00AE1239" w:rsidRPr="0056365F">
              <w:rPr>
                <w:b w:val="0"/>
              </w:rPr>
              <w:t xml:space="preserve">, kam pēc Ministru kabineta 2009.gada 15.decembra instrukcijas Nr.19 „Tiesību akta projekta sākotnējās ietekmes izvērtēšanas kārtība” ir novērtētas </w:t>
            </w:r>
            <w:r w:rsidR="00AE1239" w:rsidRPr="004260CD">
              <w:rPr>
                <w:b w:val="0"/>
              </w:rPr>
              <w:t>administratīvās izmaksas (naudas izteiksmē</w:t>
            </w:r>
            <w:r w:rsidR="00AE1239" w:rsidRPr="0056365F">
              <w:rPr>
                <w:b w:val="0"/>
              </w:rPr>
              <w:t>)</w:t>
            </w:r>
            <w:r w:rsidR="00205645">
              <w:rPr>
                <w:b w:val="0"/>
              </w:rPr>
              <w:t>.</w:t>
            </w:r>
          </w:p>
        </w:tc>
      </w:tr>
      <w:tr w:rsidR="001A105D" w:rsidRPr="0056365F" w:rsidTr="008E1108">
        <w:trPr>
          <w:trHeight w:val="465"/>
          <w:jc w:val="center"/>
        </w:trPr>
        <w:tc>
          <w:tcPr>
            <w:tcW w:w="710" w:type="dxa"/>
            <w:vAlign w:val="center"/>
          </w:tcPr>
          <w:p w:rsidR="00D05AC4" w:rsidRPr="0056365F" w:rsidRDefault="00C8556C" w:rsidP="00A52D73">
            <w:pPr>
              <w:pStyle w:val="naisnod"/>
              <w:spacing w:before="0" w:after="0"/>
              <w:rPr>
                <w:b w:val="0"/>
              </w:rPr>
            </w:pPr>
            <w:r w:rsidRPr="0056365F">
              <w:rPr>
                <w:b w:val="0"/>
              </w:rPr>
              <w:t>7.</w:t>
            </w:r>
          </w:p>
        </w:tc>
        <w:tc>
          <w:tcPr>
            <w:tcW w:w="2478" w:type="dxa"/>
            <w:vAlign w:val="center"/>
          </w:tcPr>
          <w:p w:rsidR="00D05AC4" w:rsidRPr="0056365F" w:rsidRDefault="00C8556C" w:rsidP="00BE0FB6">
            <w:pPr>
              <w:spacing w:before="100" w:beforeAutospacing="1" w:after="100" w:afterAutospacing="1"/>
            </w:pPr>
            <w:r w:rsidRPr="0056365F">
              <w:t>Cita informācija</w:t>
            </w:r>
          </w:p>
        </w:tc>
        <w:tc>
          <w:tcPr>
            <w:tcW w:w="6304" w:type="dxa"/>
            <w:vAlign w:val="center"/>
          </w:tcPr>
          <w:p w:rsidR="00D05AC4" w:rsidRPr="0056365F" w:rsidRDefault="00270D49" w:rsidP="00BE0FB6">
            <w:pPr>
              <w:pStyle w:val="naisnod"/>
              <w:spacing w:before="0" w:after="0"/>
              <w:jc w:val="left"/>
              <w:rPr>
                <w:b w:val="0"/>
              </w:rPr>
            </w:pPr>
            <w:r>
              <w:rPr>
                <w:b w:val="0"/>
              </w:rPr>
              <w:t xml:space="preserve"> Nav.</w:t>
            </w:r>
          </w:p>
        </w:tc>
      </w:tr>
    </w:tbl>
    <w:p w:rsidR="008C5649" w:rsidRDefault="008C5649" w:rsidP="006C4607">
      <w:pPr>
        <w:pStyle w:val="naisf"/>
        <w:spacing w:before="0" w:after="0"/>
      </w:pPr>
    </w:p>
    <w:tbl>
      <w:tblPr>
        <w:tblW w:w="9524"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4"/>
      </w:tblGrid>
      <w:tr w:rsidR="002F4216" w:rsidRPr="007C0F2C" w:rsidTr="00270D49">
        <w:trPr>
          <w:trHeight w:val="377"/>
          <w:jc w:val="center"/>
        </w:trPr>
        <w:tc>
          <w:tcPr>
            <w:tcW w:w="9524" w:type="dxa"/>
          </w:tcPr>
          <w:p w:rsidR="002F4216" w:rsidRPr="007C0F2C" w:rsidRDefault="002F4216" w:rsidP="002F4216">
            <w:pPr>
              <w:pStyle w:val="naisnod"/>
              <w:spacing w:before="0" w:after="0"/>
              <w:ind w:left="237"/>
              <w:rPr>
                <w:i/>
                <w:sz w:val="22"/>
                <w:szCs w:val="22"/>
              </w:rPr>
            </w:pPr>
            <w:r w:rsidRPr="007C0F2C">
              <w:rPr>
                <w:sz w:val="22"/>
                <w:szCs w:val="22"/>
              </w:rPr>
              <w:br w:type="page"/>
            </w:r>
            <w:r w:rsidRPr="007C0F2C">
              <w:t>III. Tiesību akta projekta ietekme uz valsts budžetu un pašvaldību budžetiem</w:t>
            </w:r>
          </w:p>
        </w:tc>
      </w:tr>
      <w:tr w:rsidR="002F4216" w:rsidRPr="007B5281" w:rsidTr="00270D49">
        <w:trPr>
          <w:trHeight w:val="287"/>
          <w:jc w:val="center"/>
        </w:trPr>
        <w:tc>
          <w:tcPr>
            <w:tcW w:w="9524" w:type="dxa"/>
          </w:tcPr>
          <w:p w:rsidR="002F4216" w:rsidRPr="0048458B" w:rsidRDefault="0048458B" w:rsidP="002F4216">
            <w:pPr>
              <w:pStyle w:val="naisnod"/>
              <w:spacing w:before="0" w:after="0"/>
              <w:ind w:left="237" w:right="235"/>
              <w:rPr>
                <w:b w:val="0"/>
                <w:i/>
              </w:rPr>
            </w:pPr>
            <w:r w:rsidRPr="0048458B">
              <w:rPr>
                <w:b w:val="0"/>
                <w:i/>
                <w:iCs/>
              </w:rPr>
              <w:t>Projekts šo jomu neskar</w:t>
            </w:r>
          </w:p>
        </w:tc>
      </w:tr>
    </w:tbl>
    <w:p w:rsidR="004260CD" w:rsidRPr="00E20AE9" w:rsidRDefault="004260CD" w:rsidP="004260CD">
      <w:pPr>
        <w:pStyle w:val="NormalWeb"/>
        <w:spacing w:before="0" w:beforeAutospacing="0" w:after="0" w:afterAutospacing="0"/>
        <w:rPr>
          <w:color w:val="000000"/>
          <w:sz w:val="28"/>
          <w:szCs w:val="28"/>
        </w:rPr>
      </w:pPr>
    </w:p>
    <w:tbl>
      <w:tblPr>
        <w:tblW w:w="5205" w:type="pct"/>
        <w:tblInd w:w="-18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25"/>
        <w:gridCol w:w="2663"/>
        <w:gridCol w:w="6317"/>
      </w:tblGrid>
      <w:tr w:rsidR="004260CD" w:rsidRPr="00E20AE9" w:rsidTr="00270D49">
        <w:tc>
          <w:tcPr>
            <w:tcW w:w="5000" w:type="pct"/>
            <w:gridSpan w:val="3"/>
            <w:tcBorders>
              <w:top w:val="single" w:sz="6" w:space="0" w:color="000000"/>
              <w:left w:val="single" w:sz="6" w:space="0" w:color="000000"/>
              <w:bottom w:val="outset" w:sz="6" w:space="0" w:color="000000"/>
              <w:right w:val="single" w:sz="6" w:space="0" w:color="000000"/>
            </w:tcBorders>
          </w:tcPr>
          <w:p w:rsidR="004260CD" w:rsidRPr="001051AD" w:rsidRDefault="004260CD" w:rsidP="003063AC">
            <w:pPr>
              <w:pStyle w:val="NormalWeb"/>
              <w:jc w:val="center"/>
              <w:rPr>
                <w:b/>
                <w:bCs/>
              </w:rPr>
            </w:pPr>
            <w:r w:rsidRPr="001051AD">
              <w:rPr>
                <w:b/>
                <w:bCs/>
              </w:rPr>
              <w:t>IV. Tiesību akta projekta ietekme uz spēkā esošo tiesību normu sistēmu</w:t>
            </w:r>
          </w:p>
        </w:tc>
      </w:tr>
      <w:tr w:rsidR="004260CD" w:rsidRPr="00E20AE9" w:rsidTr="00270D49">
        <w:trPr>
          <w:trHeight w:val="1190"/>
        </w:trPr>
        <w:tc>
          <w:tcPr>
            <w:tcW w:w="276" w:type="pct"/>
            <w:tcBorders>
              <w:top w:val="outset" w:sz="6" w:space="0" w:color="000000"/>
              <w:left w:val="outset" w:sz="6" w:space="0" w:color="000000"/>
              <w:bottom w:val="outset" w:sz="6" w:space="0" w:color="000000"/>
              <w:right w:val="outset" w:sz="6" w:space="0" w:color="000000"/>
            </w:tcBorders>
          </w:tcPr>
          <w:p w:rsidR="004260CD" w:rsidRPr="002A093B" w:rsidRDefault="004260CD" w:rsidP="003063AC">
            <w:pPr>
              <w:pStyle w:val="NormalWeb"/>
            </w:pPr>
            <w:r w:rsidRPr="002A093B">
              <w:t>1.</w:t>
            </w:r>
          </w:p>
        </w:tc>
        <w:tc>
          <w:tcPr>
            <w:tcW w:w="1401" w:type="pct"/>
            <w:tcBorders>
              <w:top w:val="outset" w:sz="6" w:space="0" w:color="000000"/>
              <w:left w:val="outset" w:sz="6" w:space="0" w:color="000000"/>
              <w:bottom w:val="outset" w:sz="6" w:space="0" w:color="000000"/>
              <w:right w:val="outset" w:sz="6" w:space="0" w:color="000000"/>
            </w:tcBorders>
          </w:tcPr>
          <w:p w:rsidR="004260CD" w:rsidRPr="002A093B" w:rsidRDefault="004260CD" w:rsidP="003063AC">
            <w:pPr>
              <w:pStyle w:val="NormalWeb"/>
            </w:pPr>
            <w:r w:rsidRPr="002A093B">
              <w:t>Nepieciešamie saistītie tiesību aktu projekti</w:t>
            </w:r>
          </w:p>
        </w:tc>
        <w:tc>
          <w:tcPr>
            <w:tcW w:w="3324" w:type="pct"/>
            <w:tcBorders>
              <w:top w:val="outset" w:sz="6" w:space="0" w:color="000000"/>
              <w:left w:val="outset" w:sz="6" w:space="0" w:color="000000"/>
              <w:bottom w:val="outset" w:sz="6" w:space="0" w:color="000000"/>
              <w:right w:val="outset" w:sz="6" w:space="0" w:color="000000"/>
            </w:tcBorders>
          </w:tcPr>
          <w:p w:rsidR="0021549C" w:rsidRDefault="0021549C" w:rsidP="0021549C">
            <w:pPr>
              <w:pStyle w:val="naisf"/>
              <w:spacing w:before="0" w:after="0"/>
              <w:ind w:left="23" w:firstLine="0"/>
            </w:pPr>
            <w:r w:rsidRPr="00677387">
              <w:rPr>
                <w:bCs/>
              </w:rPr>
              <w:t xml:space="preserve">Likumprojekta izpildes nodrošināšanai </w:t>
            </w:r>
            <w:r w:rsidR="0073494F">
              <w:rPr>
                <w:bCs/>
              </w:rPr>
              <w:t>Ekonomikas</w:t>
            </w:r>
            <w:r w:rsidRPr="00677387">
              <w:rPr>
                <w:bCs/>
              </w:rPr>
              <w:t xml:space="preserve"> ministrija izstrādās Ministru kabineta noteikumus</w:t>
            </w:r>
            <w:r w:rsidR="005D37E8">
              <w:rPr>
                <w:bCs/>
              </w:rPr>
              <w:t>, kas noteiks</w:t>
            </w:r>
            <w:r w:rsidR="00FF7EE6">
              <w:rPr>
                <w:bCs/>
              </w:rPr>
              <w:t xml:space="preserve"> (</w:t>
            </w:r>
            <w:r w:rsidR="00FF7EE6" w:rsidRPr="00FF7EE6">
              <w:rPr>
                <w:b/>
                <w:bCs/>
              </w:rPr>
              <w:t>6.pants</w:t>
            </w:r>
            <w:r w:rsidR="00FF7EE6">
              <w:rPr>
                <w:bCs/>
              </w:rPr>
              <w:t>)</w:t>
            </w:r>
            <w:r w:rsidRPr="00677387">
              <w:t>:</w:t>
            </w:r>
          </w:p>
          <w:p w:rsidR="005D37E8" w:rsidRPr="005D37E8" w:rsidRDefault="005D37E8" w:rsidP="005D37E8">
            <w:pPr>
              <w:tabs>
                <w:tab w:val="left" w:pos="180"/>
              </w:tabs>
              <w:spacing w:before="75" w:after="75"/>
              <w:jc w:val="both"/>
            </w:pPr>
            <w:r w:rsidRPr="00601ECC">
              <w:rPr>
                <w:bCs/>
                <w:sz w:val="28"/>
                <w:szCs w:val="28"/>
              </w:rPr>
              <w:t>1</w:t>
            </w:r>
            <w:r w:rsidRPr="005D37E8">
              <w:rPr>
                <w:bCs/>
              </w:rPr>
              <w:t xml:space="preserve">) </w:t>
            </w:r>
            <w:r w:rsidRPr="005D37E8">
              <w:t>atjaunojamās enerģijas īpatsvara kopējā bruto enerģijas galapatēriņā aprēķināšanas un publicēšanas kārtību;</w:t>
            </w:r>
          </w:p>
          <w:p w:rsidR="005D37E8" w:rsidRPr="005D37E8" w:rsidRDefault="005D37E8" w:rsidP="005D37E8">
            <w:pPr>
              <w:tabs>
                <w:tab w:val="left" w:pos="180"/>
              </w:tabs>
              <w:spacing w:before="75" w:after="75"/>
              <w:jc w:val="both"/>
            </w:pPr>
            <w:r w:rsidRPr="005D37E8">
              <w:t>2) izcelsmes apliecinājuma sertifikātā par atjaunojamo elektroenerģiju iekļaujamo informāciju un tā izsniegšanas kārtību un kārtību, kādā atjaunojamās enerģijas ražotājs saņem izcelsmes apliecinājuma sertifikātu par katru atjaunojamās elektroenerģijas megavatstundu, kā arī kompetento iestādi;</w:t>
            </w:r>
          </w:p>
          <w:p w:rsidR="005D37E8" w:rsidRPr="005D37E8" w:rsidRDefault="005D37E8" w:rsidP="005D37E8">
            <w:pPr>
              <w:pStyle w:val="naisf"/>
              <w:ind w:firstLine="0"/>
              <w:rPr>
                <w:color w:val="000000"/>
              </w:rPr>
            </w:pPr>
            <w:r w:rsidRPr="005D37E8">
              <w:t>3) ilgtspējības kritērijus bioloģi</w:t>
            </w:r>
            <w:r w:rsidR="00527AB5">
              <w:t>skajiem šķidrajiem kurināmajiem</w:t>
            </w:r>
            <w:r w:rsidRPr="005D37E8">
              <w:rPr>
                <w:color w:val="000000"/>
              </w:rPr>
              <w:t xml:space="preserve">, ko ņem vērā atjaunojamās enerģijas ražotājs, pretendējot uz jebkāda veida </w:t>
            </w:r>
            <w:r w:rsidRPr="005D37E8">
              <w:t>atjaunojamās enerģijas izmantošanas veicināšanai paredzētiem atbalsta instrumentiem un, ko ņem vērā,</w:t>
            </w:r>
            <w:r w:rsidRPr="005D37E8">
              <w:rPr>
                <w:color w:val="000000"/>
              </w:rPr>
              <w:t xml:space="preserve"> aprēķinot </w:t>
            </w:r>
            <w:r w:rsidRPr="005D37E8">
              <w:t>atjaunojamās enerģijas īpatsvaru kopējā bruto enerģijas galapatēriņā</w:t>
            </w:r>
            <w:r w:rsidRPr="005D37E8">
              <w:rPr>
                <w:color w:val="000000"/>
              </w:rPr>
              <w:t>, kā arī ilgtspējības kritēriju pārbaudes kārtību un kompetento iestādi;</w:t>
            </w:r>
          </w:p>
          <w:p w:rsidR="005D37E8" w:rsidRPr="005D37E8" w:rsidRDefault="005D37E8" w:rsidP="005D37E8">
            <w:pPr>
              <w:pStyle w:val="naisf"/>
              <w:ind w:firstLine="0"/>
              <w:rPr>
                <w:bCs/>
              </w:rPr>
            </w:pPr>
            <w:r w:rsidRPr="005D37E8">
              <w:t xml:space="preserve">4) </w:t>
            </w:r>
            <w:r w:rsidRPr="005D37E8">
              <w:rPr>
                <w:bCs/>
              </w:rPr>
              <w:t xml:space="preserve">tīkla pieslēguma pretendentu reģistra, kurā reģistrēti atjaunojamās enerģijas ražotāji, kas vēlas veikt jaunas atjaunojamās enerģijas ražotnes pieslēgšanu sistēmai vai esošā sistēmas pieslēguma pārveidošanu, saturu, izveides, uzturēšanas un informācijas apmaiņas kārtību, kā arī kārtību, kādā atjaunojamās enerģijas ražotājs tiek iekļauts tīkla pieslēguma pretendentu reģistrā un kārtību, kādā sniedzama informācija par </w:t>
            </w:r>
            <w:r w:rsidRPr="005D37E8">
              <w:t>atjaunojamās enerģijas ražotnē saražoto un patērēto enerģiju un izmantotajiem atjaunojamiem energoresursiem</w:t>
            </w:r>
            <w:r w:rsidRPr="005D37E8">
              <w:rPr>
                <w:bCs/>
              </w:rPr>
              <w:t>;</w:t>
            </w:r>
          </w:p>
          <w:p w:rsidR="005D37E8" w:rsidRPr="005D37E8" w:rsidRDefault="005D37E8" w:rsidP="005D37E8">
            <w:pPr>
              <w:pStyle w:val="naisf"/>
              <w:ind w:firstLine="0"/>
            </w:pPr>
            <w:r w:rsidRPr="005D37E8">
              <w:rPr>
                <w:bCs/>
              </w:rPr>
              <w:lastRenderedPageBreak/>
              <w:t xml:space="preserve">5) kārtību, kādā </w:t>
            </w:r>
            <w:r w:rsidRPr="005D37E8">
              <w:t>mājsaimniecības sektorā atjaunojamās enerģijas autonomie ražotāji, kuru īpašumā vai lietojumā ir atjaunojamās enerģijas ražotne ar uzstādīto neto jaudu, ne lielāku par 50kW, veic elektroenerģijas neto uzskaiti;</w:t>
            </w:r>
          </w:p>
          <w:p w:rsidR="005D37E8" w:rsidRPr="005D37E8" w:rsidRDefault="005D37E8" w:rsidP="005D37E8">
            <w:pPr>
              <w:pStyle w:val="naisf"/>
              <w:ind w:firstLine="0"/>
            </w:pPr>
            <w:r w:rsidRPr="005D37E8">
              <w:t>6) biogāzes sertifikātu piešķiršanas, izmantošanas un anulēšanas kārtību, kā arī kompetento iestādi;</w:t>
            </w:r>
          </w:p>
          <w:p w:rsidR="009506BF" w:rsidRPr="00527AB5" w:rsidRDefault="005D37E8" w:rsidP="00527AB5">
            <w:pPr>
              <w:pStyle w:val="naisf"/>
              <w:ind w:firstLine="0"/>
            </w:pPr>
            <w:r w:rsidRPr="005D37E8">
              <w:t>7) kvalitātes prasības biogāzes bagātināšanai līdz dabasgāzes kvalitātei, kā arī kārtību biogāze</w:t>
            </w:r>
            <w:r w:rsidR="00527AB5">
              <w:t>s ievadīšanai dabasgāzes tīklā.</w:t>
            </w:r>
          </w:p>
          <w:p w:rsidR="007F7669" w:rsidRPr="007346FF" w:rsidRDefault="007F7669" w:rsidP="007F7669">
            <w:pPr>
              <w:pStyle w:val="naisf"/>
              <w:spacing w:before="0" w:after="0"/>
              <w:ind w:left="112" w:firstLine="0"/>
              <w:rPr>
                <w:bCs/>
              </w:rPr>
            </w:pPr>
            <w:r w:rsidRPr="007346FF">
              <w:rPr>
                <w:bCs/>
              </w:rPr>
              <w:t>Likumprojekta izpildes nodrošināšanai Sabiedrisko pakalpojumu regulēšanas komisija</w:t>
            </w:r>
            <w:r w:rsidR="00DA7BF2" w:rsidRPr="007346FF">
              <w:rPr>
                <w:bCs/>
              </w:rPr>
              <w:t>i būs nepieciešams</w:t>
            </w:r>
            <w:r w:rsidRPr="007346FF">
              <w:rPr>
                <w:bCs/>
              </w:rPr>
              <w:t xml:space="preserve"> </w:t>
            </w:r>
            <w:r w:rsidR="008D581D" w:rsidRPr="007346FF">
              <w:rPr>
                <w:bCs/>
              </w:rPr>
              <w:t xml:space="preserve"> izstrādā</w:t>
            </w:r>
            <w:r w:rsidR="00DA7BF2" w:rsidRPr="007346FF">
              <w:rPr>
                <w:bCs/>
              </w:rPr>
              <w:t>t</w:t>
            </w:r>
            <w:r w:rsidR="008D581D" w:rsidRPr="007346FF">
              <w:rPr>
                <w:bCs/>
              </w:rPr>
              <w:t xml:space="preserve"> metodikas:</w:t>
            </w:r>
          </w:p>
          <w:p w:rsidR="005D37E8" w:rsidRDefault="00704823" w:rsidP="00704823">
            <w:pPr>
              <w:pStyle w:val="naisf"/>
              <w:numPr>
                <w:ilvl w:val="0"/>
                <w:numId w:val="30"/>
              </w:numPr>
              <w:spacing w:before="0" w:after="0"/>
            </w:pPr>
            <w:r w:rsidRPr="007346FF">
              <w:t>i</w:t>
            </w:r>
            <w:r w:rsidR="00896448" w:rsidRPr="007346FF">
              <w:t xml:space="preserve">zmaksu </w:t>
            </w:r>
            <w:r w:rsidR="00B23A60">
              <w:t xml:space="preserve">attiecināšanas </w:t>
            </w:r>
            <w:r w:rsidR="005D37E8">
              <w:t>aprēķi</w:t>
            </w:r>
            <w:r w:rsidR="00B23A60">
              <w:t>na</w:t>
            </w:r>
            <w:r w:rsidR="005D37E8">
              <w:t xml:space="preserve"> metodiku, lai kompensētu PSO radītos zaudējumus attiecībā uz veiktajām piemaksām;</w:t>
            </w:r>
          </w:p>
          <w:p w:rsidR="00E052F6" w:rsidRPr="00B23A60" w:rsidRDefault="00B23A60" w:rsidP="00704823">
            <w:pPr>
              <w:pStyle w:val="naisf"/>
              <w:numPr>
                <w:ilvl w:val="0"/>
                <w:numId w:val="30"/>
              </w:numPr>
              <w:spacing w:before="0" w:after="0"/>
            </w:pPr>
            <w:r>
              <w:t xml:space="preserve">izmaksu attiecināšanas aprēķina metodiku, lai </w:t>
            </w:r>
            <w:r w:rsidRPr="00B23A60">
              <w:t xml:space="preserve">pārvades sistēmas operatoram </w:t>
            </w:r>
            <w:r>
              <w:t xml:space="preserve">tiktu segtas </w:t>
            </w:r>
            <w:r w:rsidRPr="00B23A60">
              <w:t>izmaksas, kas rodas, sedzot kompensējamās izmaksas</w:t>
            </w:r>
            <w:r>
              <w:t>.</w:t>
            </w:r>
          </w:p>
          <w:p w:rsidR="009639D9" w:rsidRDefault="00B40E10" w:rsidP="00E052F6">
            <w:pPr>
              <w:pStyle w:val="naisf"/>
              <w:spacing w:before="0" w:after="0"/>
              <w:ind w:left="112" w:firstLine="0"/>
            </w:pPr>
            <w:r w:rsidRPr="009639D9">
              <w:rPr>
                <w:b/>
              </w:rPr>
              <w:t xml:space="preserve">Ekonomikas ministrija </w:t>
            </w:r>
            <w:r w:rsidR="00885F3D" w:rsidRPr="009639D9">
              <w:rPr>
                <w:b/>
              </w:rPr>
              <w:t>ir sagatavojusi likumprojek</w:t>
            </w:r>
            <w:r w:rsidR="009639D9">
              <w:rPr>
                <w:b/>
              </w:rPr>
              <w:t>t</w:t>
            </w:r>
            <w:r w:rsidR="009639D9" w:rsidRPr="009639D9">
              <w:rPr>
                <w:b/>
              </w:rPr>
              <w:t>u</w:t>
            </w:r>
            <w:r w:rsidR="00885F3D" w:rsidRPr="009639D9">
              <w:rPr>
                <w:b/>
              </w:rPr>
              <w:t xml:space="preserve"> pavadoš</w:t>
            </w:r>
            <w:r w:rsidR="009639D9">
              <w:rPr>
                <w:b/>
              </w:rPr>
              <w:t>u</w:t>
            </w:r>
            <w:r w:rsidR="00885F3D" w:rsidRPr="009639D9">
              <w:rPr>
                <w:b/>
              </w:rPr>
              <w:t xml:space="preserve"> </w:t>
            </w:r>
            <w:r w:rsidR="009639D9">
              <w:rPr>
                <w:b/>
              </w:rPr>
              <w:t>l</w:t>
            </w:r>
            <w:r w:rsidR="009639D9" w:rsidRPr="009639D9">
              <w:rPr>
                <w:b/>
              </w:rPr>
              <w:t>ikumprojekt</w:t>
            </w:r>
            <w:r w:rsidR="009639D9">
              <w:rPr>
                <w:b/>
              </w:rPr>
              <w:t>u</w:t>
            </w:r>
            <w:r w:rsidR="009639D9" w:rsidRPr="009639D9">
              <w:rPr>
                <w:b/>
              </w:rPr>
              <w:t xml:space="preserve"> „Grozījumi Elektroenerģijas tirgus likumā”</w:t>
            </w:r>
            <w:r w:rsidR="009639D9">
              <w:rPr>
                <w:b/>
              </w:rPr>
              <w:t xml:space="preserve"> un tā anotāciju</w:t>
            </w:r>
            <w:r w:rsidR="009639D9" w:rsidRPr="009639D9">
              <w:rPr>
                <w:b/>
              </w:rPr>
              <w:t>.</w:t>
            </w:r>
          </w:p>
          <w:p w:rsidR="004260CD" w:rsidRPr="00B368D4" w:rsidRDefault="004260CD" w:rsidP="00E052F6">
            <w:pPr>
              <w:pStyle w:val="naisf"/>
              <w:spacing w:before="0" w:after="0"/>
              <w:ind w:left="112" w:firstLine="0"/>
            </w:pPr>
            <w:r>
              <w:t>Par normatīvo aktu izstrādi atbildīgā</w:t>
            </w:r>
            <w:r w:rsidR="0023121A">
              <w:t>s</w:t>
            </w:r>
            <w:r>
              <w:t xml:space="preserve"> institūcija</w:t>
            </w:r>
            <w:r w:rsidR="0023121A">
              <w:t>s</w:t>
            </w:r>
            <w:r>
              <w:t xml:space="preserve"> – Ekonomikas ministrija</w:t>
            </w:r>
            <w:r w:rsidR="0023121A">
              <w:t>, Sabiedrisko pakalpojumu regulēšanas komisija.</w:t>
            </w:r>
          </w:p>
        </w:tc>
      </w:tr>
      <w:tr w:rsidR="004260CD" w:rsidRPr="00E20AE9" w:rsidTr="00270D49">
        <w:tc>
          <w:tcPr>
            <w:tcW w:w="276" w:type="pct"/>
            <w:tcBorders>
              <w:top w:val="outset" w:sz="6" w:space="0" w:color="000000"/>
              <w:left w:val="outset" w:sz="6" w:space="0" w:color="000000"/>
              <w:bottom w:val="outset" w:sz="6" w:space="0" w:color="000000"/>
              <w:right w:val="outset" w:sz="6" w:space="0" w:color="000000"/>
            </w:tcBorders>
          </w:tcPr>
          <w:p w:rsidR="004260CD" w:rsidRPr="002A093B" w:rsidRDefault="004260CD" w:rsidP="003063AC">
            <w:pPr>
              <w:pStyle w:val="NormalWeb"/>
            </w:pPr>
            <w:r w:rsidRPr="002A093B">
              <w:lastRenderedPageBreak/>
              <w:t>2.</w:t>
            </w:r>
          </w:p>
        </w:tc>
        <w:tc>
          <w:tcPr>
            <w:tcW w:w="1401" w:type="pct"/>
            <w:tcBorders>
              <w:top w:val="outset" w:sz="6" w:space="0" w:color="000000"/>
              <w:left w:val="outset" w:sz="6" w:space="0" w:color="000000"/>
              <w:bottom w:val="outset" w:sz="6" w:space="0" w:color="000000"/>
              <w:right w:val="outset" w:sz="6" w:space="0" w:color="000000"/>
            </w:tcBorders>
          </w:tcPr>
          <w:p w:rsidR="004260CD" w:rsidRPr="002A093B" w:rsidRDefault="004260CD" w:rsidP="003063AC">
            <w:pPr>
              <w:pStyle w:val="NormalWeb"/>
            </w:pPr>
            <w:r w:rsidRPr="002A093B">
              <w:t>Cita informācija</w:t>
            </w:r>
          </w:p>
        </w:tc>
        <w:tc>
          <w:tcPr>
            <w:tcW w:w="3324" w:type="pct"/>
            <w:tcBorders>
              <w:top w:val="outset" w:sz="6" w:space="0" w:color="000000"/>
              <w:left w:val="outset" w:sz="6" w:space="0" w:color="000000"/>
              <w:bottom w:val="outset" w:sz="6" w:space="0" w:color="000000"/>
              <w:right w:val="outset" w:sz="6" w:space="0" w:color="000000"/>
            </w:tcBorders>
          </w:tcPr>
          <w:p w:rsidR="004260CD" w:rsidRPr="00930822" w:rsidRDefault="00C35618" w:rsidP="00930822">
            <w:pPr>
              <w:pStyle w:val="NormalWeb"/>
              <w:ind w:left="112"/>
              <w:jc w:val="both"/>
            </w:pPr>
            <w:r>
              <w:t>Nav</w:t>
            </w:r>
          </w:p>
        </w:tc>
      </w:tr>
    </w:tbl>
    <w:p w:rsidR="004260CD" w:rsidRDefault="004260CD" w:rsidP="004260CD">
      <w:pPr>
        <w:pStyle w:val="NormalWeb"/>
        <w:spacing w:before="0" w:beforeAutospacing="0" w:after="0" w:afterAutospacing="0"/>
        <w:rPr>
          <w:sz w:val="28"/>
          <w:szCs w:val="28"/>
        </w:rPr>
      </w:pPr>
      <w:r w:rsidRPr="00E20AE9">
        <w:rPr>
          <w:sz w:val="28"/>
          <w:szCs w:val="28"/>
        </w:rPr>
        <w:t> </w:t>
      </w:r>
    </w:p>
    <w:tbl>
      <w:tblPr>
        <w:tblW w:w="9213"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0"/>
        <w:gridCol w:w="284"/>
        <w:gridCol w:w="864"/>
        <w:gridCol w:w="337"/>
        <w:gridCol w:w="929"/>
        <w:gridCol w:w="3692"/>
        <w:gridCol w:w="1437"/>
      </w:tblGrid>
      <w:tr w:rsidR="00CD6E51" w:rsidRPr="005A2614" w:rsidTr="009670EF">
        <w:trPr>
          <w:tblCellSpacing w:w="0" w:type="dxa"/>
        </w:trPr>
        <w:tc>
          <w:tcPr>
            <w:tcW w:w="9213" w:type="dxa"/>
            <w:gridSpan w:val="7"/>
            <w:tcBorders>
              <w:top w:val="outset" w:sz="6" w:space="0" w:color="auto"/>
              <w:left w:val="outset" w:sz="6" w:space="0" w:color="auto"/>
              <w:bottom w:val="outset" w:sz="6" w:space="0" w:color="auto"/>
              <w:right w:val="outset" w:sz="6" w:space="0" w:color="auto"/>
            </w:tcBorders>
            <w:hideMark/>
          </w:tcPr>
          <w:p w:rsidR="00CD6E51" w:rsidRPr="005A2614" w:rsidRDefault="00CD6E51" w:rsidP="00CD6E51">
            <w:pPr>
              <w:spacing w:before="120" w:after="120"/>
              <w:jc w:val="center"/>
              <w:rPr>
                <w:b/>
              </w:rPr>
            </w:pPr>
            <w:r w:rsidRPr="005A2614">
              <w:rPr>
                <w:b/>
              </w:rPr>
              <w:t>V. Tiesību akta projekta atbilstība Latvijas Republikas starptautiskajām saistībām</w:t>
            </w:r>
          </w:p>
        </w:tc>
      </w:tr>
      <w:tr w:rsidR="00CD6E51" w:rsidRPr="00C823DA" w:rsidTr="009670EF">
        <w:trPr>
          <w:tblCellSpacing w:w="0" w:type="dxa"/>
        </w:trPr>
        <w:tc>
          <w:tcPr>
            <w:tcW w:w="2818" w:type="dxa"/>
            <w:gridSpan w:val="3"/>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t>Saistības pret Eiropas Savienību</w:t>
            </w:r>
          </w:p>
        </w:tc>
        <w:tc>
          <w:tcPr>
            <w:tcW w:w="6395" w:type="dxa"/>
            <w:gridSpan w:val="4"/>
            <w:tcBorders>
              <w:top w:val="outset" w:sz="6" w:space="0" w:color="auto"/>
              <w:left w:val="outset" w:sz="6" w:space="0" w:color="auto"/>
              <w:bottom w:val="outset" w:sz="6" w:space="0" w:color="auto"/>
              <w:right w:val="outset" w:sz="6" w:space="0" w:color="auto"/>
            </w:tcBorders>
            <w:hideMark/>
          </w:tcPr>
          <w:p w:rsidR="00CD6E51" w:rsidRDefault="0021549C" w:rsidP="009506BF">
            <w:pPr>
              <w:spacing w:before="100" w:beforeAutospacing="1" w:after="100" w:afterAutospacing="1"/>
              <w:jc w:val="both"/>
            </w:pPr>
            <w:r w:rsidRPr="00677387">
              <w:rPr>
                <w:bCs/>
              </w:rPr>
              <w:t xml:space="preserve">Likumprojekts atbilst </w:t>
            </w:r>
            <w:r w:rsidR="009506BF" w:rsidRPr="00EF6A76">
              <w:t>Eiro</w:t>
            </w:r>
            <w:r w:rsidR="006234AF">
              <w:t>pas Parlamenta un Padomes 2009.gada 23.</w:t>
            </w:r>
            <w:r w:rsidR="009506BF" w:rsidRPr="00EF6A76">
              <w:t>aprīļa direktīv</w:t>
            </w:r>
            <w:r w:rsidR="009506BF">
              <w:t>a</w:t>
            </w:r>
            <w:r w:rsidR="009506BF" w:rsidRPr="00EF6A76">
              <w:t xml:space="preserve"> 2009/28/EK par atjaunojamo energoresursu izmantošanas veicināšanu un ar ko groza un sekojoši atceļ Direktīvas 2001/77/EK un 2003/30/EK</w:t>
            </w:r>
            <w:r w:rsidR="009506BF">
              <w:t xml:space="preserve"> (turpmāk – Direktīva 2009/28/EK)</w:t>
            </w:r>
            <w:r w:rsidR="00806C74">
              <w:t>.</w:t>
            </w:r>
          </w:p>
          <w:p w:rsidR="00806C74" w:rsidRDefault="00806C74" w:rsidP="00806C74">
            <w:pPr>
              <w:spacing w:before="100" w:beforeAutospacing="1" w:after="100" w:afterAutospacing="1"/>
              <w:jc w:val="both"/>
            </w:pPr>
            <w:r>
              <w:t xml:space="preserve">Direktīvas 2009/28/EK prasības pilnībā tiks ieviestas ar Ministru kabineta noteikumiem, kuriem deleģējums ietverts šajā likumprojektā un grozījumiem Elektroenerģijas tirgus likumā un Biodegvielas likumā. </w:t>
            </w:r>
          </w:p>
          <w:p w:rsidR="00930822" w:rsidRDefault="00930822" w:rsidP="00930822">
            <w:pPr>
              <w:spacing w:before="100" w:beforeAutospacing="1" w:after="100" w:afterAutospacing="1"/>
              <w:jc w:val="both"/>
            </w:pPr>
            <w:r>
              <w:t xml:space="preserve">Ar </w:t>
            </w:r>
            <w:r w:rsidRPr="00930822">
              <w:t>Direktīvu 2009/28/EK groza un atceļ Eiropas Parlamenta un Padomes 2001. gada 27. septembra direktīv</w:t>
            </w:r>
            <w:r>
              <w:t>u</w:t>
            </w:r>
            <w:r w:rsidRPr="00930822">
              <w:t xml:space="preserve"> </w:t>
            </w:r>
            <w:r w:rsidRPr="00930822">
              <w:rPr>
                <w:lang w:eastAsia="en-US"/>
              </w:rPr>
              <w:t>2001/77/EK</w:t>
            </w:r>
            <w:r w:rsidRPr="00930822">
              <w:t xml:space="preserve"> par tādas elektroenerģijas izmantošanas veicināšanu iekšējā tirgū, kas saražota, izmantojot atjaunojamos enerģijas avotus (turpmāk – Direktīva 2001/77/EK) un Eiropas Parlamenta un Padomes 2003. gada 8. maija direktīvu 2003/30/EK par biodegvielas un citu atjaunojamo veidu degvielas izmantošanas veicināšanu transportā</w:t>
            </w:r>
            <w:r>
              <w:t>.</w:t>
            </w:r>
          </w:p>
          <w:p w:rsidR="007402CA" w:rsidRDefault="007402CA" w:rsidP="00930822">
            <w:pPr>
              <w:spacing w:before="100" w:beforeAutospacing="1" w:after="100" w:afterAutospacing="1"/>
              <w:jc w:val="both"/>
            </w:pPr>
            <w:r>
              <w:t xml:space="preserve">Direktīvas </w:t>
            </w:r>
            <w:r w:rsidR="00285487">
              <w:t xml:space="preserve">2009/28/EK </w:t>
            </w:r>
            <w:r>
              <w:t xml:space="preserve">preambulas 25.punktā norādīts, ka, lai valsts atbalsta shēmas pareizi darbotos, ir būtiski, lai dalībvalstis varētu kontrolēt savu valsts atbalsta shēmu ietekmi un izmaksas atbilstīgi savam atšķirīgajam potenciālam. Svarīgs līdzeklis, kā </w:t>
            </w:r>
            <w:r>
              <w:lastRenderedPageBreak/>
              <w:t>panākt Direktīvā 2009/28/EK noteikto mērķi, ir nodrošināt valsts atbalsta shēmu pareizu darbību atbilstīgi Direktīvai 2001/77/EK.</w:t>
            </w:r>
          </w:p>
          <w:p w:rsidR="007402CA" w:rsidRDefault="007402CA" w:rsidP="00930822">
            <w:pPr>
              <w:spacing w:before="100" w:beforeAutospacing="1" w:after="100" w:afterAutospacing="1"/>
              <w:jc w:val="both"/>
            </w:pPr>
            <w:r>
              <w:t>Atbilstoši Direktīvas 2009/28/EK 26.panta 1.punktam no 2010.gada 1.aprīļa Direktīvā 2001/77/EK ir svītrots 2.pants., 3.panta</w:t>
            </w:r>
            <w:r w:rsidR="0085013C">
              <w:t xml:space="preserve"> 2.punkts un 4.līdz 8.pants.</w:t>
            </w:r>
            <w:r>
              <w:t xml:space="preserve"> </w:t>
            </w:r>
          </w:p>
          <w:p w:rsidR="00930822" w:rsidRDefault="007402CA" w:rsidP="0085013C">
            <w:pPr>
              <w:spacing w:before="100" w:beforeAutospacing="1" w:after="100" w:afterAutospacing="1"/>
              <w:jc w:val="both"/>
            </w:pPr>
            <w:r>
              <w:t>Atbilstoši Direktīvas 2009/28/EK 26.panta 2.punktam no 2012.gada 1.janvāra Direktīv</w:t>
            </w:r>
            <w:r w:rsidR="009506BF">
              <w:t>a</w:t>
            </w:r>
            <w:r>
              <w:t xml:space="preserve"> 2001/77/EK </w:t>
            </w:r>
            <w:r w:rsidR="009506BF">
              <w:t>zaudē spēku.</w:t>
            </w:r>
          </w:p>
          <w:p w:rsidR="0085013C" w:rsidRPr="00C823DA" w:rsidRDefault="0085013C" w:rsidP="0085013C">
            <w:pPr>
              <w:spacing w:before="100" w:beforeAutospacing="1" w:after="100" w:afterAutospacing="1"/>
              <w:jc w:val="both"/>
            </w:pPr>
            <w:r>
              <w:t>Likumprojektā ietvertas normas, lai nodrošinātu Latvijas Republikas normatīvo aktu atbilstību Direktīvai 2001/77/EK, ņemot vērā termiņus, kādos spēku zaudē atsevišķas Direktīva</w:t>
            </w:r>
            <w:r w:rsidR="009506BF">
              <w:t>s 2001/77/EK normas un termiņu,</w:t>
            </w:r>
            <w:r>
              <w:t xml:space="preserve"> ar kādu</w:t>
            </w:r>
            <w:r w:rsidR="009506BF">
              <w:t xml:space="preserve"> </w:t>
            </w:r>
            <w:r>
              <w:t xml:space="preserve">Direktīva </w:t>
            </w:r>
            <w:r w:rsidR="00806C74">
              <w:t>2</w:t>
            </w:r>
            <w:r>
              <w:t>001/77/EK zaudē spēku.</w:t>
            </w:r>
          </w:p>
        </w:tc>
      </w:tr>
      <w:tr w:rsidR="00CD6E51" w:rsidRPr="005A2614" w:rsidTr="009670EF">
        <w:trPr>
          <w:tblCellSpacing w:w="0" w:type="dxa"/>
        </w:trPr>
        <w:tc>
          <w:tcPr>
            <w:tcW w:w="2818" w:type="dxa"/>
            <w:gridSpan w:val="3"/>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lastRenderedPageBreak/>
              <w:t> Citas starptautiskās saistības</w:t>
            </w:r>
          </w:p>
        </w:tc>
        <w:tc>
          <w:tcPr>
            <w:tcW w:w="6395" w:type="dxa"/>
            <w:gridSpan w:val="4"/>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t> </w:t>
            </w:r>
            <w:r w:rsidR="008B7961" w:rsidRPr="0048458B">
              <w:rPr>
                <w:iCs/>
              </w:rPr>
              <w:t>Projekts šo jomu neskar</w:t>
            </w:r>
            <w:r w:rsidR="008B7961">
              <w:rPr>
                <w:iCs/>
              </w:rPr>
              <w:t>.</w:t>
            </w:r>
          </w:p>
        </w:tc>
      </w:tr>
      <w:tr w:rsidR="00CD6E51" w:rsidRPr="005A2614" w:rsidTr="009670EF">
        <w:trPr>
          <w:tblCellSpacing w:w="0" w:type="dxa"/>
        </w:trPr>
        <w:tc>
          <w:tcPr>
            <w:tcW w:w="2818" w:type="dxa"/>
            <w:gridSpan w:val="3"/>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t> Cita informācija</w:t>
            </w:r>
          </w:p>
        </w:tc>
        <w:tc>
          <w:tcPr>
            <w:tcW w:w="6395" w:type="dxa"/>
            <w:gridSpan w:val="4"/>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t> </w:t>
            </w:r>
            <w:r>
              <w:t>Nav.</w:t>
            </w:r>
          </w:p>
        </w:tc>
      </w:tr>
      <w:tr w:rsidR="00CD6E51" w:rsidRPr="005A2614" w:rsidTr="009670EF">
        <w:trPr>
          <w:trHeight w:val="523"/>
          <w:tblCellSpacing w:w="0" w:type="dxa"/>
        </w:trPr>
        <w:tc>
          <w:tcPr>
            <w:tcW w:w="9213" w:type="dxa"/>
            <w:gridSpan w:val="7"/>
            <w:tcBorders>
              <w:top w:val="outset" w:sz="6" w:space="0" w:color="auto"/>
              <w:left w:val="outset" w:sz="6" w:space="0" w:color="auto"/>
              <w:bottom w:val="outset" w:sz="6" w:space="0" w:color="auto"/>
              <w:right w:val="outset" w:sz="6" w:space="0" w:color="auto"/>
            </w:tcBorders>
            <w:vAlign w:val="center"/>
            <w:hideMark/>
          </w:tcPr>
          <w:p w:rsidR="00CD6E51" w:rsidRPr="00C35618" w:rsidRDefault="00CD6E51" w:rsidP="00C35618">
            <w:pPr>
              <w:jc w:val="center"/>
              <w:rPr>
                <w:b/>
              </w:rPr>
            </w:pPr>
            <w:r w:rsidRPr="00C35618">
              <w:rPr>
                <w:b/>
              </w:rPr>
              <w:t>1.tabula</w:t>
            </w:r>
          </w:p>
          <w:p w:rsidR="00CD6E51" w:rsidRPr="005A2614" w:rsidRDefault="00CD6E51" w:rsidP="00C35618">
            <w:pPr>
              <w:jc w:val="center"/>
            </w:pPr>
            <w:r w:rsidRPr="00C35618">
              <w:rPr>
                <w:b/>
              </w:rPr>
              <w:t>Tiesību akta projekta atbilstība ES tiesību aktiem</w:t>
            </w:r>
          </w:p>
        </w:tc>
      </w:tr>
      <w:tr w:rsidR="00CD6E51" w:rsidRPr="005A2614" w:rsidTr="009670EF">
        <w:trPr>
          <w:trHeight w:val="1252"/>
          <w:tblCellSpacing w:w="0" w:type="dxa"/>
        </w:trPr>
        <w:tc>
          <w:tcPr>
            <w:tcW w:w="1670" w:type="dxa"/>
            <w:tcBorders>
              <w:top w:val="outset" w:sz="6" w:space="0" w:color="auto"/>
              <w:left w:val="outset" w:sz="6" w:space="0" w:color="auto"/>
              <w:bottom w:val="outset" w:sz="6" w:space="0" w:color="auto"/>
              <w:right w:val="outset" w:sz="6" w:space="0" w:color="auto"/>
            </w:tcBorders>
            <w:vAlign w:val="center"/>
            <w:hideMark/>
          </w:tcPr>
          <w:p w:rsidR="00CD6E51" w:rsidRPr="005A2614" w:rsidRDefault="00CD6E51" w:rsidP="003063AC">
            <w:pPr>
              <w:spacing w:before="100" w:beforeAutospacing="1" w:after="100" w:afterAutospacing="1"/>
            </w:pPr>
            <w:r w:rsidRPr="005A2614">
              <w:t> Attiecīgā ES tiesību akta datums, numurs un nosaukums</w:t>
            </w:r>
          </w:p>
        </w:tc>
        <w:tc>
          <w:tcPr>
            <w:tcW w:w="7543" w:type="dxa"/>
            <w:gridSpan w:val="6"/>
            <w:tcBorders>
              <w:top w:val="outset" w:sz="6" w:space="0" w:color="auto"/>
              <w:left w:val="outset" w:sz="6" w:space="0" w:color="auto"/>
              <w:bottom w:val="outset" w:sz="6" w:space="0" w:color="auto"/>
              <w:right w:val="outset" w:sz="6" w:space="0" w:color="auto"/>
            </w:tcBorders>
            <w:vAlign w:val="center"/>
            <w:hideMark/>
          </w:tcPr>
          <w:p w:rsidR="004D3CD8" w:rsidRPr="004D3CD8" w:rsidRDefault="004D3CD8" w:rsidP="004D3CD8">
            <w:pPr>
              <w:pStyle w:val="naiskr"/>
              <w:spacing w:before="0" w:after="0"/>
              <w:jc w:val="both"/>
            </w:pPr>
            <w:r w:rsidRPr="004D3CD8">
              <w:t xml:space="preserve">Parlamenta un Padomes 2001. gada 27. septembra direktīva </w:t>
            </w:r>
            <w:r w:rsidRPr="004D3CD8">
              <w:rPr>
                <w:lang w:eastAsia="en-US"/>
              </w:rPr>
              <w:t>2001/77/EK</w:t>
            </w:r>
            <w:r w:rsidRPr="004D3CD8">
              <w:t xml:space="preserve"> par tādas elektroenerģijas izmantošanas veicināšanu iekšējā tirgū, kas saražota, izmantojot atjaunojamos enerģijas avotus ir spēkā līdz 2012.gada 1.janvārim.</w:t>
            </w:r>
          </w:p>
          <w:p w:rsidR="004D3CD8" w:rsidRPr="004D3CD8" w:rsidRDefault="004D3CD8" w:rsidP="004D3CD8">
            <w:pPr>
              <w:spacing w:before="100" w:beforeAutospacing="1" w:after="100" w:afterAutospacing="1"/>
              <w:jc w:val="both"/>
            </w:pPr>
            <w:r w:rsidRPr="004D3CD8">
              <w:rPr>
                <w:bCs/>
              </w:rPr>
              <w:t>Eiropas Parlamenta un Padomes Direktīva 2009/28/EK</w:t>
            </w:r>
            <w:r w:rsidRPr="004D3CD8">
              <w:t xml:space="preserve"> </w:t>
            </w:r>
            <w:r w:rsidRPr="004D3CD8">
              <w:rPr>
                <w:bCs/>
              </w:rPr>
              <w:t xml:space="preserve">(2009. gada 23. aprīlis) par atjaunojamo energoresursu izmantošanas veicināšanu un ar ko groza un sekojoši atceļ Direktīvas 2001/77/EK un 2003/30/EK </w:t>
            </w:r>
            <w:r w:rsidRPr="004D3CD8">
              <w:t>jāpārņem līdz 2010.gada 5.decembrim.</w:t>
            </w:r>
          </w:p>
          <w:p w:rsidR="00511810" w:rsidRPr="004D3CD8" w:rsidRDefault="00D534B2" w:rsidP="004D3CD8">
            <w:pPr>
              <w:spacing w:before="100" w:beforeAutospacing="1" w:after="100" w:afterAutospacing="1"/>
              <w:jc w:val="both"/>
            </w:pPr>
            <w:r w:rsidRPr="004D3CD8">
              <w:t>Atbilstoši Direktīvas 2009/28/EK 2.pantam, p</w:t>
            </w:r>
            <w:r w:rsidR="00511810" w:rsidRPr="004D3CD8">
              <w:t xml:space="preserve">iemērojot Direktīvu 2009/28/EK, ir spēkā </w:t>
            </w:r>
            <w:r w:rsidRPr="004D3CD8">
              <w:t xml:space="preserve">Eiropas Parlamenta un Padomes 2003.gada 26.jūnija Direktīvas 2003/54/EK par kopīgiem noteikumiem attiecībā uz elektroenerģijas iekšējo tirgu un par Direktīvas 96/92/EK atcelšanu </w:t>
            </w:r>
            <w:r w:rsidR="00511810" w:rsidRPr="004D3CD8">
              <w:t>definīcijas.</w:t>
            </w:r>
          </w:p>
          <w:p w:rsidR="00D534B2" w:rsidRPr="00D534B2" w:rsidRDefault="00D534B2" w:rsidP="00D534B2">
            <w:pPr>
              <w:spacing w:before="100" w:beforeAutospacing="1" w:after="100" w:afterAutospacing="1"/>
              <w:jc w:val="both"/>
              <w:rPr>
                <w:b/>
              </w:rPr>
            </w:pPr>
            <w:r w:rsidRPr="004D3CD8">
              <w:t>Saskaņā ar Eiropas Parlamenta un Padomes 2009/gada 13.jūlija Direktīvas 2009/72/EK par kopīgiem noteikumiem attiecībā uz elektroenerģijas iekšējo tirgu un par Direktīvas 2003/54/EK atcelšanu (turpmāk – Elektrības direktīva) 49.panta pirmo daļu normatīvajiem un administratīvajiem aktiem, kas vajadzīgi, lai izpildītu Elektrības direktīvas prasības, jāstājas spēkā līdz 2011.gada 3.martam.</w:t>
            </w:r>
          </w:p>
        </w:tc>
      </w:tr>
      <w:tr w:rsidR="00CD6E51" w:rsidRPr="005A2614" w:rsidTr="009670EF">
        <w:trPr>
          <w:trHeight w:val="163"/>
          <w:tblCellSpacing w:w="0" w:type="dxa"/>
        </w:trPr>
        <w:tc>
          <w:tcPr>
            <w:tcW w:w="9213" w:type="dxa"/>
            <w:gridSpan w:val="7"/>
            <w:tcBorders>
              <w:top w:val="outset" w:sz="6" w:space="0" w:color="auto"/>
              <w:left w:val="outset" w:sz="6" w:space="0" w:color="auto"/>
              <w:bottom w:val="outset" w:sz="6" w:space="0" w:color="auto"/>
              <w:right w:val="outset" w:sz="6" w:space="0" w:color="auto"/>
            </w:tcBorders>
            <w:vAlign w:val="center"/>
            <w:hideMark/>
          </w:tcPr>
          <w:p w:rsidR="00CD6E51" w:rsidRPr="005A2614" w:rsidRDefault="00CD6E51" w:rsidP="003063AC">
            <w:pPr>
              <w:spacing w:before="100" w:beforeAutospacing="1" w:after="100" w:afterAutospacing="1" w:line="163" w:lineRule="atLeast"/>
            </w:pPr>
            <w:r w:rsidRPr="005A2614">
              <w:t>  </w:t>
            </w:r>
          </w:p>
        </w:tc>
      </w:tr>
      <w:tr w:rsidR="003D654C" w:rsidRPr="005A2614" w:rsidTr="009670EF">
        <w:trPr>
          <w:trHeight w:val="165"/>
          <w:tblCellSpacing w:w="0" w:type="dxa"/>
        </w:trPr>
        <w:tc>
          <w:tcPr>
            <w:tcW w:w="1670" w:type="dxa"/>
            <w:tcBorders>
              <w:top w:val="outset" w:sz="6" w:space="0" w:color="auto"/>
              <w:left w:val="outset" w:sz="6" w:space="0" w:color="auto"/>
              <w:bottom w:val="outset" w:sz="6" w:space="0" w:color="auto"/>
              <w:right w:val="outset" w:sz="6" w:space="0" w:color="auto"/>
            </w:tcBorders>
            <w:vAlign w:val="center"/>
            <w:hideMark/>
          </w:tcPr>
          <w:p w:rsidR="00CD6E51" w:rsidRPr="005A2614" w:rsidRDefault="00CD6E51" w:rsidP="00C35618">
            <w:pPr>
              <w:spacing w:before="100" w:beforeAutospacing="1" w:after="100" w:afterAutospacing="1" w:line="165" w:lineRule="atLeast"/>
              <w:jc w:val="center"/>
            </w:pPr>
            <w:r w:rsidRPr="005A2614">
              <w:t>A</w:t>
            </w:r>
          </w:p>
        </w:tc>
        <w:tc>
          <w:tcPr>
            <w:tcW w:w="1485" w:type="dxa"/>
            <w:gridSpan w:val="3"/>
            <w:tcBorders>
              <w:top w:val="outset" w:sz="6" w:space="0" w:color="auto"/>
              <w:left w:val="outset" w:sz="6" w:space="0" w:color="auto"/>
              <w:bottom w:val="outset" w:sz="6" w:space="0" w:color="auto"/>
              <w:right w:val="outset" w:sz="6" w:space="0" w:color="auto"/>
            </w:tcBorders>
            <w:vAlign w:val="center"/>
            <w:hideMark/>
          </w:tcPr>
          <w:p w:rsidR="00CD6E51" w:rsidRPr="005A2614" w:rsidRDefault="00CD6E51" w:rsidP="00C35618">
            <w:pPr>
              <w:spacing w:before="100" w:beforeAutospacing="1" w:after="100" w:afterAutospacing="1" w:line="165" w:lineRule="atLeast"/>
              <w:jc w:val="center"/>
            </w:pPr>
            <w:r w:rsidRPr="005A2614">
              <w:t>B</w:t>
            </w:r>
          </w:p>
        </w:tc>
        <w:tc>
          <w:tcPr>
            <w:tcW w:w="4621" w:type="dxa"/>
            <w:gridSpan w:val="2"/>
            <w:tcBorders>
              <w:top w:val="outset" w:sz="6" w:space="0" w:color="auto"/>
              <w:left w:val="outset" w:sz="6" w:space="0" w:color="auto"/>
              <w:bottom w:val="outset" w:sz="6" w:space="0" w:color="auto"/>
              <w:right w:val="outset" w:sz="6" w:space="0" w:color="auto"/>
            </w:tcBorders>
            <w:vAlign w:val="center"/>
            <w:hideMark/>
          </w:tcPr>
          <w:p w:rsidR="00CD6E51" w:rsidRPr="005A2614" w:rsidRDefault="00CD6E51" w:rsidP="00C35618">
            <w:pPr>
              <w:spacing w:before="100" w:beforeAutospacing="1" w:after="100" w:afterAutospacing="1" w:line="165" w:lineRule="atLeast"/>
              <w:jc w:val="center"/>
            </w:pPr>
            <w:r w:rsidRPr="005A2614">
              <w:t>C</w:t>
            </w:r>
          </w:p>
        </w:tc>
        <w:tc>
          <w:tcPr>
            <w:tcW w:w="1437" w:type="dxa"/>
            <w:tcBorders>
              <w:top w:val="outset" w:sz="6" w:space="0" w:color="auto"/>
              <w:left w:val="outset" w:sz="6" w:space="0" w:color="auto"/>
              <w:bottom w:val="outset" w:sz="6" w:space="0" w:color="auto"/>
              <w:right w:val="outset" w:sz="6" w:space="0" w:color="auto"/>
            </w:tcBorders>
            <w:vAlign w:val="center"/>
            <w:hideMark/>
          </w:tcPr>
          <w:p w:rsidR="00CD6E51" w:rsidRPr="005A2614" w:rsidRDefault="00CD6E51" w:rsidP="00C35618">
            <w:pPr>
              <w:spacing w:before="100" w:beforeAutospacing="1" w:after="100" w:afterAutospacing="1" w:line="165" w:lineRule="atLeast"/>
              <w:jc w:val="center"/>
            </w:pPr>
            <w:r w:rsidRPr="005A2614">
              <w:t>D</w:t>
            </w:r>
          </w:p>
        </w:tc>
      </w:tr>
      <w:tr w:rsidR="00AE4183" w:rsidRPr="005A2614" w:rsidTr="009670EF">
        <w:trPr>
          <w:trHeight w:val="640"/>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511810" w:rsidRDefault="00511810" w:rsidP="00080A6F">
            <w:pPr>
              <w:pStyle w:val="naiskr"/>
              <w:spacing w:before="0" w:after="0"/>
              <w:rPr>
                <w:sz w:val="22"/>
                <w:szCs w:val="22"/>
              </w:rPr>
            </w:pPr>
            <w:r>
              <w:rPr>
                <w:sz w:val="22"/>
                <w:szCs w:val="22"/>
              </w:rPr>
              <w:t>Direktīvas 2001/77/EK</w:t>
            </w:r>
          </w:p>
          <w:p w:rsidR="00511810" w:rsidRDefault="00511810" w:rsidP="00080A6F">
            <w:pPr>
              <w:pStyle w:val="naiskr"/>
              <w:spacing w:before="0" w:after="0"/>
              <w:rPr>
                <w:sz w:val="22"/>
                <w:szCs w:val="22"/>
              </w:rPr>
            </w:pPr>
            <w:r>
              <w:rPr>
                <w:sz w:val="22"/>
                <w:szCs w:val="22"/>
              </w:rPr>
              <w:t>1.pants, 3.panta 1.punkts, 9.pants, Pielikums</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216027" w:rsidRDefault="00511810" w:rsidP="00511810">
            <w:pPr>
              <w:pStyle w:val="naiskr"/>
              <w:spacing w:before="0" w:after="0"/>
              <w:jc w:val="center"/>
              <w:rPr>
                <w:sz w:val="22"/>
                <w:szCs w:val="22"/>
              </w:rPr>
            </w:pPr>
            <w:r>
              <w:rPr>
                <w:sz w:val="22"/>
                <w:szCs w:val="22"/>
              </w:rPr>
              <w:t>-</w:t>
            </w:r>
          </w:p>
        </w:tc>
        <w:tc>
          <w:tcPr>
            <w:tcW w:w="4621" w:type="dxa"/>
            <w:gridSpan w:val="2"/>
            <w:tcBorders>
              <w:top w:val="outset" w:sz="6" w:space="0" w:color="auto"/>
              <w:left w:val="outset" w:sz="6" w:space="0" w:color="auto"/>
              <w:bottom w:val="outset" w:sz="6" w:space="0" w:color="auto"/>
              <w:right w:val="outset" w:sz="6" w:space="0" w:color="auto"/>
            </w:tcBorders>
            <w:hideMark/>
          </w:tcPr>
          <w:p w:rsidR="00511810" w:rsidRDefault="00511810" w:rsidP="00080A6F">
            <w:pPr>
              <w:pStyle w:val="naiskr"/>
              <w:spacing w:before="0" w:after="0"/>
              <w:jc w:val="both"/>
              <w:rPr>
                <w:sz w:val="22"/>
                <w:szCs w:val="22"/>
              </w:rPr>
            </w:pPr>
            <w:r>
              <w:rPr>
                <w:sz w:val="22"/>
                <w:szCs w:val="22"/>
              </w:rPr>
              <w:t>Norma satur tikai dalībvalstīm saistošus pienākumus, tāpēc nav nepieciešams ieviest normatīvajos aktos.</w:t>
            </w:r>
          </w:p>
          <w:p w:rsidR="00511810" w:rsidRDefault="00511810" w:rsidP="00080A6F">
            <w:pPr>
              <w:pStyle w:val="naiskr"/>
              <w:spacing w:before="0" w:after="0"/>
              <w:jc w:val="both"/>
            </w:pPr>
            <w:r>
              <w:rPr>
                <w:sz w:val="22"/>
                <w:szCs w:val="22"/>
              </w:rPr>
              <w:t xml:space="preserve">Mērķis un pasākumi, lai izpildītu Direktīvas 2001/77/EK prasības, ietverts vidēja termiņa plānošanas dokumentos: </w:t>
            </w:r>
            <w:r w:rsidRPr="000F3F45">
              <w:t>Enerģētikas attīstīb</w:t>
            </w:r>
            <w:r>
              <w:t>as pamatnostādnes 2007. – 2016.</w:t>
            </w:r>
            <w:r w:rsidRPr="000F3F45">
              <w:t xml:space="preserve">gadam, Latvijas </w:t>
            </w:r>
            <w:r w:rsidRPr="000F3F45">
              <w:lastRenderedPageBreak/>
              <w:t>Atjaunojamo energoresursu izmantošan</w:t>
            </w:r>
            <w:r>
              <w:t>as pamatnostādnes 2006. – 2013.</w:t>
            </w:r>
            <w:r w:rsidRPr="000F3F45">
              <w:t>gadam</w:t>
            </w:r>
            <w:r>
              <w:t>.</w:t>
            </w:r>
          </w:p>
          <w:p w:rsidR="00511810" w:rsidRDefault="00511810" w:rsidP="00080A6F">
            <w:pPr>
              <w:pStyle w:val="naiskr"/>
              <w:spacing w:before="0" w:after="0"/>
              <w:jc w:val="both"/>
              <w:rPr>
                <w:sz w:val="22"/>
                <w:szCs w:val="22"/>
              </w:rPr>
            </w:pPr>
            <w:r>
              <w:rPr>
                <w:sz w:val="22"/>
                <w:szCs w:val="22"/>
              </w:rPr>
              <w:t>Direktīva 2001/77/EK ieviesta ar Elektroenerģijas tirgus likuma 29.pantu, 29.</w:t>
            </w:r>
            <w:r>
              <w:rPr>
                <w:sz w:val="22"/>
                <w:szCs w:val="22"/>
                <w:vertAlign w:val="superscript"/>
              </w:rPr>
              <w:t xml:space="preserve">1 </w:t>
            </w:r>
            <w:r>
              <w:rPr>
                <w:sz w:val="22"/>
                <w:szCs w:val="22"/>
              </w:rPr>
              <w:t>pantu, 30.pantu un 31.pantu, kā arī</w:t>
            </w:r>
          </w:p>
          <w:p w:rsidR="00511810" w:rsidRDefault="00511810" w:rsidP="00511810">
            <w:pPr>
              <w:pStyle w:val="naiskr"/>
              <w:spacing w:before="0" w:after="0"/>
              <w:jc w:val="both"/>
              <w:rPr>
                <w:sz w:val="22"/>
                <w:szCs w:val="22"/>
              </w:rPr>
            </w:pPr>
            <w:r>
              <w:rPr>
                <w:sz w:val="22"/>
                <w:szCs w:val="22"/>
              </w:rPr>
              <w:t>MK 2010.16.03 noteikumiem Nr. 262 „Noteikumi par elektroenerģijas ražošanu, izmantojot atjaunojamos energoresursus, un cenu noteikšanas kārtību”.</w:t>
            </w:r>
          </w:p>
          <w:p w:rsidR="002A5228" w:rsidRPr="00216027" w:rsidRDefault="002A5228" w:rsidP="00511810">
            <w:pPr>
              <w:pStyle w:val="naiskr"/>
              <w:spacing w:before="0" w:after="0"/>
              <w:jc w:val="both"/>
              <w:rPr>
                <w:sz w:val="22"/>
                <w:szCs w:val="22"/>
              </w:rPr>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511810" w:rsidRDefault="00511810" w:rsidP="00511810">
            <w:pPr>
              <w:pStyle w:val="naiskr"/>
              <w:spacing w:before="0" w:after="0"/>
              <w:jc w:val="both"/>
            </w:pPr>
            <w:r>
              <w:lastRenderedPageBreak/>
              <w:t xml:space="preserve">Nacionālais tiesību akts neparedz stingrākas prasības </w:t>
            </w:r>
          </w:p>
          <w:p w:rsidR="00511810" w:rsidRPr="00216027" w:rsidRDefault="00511810" w:rsidP="00080A6F">
            <w:pPr>
              <w:pStyle w:val="naiskr"/>
              <w:spacing w:before="0" w:after="0"/>
              <w:rPr>
                <w:sz w:val="22"/>
                <w:szCs w:val="22"/>
              </w:rPr>
            </w:pPr>
          </w:p>
        </w:tc>
      </w:tr>
      <w:tr w:rsidR="00AE4183" w:rsidRPr="005A2614" w:rsidTr="009670EF">
        <w:trPr>
          <w:trHeight w:val="640"/>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511810" w:rsidRDefault="00511810" w:rsidP="00080A6F">
            <w:pPr>
              <w:pStyle w:val="naiskr"/>
              <w:spacing w:before="0" w:after="0"/>
              <w:rPr>
                <w:sz w:val="22"/>
                <w:szCs w:val="22"/>
              </w:rPr>
            </w:pPr>
            <w:r>
              <w:rPr>
                <w:sz w:val="22"/>
                <w:szCs w:val="22"/>
              </w:rPr>
              <w:lastRenderedPageBreak/>
              <w:t>Direktīvas 2001/77/EK</w:t>
            </w:r>
          </w:p>
          <w:p w:rsidR="00511810" w:rsidRDefault="00511810" w:rsidP="00080A6F">
            <w:pPr>
              <w:pStyle w:val="naiskr"/>
              <w:spacing w:before="0" w:after="0"/>
              <w:rPr>
                <w:sz w:val="22"/>
                <w:szCs w:val="22"/>
              </w:rPr>
            </w:pPr>
            <w:r>
              <w:rPr>
                <w:sz w:val="22"/>
                <w:szCs w:val="22"/>
              </w:rPr>
              <w:t>3.panta 3.punkts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Default="00511810" w:rsidP="00511810">
            <w:pPr>
              <w:pStyle w:val="naiskr"/>
              <w:spacing w:before="0" w:after="0"/>
              <w:jc w:val="center"/>
              <w:rPr>
                <w:sz w:val="22"/>
                <w:szCs w:val="22"/>
              </w:rPr>
            </w:pPr>
            <w:r>
              <w:rPr>
                <w:sz w:val="22"/>
                <w:szCs w:val="22"/>
              </w:rPr>
              <w:t>-</w:t>
            </w:r>
          </w:p>
        </w:tc>
        <w:tc>
          <w:tcPr>
            <w:tcW w:w="4621" w:type="dxa"/>
            <w:gridSpan w:val="2"/>
            <w:tcBorders>
              <w:top w:val="outset" w:sz="6" w:space="0" w:color="auto"/>
              <w:left w:val="outset" w:sz="6" w:space="0" w:color="auto"/>
              <w:bottom w:val="outset" w:sz="6" w:space="0" w:color="auto"/>
              <w:right w:val="outset" w:sz="6" w:space="0" w:color="auto"/>
            </w:tcBorders>
            <w:hideMark/>
          </w:tcPr>
          <w:p w:rsidR="00511810" w:rsidRDefault="00511810" w:rsidP="00080A6F">
            <w:pPr>
              <w:pStyle w:val="naiskr"/>
              <w:spacing w:before="0" w:after="0"/>
              <w:rPr>
                <w:color w:val="000000"/>
              </w:rPr>
            </w:pPr>
            <w:r>
              <w:rPr>
                <w:color w:val="000000"/>
              </w:rPr>
              <w:t>Direktīvas 2001/77/EK 3.panta 3.daļa satur tikai dalībvalstij sasitošu pienākumu un tāpēc to nav nepieciešams pārņemt projektā</w:t>
            </w:r>
          </w:p>
          <w:p w:rsidR="002A5228" w:rsidRDefault="002A5228" w:rsidP="00080A6F">
            <w:pPr>
              <w:pStyle w:val="naiskr"/>
              <w:spacing w:before="0" w:after="0"/>
              <w:rPr>
                <w:sz w:val="22"/>
                <w:szCs w:val="22"/>
              </w:rPr>
            </w:pPr>
            <w:r>
              <w:t>Ekonomikas ministrija</w:t>
            </w:r>
          </w:p>
        </w:tc>
        <w:tc>
          <w:tcPr>
            <w:tcW w:w="1437" w:type="dxa"/>
            <w:tcBorders>
              <w:top w:val="outset" w:sz="6" w:space="0" w:color="auto"/>
              <w:left w:val="outset" w:sz="6" w:space="0" w:color="auto"/>
              <w:bottom w:val="outset" w:sz="6" w:space="0" w:color="auto"/>
              <w:right w:val="outset" w:sz="6" w:space="0" w:color="auto"/>
            </w:tcBorders>
            <w:hideMark/>
          </w:tcPr>
          <w:p w:rsidR="00511810" w:rsidRDefault="00511810" w:rsidP="00080A6F">
            <w:pPr>
              <w:pStyle w:val="naiskr"/>
              <w:spacing w:before="0" w:after="0"/>
              <w:jc w:val="both"/>
            </w:pPr>
            <w:r>
              <w:t xml:space="preserve">Nacionālais tiesību akts neparedz stingrākas prasības </w:t>
            </w:r>
          </w:p>
          <w:p w:rsidR="00511810" w:rsidRPr="00216027" w:rsidRDefault="00511810" w:rsidP="00080A6F">
            <w:pPr>
              <w:pStyle w:val="naiskr"/>
              <w:spacing w:before="0" w:after="0"/>
              <w:rPr>
                <w:sz w:val="22"/>
                <w:szCs w:val="22"/>
              </w:rPr>
            </w:pPr>
          </w:p>
        </w:tc>
      </w:tr>
      <w:tr w:rsidR="00AE4183" w:rsidRPr="005A2614" w:rsidTr="009670EF">
        <w:trPr>
          <w:trHeight w:val="640"/>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511810" w:rsidRDefault="00511810" w:rsidP="00080A6F">
            <w:pPr>
              <w:pStyle w:val="naiskr"/>
              <w:spacing w:before="0" w:after="0"/>
              <w:rPr>
                <w:sz w:val="22"/>
                <w:szCs w:val="22"/>
              </w:rPr>
            </w:pPr>
            <w:r>
              <w:rPr>
                <w:sz w:val="22"/>
                <w:szCs w:val="22"/>
              </w:rPr>
              <w:t>Direktīvas 2009/28/EK</w:t>
            </w:r>
          </w:p>
          <w:p w:rsidR="00511810" w:rsidRDefault="00511810" w:rsidP="00080A6F">
            <w:pPr>
              <w:pStyle w:val="naiskr"/>
              <w:spacing w:before="0" w:after="0"/>
              <w:rPr>
                <w:sz w:val="22"/>
                <w:szCs w:val="22"/>
              </w:rPr>
            </w:pPr>
            <w:r>
              <w:rPr>
                <w:sz w:val="22"/>
                <w:szCs w:val="22"/>
              </w:rPr>
              <w:t>1.pants</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Default="00511810" w:rsidP="00785A09">
            <w:pPr>
              <w:pStyle w:val="naiskr"/>
              <w:spacing w:before="0" w:after="0"/>
              <w:jc w:val="center"/>
              <w:rPr>
                <w:sz w:val="22"/>
                <w:szCs w:val="22"/>
              </w:rPr>
            </w:pPr>
            <w:r>
              <w:rPr>
                <w:sz w:val="22"/>
                <w:szCs w:val="22"/>
              </w:rPr>
              <w:t>-</w:t>
            </w:r>
          </w:p>
        </w:tc>
        <w:tc>
          <w:tcPr>
            <w:tcW w:w="4621" w:type="dxa"/>
            <w:gridSpan w:val="2"/>
            <w:tcBorders>
              <w:top w:val="outset" w:sz="6" w:space="0" w:color="auto"/>
              <w:left w:val="outset" w:sz="6" w:space="0" w:color="auto"/>
              <w:bottom w:val="outset" w:sz="6" w:space="0" w:color="auto"/>
              <w:right w:val="outset" w:sz="6" w:space="0" w:color="auto"/>
            </w:tcBorders>
            <w:hideMark/>
          </w:tcPr>
          <w:p w:rsidR="00511810" w:rsidRDefault="00511810" w:rsidP="004D3CD8">
            <w:pPr>
              <w:pStyle w:val="naiskr"/>
              <w:spacing w:before="0" w:after="0"/>
              <w:rPr>
                <w:color w:val="000000"/>
              </w:rPr>
            </w:pPr>
            <w:r>
              <w:rPr>
                <w:color w:val="000000"/>
              </w:rPr>
              <w:t>Norma satur tikai dalībvalstij sa</w:t>
            </w:r>
            <w:r w:rsidR="004D3CD8">
              <w:rPr>
                <w:color w:val="000000"/>
              </w:rPr>
              <w:t>is</w:t>
            </w:r>
            <w:r>
              <w:rPr>
                <w:color w:val="000000"/>
              </w:rPr>
              <w:t>tošu pienākumu un tāpēc to nav nepieciešams pārņemt</w:t>
            </w:r>
          </w:p>
        </w:tc>
        <w:tc>
          <w:tcPr>
            <w:tcW w:w="1437" w:type="dxa"/>
            <w:tcBorders>
              <w:top w:val="outset" w:sz="6" w:space="0" w:color="auto"/>
              <w:left w:val="outset" w:sz="6" w:space="0" w:color="auto"/>
              <w:bottom w:val="outset" w:sz="6" w:space="0" w:color="auto"/>
              <w:right w:val="outset" w:sz="6" w:space="0" w:color="auto"/>
            </w:tcBorders>
            <w:hideMark/>
          </w:tcPr>
          <w:p w:rsidR="00511810" w:rsidRDefault="009670EF" w:rsidP="009670EF">
            <w:pPr>
              <w:spacing w:before="100" w:beforeAutospacing="1" w:after="100" w:afterAutospacing="1"/>
              <w:ind w:left="57" w:hanging="10"/>
            </w:pPr>
            <w:r w:rsidRPr="0048458B">
              <w:rPr>
                <w:iCs/>
              </w:rPr>
              <w:t>Projekts šo jomu neskar</w:t>
            </w:r>
          </w:p>
        </w:tc>
      </w:tr>
      <w:tr w:rsidR="00AE4183" w:rsidRPr="005A2614" w:rsidTr="009670EF">
        <w:trPr>
          <w:trHeight w:val="640"/>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511810" w:rsidRPr="00511810" w:rsidRDefault="00511810" w:rsidP="00511810">
            <w:pPr>
              <w:pStyle w:val="naiskr"/>
              <w:spacing w:before="0" w:after="0"/>
              <w:rPr>
                <w:sz w:val="22"/>
                <w:szCs w:val="22"/>
              </w:rPr>
            </w:pPr>
            <w:r>
              <w:rPr>
                <w:sz w:val="22"/>
                <w:szCs w:val="22"/>
              </w:rPr>
              <w:t>Direktīvas 2009/28/EK</w:t>
            </w:r>
          </w:p>
          <w:p w:rsidR="00511810" w:rsidRPr="008253EA" w:rsidRDefault="00511810" w:rsidP="00511810">
            <w:r w:rsidRPr="008253EA">
              <w:t>2.panta a)</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5A2614" w:rsidRDefault="00511810" w:rsidP="00785A09">
            <w:pPr>
              <w:ind w:left="32"/>
              <w:jc w:val="center"/>
            </w:pPr>
            <w:r>
              <w:t>1.panta 1.punkts</w:t>
            </w:r>
          </w:p>
        </w:tc>
        <w:tc>
          <w:tcPr>
            <w:tcW w:w="4621" w:type="dxa"/>
            <w:gridSpan w:val="2"/>
            <w:tcBorders>
              <w:top w:val="outset" w:sz="6" w:space="0" w:color="auto"/>
              <w:left w:val="outset" w:sz="6" w:space="0" w:color="auto"/>
              <w:bottom w:val="outset" w:sz="6" w:space="0" w:color="auto"/>
              <w:right w:val="outset" w:sz="6" w:space="0" w:color="auto"/>
            </w:tcBorders>
            <w:hideMark/>
          </w:tcPr>
          <w:p w:rsidR="00511810" w:rsidRDefault="00511810" w:rsidP="007A2723">
            <w:pPr>
              <w:ind w:left="67"/>
            </w:pPr>
            <w:r>
              <w:t>Tiek pārņemts pilnībā</w:t>
            </w:r>
          </w:p>
          <w:p w:rsidR="008E284D" w:rsidRDefault="008E284D" w:rsidP="007A2723">
            <w:pPr>
              <w:ind w:left="67"/>
            </w:pPr>
          </w:p>
          <w:p w:rsidR="008E284D" w:rsidRDefault="008E284D" w:rsidP="007A2723">
            <w:pPr>
              <w:ind w:left="67"/>
            </w:pPr>
            <w:r>
              <w:t>Enerģētikas likuma 24.punkts</w:t>
            </w:r>
          </w:p>
          <w:p w:rsidR="008E284D" w:rsidRDefault="008E284D" w:rsidP="007A2723">
            <w:pPr>
              <w:ind w:left="67"/>
            </w:pPr>
          </w:p>
          <w:p w:rsidR="00511810" w:rsidRPr="005A2614" w:rsidRDefault="002A5228" w:rsidP="007A2723">
            <w:pPr>
              <w:ind w:left="67"/>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511810" w:rsidRPr="005A2614" w:rsidRDefault="00511810" w:rsidP="008B7961">
            <w:r>
              <w:t>Nacionālais tiesību akts neparedz stingrākas prasības</w:t>
            </w:r>
          </w:p>
        </w:tc>
      </w:tr>
      <w:tr w:rsidR="00AE4183"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6C428B" w:rsidRPr="00511810" w:rsidRDefault="006C428B" w:rsidP="006C428B">
            <w:pPr>
              <w:pStyle w:val="naiskr"/>
              <w:spacing w:before="0" w:after="0"/>
              <w:rPr>
                <w:sz w:val="22"/>
                <w:szCs w:val="22"/>
              </w:rPr>
            </w:pPr>
            <w:r>
              <w:rPr>
                <w:sz w:val="22"/>
                <w:szCs w:val="22"/>
              </w:rPr>
              <w:t>Direktīvas 2009/28/EK</w:t>
            </w:r>
          </w:p>
          <w:p w:rsidR="00511810" w:rsidRPr="008253EA" w:rsidRDefault="00511810" w:rsidP="006C428B">
            <w:r w:rsidRPr="008253EA">
              <w:t>2.panta b)</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5A2614" w:rsidRDefault="006C428B" w:rsidP="00785A09">
            <w:pPr>
              <w:ind w:left="32"/>
              <w:jc w:val="center"/>
            </w:pPr>
            <w:r>
              <w:t>1.panta 2.punkts</w:t>
            </w:r>
          </w:p>
        </w:tc>
        <w:tc>
          <w:tcPr>
            <w:tcW w:w="4621" w:type="dxa"/>
            <w:gridSpan w:val="2"/>
            <w:tcBorders>
              <w:top w:val="outset" w:sz="6" w:space="0" w:color="auto"/>
              <w:left w:val="outset" w:sz="6" w:space="0" w:color="auto"/>
              <w:bottom w:val="outset" w:sz="6" w:space="0" w:color="auto"/>
              <w:right w:val="outset" w:sz="6" w:space="0" w:color="auto"/>
            </w:tcBorders>
            <w:hideMark/>
          </w:tcPr>
          <w:p w:rsidR="00703753" w:rsidRDefault="006C428B" w:rsidP="006C428B">
            <w:pPr>
              <w:ind w:left="67"/>
            </w:pPr>
            <w:r>
              <w:t>Tiek pārņemts pilnībā</w:t>
            </w:r>
          </w:p>
          <w:p w:rsidR="00511810" w:rsidRPr="005A2614" w:rsidRDefault="002A5228" w:rsidP="007A2723">
            <w:pPr>
              <w:ind w:left="67"/>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511810" w:rsidRPr="005A2614" w:rsidRDefault="00511810" w:rsidP="008B7961">
            <w:r>
              <w:t>Nacionālais tiesību akts neparedz stingrākas prasības</w:t>
            </w:r>
          </w:p>
        </w:tc>
      </w:tr>
      <w:tr w:rsidR="00AE4183"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6C428B" w:rsidRPr="00511810" w:rsidRDefault="006C428B" w:rsidP="006C428B">
            <w:pPr>
              <w:pStyle w:val="naiskr"/>
              <w:spacing w:before="0" w:after="0"/>
              <w:rPr>
                <w:sz w:val="22"/>
                <w:szCs w:val="22"/>
              </w:rPr>
            </w:pPr>
            <w:r>
              <w:rPr>
                <w:sz w:val="22"/>
                <w:szCs w:val="22"/>
              </w:rPr>
              <w:t>Direktīvas 2009/28/EK</w:t>
            </w:r>
          </w:p>
          <w:p w:rsidR="00511810" w:rsidRPr="008253EA" w:rsidRDefault="00511810" w:rsidP="006C428B">
            <w:r w:rsidRPr="008253EA">
              <w:t>2.panta c)</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5A2614" w:rsidRDefault="00511810" w:rsidP="00785A09">
            <w:pPr>
              <w:ind w:left="32"/>
              <w:jc w:val="center"/>
            </w:pPr>
            <w:r>
              <w:t xml:space="preserve">1.panta </w:t>
            </w:r>
            <w:r w:rsidR="008E284D">
              <w:t>6</w:t>
            </w:r>
            <w:r>
              <w:t>. punkts</w:t>
            </w:r>
          </w:p>
        </w:tc>
        <w:tc>
          <w:tcPr>
            <w:tcW w:w="4621" w:type="dxa"/>
            <w:gridSpan w:val="2"/>
            <w:tcBorders>
              <w:top w:val="outset" w:sz="6" w:space="0" w:color="auto"/>
              <w:left w:val="outset" w:sz="6" w:space="0" w:color="auto"/>
              <w:bottom w:val="outset" w:sz="6" w:space="0" w:color="auto"/>
              <w:right w:val="outset" w:sz="6" w:space="0" w:color="auto"/>
            </w:tcBorders>
            <w:hideMark/>
          </w:tcPr>
          <w:p w:rsidR="00703753" w:rsidRDefault="00511810" w:rsidP="007A2723">
            <w:pPr>
              <w:ind w:left="67"/>
            </w:pPr>
            <w:r>
              <w:t>Tiek pārņemts pilnībā</w:t>
            </w:r>
          </w:p>
          <w:p w:rsidR="00511810" w:rsidRPr="005A2614" w:rsidRDefault="002A5228" w:rsidP="007A2723">
            <w:pPr>
              <w:ind w:left="67"/>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511810" w:rsidRPr="005A2614" w:rsidRDefault="00511810" w:rsidP="008B7961">
            <w:r>
              <w:t>Nacionālais tiesību akts neparedz stingrākas prasības</w:t>
            </w:r>
          </w:p>
        </w:tc>
      </w:tr>
      <w:tr w:rsidR="00AE4183"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6C428B" w:rsidRPr="00511810" w:rsidRDefault="006C428B" w:rsidP="006C428B">
            <w:pPr>
              <w:pStyle w:val="naiskr"/>
              <w:spacing w:before="0" w:after="0"/>
              <w:rPr>
                <w:sz w:val="22"/>
                <w:szCs w:val="22"/>
              </w:rPr>
            </w:pPr>
            <w:r>
              <w:rPr>
                <w:sz w:val="22"/>
                <w:szCs w:val="22"/>
              </w:rPr>
              <w:t>Direktīvas 2009/28/EK</w:t>
            </w:r>
          </w:p>
          <w:p w:rsidR="00511810" w:rsidRPr="008253EA" w:rsidRDefault="00511810" w:rsidP="006C428B">
            <w:r w:rsidRPr="008253EA">
              <w:t>2.panta d)</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5A2614" w:rsidRDefault="00511810" w:rsidP="00785A09">
            <w:pPr>
              <w:ind w:left="32"/>
              <w:jc w:val="center"/>
            </w:pPr>
            <w:r>
              <w:t xml:space="preserve">1.panta </w:t>
            </w:r>
            <w:r w:rsidR="008E284D">
              <w:t>7</w:t>
            </w:r>
            <w:r>
              <w:t>. punkts</w:t>
            </w:r>
          </w:p>
        </w:tc>
        <w:tc>
          <w:tcPr>
            <w:tcW w:w="4621" w:type="dxa"/>
            <w:gridSpan w:val="2"/>
            <w:tcBorders>
              <w:top w:val="outset" w:sz="6" w:space="0" w:color="auto"/>
              <w:left w:val="outset" w:sz="6" w:space="0" w:color="auto"/>
              <w:bottom w:val="outset" w:sz="6" w:space="0" w:color="auto"/>
              <w:right w:val="outset" w:sz="6" w:space="0" w:color="auto"/>
            </w:tcBorders>
            <w:hideMark/>
          </w:tcPr>
          <w:p w:rsidR="00511810" w:rsidRDefault="00511810" w:rsidP="007A2723">
            <w:pPr>
              <w:ind w:left="67"/>
            </w:pPr>
            <w:r>
              <w:t>Tiek pārņemts pilnībā</w:t>
            </w:r>
          </w:p>
          <w:p w:rsidR="00511810" w:rsidRPr="005A2614" w:rsidRDefault="002A5228" w:rsidP="007A2723">
            <w:pPr>
              <w:ind w:left="67"/>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511810" w:rsidRPr="005A2614" w:rsidRDefault="00511810" w:rsidP="008B7961">
            <w:r>
              <w:t>Nacionālais tiesību akts neparedz stingrākas prasības</w:t>
            </w:r>
          </w:p>
        </w:tc>
      </w:tr>
      <w:tr w:rsidR="00AE4183"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6C428B" w:rsidRPr="00511810" w:rsidRDefault="006C428B" w:rsidP="006C428B">
            <w:pPr>
              <w:pStyle w:val="naiskr"/>
              <w:spacing w:before="0" w:after="0"/>
              <w:rPr>
                <w:sz w:val="22"/>
                <w:szCs w:val="22"/>
              </w:rPr>
            </w:pPr>
            <w:r>
              <w:rPr>
                <w:sz w:val="22"/>
                <w:szCs w:val="22"/>
              </w:rPr>
              <w:t>Direktīvas 2009/28/EK</w:t>
            </w:r>
          </w:p>
          <w:p w:rsidR="00511810" w:rsidRPr="008253EA" w:rsidRDefault="00511810" w:rsidP="006C428B">
            <w:r w:rsidRPr="008253EA">
              <w:t>2.panta e)</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5A2614" w:rsidRDefault="00511810" w:rsidP="00785A09">
            <w:pPr>
              <w:ind w:left="32"/>
              <w:jc w:val="center"/>
            </w:pPr>
            <w:r>
              <w:t xml:space="preserve">1.panta </w:t>
            </w:r>
            <w:r w:rsidR="008E284D">
              <w:t>5</w:t>
            </w:r>
            <w:r>
              <w:t>. punkts</w:t>
            </w:r>
          </w:p>
        </w:tc>
        <w:tc>
          <w:tcPr>
            <w:tcW w:w="4621" w:type="dxa"/>
            <w:gridSpan w:val="2"/>
            <w:tcBorders>
              <w:top w:val="outset" w:sz="6" w:space="0" w:color="auto"/>
              <w:left w:val="outset" w:sz="6" w:space="0" w:color="auto"/>
              <w:bottom w:val="outset" w:sz="6" w:space="0" w:color="auto"/>
              <w:right w:val="outset" w:sz="6" w:space="0" w:color="auto"/>
            </w:tcBorders>
            <w:hideMark/>
          </w:tcPr>
          <w:p w:rsidR="00511810" w:rsidRDefault="00511810" w:rsidP="007A2723">
            <w:pPr>
              <w:ind w:left="67"/>
            </w:pPr>
            <w:r>
              <w:t>Tiek pārņemts pilnībā</w:t>
            </w:r>
          </w:p>
          <w:p w:rsidR="00511810" w:rsidRPr="005A2614" w:rsidRDefault="002A5228" w:rsidP="007A2723">
            <w:pPr>
              <w:ind w:left="67"/>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511810" w:rsidRPr="005A2614" w:rsidRDefault="008B7961" w:rsidP="008B7961">
            <w:r>
              <w:t xml:space="preserve">Nacionālais </w:t>
            </w:r>
            <w:r w:rsidR="00511810">
              <w:t>tiesību akts neparedz stingrākas prasības</w:t>
            </w:r>
          </w:p>
        </w:tc>
      </w:tr>
      <w:tr w:rsidR="00AE4183"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6C428B" w:rsidRPr="00511810" w:rsidRDefault="006C428B" w:rsidP="006C428B">
            <w:pPr>
              <w:pStyle w:val="naiskr"/>
              <w:spacing w:before="0" w:after="0"/>
              <w:rPr>
                <w:sz w:val="22"/>
                <w:szCs w:val="22"/>
              </w:rPr>
            </w:pPr>
            <w:r>
              <w:rPr>
                <w:sz w:val="22"/>
                <w:szCs w:val="22"/>
              </w:rPr>
              <w:t>Direktīvas 2009/28/EK</w:t>
            </w:r>
          </w:p>
          <w:p w:rsidR="00511810" w:rsidRPr="008253EA" w:rsidRDefault="00511810" w:rsidP="006C428B">
            <w:r w:rsidRPr="008253EA">
              <w:t>2.panta f)</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5A2614" w:rsidRDefault="00511810" w:rsidP="00785A09">
            <w:pPr>
              <w:ind w:left="32"/>
              <w:jc w:val="center"/>
            </w:pPr>
            <w:r w:rsidRPr="002F434C">
              <w:t>4.panta pirmā daļa</w:t>
            </w:r>
          </w:p>
        </w:tc>
        <w:tc>
          <w:tcPr>
            <w:tcW w:w="4621" w:type="dxa"/>
            <w:gridSpan w:val="2"/>
            <w:tcBorders>
              <w:top w:val="outset" w:sz="6" w:space="0" w:color="auto"/>
              <w:left w:val="outset" w:sz="6" w:space="0" w:color="auto"/>
              <w:bottom w:val="outset" w:sz="6" w:space="0" w:color="auto"/>
              <w:right w:val="outset" w:sz="6" w:space="0" w:color="auto"/>
            </w:tcBorders>
            <w:hideMark/>
          </w:tcPr>
          <w:p w:rsidR="00511810" w:rsidRDefault="00511810" w:rsidP="007A2723">
            <w:pPr>
              <w:ind w:left="67"/>
            </w:pPr>
            <w:r>
              <w:t>Tiek pārņemts pilnībā</w:t>
            </w:r>
          </w:p>
          <w:p w:rsidR="00511810" w:rsidRPr="005A2614" w:rsidRDefault="002A5228" w:rsidP="007A2723">
            <w:pPr>
              <w:ind w:left="67"/>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511810" w:rsidRPr="005A2614" w:rsidRDefault="00511810" w:rsidP="008B7961">
            <w:r>
              <w:t>Nacionālais tiesību akts neparedz stingrākas prasības</w:t>
            </w:r>
          </w:p>
        </w:tc>
      </w:tr>
      <w:tr w:rsidR="00AE4183" w:rsidRPr="005A2614" w:rsidTr="009670EF">
        <w:trPr>
          <w:trHeight w:val="963"/>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6C428B" w:rsidRPr="00511810" w:rsidRDefault="006C428B" w:rsidP="006C428B">
            <w:pPr>
              <w:pStyle w:val="naiskr"/>
              <w:spacing w:before="0" w:after="0"/>
              <w:rPr>
                <w:sz w:val="22"/>
                <w:szCs w:val="22"/>
              </w:rPr>
            </w:pPr>
            <w:r>
              <w:rPr>
                <w:sz w:val="22"/>
                <w:szCs w:val="22"/>
              </w:rPr>
              <w:lastRenderedPageBreak/>
              <w:t>Direktīvas 2009/28/EK</w:t>
            </w:r>
          </w:p>
          <w:p w:rsidR="00511810" w:rsidRPr="008253EA" w:rsidRDefault="00511810" w:rsidP="006C428B">
            <w:r w:rsidRPr="008253EA">
              <w:t>2.panta g)</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5A2614" w:rsidRDefault="00C23D1C" w:rsidP="001269EC">
            <w:pPr>
              <w:ind w:left="32"/>
              <w:jc w:val="center"/>
            </w:pPr>
            <w:r>
              <w:t>1</w:t>
            </w:r>
            <w:r w:rsidR="001269EC">
              <w:t>2</w:t>
            </w:r>
            <w:r w:rsidR="00511810">
              <w:t>.pant</w:t>
            </w:r>
            <w:r>
              <w:t>s</w:t>
            </w:r>
          </w:p>
        </w:tc>
        <w:tc>
          <w:tcPr>
            <w:tcW w:w="4621" w:type="dxa"/>
            <w:gridSpan w:val="2"/>
            <w:tcBorders>
              <w:top w:val="outset" w:sz="6" w:space="0" w:color="auto"/>
              <w:left w:val="outset" w:sz="6" w:space="0" w:color="auto"/>
              <w:bottom w:val="outset" w:sz="6" w:space="0" w:color="auto"/>
              <w:right w:val="outset" w:sz="6" w:space="0" w:color="auto"/>
            </w:tcBorders>
            <w:hideMark/>
          </w:tcPr>
          <w:p w:rsidR="002A5228" w:rsidRDefault="00C23D1C" w:rsidP="002A5228">
            <w:pPr>
              <w:ind w:left="67"/>
            </w:pPr>
            <w:r>
              <w:t>Ieviests</w:t>
            </w:r>
            <w:r w:rsidR="002A5228">
              <w:t xml:space="preserve"> pilnībā</w:t>
            </w:r>
            <w:r>
              <w:t>:</w:t>
            </w:r>
          </w:p>
          <w:p w:rsidR="00091B57" w:rsidRDefault="00091B57" w:rsidP="007A2723">
            <w:pPr>
              <w:ind w:left="67"/>
            </w:pPr>
            <w:r>
              <w:t>Enerģ</w:t>
            </w:r>
            <w:r w:rsidR="009A51A0">
              <w:t>ētikas likum</w:t>
            </w:r>
            <w:r w:rsidR="00C23D1C">
              <w:t>s</w:t>
            </w:r>
            <w:r w:rsidR="009A51A0">
              <w:t xml:space="preserve"> </w:t>
            </w:r>
            <w:r w:rsidR="00C23D1C">
              <w:t>(</w:t>
            </w:r>
            <w:r>
              <w:t>IX nodaļa</w:t>
            </w:r>
            <w:r w:rsidR="00C23D1C">
              <w:t>)</w:t>
            </w:r>
            <w:r w:rsidR="006171A7">
              <w:t>. Siltumapgādes sistēma.</w:t>
            </w:r>
          </w:p>
          <w:p w:rsidR="00511810" w:rsidRPr="005A2614" w:rsidRDefault="00511810" w:rsidP="007A2723">
            <w:pPr>
              <w:ind w:left="67"/>
            </w:pPr>
          </w:p>
        </w:tc>
        <w:tc>
          <w:tcPr>
            <w:tcW w:w="1437" w:type="dxa"/>
            <w:tcBorders>
              <w:top w:val="outset" w:sz="6" w:space="0" w:color="auto"/>
              <w:left w:val="outset" w:sz="6" w:space="0" w:color="auto"/>
              <w:bottom w:val="outset" w:sz="6" w:space="0" w:color="auto"/>
              <w:right w:val="outset" w:sz="6" w:space="0" w:color="auto"/>
            </w:tcBorders>
            <w:hideMark/>
          </w:tcPr>
          <w:p w:rsidR="00511810" w:rsidRPr="005A2614" w:rsidRDefault="00511810" w:rsidP="008B7961">
            <w:r>
              <w:t>Nacionālais tiesību akts neparedz stingrākas prasības</w:t>
            </w:r>
          </w:p>
        </w:tc>
      </w:tr>
      <w:tr w:rsidR="00AE4183"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BC36BF" w:rsidRPr="00511810" w:rsidRDefault="00BC36BF" w:rsidP="00BC36BF">
            <w:pPr>
              <w:pStyle w:val="naiskr"/>
              <w:spacing w:before="0" w:after="0"/>
              <w:rPr>
                <w:sz w:val="22"/>
                <w:szCs w:val="22"/>
              </w:rPr>
            </w:pPr>
            <w:r>
              <w:rPr>
                <w:sz w:val="22"/>
                <w:szCs w:val="22"/>
              </w:rPr>
              <w:t>Direktīvas 2009/28/EK</w:t>
            </w:r>
          </w:p>
          <w:p w:rsidR="00511810" w:rsidRPr="008253EA" w:rsidRDefault="00511810" w:rsidP="00BC36BF">
            <w:r w:rsidRPr="008253EA">
              <w:t>2.panta h)</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5A2614" w:rsidRDefault="008E284D" w:rsidP="00785A09">
            <w:pPr>
              <w:ind w:left="32"/>
              <w:jc w:val="center"/>
            </w:pPr>
            <w:r>
              <w:t>1</w:t>
            </w:r>
            <w:r w:rsidR="00511810">
              <w:t xml:space="preserve">.panta </w:t>
            </w:r>
            <w:r>
              <w:t>4</w:t>
            </w:r>
            <w:r w:rsidR="00511810">
              <w:t>. punkts</w:t>
            </w:r>
          </w:p>
        </w:tc>
        <w:tc>
          <w:tcPr>
            <w:tcW w:w="4621" w:type="dxa"/>
            <w:gridSpan w:val="2"/>
            <w:tcBorders>
              <w:top w:val="outset" w:sz="6" w:space="0" w:color="auto"/>
              <w:left w:val="outset" w:sz="6" w:space="0" w:color="auto"/>
              <w:bottom w:val="outset" w:sz="6" w:space="0" w:color="auto"/>
              <w:right w:val="outset" w:sz="6" w:space="0" w:color="auto"/>
            </w:tcBorders>
            <w:hideMark/>
          </w:tcPr>
          <w:p w:rsidR="00511810" w:rsidRDefault="00511810" w:rsidP="007A2723">
            <w:pPr>
              <w:ind w:left="67"/>
            </w:pPr>
            <w:r>
              <w:t>Tiek pārņemts pilnībā</w:t>
            </w:r>
          </w:p>
          <w:p w:rsidR="00511810" w:rsidRPr="005A2614" w:rsidRDefault="00511810" w:rsidP="007A2723">
            <w:pPr>
              <w:ind w:left="67"/>
            </w:pPr>
          </w:p>
        </w:tc>
        <w:tc>
          <w:tcPr>
            <w:tcW w:w="1437" w:type="dxa"/>
            <w:tcBorders>
              <w:top w:val="outset" w:sz="6" w:space="0" w:color="auto"/>
              <w:left w:val="outset" w:sz="6" w:space="0" w:color="auto"/>
              <w:bottom w:val="outset" w:sz="6" w:space="0" w:color="auto"/>
              <w:right w:val="outset" w:sz="6" w:space="0" w:color="auto"/>
            </w:tcBorders>
            <w:hideMark/>
          </w:tcPr>
          <w:p w:rsidR="00511810" w:rsidRPr="005A2614" w:rsidRDefault="00511810" w:rsidP="008B7961">
            <w:r>
              <w:t>Nacionālais tiesību akts neparedz stingrākas prasības</w:t>
            </w:r>
          </w:p>
        </w:tc>
      </w:tr>
      <w:tr w:rsidR="00AE4183"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E852ED" w:rsidRPr="006C1949" w:rsidRDefault="00E852ED" w:rsidP="00080A6F">
            <w:pPr>
              <w:pStyle w:val="naiskr"/>
              <w:spacing w:before="0" w:after="0"/>
              <w:jc w:val="both"/>
              <w:rPr>
                <w:iCs/>
              </w:rPr>
            </w:pPr>
            <w:r w:rsidRPr="002C0AC5">
              <w:rPr>
                <w:iCs/>
              </w:rPr>
              <w:t xml:space="preserve">Direktīvas </w:t>
            </w:r>
            <w:r w:rsidRPr="002C0AC5">
              <w:rPr>
                <w:bCs/>
              </w:rPr>
              <w:t>2009/28/EK</w:t>
            </w:r>
            <w:r>
              <w:rPr>
                <w:bCs/>
              </w:rPr>
              <w:t xml:space="preserve"> </w:t>
            </w:r>
            <w:r w:rsidRPr="006C1949">
              <w:t>2.panta i)</w:t>
            </w:r>
          </w:p>
        </w:tc>
        <w:tc>
          <w:tcPr>
            <w:tcW w:w="1485" w:type="dxa"/>
            <w:gridSpan w:val="3"/>
            <w:tcBorders>
              <w:top w:val="outset" w:sz="6" w:space="0" w:color="auto"/>
              <w:left w:val="outset" w:sz="6" w:space="0" w:color="auto"/>
              <w:bottom w:val="outset" w:sz="6" w:space="0" w:color="auto"/>
              <w:right w:val="outset" w:sz="6" w:space="0" w:color="auto"/>
            </w:tcBorders>
            <w:hideMark/>
          </w:tcPr>
          <w:p w:rsidR="00E852ED" w:rsidRDefault="00E852ED" w:rsidP="00785A09">
            <w:pPr>
              <w:pStyle w:val="naiskr"/>
              <w:spacing w:before="0" w:after="0"/>
              <w:jc w:val="center"/>
            </w:pPr>
            <w:r>
              <w:t>-</w:t>
            </w:r>
          </w:p>
          <w:p w:rsidR="00E852ED" w:rsidRPr="00216027" w:rsidRDefault="00E852ED" w:rsidP="00785A09">
            <w:pPr>
              <w:pStyle w:val="naiskr"/>
              <w:spacing w:before="0" w:after="0"/>
              <w:jc w:val="center"/>
              <w:rPr>
                <w:sz w:val="22"/>
                <w:szCs w:val="22"/>
              </w:rPr>
            </w:pPr>
          </w:p>
        </w:tc>
        <w:tc>
          <w:tcPr>
            <w:tcW w:w="4621" w:type="dxa"/>
            <w:gridSpan w:val="2"/>
            <w:tcBorders>
              <w:top w:val="outset" w:sz="6" w:space="0" w:color="auto"/>
              <w:left w:val="outset" w:sz="6" w:space="0" w:color="auto"/>
              <w:bottom w:val="outset" w:sz="6" w:space="0" w:color="auto"/>
              <w:right w:val="outset" w:sz="6" w:space="0" w:color="auto"/>
            </w:tcBorders>
            <w:hideMark/>
          </w:tcPr>
          <w:p w:rsidR="00E852ED" w:rsidRDefault="00E852ED" w:rsidP="00080A6F">
            <w:pPr>
              <w:pStyle w:val="naiskr"/>
              <w:spacing w:before="0" w:after="0"/>
              <w:jc w:val="both"/>
            </w:pPr>
            <w:r>
              <w:t>Biodegvielas</w:t>
            </w:r>
            <w:r w:rsidR="00336B5E">
              <w:t xml:space="preserve"> likuma</w:t>
            </w:r>
            <w:r>
              <w:t xml:space="preserve"> 1.panta 1.punkts.</w:t>
            </w:r>
          </w:p>
          <w:p w:rsidR="00E852ED" w:rsidRPr="00216027" w:rsidRDefault="00E852ED" w:rsidP="00080A6F">
            <w:pPr>
              <w:pStyle w:val="naiskr"/>
              <w:spacing w:before="0" w:after="0"/>
              <w:jc w:val="both"/>
              <w:rPr>
                <w:sz w:val="22"/>
                <w:szCs w:val="22"/>
              </w:rPr>
            </w:pPr>
          </w:p>
        </w:tc>
        <w:tc>
          <w:tcPr>
            <w:tcW w:w="1437" w:type="dxa"/>
            <w:tcBorders>
              <w:top w:val="outset" w:sz="6" w:space="0" w:color="auto"/>
              <w:left w:val="outset" w:sz="6" w:space="0" w:color="auto"/>
              <w:bottom w:val="outset" w:sz="6" w:space="0" w:color="auto"/>
              <w:right w:val="outset" w:sz="6" w:space="0" w:color="auto"/>
            </w:tcBorders>
            <w:hideMark/>
          </w:tcPr>
          <w:p w:rsidR="00E852ED" w:rsidRDefault="00E852ED" w:rsidP="00080A6F">
            <w:pPr>
              <w:pStyle w:val="naiskr"/>
              <w:spacing w:before="0" w:after="0"/>
              <w:jc w:val="both"/>
            </w:pPr>
            <w:r>
              <w:t xml:space="preserve">Nacionālais tiesību akts neparedz stingrākas prasības </w:t>
            </w:r>
          </w:p>
          <w:p w:rsidR="00E852ED" w:rsidRPr="00216027" w:rsidRDefault="00E852ED" w:rsidP="00080A6F">
            <w:pPr>
              <w:pStyle w:val="naiskr"/>
              <w:spacing w:before="0" w:after="0"/>
              <w:rPr>
                <w:sz w:val="22"/>
                <w:szCs w:val="22"/>
              </w:rPr>
            </w:pPr>
          </w:p>
        </w:tc>
      </w:tr>
      <w:tr w:rsidR="00AE4183"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E852ED" w:rsidRDefault="00E852ED" w:rsidP="00E852ED">
            <w:r w:rsidRPr="002C0AC5">
              <w:rPr>
                <w:iCs/>
              </w:rPr>
              <w:t xml:space="preserve">Direktīvas </w:t>
            </w:r>
            <w:r w:rsidRPr="002C0AC5">
              <w:rPr>
                <w:bCs/>
              </w:rPr>
              <w:t>2009/28/EK</w:t>
            </w:r>
          </w:p>
          <w:p w:rsidR="00511810" w:rsidRPr="008253EA" w:rsidRDefault="00511810" w:rsidP="00E852ED">
            <w:r w:rsidRPr="008253EA">
              <w:t>2.panta j)</w:t>
            </w:r>
          </w:p>
        </w:tc>
        <w:tc>
          <w:tcPr>
            <w:tcW w:w="1485" w:type="dxa"/>
            <w:gridSpan w:val="3"/>
            <w:tcBorders>
              <w:top w:val="outset" w:sz="6" w:space="0" w:color="auto"/>
              <w:left w:val="outset" w:sz="6" w:space="0" w:color="auto"/>
              <w:bottom w:val="outset" w:sz="6" w:space="0" w:color="auto"/>
              <w:right w:val="outset" w:sz="6" w:space="0" w:color="auto"/>
            </w:tcBorders>
            <w:hideMark/>
          </w:tcPr>
          <w:p w:rsidR="00511810" w:rsidRPr="005A2614" w:rsidRDefault="00511810" w:rsidP="001269EC">
            <w:pPr>
              <w:ind w:left="32"/>
              <w:jc w:val="center"/>
            </w:pPr>
            <w:r>
              <w:t>1</w:t>
            </w:r>
            <w:r w:rsidR="001269EC">
              <w:t>8</w:t>
            </w:r>
            <w:r w:rsidRPr="000E52B9">
              <w:t>.pant</w:t>
            </w:r>
            <w:r w:rsidR="00E852ED">
              <w:t>s</w:t>
            </w:r>
          </w:p>
        </w:tc>
        <w:tc>
          <w:tcPr>
            <w:tcW w:w="4621" w:type="dxa"/>
            <w:gridSpan w:val="2"/>
            <w:tcBorders>
              <w:top w:val="outset" w:sz="6" w:space="0" w:color="auto"/>
              <w:left w:val="outset" w:sz="6" w:space="0" w:color="auto"/>
              <w:bottom w:val="outset" w:sz="6" w:space="0" w:color="auto"/>
              <w:right w:val="outset" w:sz="6" w:space="0" w:color="auto"/>
            </w:tcBorders>
            <w:hideMark/>
          </w:tcPr>
          <w:p w:rsidR="00511810" w:rsidRDefault="00511810" w:rsidP="000E52B9">
            <w:pPr>
              <w:spacing w:before="100" w:beforeAutospacing="1" w:after="100" w:afterAutospacing="1" w:line="191" w:lineRule="atLeast"/>
              <w:ind w:left="71"/>
            </w:pPr>
            <w:r>
              <w:t>Tiek ieviest daļēji</w:t>
            </w:r>
          </w:p>
          <w:p w:rsidR="00511810" w:rsidRDefault="00511810" w:rsidP="000E52B9">
            <w:pPr>
              <w:spacing w:before="100" w:beforeAutospacing="1" w:after="100" w:afterAutospacing="1" w:line="191" w:lineRule="atLeast"/>
              <w:ind w:left="71"/>
            </w:pPr>
            <w:r>
              <w:t xml:space="preserve">Pilnīga ieviešana paredzēta ar Ministru kabineta noteikumiem </w:t>
            </w:r>
          </w:p>
          <w:p w:rsidR="00511810" w:rsidRPr="005A2614" w:rsidRDefault="00511810" w:rsidP="000E52B9">
            <w:pPr>
              <w:ind w:left="67"/>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511810" w:rsidRPr="005A2614" w:rsidRDefault="00511810" w:rsidP="008B7961">
            <w:r>
              <w:t>Nacionālais tiesību akts neparedz stingrākas prasības</w:t>
            </w:r>
          </w:p>
        </w:tc>
      </w:tr>
      <w:tr w:rsidR="00E852ED"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E852ED" w:rsidRPr="002C0AC5" w:rsidRDefault="00E852ED" w:rsidP="00080A6F">
            <w:pPr>
              <w:pStyle w:val="naiskr"/>
              <w:spacing w:before="0" w:after="0"/>
              <w:jc w:val="both"/>
              <w:rPr>
                <w:iCs/>
              </w:rPr>
            </w:pPr>
            <w:r w:rsidRPr="002C0AC5">
              <w:rPr>
                <w:iCs/>
              </w:rPr>
              <w:t xml:space="preserve">Direktīvas </w:t>
            </w:r>
            <w:r w:rsidRPr="002C0AC5">
              <w:rPr>
                <w:bCs/>
              </w:rPr>
              <w:t>2009/28/EK</w:t>
            </w:r>
            <w:r>
              <w:rPr>
                <w:bCs/>
              </w:rPr>
              <w:t xml:space="preserve"> </w:t>
            </w:r>
            <w:r>
              <w:t>2.panta k), l)</w:t>
            </w:r>
          </w:p>
        </w:tc>
        <w:tc>
          <w:tcPr>
            <w:tcW w:w="1485" w:type="dxa"/>
            <w:gridSpan w:val="3"/>
            <w:tcBorders>
              <w:top w:val="outset" w:sz="6" w:space="0" w:color="auto"/>
              <w:left w:val="outset" w:sz="6" w:space="0" w:color="auto"/>
              <w:bottom w:val="outset" w:sz="6" w:space="0" w:color="auto"/>
              <w:right w:val="outset" w:sz="6" w:space="0" w:color="auto"/>
            </w:tcBorders>
            <w:hideMark/>
          </w:tcPr>
          <w:p w:rsidR="00E852ED" w:rsidRDefault="00E852ED" w:rsidP="00785A09">
            <w:pPr>
              <w:ind w:left="32"/>
              <w:jc w:val="center"/>
            </w:pPr>
            <w:r>
              <w:t>-</w:t>
            </w:r>
          </w:p>
        </w:tc>
        <w:tc>
          <w:tcPr>
            <w:tcW w:w="4621" w:type="dxa"/>
            <w:gridSpan w:val="2"/>
            <w:tcBorders>
              <w:top w:val="outset" w:sz="6" w:space="0" w:color="auto"/>
              <w:left w:val="outset" w:sz="6" w:space="0" w:color="auto"/>
              <w:bottom w:val="outset" w:sz="6" w:space="0" w:color="auto"/>
              <w:right w:val="outset" w:sz="6" w:space="0" w:color="auto"/>
            </w:tcBorders>
            <w:hideMark/>
          </w:tcPr>
          <w:p w:rsidR="00E852ED" w:rsidRPr="005A2614" w:rsidRDefault="00E852ED" w:rsidP="00080A6F">
            <w:pPr>
              <w:ind w:left="67"/>
              <w:jc w:val="both"/>
            </w:pPr>
            <w:r>
              <w:rPr>
                <w:color w:val="000000"/>
              </w:rPr>
              <w:t>Norma satur tikai dalībvalstij sasitošu pienākumu un tāpēc to nav nepieciešams pārņemt</w:t>
            </w:r>
          </w:p>
        </w:tc>
        <w:tc>
          <w:tcPr>
            <w:tcW w:w="1437" w:type="dxa"/>
            <w:tcBorders>
              <w:top w:val="outset" w:sz="6" w:space="0" w:color="auto"/>
              <w:left w:val="outset" w:sz="6" w:space="0" w:color="auto"/>
              <w:bottom w:val="outset" w:sz="6" w:space="0" w:color="auto"/>
              <w:right w:val="outset" w:sz="6" w:space="0" w:color="auto"/>
            </w:tcBorders>
            <w:hideMark/>
          </w:tcPr>
          <w:p w:rsidR="00E852ED" w:rsidRPr="005A2614" w:rsidRDefault="00E852ED" w:rsidP="00080A6F">
            <w:pPr>
              <w:pStyle w:val="naiskr"/>
              <w:spacing w:before="0" w:after="0"/>
              <w:jc w:val="both"/>
            </w:pPr>
            <w:r>
              <w:t xml:space="preserve">Nacionālais tiesību akts neparedz stingrākas prasības </w:t>
            </w:r>
          </w:p>
        </w:tc>
      </w:tr>
      <w:tr w:rsidR="00AE4183"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E852ED" w:rsidRDefault="00E852ED" w:rsidP="00E852ED">
            <w:r w:rsidRPr="002C0AC5">
              <w:rPr>
                <w:iCs/>
              </w:rPr>
              <w:t xml:space="preserve">Direktīvas </w:t>
            </w:r>
            <w:r w:rsidRPr="002C0AC5">
              <w:rPr>
                <w:bCs/>
              </w:rPr>
              <w:t>2009/28/EK</w:t>
            </w:r>
          </w:p>
          <w:p w:rsidR="00E852ED" w:rsidRPr="008253EA" w:rsidRDefault="00E852ED" w:rsidP="00E852ED">
            <w:r w:rsidRPr="008253EA">
              <w:t>2.panta m); n); o)</w:t>
            </w:r>
          </w:p>
        </w:tc>
        <w:tc>
          <w:tcPr>
            <w:tcW w:w="1485" w:type="dxa"/>
            <w:gridSpan w:val="3"/>
            <w:tcBorders>
              <w:top w:val="outset" w:sz="6" w:space="0" w:color="auto"/>
              <w:left w:val="outset" w:sz="6" w:space="0" w:color="auto"/>
              <w:bottom w:val="outset" w:sz="6" w:space="0" w:color="auto"/>
              <w:right w:val="outset" w:sz="6" w:space="0" w:color="auto"/>
            </w:tcBorders>
            <w:hideMark/>
          </w:tcPr>
          <w:p w:rsidR="00E852ED" w:rsidRPr="005A2614" w:rsidRDefault="00E852ED" w:rsidP="00785A09">
            <w:pPr>
              <w:jc w:val="center"/>
            </w:pPr>
            <w:r>
              <w:t>-</w:t>
            </w:r>
          </w:p>
        </w:tc>
        <w:tc>
          <w:tcPr>
            <w:tcW w:w="4621" w:type="dxa"/>
            <w:gridSpan w:val="2"/>
            <w:tcBorders>
              <w:top w:val="outset" w:sz="6" w:space="0" w:color="auto"/>
              <w:left w:val="outset" w:sz="6" w:space="0" w:color="auto"/>
              <w:bottom w:val="outset" w:sz="6" w:space="0" w:color="auto"/>
              <w:right w:val="outset" w:sz="6" w:space="0" w:color="auto"/>
            </w:tcBorders>
            <w:hideMark/>
          </w:tcPr>
          <w:p w:rsidR="00E852ED" w:rsidRDefault="00E852ED" w:rsidP="00E852ED">
            <w:pPr>
              <w:pStyle w:val="naiskr"/>
              <w:spacing w:before="0" w:after="0"/>
              <w:ind w:left="127"/>
              <w:jc w:val="both"/>
              <w:rPr>
                <w:bCs/>
              </w:rPr>
            </w:pPr>
            <w:r>
              <w:t>T</w:t>
            </w:r>
            <w:r w:rsidRPr="009C3286">
              <w:t>iks ieviesta</w:t>
            </w:r>
            <w:r>
              <w:t>s</w:t>
            </w:r>
            <w:r w:rsidR="00DF0E49">
              <w:t>,</w:t>
            </w:r>
            <w:r w:rsidRPr="009C3286">
              <w:t xml:space="preserve"> izstrādājot Ministru kabineta noteikumus, kas nosaka </w:t>
            </w:r>
            <w:r w:rsidRPr="009C3286">
              <w:rPr>
                <w:bCs/>
              </w:rPr>
              <w:t>biodegvielu ilgtspējības kritērijus un to ieviešanas mehānismu, uzskaites un kontroles kārtību.</w:t>
            </w:r>
          </w:p>
          <w:p w:rsidR="00E852ED" w:rsidRPr="005A2614" w:rsidRDefault="00E852ED" w:rsidP="00E852ED">
            <w:pPr>
              <w:pStyle w:val="naiskr"/>
              <w:spacing w:before="0" w:after="0"/>
              <w:ind w:left="127"/>
              <w:jc w:val="both"/>
            </w:pPr>
            <w:r>
              <w:rPr>
                <w:bCs/>
              </w:rPr>
              <w:t>Ekonomikas ministrija</w:t>
            </w:r>
            <w:r w:rsidR="00703753">
              <w:rPr>
                <w:bCs/>
              </w:rPr>
              <w:t>.</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t>Projekts šo jomu neskar</w:t>
            </w:r>
          </w:p>
          <w:p w:rsidR="00E852ED" w:rsidRPr="005A2614" w:rsidRDefault="00E852ED" w:rsidP="008B7961"/>
        </w:tc>
      </w:tr>
      <w:tr w:rsidR="00E852ED" w:rsidRPr="005A2614" w:rsidTr="009670EF">
        <w:trPr>
          <w:trHeight w:val="38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E852ED" w:rsidRDefault="00E852ED" w:rsidP="00E852ED">
            <w:pPr>
              <w:rPr>
                <w:bCs/>
              </w:rPr>
            </w:pPr>
            <w:r w:rsidRPr="002C0AC5">
              <w:rPr>
                <w:iCs/>
              </w:rPr>
              <w:t xml:space="preserve">Direktīvas </w:t>
            </w:r>
            <w:r w:rsidRPr="002C0AC5">
              <w:rPr>
                <w:bCs/>
              </w:rPr>
              <w:t>2009/28/EK</w:t>
            </w:r>
          </w:p>
          <w:p w:rsidR="00E852ED" w:rsidRPr="008C4BAC" w:rsidRDefault="00E852ED" w:rsidP="00450931">
            <w:r>
              <w:rPr>
                <w:bCs/>
              </w:rPr>
              <w:t>3.pant</w:t>
            </w:r>
            <w:r w:rsidR="00450931">
              <w:rPr>
                <w:bCs/>
              </w:rPr>
              <w:t>s 1.-3.punkts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E852ED" w:rsidRDefault="008C4BAC" w:rsidP="00785A09">
            <w:pPr>
              <w:ind w:left="32"/>
              <w:jc w:val="center"/>
            </w:pPr>
            <w:r>
              <w:t>Viss teksts</w:t>
            </w:r>
          </w:p>
        </w:tc>
        <w:tc>
          <w:tcPr>
            <w:tcW w:w="4621" w:type="dxa"/>
            <w:gridSpan w:val="2"/>
            <w:tcBorders>
              <w:top w:val="outset" w:sz="6" w:space="0" w:color="auto"/>
              <w:left w:val="outset" w:sz="6" w:space="0" w:color="auto"/>
              <w:bottom w:val="outset" w:sz="6" w:space="0" w:color="auto"/>
              <w:right w:val="outset" w:sz="6" w:space="0" w:color="auto"/>
            </w:tcBorders>
            <w:hideMark/>
          </w:tcPr>
          <w:p w:rsidR="00450931" w:rsidRDefault="00E852ED" w:rsidP="00450931">
            <w:pPr>
              <w:pStyle w:val="naiskr"/>
              <w:spacing w:before="0" w:after="0"/>
              <w:ind w:left="127"/>
              <w:jc w:val="both"/>
              <w:rPr>
                <w:color w:val="000000"/>
              </w:rPr>
            </w:pPr>
            <w:r>
              <w:rPr>
                <w:color w:val="000000"/>
              </w:rPr>
              <w:t>Tiks ieviests pilnībā</w:t>
            </w:r>
          </w:p>
          <w:p w:rsidR="00450931" w:rsidRDefault="00450931" w:rsidP="00450931">
            <w:pPr>
              <w:pStyle w:val="naiskr"/>
              <w:spacing w:before="0" w:after="0"/>
              <w:ind w:left="127"/>
              <w:jc w:val="both"/>
              <w:rPr>
                <w:color w:val="000000"/>
              </w:rPr>
            </w:pPr>
          </w:p>
          <w:p w:rsidR="00450931" w:rsidRPr="00450931" w:rsidRDefault="00450931" w:rsidP="00450931">
            <w:pPr>
              <w:pStyle w:val="naiskr"/>
              <w:spacing w:before="0" w:after="0"/>
              <w:ind w:left="127"/>
              <w:jc w:val="both"/>
              <w:rPr>
                <w:color w:val="000000"/>
              </w:rPr>
            </w:pPr>
            <w:r>
              <w:t>Direktīvas 2009/28/EK 3.pantam  atbilsts spēkā esošais regulējums: ETL 28., 28.</w:t>
            </w:r>
            <w:r>
              <w:rPr>
                <w:vertAlign w:val="superscript"/>
              </w:rPr>
              <w:t xml:space="preserve">1 </w:t>
            </w:r>
            <w:r>
              <w:t>29., 29.</w:t>
            </w:r>
            <w:r>
              <w:rPr>
                <w:vertAlign w:val="superscript"/>
              </w:rPr>
              <w:t xml:space="preserve">1 </w:t>
            </w:r>
            <w:r w:rsidRPr="008949D3">
              <w:t>un 30.</w:t>
            </w:r>
            <w:r>
              <w:t xml:space="preserve">pantu un tiem pakārotajiem, spēkā esošajiem MK noteikumiem (MK 16.03.2010 noteikumi Nr.262, MK 10.03.2009 noteikumi Nr.221). </w:t>
            </w:r>
          </w:p>
          <w:p w:rsidR="00E852ED" w:rsidRDefault="00E852ED" w:rsidP="00E852ED">
            <w:pPr>
              <w:pStyle w:val="naiskr"/>
              <w:spacing w:before="0" w:after="0"/>
              <w:ind w:left="127"/>
              <w:jc w:val="both"/>
            </w:pPr>
            <w:r>
              <w:rPr>
                <w:color w:val="000000"/>
              </w:rPr>
              <w:t>Ekonomikas ministrija</w:t>
            </w:r>
            <w:r w:rsidR="00703753">
              <w:rPr>
                <w:color w:val="000000"/>
              </w:rPr>
              <w:t>.</w:t>
            </w:r>
          </w:p>
        </w:tc>
        <w:tc>
          <w:tcPr>
            <w:tcW w:w="1437" w:type="dxa"/>
            <w:tcBorders>
              <w:top w:val="outset" w:sz="6" w:space="0" w:color="auto"/>
              <w:left w:val="outset" w:sz="6" w:space="0" w:color="auto"/>
              <w:bottom w:val="outset" w:sz="6" w:space="0" w:color="auto"/>
              <w:right w:val="outset" w:sz="6" w:space="0" w:color="auto"/>
            </w:tcBorders>
            <w:hideMark/>
          </w:tcPr>
          <w:p w:rsidR="00E852ED" w:rsidRDefault="00E852ED" w:rsidP="008B7961">
            <w:r>
              <w:t>Nacionālais tiesību akts neparedz stingrākas prasības</w:t>
            </w:r>
          </w:p>
        </w:tc>
      </w:tr>
      <w:tr w:rsidR="00AE4183"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450931" w:rsidRPr="00173BCA" w:rsidRDefault="00450931" w:rsidP="00080A6F">
            <w:pPr>
              <w:pStyle w:val="naiskr"/>
              <w:spacing w:before="0" w:after="0"/>
              <w:jc w:val="both"/>
              <w:rPr>
                <w:iCs/>
              </w:rPr>
            </w:pPr>
            <w:r w:rsidRPr="00173BCA">
              <w:rPr>
                <w:iCs/>
              </w:rPr>
              <w:t xml:space="preserve">Direktīvas </w:t>
            </w:r>
            <w:r w:rsidRPr="00173BCA">
              <w:rPr>
                <w:bCs/>
              </w:rPr>
              <w:t>2009/28/EK</w:t>
            </w:r>
          </w:p>
          <w:p w:rsidR="00450931" w:rsidRPr="00173BCA" w:rsidRDefault="00450931" w:rsidP="003512FC">
            <w:pPr>
              <w:pStyle w:val="naiskr"/>
              <w:spacing w:before="0" w:after="0"/>
              <w:jc w:val="both"/>
              <w:rPr>
                <w:iCs/>
              </w:rPr>
            </w:pPr>
            <w:r w:rsidRPr="00173BCA">
              <w:t>3.panta 4.punkt</w:t>
            </w:r>
            <w:r w:rsidR="003512FC">
              <w:t>a pirmā rindkopa</w:t>
            </w:r>
            <w:r w:rsidRPr="00173BCA">
              <w:t xml:space="preserve"> </w:t>
            </w:r>
          </w:p>
        </w:tc>
        <w:tc>
          <w:tcPr>
            <w:tcW w:w="1485" w:type="dxa"/>
            <w:gridSpan w:val="3"/>
            <w:tcBorders>
              <w:top w:val="outset" w:sz="6" w:space="0" w:color="auto"/>
              <w:left w:val="outset" w:sz="6" w:space="0" w:color="auto"/>
              <w:bottom w:val="outset" w:sz="6" w:space="0" w:color="auto"/>
              <w:right w:val="outset" w:sz="6" w:space="0" w:color="auto"/>
            </w:tcBorders>
            <w:hideMark/>
          </w:tcPr>
          <w:p w:rsidR="00450931" w:rsidRPr="00173BCA" w:rsidRDefault="00450931" w:rsidP="000224F8">
            <w:pPr>
              <w:pStyle w:val="naiskr"/>
              <w:spacing w:before="0" w:after="0"/>
              <w:jc w:val="center"/>
            </w:pPr>
            <w:r w:rsidRPr="00173BCA">
              <w:t>-</w:t>
            </w:r>
          </w:p>
        </w:tc>
        <w:tc>
          <w:tcPr>
            <w:tcW w:w="4621" w:type="dxa"/>
            <w:gridSpan w:val="2"/>
            <w:tcBorders>
              <w:top w:val="outset" w:sz="6" w:space="0" w:color="auto"/>
              <w:left w:val="outset" w:sz="6" w:space="0" w:color="auto"/>
              <w:bottom w:val="outset" w:sz="6" w:space="0" w:color="auto"/>
              <w:right w:val="outset" w:sz="6" w:space="0" w:color="auto"/>
            </w:tcBorders>
            <w:hideMark/>
          </w:tcPr>
          <w:p w:rsidR="00450931" w:rsidRDefault="00450931" w:rsidP="00080A6F">
            <w:pPr>
              <w:ind w:left="67"/>
              <w:jc w:val="both"/>
            </w:pPr>
            <w:r>
              <w:t>Tiks ieviestas ar likumprojektu „Grozījumu Biodegvielas likumā”.</w:t>
            </w:r>
          </w:p>
          <w:p w:rsidR="00450931" w:rsidRDefault="00450931" w:rsidP="00080A6F">
            <w:pPr>
              <w:ind w:left="67"/>
              <w:jc w:val="both"/>
            </w:pPr>
          </w:p>
          <w:p w:rsidR="00450931" w:rsidRPr="005A2614" w:rsidRDefault="00450931" w:rsidP="00080A6F">
            <w:pPr>
              <w:ind w:left="71"/>
              <w:jc w:val="both"/>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450931" w:rsidRPr="005A2614" w:rsidRDefault="009670EF" w:rsidP="009670EF">
            <w:pPr>
              <w:spacing w:before="100" w:beforeAutospacing="1" w:after="100" w:afterAutospacing="1"/>
              <w:ind w:left="47"/>
            </w:pPr>
            <w:r w:rsidRPr="0048458B">
              <w:rPr>
                <w:iCs/>
              </w:rPr>
              <w:t>Projekts šo jomu neskar</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173BCA" w:rsidRDefault="003512FC" w:rsidP="000B744D">
            <w:pPr>
              <w:pStyle w:val="naiskr"/>
              <w:spacing w:before="0" w:after="0"/>
              <w:jc w:val="both"/>
              <w:rPr>
                <w:iCs/>
              </w:rPr>
            </w:pPr>
            <w:r w:rsidRPr="00173BCA">
              <w:rPr>
                <w:iCs/>
              </w:rPr>
              <w:t xml:space="preserve">Direktīvas </w:t>
            </w:r>
            <w:r w:rsidRPr="00173BCA">
              <w:rPr>
                <w:bCs/>
              </w:rPr>
              <w:t>2009/28/EK</w:t>
            </w:r>
          </w:p>
          <w:p w:rsidR="003512FC" w:rsidRPr="00173BCA" w:rsidRDefault="003512FC" w:rsidP="000B744D">
            <w:pPr>
              <w:pStyle w:val="naiskr"/>
              <w:spacing w:before="0" w:after="0"/>
              <w:jc w:val="both"/>
              <w:rPr>
                <w:iCs/>
              </w:rPr>
            </w:pPr>
            <w:r w:rsidRPr="00173BCA">
              <w:t>3.panta 4.punkta 2.-7. rindkopa</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173BCA" w:rsidRDefault="003512FC" w:rsidP="000B744D">
            <w:pPr>
              <w:pStyle w:val="naiskr"/>
              <w:spacing w:before="0" w:after="0"/>
              <w:jc w:val="both"/>
            </w:pPr>
            <w:r w:rsidRPr="00173BCA">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173BCA" w:rsidRDefault="003512FC" w:rsidP="000B744D">
            <w:pPr>
              <w:pStyle w:val="naiskr"/>
              <w:spacing w:before="0" w:after="0"/>
              <w:jc w:val="both"/>
              <w:rPr>
                <w:highlight w:val="yellow"/>
              </w:rPr>
            </w:pPr>
            <w:r w:rsidRPr="00173BCA">
              <w:t>Transponēšana nacionālajos normatīvajos aktos nav nepieciešama</w:t>
            </w:r>
            <w:r>
              <w:t>.</w:t>
            </w:r>
          </w:p>
        </w:tc>
        <w:tc>
          <w:tcPr>
            <w:tcW w:w="1437" w:type="dxa"/>
            <w:tcBorders>
              <w:top w:val="outset" w:sz="6" w:space="0" w:color="auto"/>
              <w:left w:val="outset" w:sz="6" w:space="0" w:color="auto"/>
              <w:bottom w:val="outset" w:sz="6" w:space="0" w:color="auto"/>
              <w:right w:val="outset" w:sz="6" w:space="0" w:color="auto"/>
            </w:tcBorders>
            <w:hideMark/>
          </w:tcPr>
          <w:p w:rsidR="003512FC" w:rsidRPr="00AE2C80" w:rsidRDefault="009670EF" w:rsidP="009670EF">
            <w:pPr>
              <w:spacing w:before="100" w:beforeAutospacing="1" w:after="100" w:afterAutospacing="1"/>
              <w:ind w:left="47"/>
              <w:rPr>
                <w:highlight w:val="yellow"/>
              </w:rPr>
            </w:pPr>
            <w:r w:rsidRPr="0048458B">
              <w:rPr>
                <w:iCs/>
              </w:rPr>
              <w:t>Projekts šo jomu neskar</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6C1949" w:rsidRDefault="003512FC" w:rsidP="00C23D1C">
            <w:pPr>
              <w:pStyle w:val="naiskr"/>
              <w:spacing w:before="0" w:after="0"/>
              <w:rPr>
                <w:iCs/>
              </w:rPr>
            </w:pPr>
            <w:r w:rsidRPr="002C0AC5">
              <w:rPr>
                <w:iCs/>
              </w:rPr>
              <w:t xml:space="preserve">Direktīvas </w:t>
            </w:r>
            <w:r w:rsidRPr="002C0AC5">
              <w:rPr>
                <w:bCs/>
              </w:rPr>
              <w:lastRenderedPageBreak/>
              <w:t>2009/28/EK</w:t>
            </w:r>
            <w:r>
              <w:rPr>
                <w:bCs/>
              </w:rPr>
              <w:t xml:space="preserve"> </w:t>
            </w:r>
            <w:r w:rsidRPr="00015AE5">
              <w:t>4. pants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015AE5" w:rsidRDefault="003512FC" w:rsidP="000224F8">
            <w:pPr>
              <w:ind w:left="32"/>
              <w:jc w:val="center"/>
            </w:pPr>
            <w:r w:rsidRPr="00015AE5">
              <w:lastRenderedPageBreak/>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ind w:left="32"/>
              <w:jc w:val="both"/>
            </w:pPr>
            <w:r w:rsidRPr="00015AE5">
              <w:t xml:space="preserve">Direktīvas 2009/28/EK 4.panta prasības ir </w:t>
            </w:r>
            <w:r w:rsidRPr="00015AE5">
              <w:lastRenderedPageBreak/>
              <w:t>izpildītas.</w:t>
            </w:r>
          </w:p>
          <w:p w:rsidR="003512FC" w:rsidRPr="00F33D90" w:rsidRDefault="003512FC" w:rsidP="00080A6F">
            <w:pPr>
              <w:ind w:left="32"/>
              <w:jc w:val="both"/>
              <w:rPr>
                <w:color w:val="000000"/>
              </w:rPr>
            </w:pPr>
            <w:r>
              <w:rPr>
                <w:color w:val="000000"/>
              </w:rPr>
              <w:t>Norma satur tikai dalībvalstij sasitošu pienākumu un tāpēc to nav nepieciešams pārņemt.</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lastRenderedPageBreak/>
              <w:t xml:space="preserve">Projekts šo </w:t>
            </w:r>
            <w:r w:rsidRPr="0048458B">
              <w:rPr>
                <w:iCs/>
              </w:rPr>
              <w:lastRenderedPageBreak/>
              <w:t>jomu neskar</w:t>
            </w:r>
          </w:p>
          <w:p w:rsidR="003512FC" w:rsidRPr="006C71C8" w:rsidRDefault="003512FC" w:rsidP="00080A6F">
            <w:pPr>
              <w:rPr>
                <w:color w:val="FF0000"/>
              </w:rPr>
            </w:pP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6C1949" w:rsidRDefault="003512FC" w:rsidP="00080A6F">
            <w:pPr>
              <w:pStyle w:val="naiskr"/>
              <w:spacing w:before="0" w:after="0"/>
              <w:jc w:val="both"/>
              <w:rPr>
                <w:iCs/>
              </w:rPr>
            </w:pPr>
            <w:r w:rsidRPr="002C0AC5">
              <w:rPr>
                <w:iCs/>
              </w:rPr>
              <w:lastRenderedPageBreak/>
              <w:t xml:space="preserve">Direktīvas </w:t>
            </w:r>
            <w:r w:rsidRPr="002C0AC5">
              <w:rPr>
                <w:bCs/>
              </w:rPr>
              <w:t>2009/28/EK</w:t>
            </w:r>
            <w:r>
              <w:rPr>
                <w:bCs/>
              </w:rPr>
              <w:t xml:space="preserve"> </w:t>
            </w:r>
            <w:r>
              <w:t>5.pants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ind w:left="32"/>
              <w:jc w:val="center"/>
            </w:pPr>
            <w:r w:rsidRPr="002F4216">
              <w:t>6.panta 1.</w:t>
            </w:r>
            <w:r>
              <w:t>p</w:t>
            </w:r>
            <w:r w:rsidRPr="002F4216">
              <w:t>unkts</w:t>
            </w:r>
            <w:r>
              <w:t>;</w:t>
            </w:r>
          </w:p>
          <w:p w:rsidR="003512FC" w:rsidRDefault="003512FC" w:rsidP="00785A09">
            <w:pPr>
              <w:ind w:left="32"/>
              <w:jc w:val="center"/>
            </w:pPr>
            <w:r>
              <w:t>6.panta 3.punkts</w:t>
            </w:r>
          </w:p>
          <w:p w:rsidR="003512FC" w:rsidRPr="009538E8" w:rsidRDefault="003512FC" w:rsidP="00785A09">
            <w:pPr>
              <w:ind w:left="32"/>
              <w:jc w:val="center"/>
            </w:pP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2F4216" w:rsidRDefault="003512FC" w:rsidP="00080A6F">
            <w:pPr>
              <w:spacing w:before="100" w:beforeAutospacing="1" w:after="100" w:afterAutospacing="1" w:line="191" w:lineRule="atLeast"/>
              <w:ind w:left="71"/>
            </w:pPr>
            <w:r w:rsidRPr="002F4216">
              <w:t>Tiek ieviest</w:t>
            </w:r>
            <w:r>
              <w:t>s</w:t>
            </w:r>
            <w:r w:rsidRPr="002F4216">
              <w:t xml:space="preserve"> daļēji</w:t>
            </w:r>
          </w:p>
          <w:p w:rsidR="003512FC" w:rsidRPr="002F4216" w:rsidRDefault="003512FC" w:rsidP="00080A6F">
            <w:pPr>
              <w:spacing w:before="100" w:beforeAutospacing="1" w:after="100" w:afterAutospacing="1" w:line="191" w:lineRule="atLeast"/>
              <w:ind w:left="71"/>
            </w:pPr>
            <w:r w:rsidRPr="002F4216">
              <w:t>Pilnīga ieviešana paredzēta ar</w:t>
            </w:r>
            <w:r>
              <w:t xml:space="preserve"> grozījumiem Biodegvielas likumā un</w:t>
            </w:r>
            <w:r w:rsidRPr="002F4216">
              <w:t xml:space="preserve"> Ministru kabineta noteikumiem </w:t>
            </w:r>
          </w:p>
          <w:p w:rsidR="003512FC" w:rsidRPr="002F4216" w:rsidRDefault="003512FC" w:rsidP="00080A6F">
            <w:pPr>
              <w:ind w:left="71"/>
            </w:pPr>
            <w:r w:rsidRPr="002F4216">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5A2614" w:rsidRDefault="003512FC" w:rsidP="008B7961">
            <w:r>
              <w:t>Nacionālais tiesību akts neparedz stingrākas prasības</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9538E8" w:rsidRDefault="003512FC" w:rsidP="00080A6F">
            <w:r w:rsidRPr="009538E8">
              <w:t>12.pants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9538E8" w:rsidRDefault="003512FC" w:rsidP="00785A09">
            <w:pPr>
              <w:ind w:left="32"/>
              <w:jc w:val="center"/>
            </w:pPr>
            <w:r>
              <w:t>4.panta ceturtā daļa</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ind w:left="67"/>
              <w:jc w:val="both"/>
            </w:pPr>
            <w:r>
              <w:t>Tiek ieviests pilnībā</w:t>
            </w:r>
          </w:p>
          <w:p w:rsidR="003512FC" w:rsidRDefault="003512FC" w:rsidP="00080A6F">
            <w:pPr>
              <w:ind w:left="67"/>
              <w:jc w:val="both"/>
            </w:pPr>
          </w:p>
          <w:p w:rsidR="003512FC" w:rsidRPr="005A2614" w:rsidRDefault="003512FC" w:rsidP="00080A6F">
            <w:pPr>
              <w:ind w:left="71"/>
              <w:jc w:val="both"/>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5A2614" w:rsidRDefault="009670EF" w:rsidP="009670EF">
            <w:pPr>
              <w:spacing w:before="100" w:beforeAutospacing="1" w:after="100" w:afterAutospacing="1"/>
              <w:ind w:left="47"/>
            </w:pPr>
            <w:r w:rsidRPr="0048458B">
              <w:rPr>
                <w:iCs/>
              </w:rPr>
              <w:t>Projekts šo jomu neskar</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5026CE">
            <w:pPr>
              <w:pStyle w:val="naiskr"/>
              <w:spacing w:before="0" w:after="0"/>
              <w:jc w:val="both"/>
              <w:rPr>
                <w:iCs/>
              </w:rPr>
            </w:pPr>
            <w:r w:rsidRPr="002C0AC5">
              <w:rPr>
                <w:iCs/>
              </w:rPr>
              <w:t xml:space="preserve">Direktīvas </w:t>
            </w:r>
            <w:r w:rsidRPr="002C0AC5">
              <w:rPr>
                <w:bCs/>
              </w:rPr>
              <w:t>2009/28/EK</w:t>
            </w:r>
          </w:p>
          <w:p w:rsidR="003512FC" w:rsidRPr="002F4216" w:rsidRDefault="003512FC" w:rsidP="007A2723">
            <w:r w:rsidRPr="002F4216">
              <w:t>13.panta 1.punkta</w:t>
            </w:r>
          </w:p>
          <w:p w:rsidR="003512FC" w:rsidRPr="002F4216" w:rsidRDefault="003512FC" w:rsidP="007A2723"/>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jc w:val="center"/>
            </w:pPr>
            <w:r>
              <w:t>6</w:t>
            </w:r>
            <w:r w:rsidRPr="006D0BF6">
              <w:t>.pant</w:t>
            </w:r>
            <w:r>
              <w:t>s</w:t>
            </w:r>
          </w:p>
          <w:p w:rsidR="003512FC" w:rsidRDefault="003512FC" w:rsidP="00785A09">
            <w:pPr>
              <w:jc w:val="center"/>
            </w:pPr>
            <w:r>
              <w:t>8.pants</w:t>
            </w:r>
          </w:p>
          <w:p w:rsidR="003512FC" w:rsidRDefault="003512FC" w:rsidP="00785A09">
            <w:pPr>
              <w:jc w:val="center"/>
            </w:pPr>
          </w:p>
          <w:p w:rsidR="003512FC" w:rsidRPr="006D0BF6" w:rsidRDefault="003512FC" w:rsidP="00785A09">
            <w:pPr>
              <w:jc w:val="center"/>
            </w:pP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5026CE">
            <w:pPr>
              <w:ind w:left="67"/>
            </w:pPr>
            <w:r>
              <w:t>Ieviests ar:</w:t>
            </w:r>
          </w:p>
          <w:p w:rsidR="003512FC" w:rsidRPr="008F0529" w:rsidRDefault="003512FC" w:rsidP="008F0529">
            <w:pPr>
              <w:ind w:left="67"/>
              <w:jc w:val="both"/>
            </w:pPr>
            <w:r>
              <w:t xml:space="preserve">1) </w:t>
            </w:r>
            <w:r w:rsidRPr="008F0529">
              <w:t>Būvniecības likums (3., 7., 11.pants);</w:t>
            </w:r>
          </w:p>
          <w:p w:rsidR="003512FC" w:rsidRPr="008F0529" w:rsidRDefault="003512FC" w:rsidP="008F0529">
            <w:pPr>
              <w:ind w:left="67"/>
              <w:jc w:val="both"/>
            </w:pPr>
            <w:r w:rsidRPr="008F0529">
              <w:t>2) MK 01.04.1997. noteikumi Nr. 112 „Vispārīgie būvnoteikumi”;</w:t>
            </w:r>
          </w:p>
          <w:p w:rsidR="003512FC" w:rsidRPr="008F0529" w:rsidRDefault="003512FC" w:rsidP="008F0529">
            <w:pPr>
              <w:ind w:left="67"/>
              <w:jc w:val="both"/>
            </w:pPr>
            <w:r w:rsidRPr="008F0529">
              <w:t>3) MK 22.05.2007.  noteikumi Nr. 331 „Paredzētās būves publiskās apspriešanas kārtība”;</w:t>
            </w:r>
          </w:p>
          <w:p w:rsidR="003512FC" w:rsidRPr="008F0529" w:rsidRDefault="003512FC" w:rsidP="008F0529">
            <w:pPr>
              <w:ind w:left="67"/>
              <w:jc w:val="both"/>
            </w:pPr>
            <w:r w:rsidRPr="008F0529">
              <w:t>4) MK 10.02.2009. noteikumi Nr. 131 „Noteikumi par valsts nodevu par būvprojektēšanai nepieciešamo tehnisko un īpašo noteikumu saņemšanu valsts un pašvaldību institūcijās”;</w:t>
            </w:r>
          </w:p>
          <w:p w:rsidR="003512FC" w:rsidRPr="008F0529" w:rsidRDefault="003512FC" w:rsidP="008F0529">
            <w:pPr>
              <w:ind w:left="67"/>
              <w:jc w:val="both"/>
            </w:pPr>
            <w:r w:rsidRPr="008F0529">
              <w:t>5) MK  01.11.2010. noteikumi Nr. 1024 „Elektroenerģijas pārvades un sadales būvju būvniecības kārtība”,</w:t>
            </w:r>
          </w:p>
          <w:p w:rsidR="003512FC" w:rsidRPr="008F0529" w:rsidRDefault="003512FC" w:rsidP="008F0529">
            <w:pPr>
              <w:ind w:left="67"/>
              <w:jc w:val="both"/>
            </w:pPr>
            <w:r w:rsidRPr="008F0529">
              <w:t>6) MK 17.10.2006. noteikumi Nr. 852 „Noteikumi par Latvijas būvnormatīvu LBN 229-06 “Hidroelektrostaciju hidrotehniskās būves””;</w:t>
            </w:r>
          </w:p>
          <w:p w:rsidR="003512FC" w:rsidRPr="008F0529" w:rsidRDefault="003512FC" w:rsidP="008F0529">
            <w:pPr>
              <w:ind w:left="67"/>
              <w:jc w:val="both"/>
            </w:pPr>
            <w:r w:rsidRPr="008F0529">
              <w:t>7) MK 13.06.2006. noteikumi Nr. 474 „Atkritumu poligonu ierīkošanas, atkritumu poligonu un izgāztuvju apsaimniekošanas, slēgšanas un rekultivācijas noteikumi”;</w:t>
            </w:r>
          </w:p>
          <w:p w:rsidR="003512FC" w:rsidRPr="008F0529" w:rsidRDefault="003512FC" w:rsidP="008F0529">
            <w:pPr>
              <w:ind w:left="67"/>
              <w:jc w:val="both"/>
            </w:pPr>
            <w:r w:rsidRPr="008F0529">
              <w:t>8) Teritorijas plānošanas likums;</w:t>
            </w:r>
          </w:p>
          <w:p w:rsidR="003512FC" w:rsidRPr="008F0529" w:rsidRDefault="003512FC" w:rsidP="008F0529">
            <w:pPr>
              <w:ind w:left="67"/>
              <w:jc w:val="both"/>
            </w:pPr>
            <w:r w:rsidRPr="008F0529">
              <w:t>9) likums „Par ietekmes uz vidi novērtējumu” (6.,7.,8.pants)</w:t>
            </w:r>
          </w:p>
          <w:p w:rsidR="003512FC" w:rsidRDefault="003512FC" w:rsidP="00080A6F">
            <w:pPr>
              <w:ind w:left="67"/>
            </w:pPr>
          </w:p>
          <w:p w:rsidR="003512FC" w:rsidRDefault="003512FC" w:rsidP="00080A6F">
            <w:pPr>
              <w:ind w:left="67"/>
            </w:pPr>
            <w:r>
              <w:t>Atbilstība tiks nodrošināta, veicot grozījumus Elektroenerģijas  tirgus likumā.</w:t>
            </w:r>
          </w:p>
          <w:p w:rsidR="003512FC" w:rsidRDefault="003512FC" w:rsidP="00080A6F">
            <w:pPr>
              <w:ind w:left="67"/>
            </w:pPr>
          </w:p>
          <w:p w:rsidR="003512FC" w:rsidRDefault="003512FC" w:rsidP="00080A6F">
            <w:pPr>
              <w:ind w:left="67"/>
            </w:pPr>
            <w:r>
              <w:t>Ekonomikas ministrija.</w:t>
            </w:r>
          </w:p>
        </w:tc>
        <w:tc>
          <w:tcPr>
            <w:tcW w:w="1437" w:type="dxa"/>
            <w:tcBorders>
              <w:top w:val="outset" w:sz="6" w:space="0" w:color="auto"/>
              <w:left w:val="outset" w:sz="6" w:space="0" w:color="auto"/>
              <w:bottom w:val="outset" w:sz="6" w:space="0" w:color="auto"/>
              <w:right w:val="outset" w:sz="6" w:space="0" w:color="auto"/>
            </w:tcBorders>
            <w:hideMark/>
          </w:tcPr>
          <w:p w:rsidR="003512FC" w:rsidRPr="00173BCA" w:rsidRDefault="003512FC" w:rsidP="00080A6F">
            <w:pPr>
              <w:pStyle w:val="naiskr"/>
              <w:spacing w:before="0" w:after="0"/>
              <w:jc w:val="both"/>
            </w:pPr>
            <w:r w:rsidRPr="00173BCA">
              <w:t xml:space="preserve">Nacionālais tiesību akts neparedz stingrākas prasības </w:t>
            </w:r>
          </w:p>
          <w:p w:rsidR="003512FC"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785A09">
            <w:pPr>
              <w:pStyle w:val="naiskr"/>
              <w:spacing w:before="0" w:after="0"/>
              <w:jc w:val="both"/>
              <w:rPr>
                <w:iCs/>
              </w:rPr>
            </w:pPr>
            <w:r w:rsidRPr="002C0AC5">
              <w:rPr>
                <w:iCs/>
              </w:rPr>
              <w:t xml:space="preserve">Direktīvas </w:t>
            </w:r>
            <w:r w:rsidRPr="002C0AC5">
              <w:rPr>
                <w:bCs/>
              </w:rPr>
              <w:t>2009/28/EK</w:t>
            </w:r>
          </w:p>
          <w:p w:rsidR="003512FC" w:rsidRPr="002F4216" w:rsidRDefault="003512FC" w:rsidP="00B706A5">
            <w:r w:rsidRPr="002F4216">
              <w:t>13.panta 2.punkts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jc w:val="center"/>
            </w:pPr>
            <w:r>
              <w:t>6</w:t>
            </w:r>
            <w:r w:rsidRPr="006D0BF6">
              <w:t>.pant</w:t>
            </w:r>
            <w:r>
              <w:t>s</w:t>
            </w:r>
          </w:p>
          <w:p w:rsidR="003512FC" w:rsidRDefault="003512FC" w:rsidP="00785A09">
            <w:pPr>
              <w:jc w:val="center"/>
            </w:pPr>
            <w:r>
              <w:t>9.pants</w:t>
            </w:r>
          </w:p>
          <w:p w:rsidR="003512FC" w:rsidRDefault="003512FC" w:rsidP="00785A09">
            <w:pPr>
              <w:jc w:val="center"/>
            </w:pPr>
            <w:r>
              <w:t>10.pants</w:t>
            </w:r>
          </w:p>
          <w:p w:rsidR="003512FC" w:rsidRDefault="003512FC" w:rsidP="00785A09">
            <w:pPr>
              <w:jc w:val="center"/>
            </w:pPr>
            <w:r>
              <w:t>11.pants</w:t>
            </w:r>
          </w:p>
          <w:p w:rsidR="003512FC" w:rsidRDefault="003512FC" w:rsidP="00785A09">
            <w:pPr>
              <w:jc w:val="center"/>
            </w:pPr>
            <w:r>
              <w:t>12.pants</w:t>
            </w:r>
          </w:p>
          <w:p w:rsidR="003512FC" w:rsidRDefault="003512FC" w:rsidP="00785A09">
            <w:pPr>
              <w:jc w:val="center"/>
            </w:pPr>
            <w:r>
              <w:lastRenderedPageBreak/>
              <w:t>13.pants</w:t>
            </w:r>
          </w:p>
          <w:p w:rsidR="003512FC" w:rsidRPr="0032656E" w:rsidRDefault="003512FC" w:rsidP="00703753">
            <w:pPr>
              <w:jc w:val="center"/>
            </w:pPr>
            <w:r>
              <w:t>1</w:t>
            </w:r>
            <w:r w:rsidR="001269EC">
              <w:t>4</w:t>
            </w:r>
            <w:r>
              <w:t>.pants</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B706A5">
            <w:pPr>
              <w:spacing w:before="100" w:beforeAutospacing="1" w:after="100" w:afterAutospacing="1" w:line="191" w:lineRule="atLeast"/>
              <w:ind w:left="71"/>
            </w:pPr>
            <w:r>
              <w:lastRenderedPageBreak/>
              <w:t>Ieviests pilnībā</w:t>
            </w:r>
          </w:p>
          <w:p w:rsidR="003512FC" w:rsidRDefault="003512FC" w:rsidP="00B706A5">
            <w:pPr>
              <w:spacing w:before="100" w:beforeAutospacing="1" w:after="100" w:afterAutospacing="1" w:line="191" w:lineRule="atLeast"/>
              <w:ind w:left="71"/>
            </w:pPr>
          </w:p>
          <w:p w:rsidR="003512FC" w:rsidRPr="0032656E" w:rsidRDefault="003512FC" w:rsidP="00B706A5">
            <w:pPr>
              <w:ind w:left="71"/>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32656E" w:rsidRDefault="003512FC" w:rsidP="008B7961">
            <w:r w:rsidRPr="0032656E">
              <w:t>Nacionālais tiesību akts neparedz stingrākas prasības</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lastRenderedPageBreak/>
              <w:t xml:space="preserve">Direktīvas </w:t>
            </w:r>
            <w:r w:rsidRPr="002C0AC5">
              <w:rPr>
                <w:bCs/>
              </w:rPr>
              <w:t>2009/28/EK</w:t>
            </w:r>
          </w:p>
          <w:p w:rsidR="003512FC" w:rsidRDefault="003512FC" w:rsidP="00080A6F">
            <w:r>
              <w:t>13.panta 3.punkts</w:t>
            </w:r>
          </w:p>
          <w:p w:rsidR="003512FC" w:rsidRDefault="003512FC" w:rsidP="00080A6F"/>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jc w:val="center"/>
            </w:pPr>
            <w:r>
              <w:t>8.pants</w:t>
            </w:r>
          </w:p>
          <w:p w:rsidR="003512FC" w:rsidRDefault="003512FC" w:rsidP="00785A09">
            <w:pPr>
              <w:jc w:val="center"/>
            </w:pP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jc w:val="both"/>
            </w:pPr>
            <w:r>
              <w:t>Ieviestas pilnībā. Likuma „Par Latvijas Republikas dalību Kioto protokola elastīgajos mehānismos” 8.panta pirmās daļas 1.apakšpunkta b) apakšpunkts.</w:t>
            </w:r>
          </w:p>
          <w:p w:rsidR="003512FC" w:rsidRDefault="003512FC" w:rsidP="00080A6F">
            <w:pPr>
              <w:jc w:val="both"/>
            </w:pPr>
          </w:p>
          <w:p w:rsidR="003512FC" w:rsidRDefault="003512FC" w:rsidP="00080A6F">
            <w:r>
              <w:t>Enerģētikas likuma 51.pants, 8.pants.</w:t>
            </w:r>
          </w:p>
          <w:p w:rsidR="003512FC" w:rsidRDefault="003512FC" w:rsidP="00080A6F"/>
          <w:p w:rsidR="003512FC" w:rsidRPr="005A2614" w:rsidRDefault="003512FC" w:rsidP="00080A6F">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173BCA" w:rsidRDefault="003512FC" w:rsidP="00080A6F">
            <w:pPr>
              <w:pStyle w:val="naiskr"/>
              <w:spacing w:before="0" w:after="0"/>
              <w:jc w:val="both"/>
            </w:pPr>
            <w:r w:rsidRPr="00173BCA">
              <w:t xml:space="preserve">Nacionālais tiesību akts neparedz stingrākas prasības </w:t>
            </w:r>
          </w:p>
          <w:p w:rsidR="003512FC" w:rsidRPr="005A2614" w:rsidRDefault="003512FC" w:rsidP="00080A6F"/>
        </w:tc>
      </w:tr>
      <w:tr w:rsidR="003512FC" w:rsidRPr="005A2614" w:rsidTr="009670EF">
        <w:trPr>
          <w:trHeight w:val="1107"/>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4B6F71" w:rsidRDefault="003512FC" w:rsidP="00080A6F">
            <w:r w:rsidRPr="004B6F71">
              <w:t>13.panta 4.punkts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8C3E98" w:rsidRDefault="003512FC" w:rsidP="00AD106F">
            <w:pPr>
              <w:jc w:val="center"/>
            </w:pPr>
            <w:r w:rsidRPr="008C3E98">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r w:rsidRPr="008C3E98">
              <w:t>Prasības ieviestas pilnībā ar Ēku energoefektivitātes likuma 7.pantu</w:t>
            </w:r>
            <w:r>
              <w:t>.</w:t>
            </w:r>
          </w:p>
          <w:p w:rsidR="003512FC" w:rsidRPr="008C3E98" w:rsidRDefault="003512FC" w:rsidP="00080A6F">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8C3E98" w:rsidRDefault="003512FC" w:rsidP="00080A6F">
            <w:pPr>
              <w:pStyle w:val="naiskr"/>
              <w:spacing w:before="0" w:after="0"/>
              <w:jc w:val="both"/>
            </w:pPr>
            <w:r w:rsidRPr="00173BCA">
              <w:t xml:space="preserve">Nacionālais tiesību akts neparedz stingrākas prasības </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4B6F71" w:rsidRDefault="003512FC" w:rsidP="00080A6F">
            <w:pPr>
              <w:pStyle w:val="naiskr"/>
              <w:spacing w:before="0" w:after="0"/>
              <w:jc w:val="both"/>
              <w:rPr>
                <w:iCs/>
              </w:rPr>
            </w:pPr>
            <w:r w:rsidRPr="004B6F71">
              <w:rPr>
                <w:iCs/>
              </w:rPr>
              <w:t xml:space="preserve">Direktīvas </w:t>
            </w:r>
            <w:r w:rsidRPr="004B6F71">
              <w:rPr>
                <w:bCs/>
              </w:rPr>
              <w:t>2009/28/EK</w:t>
            </w:r>
          </w:p>
          <w:p w:rsidR="003512FC" w:rsidRPr="004B6F71" w:rsidRDefault="003512FC" w:rsidP="00080A6F">
            <w:r w:rsidRPr="004B6F71">
              <w:t>13.panta 5.punkts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4B6F71" w:rsidRDefault="003512FC" w:rsidP="00785A09">
            <w:pPr>
              <w:jc w:val="center"/>
            </w:pPr>
            <w:r w:rsidRPr="004B6F71">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r>
              <w:t>Prasības tiks</w:t>
            </w:r>
            <w:r w:rsidRPr="008C3E98">
              <w:t xml:space="preserve"> ieviestas ar </w:t>
            </w:r>
            <w:r>
              <w:t>likumprojektu „Būvniecības likums.”</w:t>
            </w:r>
          </w:p>
          <w:p w:rsidR="003512FC" w:rsidRDefault="003512FC" w:rsidP="00080A6F"/>
          <w:p w:rsidR="003512FC" w:rsidRPr="008C3E98" w:rsidRDefault="003512FC" w:rsidP="00080A6F">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t>Projekts šo jomu neskar</w:t>
            </w:r>
          </w:p>
          <w:p w:rsidR="003512FC" w:rsidRPr="008C3E98"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4B6F71" w:rsidRDefault="003512FC" w:rsidP="00080A6F">
            <w:pPr>
              <w:pStyle w:val="naiskr"/>
              <w:spacing w:before="0" w:after="0"/>
              <w:jc w:val="both"/>
              <w:rPr>
                <w:iCs/>
              </w:rPr>
            </w:pPr>
            <w:r w:rsidRPr="004B6F71">
              <w:rPr>
                <w:iCs/>
              </w:rPr>
              <w:t xml:space="preserve">Direktīvas </w:t>
            </w:r>
            <w:r w:rsidRPr="004B6F71">
              <w:rPr>
                <w:bCs/>
              </w:rPr>
              <w:t>2009/28/EK</w:t>
            </w:r>
          </w:p>
          <w:p w:rsidR="003512FC" w:rsidRPr="004B6F71" w:rsidRDefault="003512FC" w:rsidP="00080A6F">
            <w:r w:rsidRPr="004B6F71">
              <w:t>13.panta 6.punkts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4B6F71" w:rsidRDefault="003512FC" w:rsidP="00785A09">
            <w:pPr>
              <w:jc w:val="center"/>
            </w:pPr>
            <w:r w:rsidRPr="004B6F71">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r>
              <w:t>Prasības tiks</w:t>
            </w:r>
            <w:r w:rsidRPr="008C3E98">
              <w:t xml:space="preserve"> ieviestas ar </w:t>
            </w:r>
            <w:r>
              <w:t>likumprojektu „Būvniecības likums.”</w:t>
            </w:r>
          </w:p>
          <w:p w:rsidR="003512FC" w:rsidRDefault="003512FC" w:rsidP="00080A6F"/>
          <w:p w:rsidR="003512FC" w:rsidRPr="004B6F71" w:rsidRDefault="003512FC" w:rsidP="00080A6F">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t>Projekts šo jomu neskar</w:t>
            </w:r>
          </w:p>
          <w:p w:rsidR="003512FC" w:rsidRPr="004B6F71"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4B6F71" w:rsidRDefault="003512FC" w:rsidP="00AD106F">
            <w:pPr>
              <w:pStyle w:val="naiskr"/>
              <w:spacing w:before="0" w:after="0"/>
              <w:jc w:val="both"/>
              <w:rPr>
                <w:iCs/>
              </w:rPr>
            </w:pPr>
            <w:r w:rsidRPr="004B6F71">
              <w:rPr>
                <w:iCs/>
              </w:rPr>
              <w:t xml:space="preserve">Direktīvas </w:t>
            </w:r>
            <w:r w:rsidRPr="004B6F71">
              <w:rPr>
                <w:bCs/>
              </w:rPr>
              <w:t>2009/28/EK</w:t>
            </w:r>
          </w:p>
          <w:p w:rsidR="003512FC" w:rsidRPr="002F4216" w:rsidRDefault="003512FC" w:rsidP="007A2723">
            <w:r w:rsidRPr="002F4216">
              <w:t>14.panta 1.punkts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ind w:left="32"/>
              <w:jc w:val="center"/>
            </w:pPr>
            <w:r w:rsidRPr="007A2723">
              <w:t xml:space="preserve">7.panta </w:t>
            </w:r>
            <w:r>
              <w:t>pirmā daļa</w:t>
            </w:r>
          </w:p>
          <w:p w:rsidR="003512FC" w:rsidRDefault="003512FC" w:rsidP="00785A09">
            <w:pPr>
              <w:ind w:left="32"/>
              <w:jc w:val="center"/>
            </w:pPr>
            <w:r>
              <w:t>7.panta otrā daļa</w:t>
            </w:r>
          </w:p>
          <w:p w:rsidR="003512FC" w:rsidRDefault="003512FC" w:rsidP="00785A09">
            <w:pPr>
              <w:ind w:left="32"/>
              <w:jc w:val="center"/>
            </w:pPr>
            <w:r>
              <w:t>7.panta trešā daļa</w:t>
            </w:r>
          </w:p>
          <w:p w:rsidR="003512FC" w:rsidRPr="007A2723" w:rsidRDefault="003512FC" w:rsidP="00785A09">
            <w:pPr>
              <w:ind w:left="32"/>
              <w:jc w:val="center"/>
            </w:pP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jc w:val="both"/>
            </w:pPr>
            <w:r>
              <w:t>Ieviests pilnībā ar:</w:t>
            </w:r>
          </w:p>
          <w:p w:rsidR="003512FC" w:rsidRDefault="003512FC" w:rsidP="00080A6F">
            <w:pPr>
              <w:jc w:val="both"/>
            </w:pPr>
            <w:r>
              <w:t>1) Eiropas Savienības struktūrfondu un Kohēzijas fonda vadības likuma 9. panta pirmās daļas 3. Apakšpunktu;</w:t>
            </w:r>
          </w:p>
          <w:p w:rsidR="003512FC" w:rsidRDefault="003512FC" w:rsidP="00080A6F">
            <w:pPr>
              <w:jc w:val="both"/>
            </w:pPr>
            <w:r>
              <w:t xml:space="preserve">2) likuma „Par Latvijas Republikas dalību Kioto protokola elastīgajos mehānismos” 11.panta otro daļu, </w:t>
            </w:r>
            <w:r w:rsidRPr="007A2723">
              <w:t xml:space="preserve">7.panta </w:t>
            </w:r>
            <w:r>
              <w:t>pirmo daļu, 7.panta otro daļu, 7.panta trešo daļu, 8.panta trešo daļu.</w:t>
            </w:r>
          </w:p>
          <w:p w:rsidR="003512FC" w:rsidRDefault="003512FC" w:rsidP="00080A6F">
            <w:pPr>
              <w:jc w:val="both"/>
            </w:pPr>
            <w:r>
              <w:t xml:space="preserve">3) </w:t>
            </w:r>
          </w:p>
          <w:p w:rsidR="003512FC" w:rsidRDefault="003512FC" w:rsidP="00080A6F">
            <w:pPr>
              <w:jc w:val="both"/>
            </w:pPr>
          </w:p>
          <w:p w:rsidR="003512FC" w:rsidRPr="007A2723" w:rsidRDefault="003512FC" w:rsidP="00080A6F">
            <w:pPr>
              <w:jc w:val="both"/>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173BCA" w:rsidRDefault="003512FC" w:rsidP="00080A6F">
            <w:pPr>
              <w:pStyle w:val="naiskr"/>
              <w:spacing w:before="0" w:after="0"/>
              <w:jc w:val="both"/>
            </w:pPr>
            <w:r w:rsidRPr="00173BCA">
              <w:t xml:space="preserve">Nacionālais tiesību akts neparedz stingrākas prasības </w:t>
            </w:r>
          </w:p>
          <w:p w:rsidR="003512FC" w:rsidRPr="007A2723"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4B6F71" w:rsidRDefault="003512FC" w:rsidP="00AF6E08">
            <w:pPr>
              <w:pStyle w:val="naiskr"/>
              <w:spacing w:before="0" w:after="0"/>
              <w:jc w:val="both"/>
              <w:rPr>
                <w:iCs/>
              </w:rPr>
            </w:pPr>
            <w:r w:rsidRPr="004B6F71">
              <w:rPr>
                <w:iCs/>
              </w:rPr>
              <w:t xml:space="preserve">Direktīvas </w:t>
            </w:r>
            <w:r w:rsidRPr="004B6F71">
              <w:rPr>
                <w:bCs/>
              </w:rPr>
              <w:t>2009/28/EK</w:t>
            </w:r>
          </w:p>
          <w:p w:rsidR="003512FC" w:rsidRPr="001E0CD5" w:rsidRDefault="003512FC" w:rsidP="007A2723">
            <w:r w:rsidRPr="001E0CD5">
              <w:t>14.panta 2.punkts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1E0CD5" w:rsidRDefault="003512FC" w:rsidP="00785A09">
            <w:pPr>
              <w:jc w:val="center"/>
            </w:pPr>
            <w:r>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1E0CD5" w:rsidRDefault="003512FC" w:rsidP="00AF6E08">
            <w:pPr>
              <w:ind w:left="71"/>
            </w:pPr>
            <w:r>
              <w:t>Tiks ieviests ar l</w:t>
            </w:r>
            <w:r w:rsidRPr="001E0CD5">
              <w:t>ikumprojekt</w:t>
            </w:r>
            <w:r>
              <w:t>u</w:t>
            </w:r>
            <w:r w:rsidRPr="001E0CD5">
              <w:t xml:space="preserve"> „Būvniecības likums”</w:t>
            </w:r>
          </w:p>
        </w:tc>
        <w:tc>
          <w:tcPr>
            <w:tcW w:w="1437" w:type="dxa"/>
            <w:tcBorders>
              <w:top w:val="outset" w:sz="6" w:space="0" w:color="auto"/>
              <w:left w:val="outset" w:sz="6" w:space="0" w:color="auto"/>
              <w:bottom w:val="outset" w:sz="6" w:space="0" w:color="auto"/>
              <w:right w:val="outset" w:sz="6" w:space="0" w:color="auto"/>
            </w:tcBorders>
            <w:hideMark/>
          </w:tcPr>
          <w:p w:rsidR="003512FC" w:rsidRPr="001E0CD5" w:rsidRDefault="003512FC" w:rsidP="007A2723">
            <w:r w:rsidRPr="001E0CD5">
              <w:t>Nacionālais tiesību akts neparedz stingrākas prasības</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7A4F01" w:rsidRDefault="003512FC" w:rsidP="00080A6F">
            <w:pPr>
              <w:pStyle w:val="naiskr"/>
              <w:spacing w:before="0" w:after="0"/>
              <w:jc w:val="both"/>
              <w:rPr>
                <w:iCs/>
              </w:rPr>
            </w:pPr>
            <w:r w:rsidRPr="007A4F01">
              <w:rPr>
                <w:iCs/>
              </w:rPr>
              <w:t xml:space="preserve">Direktīvas </w:t>
            </w:r>
            <w:r w:rsidRPr="007A4F01">
              <w:rPr>
                <w:bCs/>
              </w:rPr>
              <w:t>2009/28/EK</w:t>
            </w:r>
          </w:p>
          <w:p w:rsidR="003512FC" w:rsidRPr="007A4F01" w:rsidRDefault="003512FC" w:rsidP="00080A6F">
            <w:r w:rsidRPr="007A4F01">
              <w:t>14.panta 3.punkts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7A4F01" w:rsidRDefault="003512FC" w:rsidP="00785A09">
            <w:pPr>
              <w:jc w:val="center"/>
            </w:pPr>
            <w:r w:rsidRPr="007A4F01">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r>
              <w:t>Prasību izpilde tiks nodrošināta līdz 2012.gada 31.decembrim atbilstoši Direktīvas 2009/28/EK prasībām.</w:t>
            </w:r>
          </w:p>
          <w:p w:rsidR="003512FC" w:rsidRDefault="003512FC" w:rsidP="00080A6F"/>
          <w:p w:rsidR="003512FC" w:rsidRPr="007A4F01" w:rsidRDefault="003512FC" w:rsidP="00080A6F">
            <w:r w:rsidRPr="007A4F01">
              <w:t>Izglītības un zinātnes ministrija.</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t>Projekts šo jomu neskar</w:t>
            </w:r>
          </w:p>
          <w:p w:rsidR="003512FC" w:rsidRPr="004B6F71"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7A4F01" w:rsidRDefault="003512FC" w:rsidP="00080A6F">
            <w:pPr>
              <w:pStyle w:val="naiskr"/>
              <w:spacing w:before="0" w:after="0"/>
              <w:jc w:val="both"/>
              <w:rPr>
                <w:iCs/>
              </w:rPr>
            </w:pPr>
            <w:r w:rsidRPr="007A4F01">
              <w:rPr>
                <w:iCs/>
              </w:rPr>
              <w:t xml:space="preserve">Direktīvas </w:t>
            </w:r>
            <w:r w:rsidRPr="007A4F01">
              <w:rPr>
                <w:bCs/>
              </w:rPr>
              <w:t>2009/28/EK</w:t>
            </w:r>
          </w:p>
          <w:p w:rsidR="003512FC" w:rsidRPr="007A4F01" w:rsidRDefault="003512FC" w:rsidP="00080A6F">
            <w:r w:rsidRPr="007A4F01">
              <w:t>14.panta 4.punkts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7A4F01" w:rsidRDefault="003512FC" w:rsidP="00785A09">
            <w:pPr>
              <w:jc w:val="center"/>
            </w:pPr>
            <w:r w:rsidRPr="007A4F01">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r>
              <w:t>Prasību izpilde tiks nodrošināta līdz 2012.gada 31.decembrim atbilstoši Direktīvas 2009/28/EK prasībām.</w:t>
            </w:r>
          </w:p>
          <w:p w:rsidR="003512FC" w:rsidRDefault="003512FC" w:rsidP="00080A6F"/>
          <w:p w:rsidR="003512FC" w:rsidRPr="007A4F01" w:rsidRDefault="003512FC" w:rsidP="00080A6F">
            <w:r w:rsidRPr="007A4F01">
              <w:t>Izglītības un zinātnes ministrija.</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t>Projekts šo jomu neskar</w:t>
            </w:r>
          </w:p>
          <w:p w:rsidR="003512FC" w:rsidRPr="007A2723"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7E7C0C">
              <w:t xml:space="preserve"> </w:t>
            </w:r>
            <w:r w:rsidRPr="002C0AC5">
              <w:rPr>
                <w:iCs/>
              </w:rPr>
              <w:t xml:space="preserve">Direktīvas </w:t>
            </w:r>
            <w:r w:rsidRPr="002C0AC5">
              <w:rPr>
                <w:bCs/>
              </w:rPr>
              <w:lastRenderedPageBreak/>
              <w:t>2009/28/EK</w:t>
            </w:r>
          </w:p>
          <w:p w:rsidR="003512FC" w:rsidRPr="007E7C0C" w:rsidRDefault="003512FC" w:rsidP="00080A6F">
            <w:r w:rsidRPr="007E7C0C">
              <w:t>14.panta 5.punkts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4B6F71" w:rsidRDefault="003512FC" w:rsidP="00785A09">
            <w:pPr>
              <w:jc w:val="center"/>
            </w:pPr>
            <w:r w:rsidRPr="004B6F71">
              <w:lastRenderedPageBreak/>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r>
              <w:t>Tiks ieviests pilnībā ar l</w:t>
            </w:r>
            <w:r w:rsidRPr="001E0CD5">
              <w:t>ikumprojekt</w:t>
            </w:r>
            <w:r>
              <w:t>u</w:t>
            </w:r>
            <w:r w:rsidRPr="001E0CD5">
              <w:t xml:space="preserve"> </w:t>
            </w:r>
            <w:r w:rsidRPr="001E0CD5">
              <w:lastRenderedPageBreak/>
              <w:t>„Būvniecības likums”</w:t>
            </w:r>
            <w:r>
              <w:t xml:space="preserve"> </w:t>
            </w:r>
            <w:r w:rsidRPr="001E0CD5">
              <w:t>7.pant</w:t>
            </w:r>
            <w:r>
              <w:t>u.</w:t>
            </w:r>
          </w:p>
          <w:p w:rsidR="003512FC" w:rsidRDefault="003512FC" w:rsidP="00080A6F"/>
          <w:p w:rsidR="003512FC" w:rsidRPr="001E0CD5" w:rsidRDefault="003512FC" w:rsidP="00080A6F">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lastRenderedPageBreak/>
              <w:t xml:space="preserve">Projekts šo </w:t>
            </w:r>
            <w:r w:rsidRPr="0048458B">
              <w:rPr>
                <w:iCs/>
              </w:rPr>
              <w:lastRenderedPageBreak/>
              <w:t>jomu neskar</w:t>
            </w:r>
          </w:p>
          <w:p w:rsidR="003512FC"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7E7C0C">
              <w:lastRenderedPageBreak/>
              <w:t xml:space="preserve"> </w:t>
            </w:r>
            <w:r w:rsidRPr="002C0AC5">
              <w:rPr>
                <w:iCs/>
              </w:rPr>
              <w:t xml:space="preserve">Direktīvas </w:t>
            </w:r>
            <w:r w:rsidRPr="002C0AC5">
              <w:rPr>
                <w:bCs/>
              </w:rPr>
              <w:t>2009/28/EK</w:t>
            </w:r>
          </w:p>
          <w:p w:rsidR="003512FC" w:rsidRPr="007E7C0C" w:rsidRDefault="003512FC" w:rsidP="00080A6F">
            <w:r w:rsidRPr="007E7C0C">
              <w:t>14.panta 6.punkts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4B6F71" w:rsidRDefault="003512FC" w:rsidP="00785A09">
            <w:pPr>
              <w:jc w:val="center"/>
            </w:pPr>
            <w:r w:rsidRPr="004B6F71">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r>
              <w:t>Tiks ieviests pilnībā ar l</w:t>
            </w:r>
            <w:r w:rsidRPr="001E0CD5">
              <w:t>ikumprojekt</w:t>
            </w:r>
            <w:r>
              <w:t xml:space="preserve">u </w:t>
            </w:r>
            <w:r w:rsidRPr="001E0CD5">
              <w:t>„Būvniecības likums”</w:t>
            </w:r>
            <w:r>
              <w:t xml:space="preserve"> </w:t>
            </w:r>
            <w:r w:rsidRPr="001E0CD5">
              <w:t>7.pant</w:t>
            </w:r>
            <w:r>
              <w:t>u.</w:t>
            </w:r>
          </w:p>
          <w:p w:rsidR="003512FC" w:rsidRPr="001E0CD5" w:rsidRDefault="003512FC" w:rsidP="00080A6F">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t>Projekts šo jomu neskar</w:t>
            </w:r>
          </w:p>
          <w:p w:rsidR="003512FC"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577FDE" w:rsidRDefault="003512FC" w:rsidP="001C4D28">
            <w:r w:rsidRPr="00577FDE">
              <w:t>15.</w:t>
            </w:r>
            <w:r>
              <w:t>panta 1.-9.punkts, 11.-12.punkts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ind w:left="32"/>
              <w:jc w:val="center"/>
            </w:pPr>
            <w:r>
              <w:t>6.panta 2.punkts</w:t>
            </w:r>
          </w:p>
          <w:p w:rsidR="003512FC" w:rsidRDefault="003512FC" w:rsidP="001269EC">
            <w:pPr>
              <w:ind w:left="32"/>
              <w:jc w:val="center"/>
            </w:pPr>
            <w:r>
              <w:t>1</w:t>
            </w:r>
            <w:r w:rsidR="001269EC">
              <w:t>8</w:t>
            </w:r>
            <w:r>
              <w:t>.pants</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1C4D28">
            <w:pPr>
              <w:ind w:left="44"/>
              <w:jc w:val="both"/>
            </w:pPr>
            <w:r>
              <w:t>Ieviests pilnībā</w:t>
            </w:r>
          </w:p>
          <w:p w:rsidR="003512FC" w:rsidRPr="001C4D28" w:rsidRDefault="003512FC" w:rsidP="001C4D28">
            <w:pPr>
              <w:ind w:left="44" w:right="141"/>
              <w:jc w:val="both"/>
              <w:rPr>
                <w:sz w:val="22"/>
                <w:szCs w:val="22"/>
              </w:rPr>
            </w:pPr>
          </w:p>
          <w:p w:rsidR="003512FC" w:rsidRPr="001C4D28" w:rsidRDefault="003512FC" w:rsidP="001C4D28">
            <w:pPr>
              <w:pStyle w:val="naiskr"/>
              <w:spacing w:before="0" w:after="0"/>
              <w:ind w:left="44" w:right="141"/>
              <w:jc w:val="both"/>
              <w:rPr>
                <w:sz w:val="22"/>
                <w:szCs w:val="22"/>
              </w:rPr>
            </w:pPr>
            <w:r w:rsidRPr="001C4D28">
              <w:rPr>
                <w:sz w:val="22"/>
                <w:szCs w:val="22"/>
                <w:u w:val="single"/>
              </w:rPr>
              <w:t>E</w:t>
            </w:r>
            <w:r>
              <w:rPr>
                <w:sz w:val="22"/>
                <w:szCs w:val="22"/>
                <w:u w:val="single"/>
              </w:rPr>
              <w:t>lektroenerģijas tirgus likums (E</w:t>
            </w:r>
            <w:r w:rsidRPr="001C4D28">
              <w:rPr>
                <w:sz w:val="22"/>
                <w:szCs w:val="22"/>
                <w:u w:val="single"/>
              </w:rPr>
              <w:t>TL</w:t>
            </w:r>
            <w:r>
              <w:rPr>
                <w:sz w:val="22"/>
                <w:szCs w:val="22"/>
                <w:u w:val="single"/>
              </w:rPr>
              <w:t>)</w:t>
            </w:r>
            <w:r w:rsidRPr="001C4D28">
              <w:rPr>
                <w:sz w:val="22"/>
                <w:szCs w:val="22"/>
                <w:u w:val="single"/>
              </w:rPr>
              <w:t xml:space="preserve"> 32.panta (4)</w:t>
            </w:r>
            <w:r w:rsidRPr="001C4D28">
              <w:rPr>
                <w:sz w:val="22"/>
                <w:szCs w:val="22"/>
              </w:rPr>
              <w:t xml:space="preserve"> Regulators nosaka, kādu informāciju un cik lielā apjomā tirgotājs ietver galalietotājam izsniedzamajos rēķinos un informatīvajos materiālos.</w:t>
            </w:r>
          </w:p>
          <w:p w:rsidR="003512FC" w:rsidRPr="001C4D28" w:rsidRDefault="003512FC" w:rsidP="001C4D28">
            <w:pPr>
              <w:pStyle w:val="naiskr"/>
              <w:spacing w:before="0" w:after="0"/>
              <w:ind w:left="44" w:right="141"/>
              <w:jc w:val="both"/>
              <w:rPr>
                <w:sz w:val="22"/>
                <w:szCs w:val="22"/>
              </w:rPr>
            </w:pPr>
            <w:r w:rsidRPr="001C4D28">
              <w:rPr>
                <w:sz w:val="22"/>
                <w:szCs w:val="22"/>
              </w:rPr>
              <w:t>Noteikumi par informāciju elektroenerģijas galalietotājiem apstiprināti                                                                                        ar Sabiedrisko pakalpojumu regulēšanas komisijas 22.03.2006. lēmumu Nr.77</w:t>
            </w:r>
          </w:p>
          <w:p w:rsidR="003512FC" w:rsidRDefault="003512FC" w:rsidP="001C4D28">
            <w:pPr>
              <w:ind w:left="44" w:right="141"/>
              <w:rPr>
                <w:sz w:val="22"/>
                <w:szCs w:val="22"/>
              </w:rPr>
            </w:pPr>
          </w:p>
          <w:p w:rsidR="003512FC" w:rsidRDefault="003512FC" w:rsidP="001C4D28">
            <w:pPr>
              <w:ind w:left="44" w:right="141"/>
            </w:pPr>
            <w:r w:rsidRPr="001C4D28">
              <w:rPr>
                <w:sz w:val="22"/>
                <w:szCs w:val="22"/>
              </w:rPr>
              <w:t>Ekonomikas ministrija.</w:t>
            </w:r>
          </w:p>
        </w:tc>
        <w:tc>
          <w:tcPr>
            <w:tcW w:w="1437" w:type="dxa"/>
            <w:tcBorders>
              <w:top w:val="outset" w:sz="6" w:space="0" w:color="auto"/>
              <w:left w:val="outset" w:sz="6" w:space="0" w:color="auto"/>
              <w:bottom w:val="outset" w:sz="6" w:space="0" w:color="auto"/>
              <w:right w:val="outset" w:sz="6" w:space="0" w:color="auto"/>
            </w:tcBorders>
            <w:hideMark/>
          </w:tcPr>
          <w:p w:rsidR="003512FC" w:rsidRPr="00173BCA" w:rsidRDefault="003512FC" w:rsidP="00080A6F">
            <w:pPr>
              <w:pStyle w:val="naiskr"/>
              <w:spacing w:before="0" w:after="0"/>
              <w:jc w:val="both"/>
            </w:pPr>
            <w:r w:rsidRPr="00173BCA">
              <w:t xml:space="preserve">Nacionālais tiesību akts neparedz stingrākas prasības </w:t>
            </w:r>
          </w:p>
          <w:p w:rsidR="003512FC"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2C0AC5" w:rsidRDefault="003512FC" w:rsidP="001C4D28">
            <w:pPr>
              <w:pStyle w:val="naiskr"/>
              <w:spacing w:before="0" w:after="0"/>
              <w:jc w:val="both"/>
              <w:rPr>
                <w:iCs/>
              </w:rPr>
            </w:pPr>
            <w:r w:rsidRPr="00577FDE">
              <w:t>15.</w:t>
            </w:r>
            <w:r>
              <w:t>panta 10.punkts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ind w:left="32"/>
              <w:jc w:val="center"/>
            </w:pPr>
            <w:r>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703753">
            <w:r>
              <w:t>Ieviešana nav nepieciešama</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t>Projekts šo jomu neskar</w:t>
            </w:r>
          </w:p>
          <w:p w:rsidR="003512FC"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577FDE" w:rsidRDefault="003512FC" w:rsidP="00080A6F">
            <w:r w:rsidRPr="00577FDE">
              <w:t>16.panta 1.punkts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ind w:left="32"/>
              <w:jc w:val="center"/>
            </w:pPr>
            <w:r>
              <w:t>1</w:t>
            </w:r>
            <w:r w:rsidR="001269EC">
              <w:t>5</w:t>
            </w:r>
            <w:r>
              <w:t>.pants;</w:t>
            </w:r>
          </w:p>
          <w:p w:rsidR="003512FC" w:rsidRDefault="003512FC" w:rsidP="001269EC">
            <w:pPr>
              <w:ind w:left="32"/>
              <w:jc w:val="center"/>
            </w:pPr>
            <w:r>
              <w:t>1</w:t>
            </w:r>
            <w:r w:rsidR="001269EC">
              <w:t>6</w:t>
            </w:r>
            <w:r>
              <w:t>.pants</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FA0DCF">
            <w:pPr>
              <w:jc w:val="both"/>
            </w:pPr>
            <w:r>
              <w:t>Ieviests pilnībā.</w:t>
            </w:r>
          </w:p>
          <w:p w:rsidR="003512FC" w:rsidRDefault="003512FC" w:rsidP="00080A6F">
            <w:pPr>
              <w:pStyle w:val="naiskr"/>
              <w:jc w:val="both"/>
            </w:pPr>
            <w:r>
              <w:t xml:space="preserve">Enerģētikas likums (EL) 6.pants (1) Sistēmas operatoram tā licences darbības zonā un licencē noteiktajā termiņā ir </w:t>
            </w:r>
            <w:r>
              <w:rPr>
                <w:u w:val="single"/>
              </w:rPr>
              <w:t xml:space="preserve">pastāvīgas saistības nodrošināt sistēmas lietotājiem un pretendentiem pieeju enerģijas pārvades vai sadales sistēmām </w:t>
            </w:r>
            <w:r>
              <w:t xml:space="preserve">vai dabasgāzes uzglabāšanas krātuvei, ja šī pieeja ir pastāvīgi savietojama ar </w:t>
            </w:r>
            <w:r>
              <w:rPr>
                <w:u w:val="single"/>
              </w:rPr>
              <w:t>atbilstošiem tehniskajiem noteikumiem un drošības prasībām</w:t>
            </w:r>
            <w:r>
              <w:t xml:space="preserve">. </w:t>
            </w:r>
          </w:p>
          <w:p w:rsidR="003512FC" w:rsidRDefault="003512FC" w:rsidP="00080A6F">
            <w:pPr>
              <w:pStyle w:val="naiskr"/>
              <w:jc w:val="both"/>
            </w:pPr>
            <w:r>
              <w:t>EL 15.pants (6) Sistēmas operators ir atbildīgs par enerģijas pārvades vai sadales sistēmas vai dabasgāzes krātuves darbību, apkalpošanu un drošumu, sistēmas vadību un attīstību licences darbības zonā, savienojumu ar citām sistēmām, kā arī par sistēmas ilglaicīgu spēju nodrošināt enerģijas pārvadi vai sadali vai dabasgāzes uzglabāšanu atbilstoši pieprasījumam.</w:t>
            </w:r>
          </w:p>
          <w:p w:rsidR="003512FC" w:rsidRDefault="003512FC" w:rsidP="00080A6F">
            <w:pPr>
              <w:pStyle w:val="naiskr"/>
              <w:jc w:val="both"/>
            </w:pPr>
            <w:r>
              <w:t xml:space="preserve">Elektroenerģijas pārvades sistēmas pakalpojumu  tarifu aprēķināšanas metodika apstiprināta ar Sabiedrisko pakalpojumu regulēšanas komisijas padomes 28.11.2007. lēmumu Nr.556 : </w:t>
            </w:r>
            <w:r>
              <w:rPr>
                <w:u w:val="single"/>
              </w:rPr>
              <w:t xml:space="preserve">Tarifu </w:t>
            </w:r>
            <w:r>
              <w:t xml:space="preserve">aprēķinā iekļauj tikai tās tehnoloģiski un </w:t>
            </w:r>
            <w:r>
              <w:rPr>
                <w:u w:val="single"/>
              </w:rPr>
              <w:t xml:space="preserve">ekonomiski pamatotās izmaksas, kas nepieciešamas efektīvai pārvades </w:t>
            </w:r>
            <w:r>
              <w:rPr>
                <w:u w:val="single"/>
              </w:rPr>
              <w:lastRenderedPageBreak/>
              <w:t>sistēmas pakalpojuma sniegšanai</w:t>
            </w:r>
            <w:r>
              <w:t xml:space="preserve">. </w:t>
            </w:r>
          </w:p>
          <w:p w:rsidR="003512FC" w:rsidRDefault="003512FC" w:rsidP="00080A6F">
            <w:pPr>
              <w:pStyle w:val="naiskr"/>
              <w:jc w:val="both"/>
              <w:rPr>
                <w:u w:val="single"/>
              </w:rPr>
            </w:pPr>
            <w:r>
              <w:t xml:space="preserve">Elektroenerģijas sadales sistēmas pakalpojumu tarifu aprēķināšanas metodika apstiprināta ar Sabiedrisko pakalpojumu regulēšanas komisijas padomes 25.11.2009 lēmumu Nr.1/6: </w:t>
            </w:r>
            <w:r>
              <w:rPr>
                <w:u w:val="single"/>
              </w:rPr>
              <w:t>Tarifu</w:t>
            </w:r>
            <w:r>
              <w:t xml:space="preserve"> aprēķinā iekļaujamas tikai tās tehnoloģiski un ekonomiski pamatotās izmaksas, kas nepieciešamas </w:t>
            </w:r>
            <w:r>
              <w:rPr>
                <w:u w:val="single"/>
              </w:rPr>
              <w:t>efektīvai sadales sistēmas pakalpojumu sniegšanai.</w:t>
            </w:r>
          </w:p>
          <w:p w:rsidR="003512FC" w:rsidRDefault="003512FC" w:rsidP="00080A6F">
            <w:pPr>
              <w:pStyle w:val="naiskr"/>
              <w:jc w:val="both"/>
            </w:pPr>
            <w:r>
              <w:t>ETL 8.panta (2) Regulators nosaka vienotus sistēmas pieslēguma noteikumus un pieslēguma maksas aprēķināšanas metodiku.</w:t>
            </w:r>
          </w:p>
          <w:p w:rsidR="003512FC" w:rsidRDefault="003512FC" w:rsidP="00080A6F">
            <w:pPr>
              <w:pStyle w:val="naiskr"/>
              <w:jc w:val="both"/>
            </w:pPr>
            <w:r>
              <w:t>Sistēmas pieslēguma noteikumi elektroenerģijas ražotājiem apstiprināti ar Sabiedrisko pakalpojumu regulēšanas komisijas 03.09.2008. lēmumu Nr.280</w:t>
            </w:r>
          </w:p>
          <w:p w:rsidR="003512FC" w:rsidRDefault="003512FC" w:rsidP="00080A6F">
            <w:pPr>
              <w:ind w:left="71"/>
              <w:jc w:val="both"/>
            </w:pPr>
            <w:r>
              <w:t>Līdz ar to Latvijas Republika veic atbilstīgu pasākumus, nodrošinot atbilstību Direktīvas 2009/28/EK 16.panta 1.daļai.</w:t>
            </w:r>
          </w:p>
          <w:p w:rsidR="003512FC" w:rsidRDefault="003512FC" w:rsidP="00080A6F">
            <w:pPr>
              <w:ind w:left="71"/>
              <w:jc w:val="both"/>
            </w:pPr>
            <w:r>
              <w:t xml:space="preserve">Saskaņā ar ETL 2.panta pirmo punktu, ETL mērķis ir izveidot priekšnoteikumus efektīvi funkcionējoša elektroenerģijas tirgus darbībai. </w:t>
            </w:r>
          </w:p>
          <w:p w:rsidR="003512FC" w:rsidRDefault="003512FC" w:rsidP="00080A6F">
            <w:pPr>
              <w:ind w:left="71"/>
              <w:jc w:val="both"/>
            </w:pPr>
            <w:r>
              <w:t xml:space="preserve">Vienlaikus Direktīvai 209/28/EK atbilst Enerģētikas likuma 9.pants. </w:t>
            </w:r>
          </w:p>
          <w:p w:rsidR="003512FC" w:rsidRDefault="003512FC" w:rsidP="00080A6F">
            <w:pPr>
              <w:ind w:left="71"/>
              <w:jc w:val="both"/>
            </w:pPr>
            <w:r>
              <w:t>Ekonomikas ministrija</w:t>
            </w:r>
          </w:p>
        </w:tc>
        <w:tc>
          <w:tcPr>
            <w:tcW w:w="1437" w:type="dxa"/>
            <w:tcBorders>
              <w:top w:val="outset" w:sz="6" w:space="0" w:color="auto"/>
              <w:left w:val="outset" w:sz="6" w:space="0" w:color="auto"/>
              <w:bottom w:val="outset" w:sz="6" w:space="0" w:color="auto"/>
              <w:right w:val="outset" w:sz="6" w:space="0" w:color="auto"/>
            </w:tcBorders>
            <w:hideMark/>
          </w:tcPr>
          <w:p w:rsidR="003512FC" w:rsidRPr="00173BCA" w:rsidRDefault="003512FC" w:rsidP="00080A6F">
            <w:pPr>
              <w:pStyle w:val="naiskr"/>
              <w:spacing w:before="0" w:after="0"/>
              <w:jc w:val="both"/>
            </w:pPr>
            <w:r w:rsidRPr="00173BCA">
              <w:lastRenderedPageBreak/>
              <w:t xml:space="preserve">Nacionālais tiesību akts neparedz stingrākas prasības </w:t>
            </w:r>
          </w:p>
          <w:p w:rsidR="003512FC" w:rsidRPr="005A2614"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lastRenderedPageBreak/>
              <w:t xml:space="preserve">Direktīvas </w:t>
            </w:r>
            <w:r w:rsidRPr="002C0AC5">
              <w:rPr>
                <w:bCs/>
              </w:rPr>
              <w:t>2009/28/EK</w:t>
            </w:r>
          </w:p>
          <w:p w:rsidR="003512FC" w:rsidRPr="002C0AC5" w:rsidRDefault="003512FC" w:rsidP="00080A6F">
            <w:r w:rsidRPr="002C0AC5">
              <w:t>16.panta 2.punkta</w:t>
            </w:r>
          </w:p>
          <w:p w:rsidR="003512FC" w:rsidRPr="00516014" w:rsidRDefault="003512FC" w:rsidP="00080A6F">
            <w:pPr>
              <w:rPr>
                <w:b/>
              </w:rPr>
            </w:pPr>
            <w:r w:rsidRPr="002C0AC5">
              <w:t>a)</w:t>
            </w:r>
            <w:r>
              <w:t>, b).</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1269EC">
            <w:pPr>
              <w:jc w:val="center"/>
            </w:pPr>
            <w:r>
              <w:t>1</w:t>
            </w:r>
            <w:r w:rsidR="001269EC">
              <w:t>5</w:t>
            </w:r>
            <w:r>
              <w:t>.pants</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2F5DE6">
            <w:pPr>
              <w:jc w:val="both"/>
            </w:pPr>
            <w:r>
              <w:t>Ieviestas pilnībā.</w:t>
            </w:r>
          </w:p>
          <w:p w:rsidR="003512FC" w:rsidRDefault="003512FC" w:rsidP="002F5DE6">
            <w:pPr>
              <w:jc w:val="both"/>
            </w:pPr>
            <w:r>
              <w:t>ETL.</w:t>
            </w:r>
          </w:p>
          <w:p w:rsidR="003512FC" w:rsidRDefault="003512FC" w:rsidP="002F5DE6">
            <w:pPr>
              <w:jc w:val="both"/>
            </w:pPr>
            <w:r>
              <w:t>MK noteikumi Nr.262.</w:t>
            </w:r>
          </w:p>
          <w:p w:rsidR="003512FC" w:rsidRDefault="003512FC" w:rsidP="002F5DE6">
            <w:pPr>
              <w:jc w:val="both"/>
            </w:pPr>
            <w:r>
              <w:t>MK noteikumi Nr.221.</w:t>
            </w:r>
          </w:p>
          <w:p w:rsidR="003512FC" w:rsidRDefault="003512FC" w:rsidP="002F5DE6">
            <w:pPr>
              <w:jc w:val="both"/>
            </w:pPr>
          </w:p>
          <w:p w:rsidR="003512FC" w:rsidRDefault="003512FC" w:rsidP="002F5DE6">
            <w:pPr>
              <w:jc w:val="both"/>
            </w:pPr>
            <w:r>
              <w:t>Tīkla kodekss.</w:t>
            </w:r>
          </w:p>
          <w:p w:rsidR="003512FC" w:rsidRDefault="003512FC" w:rsidP="002F5DE6">
            <w:pPr>
              <w:pStyle w:val="naiskr"/>
              <w:jc w:val="both"/>
            </w:pPr>
            <w:r>
              <w:t xml:space="preserve">EL 6.pants (1) Sistēmas operatoram tā licences darbības zonā un licencē noteiktajā termiņā ir </w:t>
            </w:r>
            <w:r>
              <w:rPr>
                <w:u w:val="single"/>
              </w:rPr>
              <w:t xml:space="preserve">pastāvīgas saistības nodrošināt sistēmas lietotājiem un pretendentiem pieeju enerģijas pārvades vai sadales sistēmām </w:t>
            </w:r>
            <w:r>
              <w:t xml:space="preserve">vai dabasgāzes uzglabāšanas krātuvei, ja šī pieeja ir pastāvīgi savietojama ar </w:t>
            </w:r>
            <w:r>
              <w:rPr>
                <w:u w:val="single"/>
              </w:rPr>
              <w:t>atbilstošiem tehniskajiem noteikumiem un drošības prasībām</w:t>
            </w:r>
            <w:r>
              <w:t xml:space="preserve">. </w:t>
            </w:r>
          </w:p>
          <w:p w:rsidR="003512FC" w:rsidRDefault="003512FC" w:rsidP="002F5DE6">
            <w:pPr>
              <w:pStyle w:val="naiskr"/>
              <w:spacing w:before="0" w:after="0"/>
              <w:jc w:val="both"/>
              <w:rPr>
                <w:rFonts w:ascii="Calibri" w:hAnsi="Calibri"/>
                <w:color w:val="1F497D"/>
                <w:sz w:val="22"/>
                <w:szCs w:val="22"/>
              </w:rPr>
            </w:pPr>
          </w:p>
          <w:p w:rsidR="003512FC" w:rsidRDefault="003512FC" w:rsidP="002F5DE6">
            <w:pPr>
              <w:pStyle w:val="naiskr"/>
              <w:spacing w:before="0" w:after="0"/>
              <w:jc w:val="both"/>
            </w:pPr>
            <w:r>
              <w:t xml:space="preserve">ETL 9.pants. (2) Sistēmas operatoram tā licences darbības zonā un termiņā ir </w:t>
            </w:r>
            <w:r>
              <w:rPr>
                <w:u w:val="single"/>
              </w:rPr>
              <w:t>pastāvīgas saistības nodrošināt sistēmas dalībniekiem nepieciešamo pieslēgumu attiecīgai sistēmai</w:t>
            </w:r>
            <w:r>
              <w:t xml:space="preserve"> saskaņā ar regulatora izdotajiem sistēmas dalībnieku pieslēguma noteikumiem un par pieslēguma maksu, kuru nosaka sistēmas operators saskaņā ar regulatora noteikto pieslēguma maksas aprēķināšanas metodiku, ja </w:t>
            </w:r>
            <w:r>
              <w:lastRenderedPageBreak/>
              <w:t>sistēmas dalībnieks izpilda sistēmas operatora noteiktās tehniskās prasības.</w:t>
            </w:r>
          </w:p>
          <w:p w:rsidR="003512FC" w:rsidRDefault="003512FC" w:rsidP="002F5DE6">
            <w:pPr>
              <w:pStyle w:val="naiskr"/>
              <w:spacing w:before="0" w:after="0"/>
              <w:jc w:val="both"/>
              <w:rPr>
                <w:rFonts w:ascii="Calibri" w:hAnsi="Calibri"/>
                <w:color w:val="1F497D"/>
                <w:sz w:val="22"/>
                <w:szCs w:val="22"/>
              </w:rPr>
            </w:pPr>
          </w:p>
          <w:p w:rsidR="003512FC" w:rsidRDefault="003512FC" w:rsidP="002F5DE6">
            <w:pPr>
              <w:pStyle w:val="naiskr"/>
              <w:spacing w:before="0" w:after="0"/>
              <w:jc w:val="both"/>
            </w:pPr>
            <w:r>
              <w:t>EN 42.1 pants (3) Dabasgāzes sadales, pārvades un uzglabāšanas sistēmas operators nodrošina visiem sistēmas lietotājiem un pretendentiem, kuri to pieprasa, vienlīdzīgu un atklātu pieeju attiecīgajai sistēmai, sniedzot tiem dabasgāzes pārvades, sadales vai uzglabāšanas pakalpojumus.</w:t>
            </w:r>
          </w:p>
          <w:p w:rsidR="003512FC" w:rsidRDefault="003512FC" w:rsidP="002F5DE6">
            <w:pPr>
              <w:pStyle w:val="naiskr"/>
              <w:jc w:val="both"/>
            </w:pPr>
            <w:r>
              <w:t>ETL 8.panta (2) Regulators nosaka vienotus sistēmas pieslēguma noteikumus un pieslēguma maksas aprēķināšanas metodiku.</w:t>
            </w:r>
          </w:p>
          <w:p w:rsidR="003512FC" w:rsidRDefault="003512FC" w:rsidP="002F5DE6">
            <w:pPr>
              <w:jc w:val="both"/>
            </w:pPr>
            <w:r>
              <w:t>Sistēmas pieslēguma noteikumi elektroenerģijas ražotājiem apstiprināti ar Sabiedrisko pakalpojumu regulēšanas komisijas 03.09.2008. lēmumu Nr.280</w:t>
            </w:r>
          </w:p>
          <w:p w:rsidR="003512FC" w:rsidRDefault="003512FC" w:rsidP="002F5DE6">
            <w:pPr>
              <w:jc w:val="both"/>
            </w:pPr>
          </w:p>
          <w:p w:rsidR="003512FC" w:rsidRDefault="003512FC" w:rsidP="002F5DE6">
            <w:pPr>
              <w:jc w:val="both"/>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173BCA" w:rsidRDefault="003512FC" w:rsidP="00080A6F">
            <w:pPr>
              <w:pStyle w:val="naiskr"/>
              <w:spacing w:before="0" w:after="0"/>
              <w:jc w:val="both"/>
            </w:pPr>
            <w:r w:rsidRPr="00173BCA">
              <w:lastRenderedPageBreak/>
              <w:t xml:space="preserve">Nacionālais tiesību akts neparedz stingrākas prasības </w:t>
            </w:r>
          </w:p>
          <w:p w:rsidR="003512FC" w:rsidRPr="005A2614" w:rsidRDefault="003512FC" w:rsidP="00080A6F"/>
        </w:tc>
      </w:tr>
      <w:tr w:rsidR="003512FC" w:rsidRPr="005A2614" w:rsidTr="009670EF">
        <w:trPr>
          <w:trHeight w:val="859"/>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lastRenderedPageBreak/>
              <w:t xml:space="preserve">Direktīvas </w:t>
            </w:r>
            <w:r w:rsidRPr="002C0AC5">
              <w:rPr>
                <w:bCs/>
              </w:rPr>
              <w:t>2009/28/EK</w:t>
            </w:r>
          </w:p>
          <w:p w:rsidR="003512FC" w:rsidRPr="002C0AC5" w:rsidRDefault="003512FC" w:rsidP="00080A6F">
            <w:r w:rsidRPr="002C0AC5">
              <w:t>16.panta 2.punkta</w:t>
            </w:r>
          </w:p>
          <w:p w:rsidR="003512FC" w:rsidRPr="002C0AC5" w:rsidRDefault="003512FC" w:rsidP="00080A6F">
            <w:pPr>
              <w:pStyle w:val="naiskr"/>
              <w:spacing w:before="0" w:after="0"/>
              <w:jc w:val="both"/>
              <w:rPr>
                <w:iCs/>
              </w:rPr>
            </w:pPr>
            <w:r>
              <w:t>c</w:t>
            </w:r>
            <w:r w:rsidRPr="002C0AC5">
              <w:t>)</w:t>
            </w:r>
            <w:r>
              <w:t>.</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1269EC">
            <w:pPr>
              <w:jc w:val="center"/>
            </w:pPr>
            <w:r>
              <w:t>1</w:t>
            </w:r>
            <w:r w:rsidR="001269EC">
              <w:t>5</w:t>
            </w:r>
            <w:r>
              <w:t>.panta pirmā daļa</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2F5DE6">
            <w:pPr>
              <w:ind w:left="67"/>
              <w:jc w:val="both"/>
            </w:pPr>
            <w:r>
              <w:t>Ieviests pilnībā</w:t>
            </w:r>
          </w:p>
          <w:p w:rsidR="003512FC" w:rsidRDefault="003512FC" w:rsidP="002F5DE6">
            <w:pPr>
              <w:ind w:left="67"/>
              <w:jc w:val="both"/>
            </w:pPr>
          </w:p>
          <w:p w:rsidR="003512FC" w:rsidRDefault="003512FC" w:rsidP="002F5DE6">
            <w:pPr>
              <w:ind w:left="67"/>
              <w:jc w:val="both"/>
            </w:pPr>
            <w:r>
              <w:t>Normu atbilstība tiek nodrošināts ar regulējumu par tiesību pārdod elektroenerģiju obligātā iepirkuma ietvaros. Publiskais tirgotājam noteikts pienākums iepirkt elektroenerģiju no komersanta, kas ieguvis tiesības pārdot elektroenerģiju obligātā iepirkuma ietvaros atbilstoši (MK noteikumiem Nr.262 un MK noteikumiem Nr.221).</w:t>
            </w:r>
          </w:p>
          <w:p w:rsidR="003512FC" w:rsidRDefault="003512FC" w:rsidP="002F5DE6">
            <w:pPr>
              <w:ind w:left="67"/>
              <w:jc w:val="both"/>
            </w:pPr>
            <w:r>
              <w:t xml:space="preserve">Sistēmas operators nodrošina </w:t>
            </w:r>
            <w:r>
              <w:rPr>
                <w:b/>
                <w:bCs/>
              </w:rPr>
              <w:t>visiem</w:t>
            </w:r>
            <w:r>
              <w:t xml:space="preserve"> sistēmas lietotājiem un pretendentiem, kuri to pieprasa, vienlīdzīgu un atklātu pieeju attiecīgajai sistēmai</w:t>
            </w:r>
          </w:p>
          <w:p w:rsidR="003512FC" w:rsidRDefault="003512FC" w:rsidP="002F5DE6">
            <w:pPr>
              <w:ind w:left="67"/>
              <w:jc w:val="both"/>
            </w:pPr>
            <w:r>
              <w:t>Ekonomikas ministrija.</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3512FC" w:rsidP="003D654C">
            <w:pPr>
              <w:pStyle w:val="naiskr"/>
              <w:spacing w:before="0" w:after="0"/>
              <w:jc w:val="both"/>
            </w:pPr>
            <w:r>
              <w:t xml:space="preserve">Nacionālais tiesību akts neparedz stingrākas prasības </w:t>
            </w:r>
          </w:p>
          <w:p w:rsidR="003512FC"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AE4183">
            <w:pPr>
              <w:pStyle w:val="naiskr"/>
              <w:spacing w:before="0" w:after="0"/>
              <w:jc w:val="both"/>
              <w:rPr>
                <w:iCs/>
              </w:rPr>
            </w:pPr>
            <w:r w:rsidRPr="002C0AC5">
              <w:rPr>
                <w:iCs/>
              </w:rPr>
              <w:t xml:space="preserve">Direktīvas </w:t>
            </w:r>
            <w:r w:rsidRPr="002C0AC5">
              <w:rPr>
                <w:bCs/>
              </w:rPr>
              <w:t>2009/28/EK</w:t>
            </w:r>
          </w:p>
          <w:p w:rsidR="003512FC" w:rsidRPr="002A22B4" w:rsidRDefault="003512FC" w:rsidP="00516014">
            <w:r w:rsidRPr="002A22B4">
              <w:t>16.panta 3.punkts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jc w:val="center"/>
            </w:pPr>
            <w:r>
              <w:t>1</w:t>
            </w:r>
            <w:r w:rsidR="001269EC">
              <w:t>5</w:t>
            </w:r>
            <w:r>
              <w:t>.pants</w:t>
            </w:r>
          </w:p>
          <w:p w:rsidR="003512FC" w:rsidRDefault="003512FC" w:rsidP="001269EC">
            <w:pPr>
              <w:jc w:val="center"/>
            </w:pPr>
            <w:r>
              <w:t>1</w:t>
            </w:r>
            <w:r w:rsidR="001269EC">
              <w:t>6</w:t>
            </w:r>
            <w:r>
              <w:t>.pants</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9D7CCF">
            <w:pPr>
              <w:pStyle w:val="naiskr"/>
              <w:spacing w:before="0" w:after="0"/>
              <w:jc w:val="both"/>
            </w:pPr>
            <w:r>
              <w:t>Ieviest</w:t>
            </w:r>
            <w:r w:rsidR="00FA0DCF">
              <w:t>s</w:t>
            </w:r>
            <w:r>
              <w:t xml:space="preserve"> pilnībā</w:t>
            </w:r>
          </w:p>
          <w:p w:rsidR="003512FC" w:rsidRDefault="003512FC" w:rsidP="009D7CCF">
            <w:pPr>
              <w:pStyle w:val="naiskr"/>
              <w:spacing w:before="0" w:after="0"/>
              <w:jc w:val="both"/>
            </w:pPr>
            <w:r>
              <w:t>ETL 8.panta (2) Regulators nosaka vienotus sistēmas pieslēguma noteikumus un pieslēguma maksas aprēķināšanas metodiku.</w:t>
            </w:r>
          </w:p>
          <w:p w:rsidR="003512FC" w:rsidRDefault="003512FC" w:rsidP="009D7CCF">
            <w:pPr>
              <w:pStyle w:val="naiskr"/>
              <w:spacing w:before="0" w:after="0"/>
              <w:jc w:val="both"/>
            </w:pPr>
            <w:r>
              <w:t>Sistēmas pieslēguma noteikumi elektroenerģijas ražotājiem apstiprināti ar Sabiedrisko pakalpojumu regulēšanas komisijas 03.09.2008. lēmumu Nr.280</w:t>
            </w:r>
          </w:p>
          <w:p w:rsidR="003512FC" w:rsidRDefault="003512FC" w:rsidP="009D7CCF">
            <w:pPr>
              <w:pStyle w:val="naiskr"/>
              <w:spacing w:before="0" w:after="0"/>
              <w:jc w:val="both"/>
            </w:pPr>
            <w:r>
              <w:t>ETL 4.panta (2) Sistēmas vadības un lietošanas kārtību un tirgus dalībnieku, izņemot galalietotājus, darbības nosaka Tīkla kodekss. Tīkla kodeksu izstrādā pārvades sistēmas operators un apstiprina regulators. Tīkla kodeksā noteikto procedūru izpildi nodrošina pārvades sistēmas operators.</w:t>
            </w:r>
          </w:p>
          <w:p w:rsidR="003512FC" w:rsidRDefault="003512FC" w:rsidP="009D7CCF">
            <w:r>
              <w:lastRenderedPageBreak/>
              <w:t>Tīkla kodeksa 2.daļa „ Pieslēgums elektroenerģijas sistēmai” , kurā viss aprakstīts, t.sk. 3.1. Sistēmas operatoram ir pienākums veikt savstarpējas pārrunas ar sistēmas dalībnieku par sistēmas pieslēguma nosacījumiem, kuru laikā sistēmas operators sniedz informāciju, kas dod iespēju sistēmas dalībniekam novērtēt sistēmas operatora piedāvāto tehnisko noteikumu būtību, bet sistēmas dalībnieks sistēmas operatoram sniedz vispusīgu informāciju par savu paredzēto darbību;</w:t>
            </w:r>
          </w:p>
          <w:p w:rsidR="003512FC" w:rsidRDefault="003512FC" w:rsidP="009D7CCF">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173BCA" w:rsidRDefault="003512FC" w:rsidP="00080A6F">
            <w:pPr>
              <w:pStyle w:val="naiskr"/>
              <w:spacing w:before="0" w:after="0"/>
              <w:jc w:val="both"/>
            </w:pPr>
            <w:r w:rsidRPr="00173BCA">
              <w:lastRenderedPageBreak/>
              <w:t xml:space="preserve">Nacionālais tiesību akts neparedz stingrākas prasības </w:t>
            </w:r>
          </w:p>
          <w:p w:rsidR="003512FC" w:rsidRPr="005A2614"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785A09">
            <w:pPr>
              <w:pStyle w:val="naiskr"/>
              <w:spacing w:before="0" w:after="0"/>
              <w:jc w:val="both"/>
              <w:rPr>
                <w:iCs/>
              </w:rPr>
            </w:pPr>
            <w:r w:rsidRPr="002C0AC5">
              <w:rPr>
                <w:iCs/>
              </w:rPr>
              <w:lastRenderedPageBreak/>
              <w:t xml:space="preserve">Direktīvas </w:t>
            </w:r>
            <w:r w:rsidRPr="002C0AC5">
              <w:rPr>
                <w:bCs/>
              </w:rPr>
              <w:t>2009/28/EK</w:t>
            </w:r>
          </w:p>
          <w:p w:rsidR="003512FC" w:rsidRPr="002A22B4" w:rsidRDefault="003512FC" w:rsidP="00785A09">
            <w:r w:rsidRPr="002C0AC5">
              <w:t>16.panta 4.punkts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ind w:left="32"/>
              <w:jc w:val="center"/>
            </w:pPr>
            <w:r>
              <w:t>1</w:t>
            </w:r>
            <w:r w:rsidR="001269EC">
              <w:t>5</w:t>
            </w:r>
            <w:r>
              <w:t>.pants</w:t>
            </w:r>
          </w:p>
          <w:p w:rsidR="003512FC" w:rsidRDefault="003512FC" w:rsidP="00785A09">
            <w:pPr>
              <w:ind w:left="32"/>
              <w:jc w:val="center"/>
            </w:pPr>
            <w:r>
              <w:t>1</w:t>
            </w:r>
            <w:r w:rsidR="001269EC">
              <w:t>6</w:t>
            </w:r>
            <w:r>
              <w:t>.pants</w:t>
            </w:r>
          </w:p>
          <w:p w:rsidR="003512FC" w:rsidRDefault="003512FC" w:rsidP="00E63B77">
            <w:pPr>
              <w:ind w:left="32"/>
            </w:pP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2F5DE6">
            <w:pPr>
              <w:jc w:val="both"/>
            </w:pPr>
            <w:r>
              <w:t>Tiks ieviestas ar likumprojektu „A</w:t>
            </w:r>
            <w:r w:rsidRPr="00DF3ECD">
              <w:t>tjaunojamās enerģijas likum</w:t>
            </w:r>
            <w:r>
              <w:t>s”.</w:t>
            </w:r>
          </w:p>
          <w:p w:rsidR="003512FC" w:rsidRDefault="003512FC" w:rsidP="00080A6F"/>
          <w:p w:rsidR="003512FC" w:rsidRDefault="003512FC" w:rsidP="00080A6F">
            <w:r>
              <w:t xml:space="preserve">Sistēmas pieslēguma noteikumi elektroenerģijas ražotājiem apstiprināti ar Sabiedrisko pakalpojumu regulēšanas komisijas padomes 03.09.2008. lēmumu Nr.280 </w:t>
            </w:r>
          </w:p>
          <w:p w:rsidR="003512FC" w:rsidRDefault="003512FC" w:rsidP="00080A6F">
            <w:r>
              <w:t xml:space="preserve">8. </w:t>
            </w:r>
            <w:r>
              <w:rPr>
                <w:b/>
                <w:bCs/>
              </w:rPr>
              <w:t>Ražotājs par saviem līdzekļiem nodrošina sistēmas pieslēguma projektēšanu</w:t>
            </w:r>
            <w:r>
              <w:t xml:space="preserve"> saskaņā ar sistēmas operatora izsniegtajiem tehniskajiem noteikumiem, ievērojot spēkā esošo normatīvo aktu prasības.</w:t>
            </w:r>
          </w:p>
          <w:p w:rsidR="003512FC" w:rsidRDefault="003512FC" w:rsidP="00080A6F">
            <w:pPr>
              <w:rPr>
                <w:b/>
                <w:bCs/>
              </w:rPr>
            </w:pPr>
            <w:r>
              <w:t xml:space="preserve">12. </w:t>
            </w:r>
            <w:r>
              <w:rPr>
                <w:b/>
                <w:bCs/>
              </w:rPr>
              <w:t>Visus ar sistēmas pieslēguma būvniecību saistītos izdevumus maksā ražotājs.</w:t>
            </w:r>
          </w:p>
          <w:p w:rsidR="003512FC" w:rsidRDefault="003512FC" w:rsidP="00080A6F"/>
          <w:p w:rsidR="003512FC" w:rsidRDefault="003512FC" w:rsidP="00080A6F">
            <w:r>
              <w:t>Elektroenerģijas tirgus likums (ETL), Tīkla kodekss</w:t>
            </w:r>
          </w:p>
          <w:p w:rsidR="003512FC" w:rsidRDefault="003512FC" w:rsidP="00AE4183">
            <w:pPr>
              <w:jc w:val="both"/>
            </w:pPr>
          </w:p>
          <w:p w:rsidR="003512FC" w:rsidRDefault="003512FC" w:rsidP="00080A6F">
            <w:r>
              <w:t>Ekonomikas ministrija.</w:t>
            </w:r>
          </w:p>
        </w:tc>
        <w:tc>
          <w:tcPr>
            <w:tcW w:w="1437" w:type="dxa"/>
            <w:tcBorders>
              <w:top w:val="outset" w:sz="6" w:space="0" w:color="auto"/>
              <w:left w:val="outset" w:sz="6" w:space="0" w:color="auto"/>
              <w:bottom w:val="outset" w:sz="6" w:space="0" w:color="auto"/>
              <w:right w:val="outset" w:sz="6" w:space="0" w:color="auto"/>
            </w:tcBorders>
            <w:hideMark/>
          </w:tcPr>
          <w:p w:rsidR="003512FC" w:rsidRPr="00173BCA" w:rsidRDefault="003512FC" w:rsidP="00080A6F">
            <w:pPr>
              <w:pStyle w:val="naiskr"/>
              <w:spacing w:before="0" w:after="0"/>
              <w:jc w:val="both"/>
            </w:pPr>
            <w:r w:rsidRPr="00173BCA">
              <w:t xml:space="preserve">Nacionālais tiesību akts neparedz stingrākas prasības </w:t>
            </w:r>
          </w:p>
          <w:p w:rsidR="003512FC" w:rsidRPr="005A2614"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2C0AC5" w:rsidRDefault="003512FC" w:rsidP="00080A6F">
            <w:r w:rsidRPr="002C0AC5">
              <w:t>16.panta 5.punkta</w:t>
            </w:r>
          </w:p>
          <w:p w:rsidR="003512FC" w:rsidRPr="002C0AC5" w:rsidRDefault="003512FC" w:rsidP="00080A6F">
            <w:r w:rsidRPr="002C0AC5">
              <w:t>a)</w:t>
            </w:r>
            <w:r>
              <w:t>, b), c)</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3D654C">
            <w:pPr>
              <w:jc w:val="center"/>
            </w:pPr>
            <w:r>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r>
              <w:t>Ieviests pilnībā</w:t>
            </w:r>
          </w:p>
          <w:p w:rsidR="003512FC" w:rsidRDefault="003512FC" w:rsidP="00080A6F"/>
          <w:p w:rsidR="003512FC" w:rsidRDefault="003512FC" w:rsidP="00080A6F">
            <w:r>
              <w:t>ETL 8.panta otrā daļa</w:t>
            </w:r>
          </w:p>
          <w:p w:rsidR="003512FC" w:rsidRDefault="003512FC" w:rsidP="00080A6F"/>
          <w:p w:rsidR="003512FC" w:rsidRDefault="003512FC" w:rsidP="00080A6F">
            <w:r>
              <w:t xml:space="preserve">Sistēmas pieslēguma noteikumi elektroenerģijas ražotājiem apstiprināti ar Sabiedrisko pakalpojumu regulēšanas komisijas padomes 03.09.2008. lēmumu Nr.280 </w:t>
            </w:r>
          </w:p>
          <w:p w:rsidR="003512FC" w:rsidRDefault="003512FC" w:rsidP="00080A6F">
            <w:r>
              <w:t>7. Pieslēguma vietu un nosacījumus nosaka sistēmas operators, sešdesmit dienu laikā pēc pieteikuma saņemšanas, izsniedzot ražotājam skaidrus un tehniski pamatotus tehniskos noteikumus, kuru derīguma termiņš ir divi gadi.</w:t>
            </w:r>
          </w:p>
          <w:p w:rsidR="003512FC" w:rsidRDefault="003512FC" w:rsidP="00080A6F">
            <w:pPr>
              <w:pStyle w:val="naiskr"/>
              <w:jc w:val="both"/>
            </w:pPr>
            <w:r>
              <w:t xml:space="preserve">9. Pēc sistēmas pieslēguma būvprojekta apstiprināšanas sistēmas operators un ražotājs </w:t>
            </w:r>
            <w:r>
              <w:lastRenderedPageBreak/>
              <w:t xml:space="preserve">noslēdz </w:t>
            </w:r>
            <w:r>
              <w:rPr>
                <w:u w:val="single"/>
              </w:rPr>
              <w:t>pieslēguma līgumu, kurā nosaka</w:t>
            </w:r>
            <w:r>
              <w:t xml:space="preserve"> arī pieslēguma būvdarbu nosacījumus, </w:t>
            </w:r>
            <w:r>
              <w:rPr>
                <w:u w:val="single"/>
              </w:rPr>
              <w:t>pieslēguma maksu, pieslēguma samaksas termiņus un pieslēguma ierīkošanas termiņus</w:t>
            </w:r>
            <w:r>
              <w:t>, kā arī nosacījumus ražotāja elektrostacijas pieslēgšanai sistēmai.</w:t>
            </w:r>
          </w:p>
          <w:p w:rsidR="003512FC" w:rsidRDefault="003512FC" w:rsidP="00080A6F">
            <w:pPr>
              <w:pStyle w:val="naiskr"/>
              <w:jc w:val="both"/>
            </w:pPr>
            <w:r>
              <w:t>10. Pieslēguma maksu nosaka atbilstoši pieslēguma ierīkošanas ekonomiski pamatotajām izmaksām.</w:t>
            </w:r>
          </w:p>
          <w:p w:rsidR="003512FC" w:rsidRDefault="003512FC" w:rsidP="00080A6F">
            <w:pPr>
              <w:pStyle w:val="naiskr"/>
              <w:spacing w:before="0" w:after="0"/>
              <w:jc w:val="both"/>
            </w:pPr>
          </w:p>
          <w:p w:rsidR="003512FC" w:rsidRDefault="003512FC" w:rsidP="00080A6F">
            <w:r>
              <w:t>Tīkla kodeksa 3.1. Sistēmas operatoram ir pienākums veikt savstarpējas pārrunas ar sistēmas dalībnieku par sistēmas pieslēguma nosacījumiem, kuru laikā sistēmas operators sniedz informāciju, kas dod iespēju sistēmas dalībniekam novērtēt sistēmas operatora piedāvāto tehnisko noteikumu būtību, bet sistēmas dalībnieks sistēmas operatoram sniedz vispusīgu informāciju par savu paredzēto darbību;</w:t>
            </w:r>
          </w:p>
          <w:p w:rsidR="003512FC" w:rsidRDefault="003512FC" w:rsidP="00080A6F">
            <w:pPr>
              <w:ind w:left="71"/>
            </w:pPr>
            <w:r>
              <w:t xml:space="preserve">  </w:t>
            </w:r>
          </w:p>
          <w:p w:rsidR="003512FC" w:rsidRDefault="003512FC" w:rsidP="00080A6F">
            <w:pPr>
              <w:ind w:left="71"/>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3512FC" w:rsidP="003D654C">
            <w:pPr>
              <w:pStyle w:val="naiskr"/>
              <w:spacing w:before="0" w:after="0"/>
              <w:jc w:val="both"/>
            </w:pPr>
            <w:r>
              <w:lastRenderedPageBreak/>
              <w:t xml:space="preserve">Nacionālais tiesību akts neparedz stingrākas prasības </w:t>
            </w:r>
          </w:p>
          <w:p w:rsidR="003512FC" w:rsidRPr="005A2614"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4D2200" w:rsidRDefault="003512FC" w:rsidP="00080A6F">
            <w:pPr>
              <w:pStyle w:val="naiskr"/>
              <w:spacing w:before="0" w:after="0"/>
              <w:jc w:val="both"/>
              <w:rPr>
                <w:iCs/>
              </w:rPr>
            </w:pPr>
            <w:r w:rsidRPr="004D2200">
              <w:rPr>
                <w:iCs/>
              </w:rPr>
              <w:lastRenderedPageBreak/>
              <w:t xml:space="preserve">Direktīvas </w:t>
            </w:r>
            <w:r w:rsidRPr="004D2200">
              <w:rPr>
                <w:bCs/>
              </w:rPr>
              <w:t>2009/28/EK</w:t>
            </w:r>
          </w:p>
          <w:p w:rsidR="003512FC" w:rsidRPr="004D2200" w:rsidRDefault="003512FC" w:rsidP="00080A6F">
            <w:r w:rsidRPr="004D2200">
              <w:t>16.panta 6.punkts.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4D2200" w:rsidRDefault="003512FC" w:rsidP="003D654C">
            <w:pPr>
              <w:jc w:val="center"/>
            </w:pPr>
            <w:r w:rsidRPr="004D2200">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ind w:left="67"/>
            </w:pPr>
            <w:r>
              <w:t>Ieviests pilnībā</w:t>
            </w:r>
          </w:p>
          <w:p w:rsidR="003512FC" w:rsidRPr="004D2200" w:rsidRDefault="003512FC" w:rsidP="00080A6F">
            <w:pPr>
              <w:ind w:left="67"/>
            </w:pPr>
          </w:p>
          <w:p w:rsidR="003512FC" w:rsidRDefault="003512FC" w:rsidP="00080A6F">
            <w:pPr>
              <w:ind w:left="67"/>
            </w:pPr>
            <w:r w:rsidRPr="004D2200">
              <w:t>Saskaņā ar ETL 8.panta otro daļu spēkā ir ar SPRK 2008.gada 3.septembra lēmums Nr.280 apstiprināti noteikumi „Sistēmas pieslēguma noteikumi elektroenerģijas ražotājiem” atbilsts Direktīvas 2009/28/EK 16.panta 6.punkta prasībām.</w:t>
            </w:r>
            <w:r>
              <w:t>:</w:t>
            </w:r>
          </w:p>
          <w:p w:rsidR="003512FC" w:rsidRDefault="003512FC" w:rsidP="00080A6F">
            <w:pPr>
              <w:pStyle w:val="naiskr"/>
              <w:jc w:val="both"/>
            </w:pPr>
            <w:r>
              <w:t>10. Pieslēguma maksu nosaka atbilstoši pieslēguma ierīkošanas ekonomiski pamatotajām izmaksām.</w:t>
            </w:r>
          </w:p>
          <w:p w:rsidR="003512FC" w:rsidRDefault="003512FC" w:rsidP="00080A6F">
            <w:r>
              <w:t xml:space="preserve">12. Visus ar sistēmas pieslēguma būvniecību saistītos izdevumus </w:t>
            </w:r>
            <w:r>
              <w:rPr>
                <w:b/>
                <w:bCs/>
              </w:rPr>
              <w:t>maksā ražotājs</w:t>
            </w:r>
            <w:r>
              <w:t>.</w:t>
            </w:r>
          </w:p>
          <w:p w:rsidR="003512FC" w:rsidRDefault="003512FC" w:rsidP="00080A6F">
            <w:pPr>
              <w:pStyle w:val="naiskr"/>
              <w:jc w:val="both"/>
            </w:pPr>
            <w:r>
              <w:t xml:space="preserve">13. Ja saskaņā ar pieslēguma izbūves būvprojektu, sistēmas pieslēguma būvdarbiem nepieciešama sistēmas operatora elektrotīklu rekonstrukcija, sistēmas operators un ražotājs rakstiski vienojas par nepieciešamo rekonstrukcijas darbu izpildi. Par šajā punktā noteiktajiem rekonstrukcijas darbiem </w:t>
            </w:r>
            <w:r>
              <w:rPr>
                <w:b/>
                <w:bCs/>
              </w:rPr>
              <w:t>maksā ražotājs</w:t>
            </w:r>
            <w:r>
              <w:t>.</w:t>
            </w:r>
          </w:p>
          <w:p w:rsidR="003512FC" w:rsidRDefault="003512FC" w:rsidP="00080A6F">
            <w:pPr>
              <w:ind w:left="67"/>
            </w:pPr>
          </w:p>
          <w:p w:rsidR="003512FC" w:rsidRPr="004D2200" w:rsidRDefault="003512FC" w:rsidP="00080A6F">
            <w:pPr>
              <w:ind w:left="67"/>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4D2200" w:rsidRDefault="003512FC" w:rsidP="00080A6F">
            <w:pPr>
              <w:pStyle w:val="naiskr"/>
              <w:spacing w:before="0" w:after="0"/>
              <w:jc w:val="both"/>
            </w:pPr>
            <w:r w:rsidRPr="004D2200">
              <w:t xml:space="preserve">Nacionālais tiesību akts neparedz stingrākas prasības </w:t>
            </w:r>
          </w:p>
          <w:p w:rsidR="003512FC" w:rsidRPr="004D2200" w:rsidRDefault="003512FC" w:rsidP="00080A6F">
            <w:pPr>
              <w:pStyle w:val="naiskr"/>
              <w:spacing w:before="0" w:after="0"/>
              <w:jc w:val="both"/>
            </w:pP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4D2200" w:rsidRDefault="003512FC" w:rsidP="00080A6F">
            <w:pPr>
              <w:pStyle w:val="naiskr"/>
              <w:spacing w:before="0" w:after="0"/>
              <w:jc w:val="both"/>
              <w:rPr>
                <w:iCs/>
              </w:rPr>
            </w:pPr>
            <w:r w:rsidRPr="004D2200">
              <w:rPr>
                <w:iCs/>
              </w:rPr>
              <w:t>Direktīvas 2009/28/EK 16.panta 7.punkts</w:t>
            </w:r>
            <w:r>
              <w:rPr>
                <w:iCs/>
              </w:rPr>
              <w:t xml:space="preserve">; </w:t>
            </w:r>
            <w:r>
              <w:rPr>
                <w:iCs/>
              </w:rPr>
              <w:lastRenderedPageBreak/>
              <w:t>8.punkts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4D2200" w:rsidRDefault="003512FC" w:rsidP="003D654C">
            <w:pPr>
              <w:jc w:val="center"/>
            </w:pPr>
            <w:r w:rsidRPr="004D2200">
              <w:lastRenderedPageBreak/>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4D2200" w:rsidRDefault="003512FC" w:rsidP="002D2B8B">
            <w:pPr>
              <w:ind w:left="67"/>
            </w:pPr>
            <w:r>
              <w:t>Ieviests pilnībā</w:t>
            </w:r>
          </w:p>
          <w:p w:rsidR="003512FC" w:rsidRDefault="003512FC" w:rsidP="002D2B8B">
            <w:pPr>
              <w:ind w:left="67"/>
            </w:pPr>
            <w:r w:rsidRPr="004D2200">
              <w:t>ETL 16.pants un ETL 20.pants</w:t>
            </w:r>
          </w:p>
          <w:p w:rsidR="003512FC" w:rsidRDefault="003512FC" w:rsidP="002D2B8B">
            <w:pPr>
              <w:pStyle w:val="naiskr"/>
              <w:spacing w:before="0" w:after="0"/>
              <w:ind w:left="67"/>
              <w:jc w:val="both"/>
            </w:pPr>
          </w:p>
          <w:p w:rsidR="003512FC" w:rsidRDefault="003512FC" w:rsidP="002D2B8B">
            <w:pPr>
              <w:pStyle w:val="naiskr"/>
              <w:spacing w:before="0" w:after="0"/>
              <w:ind w:left="67"/>
              <w:jc w:val="both"/>
            </w:pPr>
            <w:r>
              <w:t xml:space="preserve">Elektroenerģijas tirdzniecības un lietošanas </w:t>
            </w:r>
            <w:r>
              <w:lastRenderedPageBreak/>
              <w:t>noteikumi (MK 2009.gada 21.jūlija noteikumi Nr.739)</w:t>
            </w:r>
          </w:p>
          <w:p w:rsidR="003512FC" w:rsidRDefault="003512FC" w:rsidP="002D2B8B">
            <w:pPr>
              <w:pStyle w:val="naiskr"/>
              <w:spacing w:before="0" w:after="0"/>
              <w:ind w:left="67"/>
              <w:jc w:val="both"/>
            </w:pPr>
            <w:r>
              <w:t>17. Saistītais lietotājs proporcionāli tā elektroenerģijas patēriņa apjomam maksā obligātā iepirkuma komponenti. Obligātā iepirkuma komponenti maksā publiskajam tirgotājam vai attiecīgajam sistēmas operatoram kopā ar elektroenerģijas tirdzniecības gala tarifu.</w:t>
            </w:r>
          </w:p>
          <w:p w:rsidR="003512FC" w:rsidRDefault="003512FC" w:rsidP="002D2B8B">
            <w:pPr>
              <w:pStyle w:val="naisf"/>
              <w:ind w:left="67" w:firstLine="0"/>
            </w:pPr>
            <w:r>
              <w:t>40. Lietotājs - elektroenerģijas tirgus dalībnieks - proporcionāli tā elektroenerģijas patēriņam maksā par katru obligātā iepirkuma komponenti. Par obligātā iepirkuma komponenti maksā attiecīgajam elektroenerģijas pārvades vai sadales sistēmas operatoram kopā ar maksu par pārvades vai sadales sistēmas pakalpojumiem.</w:t>
            </w:r>
          </w:p>
          <w:p w:rsidR="003512FC" w:rsidRDefault="003512FC" w:rsidP="002D2B8B">
            <w:pPr>
              <w:ind w:left="67"/>
              <w:jc w:val="both"/>
            </w:pPr>
            <w:r>
              <w:t>Obligātā iepirkuma komponenšu aprēķināšanas metodika apstiprināta ar Sabiedrisko pakalpojumu regulēšanas komisijas padomes 19.08.2009.  lēmumu Nr.280 Nr.1/2</w:t>
            </w:r>
          </w:p>
          <w:p w:rsidR="003512FC" w:rsidRDefault="003512FC" w:rsidP="002D2B8B">
            <w:pPr>
              <w:ind w:left="67"/>
              <w:jc w:val="both"/>
            </w:pPr>
          </w:p>
          <w:p w:rsidR="003512FC" w:rsidRPr="004D2200" w:rsidRDefault="003512FC" w:rsidP="002D2B8B">
            <w:pPr>
              <w:ind w:left="67"/>
              <w:jc w:val="both"/>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4D2200" w:rsidRDefault="003512FC" w:rsidP="00080A6F">
            <w:pPr>
              <w:pStyle w:val="naiskr"/>
              <w:spacing w:before="0" w:after="0"/>
              <w:jc w:val="both"/>
            </w:pPr>
            <w:r w:rsidRPr="004D2200">
              <w:lastRenderedPageBreak/>
              <w:t xml:space="preserve">Nacionālais tiesību akts neparedz stingrākas </w:t>
            </w:r>
            <w:r w:rsidRPr="004D2200">
              <w:lastRenderedPageBreak/>
              <w:t xml:space="preserve">prasības </w:t>
            </w:r>
          </w:p>
          <w:p w:rsidR="003512FC" w:rsidRPr="004D2200" w:rsidRDefault="003512FC" w:rsidP="00080A6F">
            <w:pPr>
              <w:pStyle w:val="naiskr"/>
              <w:spacing w:before="0" w:after="0"/>
              <w:jc w:val="both"/>
            </w:pP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Default="003512FC" w:rsidP="00A87048">
            <w:r w:rsidRPr="004D2200">
              <w:rPr>
                <w:iCs/>
              </w:rPr>
              <w:lastRenderedPageBreak/>
              <w:t>Direktīvas 2009/28/EK 16.panta</w:t>
            </w:r>
          </w:p>
          <w:p w:rsidR="003512FC" w:rsidRPr="002A22B4" w:rsidRDefault="003512FC" w:rsidP="00A87048">
            <w:r w:rsidRPr="002A22B4">
              <w:t>9.punkts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1269EC" w:rsidP="00785A09">
            <w:pPr>
              <w:ind w:left="32"/>
              <w:jc w:val="center"/>
            </w:pPr>
            <w:r>
              <w:t>19</w:t>
            </w:r>
            <w:r w:rsidR="003512FC">
              <w:t>.pants</w:t>
            </w:r>
          </w:p>
          <w:p w:rsidR="003512FC" w:rsidRDefault="003512FC" w:rsidP="00B44629">
            <w:pPr>
              <w:ind w:left="32"/>
            </w:pP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4D2200" w:rsidRDefault="003512FC" w:rsidP="00703753">
            <w:pPr>
              <w:jc w:val="both"/>
            </w:pPr>
            <w:r>
              <w:t>Nepieciešamības gadījumā t</w:t>
            </w:r>
            <w:r w:rsidRPr="004D2200">
              <w:t>iks ieviestas ar likumprojektu „Atjaunojamās enerģijas likums”.</w:t>
            </w:r>
          </w:p>
          <w:p w:rsidR="003512FC" w:rsidRDefault="003512FC" w:rsidP="00785A09">
            <w:pPr>
              <w:pStyle w:val="naiskr"/>
              <w:spacing w:before="0" w:after="0"/>
              <w:jc w:val="both"/>
            </w:pPr>
            <w:r w:rsidRPr="004D2200">
              <w:t>Ekonomikas ministrija</w:t>
            </w:r>
            <w:r>
              <w:t>.</w:t>
            </w:r>
          </w:p>
          <w:p w:rsidR="003512FC" w:rsidRDefault="003512FC" w:rsidP="00262354">
            <w:pPr>
              <w:pStyle w:val="naiskr"/>
              <w:spacing w:before="0" w:after="0"/>
              <w:jc w:val="both"/>
            </w:pPr>
          </w:p>
          <w:p w:rsidR="003512FC" w:rsidRDefault="003512FC" w:rsidP="00262354">
            <w:pPr>
              <w:pStyle w:val="naiskr"/>
              <w:spacing w:before="0" w:after="0"/>
              <w:jc w:val="both"/>
            </w:pPr>
            <w:r>
              <w:t>EN 42.</w:t>
            </w:r>
            <w:r>
              <w:rPr>
                <w:vertAlign w:val="superscript"/>
              </w:rPr>
              <w:t>1</w:t>
            </w:r>
            <w:r>
              <w:rPr>
                <w:b/>
                <w:bCs/>
                <w:vertAlign w:val="superscript"/>
              </w:rPr>
              <w:t xml:space="preserve"> </w:t>
            </w:r>
            <w:r>
              <w:t>pants (3) Dabasgāzes sadales, pārvades un uzglabāšanas sistēmas operators nodrošina visiem sistēmas lietotājiem un pretendentiem, kuri to pieprasa, vienlīdzīgu un atklātu pieeju attiecīgajai sistēmai, sniedzot tiem dabasgāzes pārvades, sadales vai uzglabāšanas pakalpojumus.</w:t>
            </w:r>
          </w:p>
          <w:p w:rsidR="003512FC" w:rsidRDefault="003512FC" w:rsidP="00262354">
            <w:pPr>
              <w:pStyle w:val="naiskr"/>
              <w:spacing w:before="0" w:after="0"/>
              <w:jc w:val="both"/>
            </w:pPr>
            <w:r>
              <w:t>Šis EN punkts būs spēkā no 2014.gada.</w:t>
            </w:r>
          </w:p>
          <w:p w:rsidR="003512FC" w:rsidRDefault="003512FC" w:rsidP="00262354">
            <w:pPr>
              <w:pStyle w:val="naiskr"/>
              <w:jc w:val="both"/>
            </w:pPr>
            <w:r>
              <w:t>(4) Dabasgāzes sistēmas operatoram ir tiesības motivēti atteikt pieeju attiecīgajai sistēmai likumā “Par sabiedrisko pakalpojumu regulatoriem” noteiktajā kārtībā šādos gadījumos:</w:t>
            </w:r>
          </w:p>
          <w:p w:rsidR="003512FC" w:rsidRDefault="003512FC" w:rsidP="00262354">
            <w:pPr>
              <w:pStyle w:val="naiskr"/>
              <w:jc w:val="both"/>
            </w:pPr>
            <w:r>
              <w:t>1) sistēmas jauda nav pietiekama;</w:t>
            </w:r>
          </w:p>
          <w:p w:rsidR="003512FC" w:rsidRDefault="003512FC" w:rsidP="00262354">
            <w:pPr>
              <w:pStyle w:val="naiskr"/>
              <w:jc w:val="both"/>
            </w:pPr>
            <w:r>
              <w:t>2) netiks izpildīti regulatora noteiktie pienākumi un saistības;</w:t>
            </w:r>
          </w:p>
          <w:p w:rsidR="003512FC" w:rsidRDefault="003512FC" w:rsidP="00262354">
            <w:pPr>
              <w:pStyle w:val="naiskr"/>
              <w:jc w:val="both"/>
            </w:pPr>
            <w:r>
              <w:t>3) netiks izpildītas ilgtermiņa (10 gadi un vairāk) enerģijas piegādes līgumu saistības;</w:t>
            </w:r>
          </w:p>
          <w:p w:rsidR="003512FC" w:rsidRDefault="003512FC" w:rsidP="00262354">
            <w:pPr>
              <w:ind w:left="67"/>
            </w:pPr>
            <w:r>
              <w:t xml:space="preserve">4) regulators šā likuma 45.3 pantā noteiktajos gadījumos pieņēmis lēmumu par pagaidu </w:t>
            </w:r>
            <w:r>
              <w:lastRenderedPageBreak/>
              <w:t>atkāpes piešķiršanu.</w:t>
            </w:r>
          </w:p>
          <w:p w:rsidR="003512FC" w:rsidRDefault="003512FC" w:rsidP="00262354">
            <w:pPr>
              <w:ind w:left="67"/>
            </w:pPr>
          </w:p>
          <w:p w:rsidR="003512FC" w:rsidRDefault="003512FC" w:rsidP="00262354">
            <w:pPr>
              <w:ind w:left="71"/>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Pr="005A2614" w:rsidRDefault="003512FC" w:rsidP="008B7961">
            <w:r>
              <w:lastRenderedPageBreak/>
              <w:t>Nacionālais tiesību akts neparedz stingrākas prasības</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4D2200" w:rsidRDefault="003512FC" w:rsidP="00080A6F">
            <w:pPr>
              <w:pStyle w:val="naiskr"/>
              <w:spacing w:before="0" w:after="0"/>
              <w:jc w:val="both"/>
              <w:rPr>
                <w:iCs/>
              </w:rPr>
            </w:pPr>
            <w:r w:rsidRPr="004D2200">
              <w:rPr>
                <w:iCs/>
              </w:rPr>
              <w:lastRenderedPageBreak/>
              <w:t>Direktīvas 2009/28/EK 16.panta 10.punkts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4D2200" w:rsidRDefault="003512FC" w:rsidP="00785A09">
            <w:pPr>
              <w:jc w:val="center"/>
            </w:pPr>
            <w:r w:rsidRPr="004D2200">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703753">
            <w:r>
              <w:t>Direktīvas 2009/28/EK 16.panta 9.punkts neparedz obligātas saistības</w:t>
            </w:r>
          </w:p>
          <w:p w:rsidR="003512FC" w:rsidRDefault="003512FC" w:rsidP="00080A6F">
            <w:pPr>
              <w:spacing w:before="75" w:after="75"/>
              <w:ind w:firstLine="375"/>
              <w:jc w:val="both"/>
            </w:pPr>
            <w:r>
              <w:t>EN 84.</w:t>
            </w:r>
            <w:r>
              <w:rPr>
                <w:vertAlign w:val="superscript"/>
              </w:rPr>
              <w:t xml:space="preserve">1 </w:t>
            </w:r>
            <w:r>
              <w:t>pants</w:t>
            </w:r>
          </w:p>
          <w:p w:rsidR="003512FC" w:rsidRDefault="003512FC" w:rsidP="00080A6F">
            <w:pPr>
              <w:spacing w:before="75" w:after="75"/>
              <w:ind w:firstLine="375"/>
              <w:jc w:val="both"/>
            </w:pPr>
            <w:r>
              <w:t>(1) Regulators apstiprina sistēmas operatora izstrādātos dabasgāzes sistēmas pieslēguma noteikumus, kuriem jābūt objektīvi pamatotiem, ekonomiski attaisnotiem, taisnīgiem, vienlīdzīgiem un atklātiem. Sistēmas operators regulatora noteiktajā laikā iesniedz regulatoram priekšlikumus par dabasgāzes sistēmas pieslēguma noteikumiem.</w:t>
            </w:r>
          </w:p>
          <w:p w:rsidR="003512FC" w:rsidRDefault="003512FC" w:rsidP="00080A6F"/>
          <w:p w:rsidR="003512FC" w:rsidRDefault="003512FC" w:rsidP="00080A6F">
            <w:pPr>
              <w:rPr>
                <w:sz w:val="22"/>
                <w:szCs w:val="22"/>
              </w:rPr>
            </w:pPr>
            <w:r>
              <w:t>Dabasgāzes sistēmas pieslēguma noteikumi apstiprināti ar Sabiedrisko pakalpojumu regulēšanas komisijas padomes 2008.gada 16.jūlija lēmumu Nr.233, izdoti saskaņā ar Enerģētikas likuma 84</w:t>
            </w:r>
            <w:r>
              <w:rPr>
                <w:vertAlign w:val="superscript"/>
              </w:rPr>
              <w:t>1</w:t>
            </w:r>
            <w:r>
              <w:t>. panta pirmo daļu</w:t>
            </w:r>
          </w:p>
          <w:p w:rsidR="003512FC" w:rsidRDefault="003512FC" w:rsidP="00080A6F"/>
          <w:p w:rsidR="003512FC" w:rsidRDefault="003512FC" w:rsidP="00080A6F">
            <w:r>
              <w:t>Šie noteikumi gan ir tikai lietotājiem, ražotājiem noteikumu nav.</w:t>
            </w:r>
          </w:p>
          <w:p w:rsidR="003512FC" w:rsidRDefault="003512FC" w:rsidP="00080A6F">
            <w:pPr>
              <w:ind w:left="67"/>
            </w:pPr>
          </w:p>
          <w:p w:rsidR="003512FC" w:rsidRPr="004D2200" w:rsidRDefault="003512FC" w:rsidP="00080A6F">
            <w:pPr>
              <w:ind w:left="67"/>
              <w:jc w:val="both"/>
            </w:pPr>
            <w:r>
              <w:t>Nepieciešamības gadījumā t</w:t>
            </w:r>
            <w:r w:rsidRPr="004D2200">
              <w:t>iks ieviestas ar likumprojektu „Atjaunojamās enerģijas likums”.</w:t>
            </w:r>
          </w:p>
          <w:p w:rsidR="003512FC" w:rsidRPr="004D2200" w:rsidRDefault="003512FC" w:rsidP="00080A6F">
            <w:pPr>
              <w:spacing w:line="191" w:lineRule="atLeast"/>
              <w:ind w:left="71"/>
            </w:pPr>
            <w:r w:rsidRPr="004D2200">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57" w:hanging="10"/>
              <w:rPr>
                <w:color w:val="000000"/>
              </w:rPr>
            </w:pPr>
            <w:r w:rsidRPr="0048458B">
              <w:rPr>
                <w:iCs/>
              </w:rPr>
              <w:t>Projekts šo jomu neskar</w:t>
            </w:r>
          </w:p>
          <w:p w:rsidR="003512FC" w:rsidRPr="004D2200"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4D2200" w:rsidRDefault="003512FC" w:rsidP="00080A6F">
            <w:pPr>
              <w:pStyle w:val="naiskr"/>
              <w:spacing w:before="0" w:after="0"/>
              <w:jc w:val="both"/>
              <w:rPr>
                <w:iCs/>
              </w:rPr>
            </w:pPr>
            <w:r w:rsidRPr="004D2200">
              <w:rPr>
                <w:iCs/>
              </w:rPr>
              <w:t xml:space="preserve">Direktīvas </w:t>
            </w:r>
            <w:r w:rsidRPr="004D2200">
              <w:rPr>
                <w:bCs/>
              </w:rPr>
              <w:t>2009/28/EK</w:t>
            </w:r>
          </w:p>
          <w:p w:rsidR="003512FC" w:rsidRPr="004D2200" w:rsidRDefault="003512FC" w:rsidP="00080A6F">
            <w:r w:rsidRPr="004D2200">
              <w:t>16.panta 11.punkts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4D2200" w:rsidRDefault="003512FC" w:rsidP="00785A09">
            <w:pPr>
              <w:ind w:left="32"/>
              <w:jc w:val="center"/>
            </w:pPr>
            <w:r w:rsidRPr="004D2200">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ind w:left="71"/>
              <w:rPr>
                <w:color w:val="000000"/>
              </w:rPr>
            </w:pPr>
            <w:r w:rsidRPr="004D2200">
              <w:rPr>
                <w:color w:val="000000"/>
              </w:rPr>
              <w:t>Norma satur tikai dalībvalstij sasitošu pienākumu un tāpēc to nav nepieciešams pārņemt.</w:t>
            </w:r>
          </w:p>
          <w:p w:rsidR="003512FC" w:rsidRPr="004D2200" w:rsidRDefault="003512FC" w:rsidP="00080A6F">
            <w:pPr>
              <w:ind w:left="71"/>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t>Projekts šo jomu neskar</w:t>
            </w:r>
          </w:p>
          <w:p w:rsidR="003512FC" w:rsidRPr="009670EF" w:rsidRDefault="003512FC" w:rsidP="00080A6F">
            <w:pPr>
              <w:rPr>
                <w:b/>
              </w:rPr>
            </w:pP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2C0AC5" w:rsidRDefault="003512FC" w:rsidP="00080A6F">
            <w:pPr>
              <w:pStyle w:val="naiskr"/>
              <w:spacing w:before="0" w:after="0"/>
              <w:jc w:val="both"/>
              <w:rPr>
                <w:iCs/>
              </w:rPr>
            </w:pPr>
            <w:r w:rsidRPr="002C0AC5">
              <w:rPr>
                <w:iCs/>
              </w:rPr>
              <w:t xml:space="preserve">17., 18., 19., 20.pants </w:t>
            </w:r>
          </w:p>
          <w:p w:rsidR="003512FC" w:rsidRPr="002C0AC5" w:rsidRDefault="003512FC" w:rsidP="00080A6F">
            <w:pPr>
              <w:pStyle w:val="naiskr"/>
              <w:spacing w:before="0" w:after="0"/>
              <w:jc w:val="both"/>
              <w:rPr>
                <w:iCs/>
              </w:rPr>
            </w:pP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pStyle w:val="naiskr"/>
              <w:spacing w:before="0" w:after="0"/>
              <w:jc w:val="center"/>
            </w:pPr>
            <w:r>
              <w:t>6.panta 4.punkts;</w:t>
            </w:r>
          </w:p>
          <w:p w:rsidR="003512FC" w:rsidRDefault="003512FC" w:rsidP="00785A09">
            <w:pPr>
              <w:pStyle w:val="naiskr"/>
              <w:spacing w:before="0" w:after="0"/>
              <w:jc w:val="center"/>
            </w:pPr>
            <w:r>
              <w:t>11.panta trešā daļa;</w:t>
            </w:r>
          </w:p>
          <w:p w:rsidR="003512FC" w:rsidRDefault="003512FC" w:rsidP="00785A09">
            <w:pPr>
              <w:pStyle w:val="naiskr"/>
              <w:spacing w:before="0" w:after="0"/>
              <w:jc w:val="center"/>
            </w:pP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9C3286" w:rsidRDefault="003512FC" w:rsidP="00080A6F">
            <w:pPr>
              <w:pStyle w:val="naiskr"/>
              <w:spacing w:before="0" w:after="0"/>
              <w:jc w:val="both"/>
            </w:pPr>
            <w:r w:rsidRPr="009C3286">
              <w:t xml:space="preserve">Daļēji ieviestas. Pilnībā tiks ieviestas izstrādājot Ministru kabineta noteikumus, kas nosaka </w:t>
            </w:r>
            <w:r w:rsidRPr="009C3286">
              <w:rPr>
                <w:bCs/>
              </w:rPr>
              <w:t>biodegvielu ilgtspējības kritērijus un to ieviešanas mehānismu, uzskaites un kontroles kārtību</w:t>
            </w:r>
            <w:r>
              <w:rPr>
                <w:bCs/>
              </w:rPr>
              <w:t xml:space="preserve"> un </w:t>
            </w:r>
            <w:r w:rsidR="00786386">
              <w:rPr>
                <w:bCs/>
              </w:rPr>
              <w:t xml:space="preserve">likumprojektu „Grozījumi </w:t>
            </w:r>
            <w:r>
              <w:rPr>
                <w:bCs/>
              </w:rPr>
              <w:t>Biodegvielas</w:t>
            </w:r>
            <w:r w:rsidR="00786386">
              <w:rPr>
                <w:bCs/>
              </w:rPr>
              <w:t xml:space="preserve"> likumā”</w:t>
            </w:r>
            <w:r w:rsidRPr="009C3286">
              <w:rPr>
                <w:bCs/>
              </w:rPr>
              <w:t>.</w:t>
            </w:r>
          </w:p>
          <w:p w:rsidR="003512FC" w:rsidRDefault="003512FC" w:rsidP="00080A6F">
            <w:pPr>
              <w:pStyle w:val="naiskr"/>
              <w:spacing w:before="0" w:after="0"/>
              <w:jc w:val="both"/>
            </w:pPr>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3512FC" w:rsidP="00080A6F">
            <w:pPr>
              <w:pStyle w:val="naiskr"/>
              <w:spacing w:before="0" w:after="0"/>
              <w:jc w:val="both"/>
            </w:pPr>
            <w:r>
              <w:t xml:space="preserve">Nacionālais tiesību akts neparedz stingrākas prasības </w:t>
            </w:r>
          </w:p>
          <w:p w:rsidR="003512FC" w:rsidRDefault="003512FC" w:rsidP="00080A6F">
            <w:pPr>
              <w:pStyle w:val="naiskr"/>
              <w:spacing w:before="0" w:after="0"/>
              <w:jc w:val="both"/>
            </w:pP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4240E1" w:rsidRDefault="003512FC" w:rsidP="00080A6F">
            <w:r w:rsidRPr="004240E1">
              <w:t>21.pant</w:t>
            </w:r>
            <w:r>
              <w:t>a 1.daļa</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F47705" w:rsidRDefault="003512FC" w:rsidP="003D654C">
            <w:pPr>
              <w:spacing w:before="100" w:beforeAutospacing="1" w:after="100" w:afterAutospacing="1" w:line="191" w:lineRule="atLeast"/>
              <w:jc w:val="center"/>
            </w:pPr>
            <w:r w:rsidRPr="00F47705">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jc w:val="both"/>
            </w:pPr>
            <w:r>
              <w:t xml:space="preserve"> Tiks ieviestas izstrādājot grozījumus </w:t>
            </w:r>
            <w:r w:rsidRPr="00CF6CFE">
              <w:t>Ministru kabineta 2000.gada 26.septembra noteikumos Nr.332 „</w:t>
            </w:r>
            <w:r w:rsidRPr="00CF6CFE">
              <w:rPr>
                <w:bCs/>
                <w:szCs w:val="28"/>
              </w:rPr>
              <w:t>Noteikumi par benzīna un dīzeļdegvielas atbilstības novērtēšanu</w:t>
            </w:r>
            <w:r w:rsidRPr="00CF6CFE">
              <w:t>”</w:t>
            </w:r>
            <w:r>
              <w:t xml:space="preserve"> </w:t>
            </w:r>
            <w:r w:rsidRPr="00BC60D2">
              <w:t>un Ministru kabineta 2005.gada 18.oktobra noteikumos Nr.772 „</w:t>
            </w:r>
            <w:r w:rsidRPr="00BC60D2">
              <w:rPr>
                <w:bCs/>
                <w:szCs w:val="28"/>
              </w:rPr>
              <w:t>Noteikumi par biodegvielas kvalitātes prasībām, atbilstības novērtēšanu, tirgus uzraudzību un patērētāju informēšanas kārtību</w:t>
            </w:r>
            <w:r w:rsidRPr="00BC60D2">
              <w:t>”</w:t>
            </w:r>
            <w:r>
              <w:t>.</w:t>
            </w:r>
          </w:p>
          <w:p w:rsidR="003512FC" w:rsidRDefault="00703753" w:rsidP="00080A6F">
            <w:pPr>
              <w:jc w:val="both"/>
            </w:pPr>
            <w:r>
              <w:t>Ekonomikas ministrija.</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47"/>
              <w:rPr>
                <w:color w:val="000000"/>
              </w:rPr>
            </w:pPr>
            <w:r w:rsidRPr="0048458B">
              <w:rPr>
                <w:iCs/>
              </w:rPr>
              <w:t>Projekts šo jomu neskar</w:t>
            </w:r>
          </w:p>
          <w:p w:rsidR="003512FC" w:rsidRDefault="003512FC" w:rsidP="00080A6F"/>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lastRenderedPageBreak/>
              <w:t>2009/28/EK</w:t>
            </w:r>
          </w:p>
          <w:p w:rsidR="003512FC" w:rsidRPr="004240E1" w:rsidRDefault="003512FC" w:rsidP="00080A6F">
            <w:r w:rsidRPr="004240E1">
              <w:t>21.pant</w:t>
            </w:r>
            <w:r>
              <w:t>a 2.daļa</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F47705" w:rsidRDefault="003512FC" w:rsidP="003D654C">
            <w:pPr>
              <w:spacing w:before="100" w:beforeAutospacing="1" w:after="100" w:afterAutospacing="1" w:line="191" w:lineRule="atLeast"/>
              <w:jc w:val="center"/>
            </w:pPr>
            <w:r w:rsidRPr="00F47705">
              <w:lastRenderedPageBreak/>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4240E1" w:rsidRDefault="003512FC" w:rsidP="00080A6F">
            <w:pPr>
              <w:jc w:val="both"/>
            </w:pPr>
            <w:r>
              <w:t>N</w:t>
            </w:r>
            <w:r w:rsidRPr="004240E1">
              <w:t xml:space="preserve">acionālajos normatīvajos aktos nav </w:t>
            </w:r>
            <w:r w:rsidRPr="004240E1">
              <w:lastRenderedPageBreak/>
              <w:t>nepieciešama</w:t>
            </w:r>
            <w:r>
              <w:t xml:space="preserve"> normas ieviešana,</w:t>
            </w:r>
            <w:r>
              <w:rPr>
                <w:color w:val="000000"/>
              </w:rPr>
              <w:t xml:space="preserve"> jo satur tikai dalībvalstij sasitošu pienākumu</w:t>
            </w:r>
            <w:r>
              <w: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9670EF" w:rsidP="009670EF">
            <w:pPr>
              <w:spacing w:before="100" w:beforeAutospacing="1" w:after="100" w:afterAutospacing="1"/>
              <w:ind w:left="57" w:hanging="10"/>
            </w:pPr>
            <w:r w:rsidRPr="0048458B">
              <w:rPr>
                <w:iCs/>
              </w:rPr>
              <w:lastRenderedPageBreak/>
              <w:t xml:space="preserve">Projekts šo </w:t>
            </w:r>
            <w:r w:rsidRPr="0048458B">
              <w:rPr>
                <w:iCs/>
              </w:rPr>
              <w:lastRenderedPageBreak/>
              <w:t>jomu neskar</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821FE9" w:rsidRDefault="003512FC" w:rsidP="00080A6F">
            <w:pPr>
              <w:pStyle w:val="naiskr"/>
              <w:spacing w:before="0" w:after="0"/>
              <w:jc w:val="both"/>
              <w:rPr>
                <w:iCs/>
              </w:rPr>
            </w:pPr>
            <w:r w:rsidRPr="00821FE9">
              <w:rPr>
                <w:iCs/>
              </w:rPr>
              <w:lastRenderedPageBreak/>
              <w:t xml:space="preserve">Direktīvas </w:t>
            </w:r>
            <w:r w:rsidRPr="00821FE9">
              <w:rPr>
                <w:bCs/>
              </w:rPr>
              <w:t>2009/28/EK</w:t>
            </w:r>
          </w:p>
          <w:p w:rsidR="003512FC" w:rsidRPr="00821FE9" w:rsidRDefault="003512FC" w:rsidP="00080A6F">
            <w:r w:rsidRPr="00821FE9">
              <w:t>22.pants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821FE9" w:rsidRDefault="003512FC" w:rsidP="003D654C">
            <w:pPr>
              <w:spacing w:before="100" w:beforeAutospacing="1" w:after="100" w:afterAutospacing="1" w:line="191" w:lineRule="atLeast"/>
              <w:jc w:val="center"/>
            </w:pPr>
            <w:r w:rsidRPr="00821FE9">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821FE9" w:rsidRDefault="003512FC" w:rsidP="00080A6F">
            <w:pPr>
              <w:spacing w:before="100" w:beforeAutospacing="1" w:after="100" w:afterAutospacing="1" w:line="191" w:lineRule="atLeast"/>
            </w:pPr>
            <w:r>
              <w:rPr>
                <w:color w:val="000000"/>
              </w:rPr>
              <w:t>Norma satur tikai dalībvalstij sasitošu pienākumu un tāpēc to nav nepieciešams pārņemt.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9670EF" w:rsidP="009670EF">
            <w:pPr>
              <w:spacing w:before="100" w:beforeAutospacing="1" w:after="100" w:afterAutospacing="1"/>
              <w:ind w:left="47"/>
            </w:pPr>
            <w:r w:rsidRPr="0048458B">
              <w:rPr>
                <w:iCs/>
              </w:rPr>
              <w:t>Projekts šo jomu neskar</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F00744" w:rsidRDefault="003512FC" w:rsidP="00080A6F">
            <w:pPr>
              <w:pStyle w:val="naiskr"/>
              <w:spacing w:before="0" w:after="0"/>
              <w:jc w:val="both"/>
              <w:rPr>
                <w:iCs/>
              </w:rPr>
            </w:pPr>
            <w:r w:rsidRPr="00F00744">
              <w:rPr>
                <w:iCs/>
              </w:rPr>
              <w:t xml:space="preserve">Direktīvas </w:t>
            </w:r>
            <w:r w:rsidRPr="00F00744">
              <w:rPr>
                <w:bCs/>
              </w:rPr>
              <w:t>2009/28/EK</w:t>
            </w:r>
          </w:p>
          <w:p w:rsidR="003512FC" w:rsidRPr="00F00744" w:rsidRDefault="003512FC" w:rsidP="00080A6F">
            <w:pPr>
              <w:pStyle w:val="naiskr"/>
              <w:spacing w:before="0" w:after="0"/>
              <w:jc w:val="both"/>
              <w:rPr>
                <w:iCs/>
              </w:rPr>
            </w:pPr>
            <w:r w:rsidRPr="00F00744">
              <w:t>I pielikums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F00744" w:rsidRDefault="003512FC" w:rsidP="003D654C">
            <w:pPr>
              <w:spacing w:before="100" w:beforeAutospacing="1" w:after="100" w:afterAutospacing="1" w:line="191" w:lineRule="atLeast"/>
              <w:jc w:val="center"/>
            </w:pPr>
            <w:r w:rsidRPr="00F00744">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rPr>
                <w:color w:val="000000"/>
              </w:rPr>
            </w:pPr>
            <w:r>
              <w:rPr>
                <w:color w:val="000000"/>
              </w:rPr>
              <w:t>Norma satur tikai dalībvalstij sasitošu pienākumu un tāpēc to nav nepieciešams pārņemt.</w:t>
            </w:r>
          </w:p>
          <w:p w:rsidR="003512FC" w:rsidRDefault="003512FC" w:rsidP="00080A6F">
            <w:pPr>
              <w:ind w:left="67"/>
              <w:jc w:val="both"/>
            </w:pPr>
            <w:r>
              <w:t>Tiks ieviestas ar likumprojektu „A</w:t>
            </w:r>
            <w:r w:rsidRPr="00DF3ECD">
              <w:t>tjaunojamās enerģijas likum</w:t>
            </w:r>
            <w:r>
              <w:t>s”.</w:t>
            </w:r>
          </w:p>
          <w:p w:rsidR="003512FC" w:rsidRPr="00F00744" w:rsidRDefault="003512FC" w:rsidP="00080A6F">
            <w:r>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9670EF" w:rsidP="009670EF">
            <w:pPr>
              <w:spacing w:before="100" w:beforeAutospacing="1" w:after="100" w:afterAutospacing="1"/>
              <w:ind w:left="47"/>
            </w:pPr>
            <w:r w:rsidRPr="0048458B">
              <w:rPr>
                <w:iCs/>
              </w:rPr>
              <w:t>Projekts šo jomu neskar</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F00744" w:rsidRDefault="003512FC" w:rsidP="00080A6F">
            <w:r w:rsidRPr="00F00744">
              <w:t>II pielikums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7E05BF" w:rsidRDefault="003512FC" w:rsidP="00785A09">
            <w:pPr>
              <w:spacing w:before="100" w:beforeAutospacing="1" w:after="100" w:afterAutospacing="1" w:line="191" w:lineRule="atLeast"/>
              <w:jc w:val="center"/>
            </w:pPr>
            <w:r>
              <w:t>6.panta 1.punkts</w:t>
            </w:r>
          </w:p>
          <w:p w:rsidR="003512FC" w:rsidRPr="007E05BF" w:rsidRDefault="003512FC" w:rsidP="00080A6F">
            <w:pPr>
              <w:spacing w:before="100" w:beforeAutospacing="1" w:after="100" w:afterAutospacing="1" w:line="191" w:lineRule="atLeast"/>
            </w:pP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3D654C">
            <w:pPr>
              <w:ind w:left="67"/>
              <w:jc w:val="both"/>
            </w:pPr>
            <w:r>
              <w:t>Tiks ieviestas daļēji.</w:t>
            </w:r>
          </w:p>
          <w:p w:rsidR="003512FC" w:rsidRPr="007E05BF" w:rsidRDefault="003512FC" w:rsidP="003D654C">
            <w:pPr>
              <w:ind w:left="67"/>
              <w:jc w:val="both"/>
            </w:pPr>
            <w:r w:rsidRPr="007E05BF">
              <w:t>Pilnīga ieviešana paredzēta ar Ministru kabineta noteikumiem</w:t>
            </w:r>
            <w:r>
              <w:t>.</w:t>
            </w:r>
          </w:p>
          <w:p w:rsidR="003512FC" w:rsidRPr="00B31686" w:rsidRDefault="003512FC" w:rsidP="00080A6F">
            <w:pPr>
              <w:rPr>
                <w:color w:val="FF0000"/>
              </w:rPr>
            </w:pPr>
            <w:r w:rsidRPr="007E05BF">
              <w:t>Ekonomikas ministrija</w:t>
            </w:r>
            <w:r>
              <w: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3512FC" w:rsidP="003D654C">
            <w:pPr>
              <w:pStyle w:val="naiskr"/>
              <w:spacing w:before="0" w:after="0"/>
              <w:jc w:val="both"/>
            </w:pPr>
            <w:r>
              <w:t xml:space="preserve">Nacionālais tiesību akts neparedz stingrākas prasības </w:t>
            </w:r>
          </w:p>
          <w:p w:rsidR="003512FC" w:rsidRDefault="003512FC" w:rsidP="003D654C"/>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7E05BF" w:rsidRDefault="003512FC" w:rsidP="00080A6F">
            <w:pPr>
              <w:pStyle w:val="naiskr"/>
              <w:spacing w:before="0" w:after="0"/>
              <w:jc w:val="both"/>
              <w:rPr>
                <w:iCs/>
              </w:rPr>
            </w:pPr>
            <w:r w:rsidRPr="007E05BF">
              <w:rPr>
                <w:iCs/>
              </w:rPr>
              <w:t xml:space="preserve">Direktīvas </w:t>
            </w:r>
            <w:r w:rsidRPr="007E05BF">
              <w:rPr>
                <w:bCs/>
              </w:rPr>
              <w:t>2009/28/EK</w:t>
            </w:r>
          </w:p>
          <w:p w:rsidR="003512FC" w:rsidRPr="0035639E" w:rsidRDefault="003512FC" w:rsidP="00080A6F">
            <w:r w:rsidRPr="0035639E">
              <w:t>III pielikums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7E05BF" w:rsidRDefault="003512FC" w:rsidP="003D654C">
            <w:pPr>
              <w:spacing w:before="100" w:beforeAutospacing="1" w:after="100" w:afterAutospacing="1" w:line="191" w:lineRule="atLeast"/>
              <w:jc w:val="center"/>
            </w:pPr>
            <w:r w:rsidRPr="007E05BF">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3D654C" w:rsidRDefault="003512FC" w:rsidP="003D654C">
            <w:pPr>
              <w:rPr>
                <w:color w:val="000000"/>
              </w:rPr>
            </w:pPr>
            <w:r>
              <w:rPr>
                <w:color w:val="000000"/>
              </w:rPr>
              <w:t>Norma satur tikai dalībvalstij sasitošu pienākumu un tāpēc to nav nepieciešams pārņemt.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9670EF" w:rsidP="009670EF">
            <w:pPr>
              <w:spacing w:before="100" w:beforeAutospacing="1" w:after="100" w:afterAutospacing="1"/>
              <w:ind w:left="57" w:hanging="10"/>
            </w:pPr>
            <w:r w:rsidRPr="0048458B">
              <w:rPr>
                <w:iCs/>
              </w:rPr>
              <w:t>Projekts šo jomu neskar</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35639E" w:rsidRDefault="003512FC" w:rsidP="00080A6F">
            <w:pPr>
              <w:pStyle w:val="naiskr"/>
              <w:spacing w:before="0" w:after="0"/>
              <w:jc w:val="both"/>
              <w:rPr>
                <w:iCs/>
              </w:rPr>
            </w:pPr>
            <w:r w:rsidRPr="0035639E">
              <w:rPr>
                <w:iCs/>
              </w:rPr>
              <w:t xml:space="preserve">Direktīvas </w:t>
            </w:r>
            <w:r w:rsidRPr="0035639E">
              <w:rPr>
                <w:bCs/>
              </w:rPr>
              <w:t>2009/28/EK</w:t>
            </w:r>
          </w:p>
          <w:p w:rsidR="003512FC" w:rsidRPr="0035639E" w:rsidRDefault="003512FC" w:rsidP="00080A6F">
            <w:r w:rsidRPr="0035639E">
              <w:t>IV pielikums</w:t>
            </w:r>
          </w:p>
          <w:p w:rsidR="003512FC" w:rsidRPr="0035639E" w:rsidRDefault="003512FC" w:rsidP="00080A6F">
            <w:pPr>
              <w:spacing w:before="100" w:beforeAutospacing="1" w:after="100" w:afterAutospacing="1" w:line="191" w:lineRule="atLeast"/>
              <w:rPr>
                <w:b/>
              </w:rPr>
            </w:pP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35639E" w:rsidRDefault="003512FC" w:rsidP="00785A09">
            <w:pPr>
              <w:spacing w:before="100" w:beforeAutospacing="1" w:after="100" w:afterAutospacing="1" w:line="191" w:lineRule="atLeast"/>
              <w:jc w:val="center"/>
            </w:pPr>
            <w:r w:rsidRPr="0035639E">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spacing w:before="100" w:beforeAutospacing="1" w:after="100" w:afterAutospacing="1" w:line="191" w:lineRule="atLeast"/>
              <w:jc w:val="both"/>
            </w:pPr>
            <w:r>
              <w:t>Līdz 2012.gada 31.decembrim j</w:t>
            </w:r>
            <w:r w:rsidRPr="0035639E">
              <w:t xml:space="preserve">āizstrādā Ministru kabineta noteikumu projekts, kas nosaka kārtību, kādā sertificē maza izmēra biomasas iekārtu, siltumsūkņu, seklo ģeotermālo un saules </w:t>
            </w:r>
            <w:r w:rsidR="008B7961" w:rsidRPr="0035639E">
              <w:t>foto elektrisko</w:t>
            </w:r>
            <w:r w:rsidRPr="0035639E">
              <w:t xml:space="preserve"> un termālo iekārtu uzstādītājus,  nosaka atbilstības novērtēšanas institūciju un sertifikātu piešķiršanas un uzraudzības kārtību.</w:t>
            </w:r>
          </w:p>
          <w:p w:rsidR="003512FC" w:rsidRPr="0035639E" w:rsidRDefault="003512FC" w:rsidP="00080A6F">
            <w:pPr>
              <w:spacing w:before="100" w:beforeAutospacing="1" w:after="100" w:afterAutospacing="1" w:line="191" w:lineRule="atLeast"/>
              <w:jc w:val="both"/>
            </w:pPr>
            <w:r>
              <w:t>Izglītības un zinātnes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9670EF" w:rsidRPr="0056365F" w:rsidRDefault="009670EF" w:rsidP="009670EF">
            <w:pPr>
              <w:spacing w:before="100" w:beforeAutospacing="1" w:after="100" w:afterAutospacing="1"/>
              <w:ind w:left="57" w:hanging="10"/>
              <w:rPr>
                <w:color w:val="000000"/>
              </w:rPr>
            </w:pPr>
            <w:r w:rsidRPr="0048458B">
              <w:rPr>
                <w:iCs/>
              </w:rPr>
              <w:t>Projekts šo jomu neskar</w:t>
            </w:r>
          </w:p>
          <w:p w:rsidR="003512FC" w:rsidRPr="00216027" w:rsidRDefault="003512FC" w:rsidP="003D654C">
            <w:pPr>
              <w:pStyle w:val="naiskr"/>
              <w:spacing w:before="0" w:after="0"/>
              <w:rPr>
                <w:sz w:val="22"/>
                <w:szCs w:val="22"/>
              </w:rPr>
            </w:pP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080A6F">
            <w:pPr>
              <w:pStyle w:val="naiskr"/>
              <w:spacing w:before="0" w:after="0"/>
              <w:jc w:val="both"/>
              <w:rPr>
                <w:iCs/>
              </w:rPr>
            </w:pPr>
            <w:r w:rsidRPr="002C0AC5">
              <w:rPr>
                <w:iCs/>
              </w:rPr>
              <w:t xml:space="preserve">Direktīvas </w:t>
            </w:r>
            <w:r w:rsidRPr="002C0AC5">
              <w:rPr>
                <w:bCs/>
              </w:rPr>
              <w:t>2009/28/EK</w:t>
            </w:r>
          </w:p>
          <w:p w:rsidR="003512FC" w:rsidRPr="00F00744" w:rsidRDefault="003512FC" w:rsidP="00080A6F">
            <w:r>
              <w:t>V</w:t>
            </w:r>
            <w:r w:rsidRPr="00F00744">
              <w:t xml:space="preserve"> pielikums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Default="003512FC" w:rsidP="00785A09">
            <w:pPr>
              <w:pStyle w:val="naiskr"/>
              <w:spacing w:before="0" w:after="0"/>
              <w:jc w:val="center"/>
            </w:pPr>
            <w:r>
              <w:t>6.panta 4.punkts;</w:t>
            </w:r>
          </w:p>
          <w:p w:rsidR="003512FC" w:rsidRDefault="003512FC" w:rsidP="00785A09">
            <w:pPr>
              <w:pStyle w:val="naiskr"/>
              <w:spacing w:before="0" w:after="0"/>
              <w:jc w:val="center"/>
            </w:pPr>
            <w:r>
              <w:t>11.panta trešā daļa;</w:t>
            </w:r>
          </w:p>
          <w:p w:rsidR="003512FC" w:rsidRPr="007E05BF" w:rsidRDefault="003512FC" w:rsidP="00785A09">
            <w:pPr>
              <w:spacing w:before="100" w:beforeAutospacing="1" w:after="100" w:afterAutospacing="1" w:line="191" w:lineRule="atLeast"/>
              <w:jc w:val="center"/>
            </w:pP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Default="003512FC" w:rsidP="00080A6F">
            <w:pPr>
              <w:jc w:val="both"/>
            </w:pPr>
            <w:r w:rsidRPr="007E05BF">
              <w:t>Ti</w:t>
            </w:r>
            <w:r>
              <w:t>ks</w:t>
            </w:r>
            <w:r w:rsidRPr="007E05BF">
              <w:t xml:space="preserve"> ieviest</w:t>
            </w:r>
            <w:r>
              <w:t>a</w:t>
            </w:r>
            <w:r w:rsidRPr="007E05BF">
              <w:t>s</w:t>
            </w:r>
            <w:r>
              <w:t xml:space="preserve"> ar:</w:t>
            </w:r>
          </w:p>
          <w:p w:rsidR="003512FC" w:rsidRDefault="003512FC" w:rsidP="00080A6F">
            <w:pPr>
              <w:jc w:val="both"/>
            </w:pPr>
            <w:r>
              <w:t>1) Likumprojektu „Grozījumi Biodegvielas likumā”;</w:t>
            </w:r>
          </w:p>
          <w:p w:rsidR="003512FC" w:rsidRPr="007E05BF" w:rsidRDefault="003512FC" w:rsidP="00080A6F">
            <w:pPr>
              <w:jc w:val="both"/>
            </w:pPr>
            <w:r>
              <w:t xml:space="preserve">2) </w:t>
            </w:r>
            <w:r w:rsidRPr="007E05BF">
              <w:t>izstrādājot</w:t>
            </w:r>
            <w:r>
              <w:t xml:space="preserve"> MK</w:t>
            </w:r>
            <w:r w:rsidRPr="007E05BF">
              <w:t xml:space="preserve"> noteikum</w:t>
            </w:r>
            <w:r>
              <w:t>us.</w:t>
            </w:r>
          </w:p>
          <w:p w:rsidR="003512FC" w:rsidRDefault="003512FC" w:rsidP="00080A6F"/>
          <w:p w:rsidR="003512FC" w:rsidRPr="00B31686" w:rsidRDefault="003512FC" w:rsidP="00080A6F">
            <w:pPr>
              <w:rPr>
                <w:color w:val="FF0000"/>
              </w:rPr>
            </w:pPr>
            <w:r w:rsidRPr="007E05BF">
              <w:t>Ekonomikas ministrija</w:t>
            </w:r>
            <w:r>
              <w: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3512FC" w:rsidP="003D654C">
            <w:pPr>
              <w:pStyle w:val="naiskr"/>
              <w:spacing w:before="0" w:after="0"/>
              <w:jc w:val="both"/>
            </w:pPr>
            <w:r>
              <w:t xml:space="preserve">Nacionālais tiesību akts neparedz stingrākas prasības </w:t>
            </w:r>
          </w:p>
          <w:p w:rsidR="003512FC" w:rsidRDefault="003512FC" w:rsidP="003D654C"/>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Pr="002C0AC5" w:rsidRDefault="003512FC" w:rsidP="003D654C">
            <w:pPr>
              <w:pStyle w:val="naiskr"/>
              <w:spacing w:before="0" w:after="0"/>
              <w:jc w:val="both"/>
              <w:rPr>
                <w:iCs/>
              </w:rPr>
            </w:pPr>
            <w:r w:rsidRPr="002C0AC5">
              <w:rPr>
                <w:iCs/>
              </w:rPr>
              <w:t xml:space="preserve">Direktīvas </w:t>
            </w:r>
            <w:r w:rsidRPr="002C0AC5">
              <w:rPr>
                <w:bCs/>
              </w:rPr>
              <w:t>2009/28/EK</w:t>
            </w:r>
          </w:p>
          <w:p w:rsidR="003512FC" w:rsidRPr="002C0AC5" w:rsidRDefault="003512FC" w:rsidP="003D654C">
            <w:pPr>
              <w:pStyle w:val="naiskr"/>
              <w:spacing w:before="0" w:after="0"/>
              <w:jc w:val="both"/>
              <w:rPr>
                <w:iCs/>
              </w:rPr>
            </w:pPr>
            <w:r>
              <w:t>VI</w:t>
            </w:r>
            <w:r w:rsidRPr="00F00744">
              <w:t xml:space="preserve"> pielikums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7E05BF" w:rsidRDefault="003512FC" w:rsidP="00785A09">
            <w:pPr>
              <w:spacing w:before="100" w:beforeAutospacing="1" w:after="100" w:afterAutospacing="1" w:line="191" w:lineRule="atLeast"/>
              <w:jc w:val="center"/>
            </w:pPr>
            <w:r w:rsidRPr="007E05BF">
              <w:t>-</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3D654C" w:rsidRDefault="003512FC" w:rsidP="00080A6F">
            <w:pPr>
              <w:rPr>
                <w:color w:val="000000"/>
              </w:rPr>
            </w:pPr>
            <w:r>
              <w:rPr>
                <w:color w:val="000000"/>
              </w:rPr>
              <w:t>Norma satur tikai dalībvalstij sasitošu pienākumu un tāpēc to nav nepieciešams pārņemt.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9670EF" w:rsidP="009670EF">
            <w:pPr>
              <w:spacing w:before="100" w:beforeAutospacing="1" w:after="100" w:afterAutospacing="1"/>
              <w:ind w:left="47"/>
            </w:pPr>
            <w:r w:rsidRPr="0048458B">
              <w:rPr>
                <w:iCs/>
              </w:rPr>
              <w:t>Projekts šo jomu neskar</w:t>
            </w:r>
          </w:p>
        </w:tc>
      </w:tr>
      <w:tr w:rsidR="003512FC" w:rsidRPr="005A2614" w:rsidTr="009670EF">
        <w:trPr>
          <w:trHeight w:val="191"/>
          <w:tblCellSpacing w:w="0" w:type="dxa"/>
        </w:trPr>
        <w:tc>
          <w:tcPr>
            <w:tcW w:w="1670" w:type="dxa"/>
            <w:tcBorders>
              <w:top w:val="outset" w:sz="6" w:space="0" w:color="auto"/>
              <w:left w:val="outset" w:sz="6" w:space="0" w:color="auto"/>
              <w:bottom w:val="outset" w:sz="6" w:space="0" w:color="auto"/>
              <w:right w:val="outset" w:sz="6" w:space="0" w:color="auto"/>
            </w:tcBorders>
            <w:hideMark/>
          </w:tcPr>
          <w:p w:rsidR="003512FC" w:rsidRDefault="003512FC" w:rsidP="003D654C">
            <w:pPr>
              <w:pStyle w:val="naiskr"/>
              <w:spacing w:before="0" w:after="0"/>
              <w:jc w:val="both"/>
              <w:rPr>
                <w:bCs/>
              </w:rPr>
            </w:pPr>
            <w:r w:rsidRPr="002C0AC5">
              <w:rPr>
                <w:iCs/>
              </w:rPr>
              <w:t xml:space="preserve">Direktīvas </w:t>
            </w:r>
            <w:r w:rsidRPr="002C0AC5">
              <w:rPr>
                <w:bCs/>
              </w:rPr>
              <w:t>2009/28/EK</w:t>
            </w:r>
          </w:p>
          <w:p w:rsidR="003512FC" w:rsidRPr="003D654C" w:rsidRDefault="003512FC" w:rsidP="003D654C">
            <w:pPr>
              <w:pStyle w:val="naiskr"/>
              <w:spacing w:before="0" w:after="0"/>
              <w:jc w:val="both"/>
              <w:rPr>
                <w:iCs/>
              </w:rPr>
            </w:pPr>
            <w:r>
              <w:t>VII</w:t>
            </w:r>
            <w:r w:rsidRPr="00F00744">
              <w:t xml:space="preserve"> pielikums</w:t>
            </w:r>
          </w:p>
        </w:tc>
        <w:tc>
          <w:tcPr>
            <w:tcW w:w="1485" w:type="dxa"/>
            <w:gridSpan w:val="3"/>
            <w:tcBorders>
              <w:top w:val="outset" w:sz="6" w:space="0" w:color="auto"/>
              <w:left w:val="outset" w:sz="6" w:space="0" w:color="auto"/>
              <w:bottom w:val="outset" w:sz="6" w:space="0" w:color="auto"/>
              <w:right w:val="outset" w:sz="6" w:space="0" w:color="auto"/>
            </w:tcBorders>
            <w:hideMark/>
          </w:tcPr>
          <w:p w:rsidR="003512FC" w:rsidRPr="006C4F69" w:rsidRDefault="003512FC" w:rsidP="00785A09">
            <w:pPr>
              <w:spacing w:before="100" w:beforeAutospacing="1" w:after="100" w:afterAutospacing="1" w:line="191" w:lineRule="atLeast"/>
              <w:jc w:val="center"/>
            </w:pPr>
            <w:r w:rsidRPr="006C4F69">
              <w:t>6.panta 1.punkts</w:t>
            </w:r>
          </w:p>
        </w:tc>
        <w:tc>
          <w:tcPr>
            <w:tcW w:w="4621" w:type="dxa"/>
            <w:gridSpan w:val="2"/>
            <w:tcBorders>
              <w:top w:val="outset" w:sz="6" w:space="0" w:color="auto"/>
              <w:left w:val="outset" w:sz="6" w:space="0" w:color="auto"/>
              <w:bottom w:val="outset" w:sz="6" w:space="0" w:color="auto"/>
              <w:right w:val="outset" w:sz="6" w:space="0" w:color="auto"/>
            </w:tcBorders>
            <w:hideMark/>
          </w:tcPr>
          <w:p w:rsidR="003512FC" w:rsidRPr="006C4F69" w:rsidRDefault="003512FC" w:rsidP="008E1108">
            <w:pPr>
              <w:contextualSpacing/>
            </w:pPr>
            <w:r w:rsidRPr="006C4F69">
              <w:t xml:space="preserve">Tiek ieviests daļēji </w:t>
            </w:r>
          </w:p>
          <w:p w:rsidR="003512FC" w:rsidRPr="006C4F69" w:rsidRDefault="003512FC" w:rsidP="008E1108">
            <w:pPr>
              <w:contextualSpacing/>
            </w:pPr>
            <w:r w:rsidRPr="006C4F69">
              <w:t>Pilnīga ieviešana paredzēta ar Ministru kabineta noteikumiem</w:t>
            </w:r>
            <w:r w:rsidR="00703753">
              <w:t>.</w:t>
            </w:r>
          </w:p>
          <w:p w:rsidR="003512FC" w:rsidRPr="006C4F69" w:rsidRDefault="003512FC" w:rsidP="008E1108">
            <w:pPr>
              <w:contextualSpacing/>
            </w:pPr>
            <w:r w:rsidRPr="006C4F69">
              <w:t>Ekonomikas ministrija</w:t>
            </w:r>
            <w:r w:rsidR="00703753">
              <w:t>.</w:t>
            </w:r>
          </w:p>
        </w:tc>
        <w:tc>
          <w:tcPr>
            <w:tcW w:w="1437" w:type="dxa"/>
            <w:tcBorders>
              <w:top w:val="outset" w:sz="6" w:space="0" w:color="auto"/>
              <w:left w:val="outset" w:sz="6" w:space="0" w:color="auto"/>
              <w:bottom w:val="outset" w:sz="6" w:space="0" w:color="auto"/>
              <w:right w:val="outset" w:sz="6" w:space="0" w:color="auto"/>
            </w:tcBorders>
            <w:hideMark/>
          </w:tcPr>
          <w:p w:rsidR="003512FC" w:rsidRDefault="003512FC" w:rsidP="003D654C">
            <w:pPr>
              <w:pStyle w:val="naiskr"/>
              <w:spacing w:before="0" w:after="0"/>
              <w:jc w:val="both"/>
            </w:pPr>
            <w:r>
              <w:t xml:space="preserve">Nacionālais tiesību akts neparedz stingrākas prasības </w:t>
            </w:r>
          </w:p>
          <w:p w:rsidR="003512FC" w:rsidRDefault="003512FC" w:rsidP="003D654C">
            <w:pPr>
              <w:contextualSpacing/>
            </w:pPr>
          </w:p>
        </w:tc>
      </w:tr>
      <w:tr w:rsidR="003512FC" w:rsidRPr="005A2614" w:rsidTr="009670EF">
        <w:trPr>
          <w:trHeight w:val="281"/>
          <w:tblCellSpacing w:w="0" w:type="dxa"/>
        </w:trPr>
        <w:tc>
          <w:tcPr>
            <w:tcW w:w="1670" w:type="dxa"/>
            <w:tcBorders>
              <w:top w:val="outset" w:sz="6" w:space="0" w:color="auto"/>
              <w:left w:val="outset" w:sz="6" w:space="0" w:color="auto"/>
              <w:bottom w:val="outset" w:sz="6" w:space="0" w:color="auto"/>
              <w:right w:val="outset" w:sz="6" w:space="0" w:color="auto"/>
            </w:tcBorders>
            <w:vAlign w:val="center"/>
            <w:hideMark/>
          </w:tcPr>
          <w:p w:rsidR="003512FC" w:rsidRPr="005A2614" w:rsidRDefault="003512FC" w:rsidP="008E1108">
            <w:pPr>
              <w:spacing w:before="100" w:beforeAutospacing="1" w:after="100" w:afterAutospacing="1"/>
            </w:pPr>
            <w:r w:rsidRPr="005A2614">
              <w:t xml:space="preserve"> Kā ir izmantota ES tiesību aktā paredzētā rīcības brīvība dalībvalstij </w:t>
            </w:r>
            <w:r w:rsidRPr="005A2614">
              <w:lastRenderedPageBreak/>
              <w:t>pārņemt vai ieviest noteiktas ES tiesību akta normas.</w:t>
            </w:r>
            <w:r>
              <w:t xml:space="preserve"> </w:t>
            </w:r>
            <w:r w:rsidRPr="005A2614">
              <w:t>Kādēļ?</w:t>
            </w:r>
          </w:p>
        </w:tc>
        <w:tc>
          <w:tcPr>
            <w:tcW w:w="7543" w:type="dxa"/>
            <w:gridSpan w:val="6"/>
            <w:tcBorders>
              <w:top w:val="outset" w:sz="6" w:space="0" w:color="auto"/>
              <w:left w:val="outset" w:sz="6" w:space="0" w:color="auto"/>
              <w:bottom w:val="outset" w:sz="6" w:space="0" w:color="auto"/>
              <w:right w:val="outset" w:sz="6" w:space="0" w:color="auto"/>
            </w:tcBorders>
            <w:hideMark/>
          </w:tcPr>
          <w:p w:rsidR="003512FC" w:rsidRPr="00EB23C4" w:rsidRDefault="003512FC" w:rsidP="007608D9">
            <w:pPr>
              <w:spacing w:before="100" w:beforeAutospacing="1" w:after="100" w:afterAutospacing="1"/>
              <w:ind w:left="101" w:right="127"/>
              <w:jc w:val="both"/>
            </w:pPr>
            <w:r w:rsidRPr="00EB23C4">
              <w:lastRenderedPageBreak/>
              <w:t>Direktīvas 2009/28/EK</w:t>
            </w:r>
            <w:r>
              <w:t xml:space="preserve"> attiecībā uz atsevišķu normu piemērošanu paredz rīcība brīvību:</w:t>
            </w:r>
            <w:r w:rsidRPr="00EB23C4">
              <w:t xml:space="preserve"> atsevišķi panti nav obligāti ieviešami nacionālajos normatīvajos aktos:</w:t>
            </w:r>
          </w:p>
          <w:p w:rsidR="003512FC" w:rsidRDefault="003512FC" w:rsidP="007608D9">
            <w:pPr>
              <w:spacing w:before="100" w:beforeAutospacing="1" w:after="100" w:afterAutospacing="1"/>
              <w:ind w:left="101" w:right="127"/>
              <w:jc w:val="both"/>
            </w:pPr>
            <w:r w:rsidRPr="00EB23C4">
              <w:lastRenderedPageBreak/>
              <w:t xml:space="preserve">6., 7., 8., 9., 11.pants – </w:t>
            </w:r>
            <w:r>
              <w:t>l</w:t>
            </w:r>
            <w:r w:rsidRPr="00EB23C4">
              <w:t xml:space="preserve">ikumprojekta 4.panta </w:t>
            </w:r>
            <w:r>
              <w:t>ceturtā daļa</w:t>
            </w:r>
          </w:p>
          <w:p w:rsidR="003512FC" w:rsidRPr="00A514AD" w:rsidRDefault="003512FC" w:rsidP="007608D9">
            <w:pPr>
              <w:spacing w:before="100" w:beforeAutospacing="1" w:after="100" w:afterAutospacing="1"/>
              <w:ind w:left="101" w:right="127"/>
              <w:jc w:val="both"/>
              <w:rPr>
                <w:color w:val="FF0000"/>
              </w:rPr>
            </w:pPr>
            <w:r>
              <w:rPr>
                <w:szCs w:val="26"/>
              </w:rPr>
              <w:t xml:space="preserve">19.panta 2.punkts - </w:t>
            </w:r>
            <w:r w:rsidRPr="00AC113C">
              <w:rPr>
                <w:szCs w:val="26"/>
              </w:rPr>
              <w:t xml:space="preserve">Ekonomikas ministrija atbilstoši Direktīvas 2009/28/EK 19. panta 2. </w:t>
            </w:r>
            <w:r>
              <w:rPr>
                <w:szCs w:val="26"/>
              </w:rPr>
              <w:t>p</w:t>
            </w:r>
            <w:r w:rsidRPr="00AC113C">
              <w:rPr>
                <w:szCs w:val="26"/>
              </w:rPr>
              <w:t>unktam</w:t>
            </w:r>
            <w:r>
              <w:rPr>
                <w:szCs w:val="26"/>
              </w:rPr>
              <w:t xml:space="preserve"> ar Ekonomikas ministrijas 2010.gada 31.marta vēstuli Nr. </w:t>
            </w:r>
            <w:r w:rsidRPr="00AC113C">
              <w:rPr>
                <w:szCs w:val="26"/>
              </w:rPr>
              <w:t>421-</w:t>
            </w:r>
            <w:r>
              <w:rPr>
                <w:szCs w:val="26"/>
              </w:rPr>
              <w:t xml:space="preserve">3-2965 ir informējusi Eiropas Komisijas Enerģētikas ģenerāldirektorātu, ka </w:t>
            </w:r>
            <w:r w:rsidRPr="00AC113C">
              <w:rPr>
                <w:szCs w:val="26"/>
              </w:rPr>
              <w:t xml:space="preserve">Latvijai pārskats atbilstoši Direktīvas 2009/28/EK 19. panta 2. punktam nav jāiesniedz. </w:t>
            </w:r>
            <w:r w:rsidRPr="00AC113C">
              <w:rPr>
                <w:color w:val="000000"/>
                <w:szCs w:val="26"/>
              </w:rPr>
              <w:t xml:space="preserve"> </w:t>
            </w:r>
          </w:p>
        </w:tc>
      </w:tr>
      <w:tr w:rsidR="003512FC" w:rsidRPr="005A2614" w:rsidTr="009670EF">
        <w:trPr>
          <w:trHeight w:val="913"/>
          <w:tblCellSpacing w:w="0" w:type="dxa"/>
        </w:trPr>
        <w:tc>
          <w:tcPr>
            <w:tcW w:w="1670" w:type="dxa"/>
            <w:tcBorders>
              <w:top w:val="outset" w:sz="6" w:space="0" w:color="auto"/>
              <w:left w:val="outset" w:sz="6" w:space="0" w:color="auto"/>
              <w:bottom w:val="outset" w:sz="6" w:space="0" w:color="auto"/>
              <w:right w:val="outset" w:sz="6" w:space="0" w:color="auto"/>
            </w:tcBorders>
            <w:vAlign w:val="center"/>
            <w:hideMark/>
          </w:tcPr>
          <w:p w:rsidR="003512FC" w:rsidRPr="005A2614" w:rsidRDefault="003512FC" w:rsidP="003063AC">
            <w:pPr>
              <w:spacing w:before="100" w:beforeAutospacing="1" w:after="100" w:afterAutospacing="1"/>
            </w:pPr>
            <w:r w:rsidRPr="005A2614">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43" w:type="dxa"/>
            <w:gridSpan w:val="6"/>
            <w:tcBorders>
              <w:top w:val="outset" w:sz="6" w:space="0" w:color="auto"/>
              <w:left w:val="outset" w:sz="6" w:space="0" w:color="auto"/>
              <w:bottom w:val="outset" w:sz="6" w:space="0" w:color="auto"/>
              <w:right w:val="outset" w:sz="6" w:space="0" w:color="auto"/>
            </w:tcBorders>
            <w:hideMark/>
          </w:tcPr>
          <w:p w:rsidR="009955C9" w:rsidRDefault="009955C9" w:rsidP="009955C9">
            <w:pPr>
              <w:spacing w:before="100" w:beforeAutospacing="1" w:after="100" w:afterAutospacing="1"/>
              <w:ind w:left="158"/>
              <w:jc w:val="both"/>
            </w:pPr>
          </w:p>
          <w:p w:rsidR="009955C9" w:rsidRPr="009955C9" w:rsidRDefault="009955C9" w:rsidP="0098664F">
            <w:pPr>
              <w:spacing w:before="100" w:beforeAutospacing="1" w:after="100" w:afterAutospacing="1"/>
              <w:ind w:left="158"/>
              <w:jc w:val="both"/>
            </w:pPr>
            <w:r>
              <w:t>Ņemot vērā to, ka likumprojekta 12.panta pirmajā daļā min</w:t>
            </w:r>
            <w:r w:rsidR="00263B52">
              <w:t>ētie atbalsta instrumenti, sekojošais 13., 14</w:t>
            </w:r>
            <w:r w:rsidR="0006054B">
              <w:t>.</w:t>
            </w:r>
            <w:r w:rsidR="0098664F">
              <w:t xml:space="preserve"> un 15. </w:t>
            </w:r>
            <w:r w:rsidR="00263B52">
              <w:t>var tikt kvalificēti kā „valsts atbalsts”</w:t>
            </w:r>
            <w:r w:rsidR="00263B52" w:rsidRPr="00F838C6">
              <w:rPr>
                <w:sz w:val="22"/>
                <w:szCs w:val="22"/>
              </w:rPr>
              <w:t xml:space="preserve"> Līguma par Eiropas Savienību darbību izpratnē</w:t>
            </w:r>
            <w:r w:rsidR="00263B52">
              <w:rPr>
                <w:sz w:val="22"/>
                <w:szCs w:val="22"/>
              </w:rPr>
              <w:t>, l</w:t>
            </w:r>
            <w:r w:rsidRPr="009955C9">
              <w:t xml:space="preserve">ikumprojektam pievienots </w:t>
            </w:r>
            <w:proofErr w:type="spellStart"/>
            <w:r w:rsidRPr="009955C9">
              <w:t>protokollēmums</w:t>
            </w:r>
            <w:proofErr w:type="spellEnd"/>
            <w:r w:rsidRPr="009955C9">
              <w:t>, kas paredz Ekonomikas ministrijai uzdot likumprojektu saskaņot ar Eiropas Komisiju atbilstoši Līguma par Eiropas Savienības darbību 108.panta 3.punktam, nepieciešamības gadījumā likumprojektu precizēt atbilstoši Eiropas Komisijas norādījumiem un iesniegt izskatīšanai Ministru kabineta sēdē.</w:t>
            </w:r>
            <w:r w:rsidR="00263B52">
              <w:t xml:space="preserve"> </w:t>
            </w:r>
          </w:p>
        </w:tc>
      </w:tr>
      <w:tr w:rsidR="003512FC" w:rsidRPr="005A2614" w:rsidTr="009670EF">
        <w:trPr>
          <w:trHeight w:val="688"/>
          <w:tblCellSpacing w:w="0" w:type="dxa"/>
        </w:trPr>
        <w:tc>
          <w:tcPr>
            <w:tcW w:w="1670" w:type="dxa"/>
            <w:tcBorders>
              <w:top w:val="outset" w:sz="6" w:space="0" w:color="auto"/>
              <w:left w:val="outset" w:sz="6" w:space="0" w:color="auto"/>
              <w:bottom w:val="single" w:sz="4" w:space="0" w:color="auto"/>
              <w:right w:val="outset" w:sz="6" w:space="0" w:color="auto"/>
            </w:tcBorders>
            <w:hideMark/>
          </w:tcPr>
          <w:p w:rsidR="003512FC" w:rsidRPr="005A2614" w:rsidRDefault="003512FC" w:rsidP="003063AC">
            <w:pPr>
              <w:spacing w:before="100" w:beforeAutospacing="1" w:after="100" w:afterAutospacing="1"/>
            </w:pPr>
            <w:r w:rsidRPr="005A2614">
              <w:t> Cita informācija</w:t>
            </w:r>
          </w:p>
        </w:tc>
        <w:tc>
          <w:tcPr>
            <w:tcW w:w="7543" w:type="dxa"/>
            <w:gridSpan w:val="6"/>
            <w:tcBorders>
              <w:top w:val="outset" w:sz="6" w:space="0" w:color="auto"/>
              <w:left w:val="outset" w:sz="6" w:space="0" w:color="auto"/>
              <w:bottom w:val="single" w:sz="4" w:space="0" w:color="auto"/>
              <w:right w:val="outset" w:sz="6" w:space="0" w:color="auto"/>
            </w:tcBorders>
            <w:hideMark/>
          </w:tcPr>
          <w:p w:rsidR="003512FC" w:rsidRDefault="003512FC" w:rsidP="00F45B4B">
            <w:pPr>
              <w:ind w:left="170" w:right="125"/>
              <w:jc w:val="both"/>
            </w:pPr>
            <w:r>
              <w:t>Latvijas Republikas spēkā esošie normatīvie aktu daļēji atbilst Direktīvas 2009/28/EK prasībām.</w:t>
            </w:r>
          </w:p>
          <w:p w:rsidR="003512FC" w:rsidRPr="001E0CD5" w:rsidRDefault="003512FC" w:rsidP="001E0CD5">
            <w:pPr>
              <w:ind w:left="170" w:right="125"/>
              <w:jc w:val="both"/>
              <w:rPr>
                <w:sz w:val="22"/>
                <w:szCs w:val="22"/>
              </w:rPr>
            </w:pPr>
          </w:p>
        </w:tc>
      </w:tr>
      <w:tr w:rsidR="003512FC" w:rsidRPr="005A2614" w:rsidTr="009670EF">
        <w:trPr>
          <w:trHeight w:val="792"/>
          <w:tblCellSpacing w:w="0" w:type="dxa"/>
        </w:trPr>
        <w:tc>
          <w:tcPr>
            <w:tcW w:w="9213" w:type="dxa"/>
            <w:gridSpan w:val="7"/>
            <w:tcBorders>
              <w:top w:val="single" w:sz="4" w:space="0" w:color="auto"/>
              <w:left w:val="outset" w:sz="6" w:space="0" w:color="auto"/>
              <w:bottom w:val="outset" w:sz="6" w:space="0" w:color="auto"/>
              <w:right w:val="outset" w:sz="6" w:space="0" w:color="auto"/>
            </w:tcBorders>
            <w:vAlign w:val="center"/>
            <w:hideMark/>
          </w:tcPr>
          <w:p w:rsidR="003512FC" w:rsidRPr="00C35618" w:rsidRDefault="003512FC" w:rsidP="00C35618">
            <w:pPr>
              <w:jc w:val="center"/>
              <w:rPr>
                <w:b/>
              </w:rPr>
            </w:pPr>
            <w:r w:rsidRPr="00C35618">
              <w:rPr>
                <w:b/>
              </w:rPr>
              <w:t>2.tabula</w:t>
            </w:r>
          </w:p>
          <w:p w:rsidR="003512FC" w:rsidRPr="00285487" w:rsidRDefault="003512FC" w:rsidP="00C35618">
            <w:pPr>
              <w:jc w:val="center"/>
              <w:rPr>
                <w:b/>
              </w:rPr>
            </w:pPr>
            <w:r w:rsidRPr="00C35618">
              <w:rPr>
                <w:b/>
              </w:rPr>
              <w:t xml:space="preserve">Ar </w:t>
            </w:r>
            <w:r w:rsidRPr="00285487">
              <w:rPr>
                <w:b/>
              </w:rPr>
              <w:t>tiesību akta projektu uzņemtās saistības, kas izriet no starptautiskajiem tiesību aktiem vai starptautiskas institūcijas vai organizācijas dokumentiem</w:t>
            </w:r>
          </w:p>
          <w:p w:rsidR="003512FC" w:rsidRPr="005A2614" w:rsidRDefault="003512FC" w:rsidP="00C35618">
            <w:pPr>
              <w:jc w:val="center"/>
            </w:pPr>
            <w:r w:rsidRPr="00285487">
              <w:rPr>
                <w:b/>
              </w:rPr>
              <w:t>Pasākumi šo saistību izpildei</w:t>
            </w:r>
          </w:p>
        </w:tc>
      </w:tr>
      <w:tr w:rsidR="003512FC" w:rsidRPr="005A2614" w:rsidTr="009670EF">
        <w:trPr>
          <w:trHeight w:val="1596"/>
          <w:tblCellSpacing w:w="0" w:type="dxa"/>
        </w:trPr>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3512FC" w:rsidRPr="005A2614" w:rsidRDefault="003512FC" w:rsidP="003063AC">
            <w:pPr>
              <w:spacing w:before="100" w:beforeAutospacing="1" w:after="100" w:afterAutospacing="1"/>
            </w:pPr>
            <w:r w:rsidRPr="005A2614">
              <w:t> Attiecīgā starptautiskā tiesību akta vai starptautiskas institūcijas vai organizācijas dokumenta (turpmāk – starptautiskais dokuments) datums, numurs un nosaukums</w:t>
            </w:r>
          </w:p>
        </w:tc>
        <w:tc>
          <w:tcPr>
            <w:tcW w:w="7259" w:type="dxa"/>
            <w:gridSpan w:val="5"/>
            <w:tcBorders>
              <w:top w:val="outset" w:sz="6" w:space="0" w:color="auto"/>
              <w:left w:val="outset" w:sz="6" w:space="0" w:color="auto"/>
              <w:bottom w:val="outset" w:sz="6" w:space="0" w:color="auto"/>
              <w:right w:val="outset" w:sz="6" w:space="0" w:color="auto"/>
            </w:tcBorders>
            <w:hideMark/>
          </w:tcPr>
          <w:p w:rsidR="003512FC" w:rsidRPr="005A2614" w:rsidRDefault="003512FC" w:rsidP="003063AC">
            <w:pPr>
              <w:spacing w:before="100" w:beforeAutospacing="1" w:after="100" w:afterAutospacing="1"/>
            </w:pPr>
            <w:r w:rsidRPr="005A2614">
              <w:t> </w:t>
            </w:r>
            <w:r w:rsidR="008B7961" w:rsidRPr="0048458B">
              <w:rPr>
                <w:iCs/>
              </w:rPr>
              <w:t>Projekts šo jomu neskar</w:t>
            </w:r>
          </w:p>
        </w:tc>
      </w:tr>
      <w:tr w:rsidR="003512FC" w:rsidRPr="005A2614" w:rsidTr="009670EF">
        <w:trPr>
          <w:trHeight w:val="163"/>
          <w:tblCellSpacing w:w="0" w:type="dxa"/>
        </w:trPr>
        <w:tc>
          <w:tcPr>
            <w:tcW w:w="9213" w:type="dxa"/>
            <w:gridSpan w:val="7"/>
            <w:tcBorders>
              <w:top w:val="outset" w:sz="6" w:space="0" w:color="auto"/>
              <w:left w:val="outset" w:sz="6" w:space="0" w:color="auto"/>
              <w:bottom w:val="outset" w:sz="6" w:space="0" w:color="auto"/>
              <w:right w:val="outset" w:sz="6" w:space="0" w:color="auto"/>
            </w:tcBorders>
            <w:vAlign w:val="center"/>
            <w:hideMark/>
          </w:tcPr>
          <w:p w:rsidR="003512FC" w:rsidRPr="005A2614" w:rsidRDefault="003512FC" w:rsidP="003063AC">
            <w:pPr>
              <w:spacing w:before="100" w:beforeAutospacing="1" w:after="100" w:afterAutospacing="1" w:line="163" w:lineRule="atLeast"/>
            </w:pPr>
            <w:r w:rsidRPr="005A2614">
              <w:t>  </w:t>
            </w:r>
          </w:p>
        </w:tc>
      </w:tr>
      <w:tr w:rsidR="003512FC" w:rsidRPr="005A2614" w:rsidTr="009670EF">
        <w:trPr>
          <w:trHeight w:val="341"/>
          <w:tblCellSpacing w:w="0" w:type="dxa"/>
        </w:trPr>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3512FC" w:rsidRPr="005A2614" w:rsidRDefault="003512FC" w:rsidP="00C35618">
            <w:pPr>
              <w:spacing w:before="100" w:beforeAutospacing="1" w:after="100" w:afterAutospacing="1"/>
              <w:jc w:val="center"/>
            </w:pPr>
            <w:r w:rsidRPr="005A2614">
              <w:t>A</w:t>
            </w:r>
          </w:p>
        </w:tc>
        <w:tc>
          <w:tcPr>
            <w:tcW w:w="2130" w:type="dxa"/>
            <w:gridSpan w:val="3"/>
            <w:tcBorders>
              <w:top w:val="outset" w:sz="6" w:space="0" w:color="auto"/>
              <w:left w:val="outset" w:sz="6" w:space="0" w:color="auto"/>
              <w:bottom w:val="outset" w:sz="6" w:space="0" w:color="auto"/>
              <w:right w:val="outset" w:sz="6" w:space="0" w:color="auto"/>
            </w:tcBorders>
            <w:vAlign w:val="center"/>
            <w:hideMark/>
          </w:tcPr>
          <w:p w:rsidR="003512FC" w:rsidRPr="005A2614" w:rsidRDefault="003512FC" w:rsidP="00C35618">
            <w:pPr>
              <w:spacing w:before="100" w:beforeAutospacing="1" w:after="100" w:afterAutospacing="1"/>
              <w:jc w:val="center"/>
            </w:pPr>
            <w:r w:rsidRPr="005A2614">
              <w:t>B</w:t>
            </w:r>
          </w:p>
        </w:tc>
        <w:tc>
          <w:tcPr>
            <w:tcW w:w="5129" w:type="dxa"/>
            <w:gridSpan w:val="2"/>
            <w:tcBorders>
              <w:top w:val="outset" w:sz="6" w:space="0" w:color="auto"/>
              <w:left w:val="outset" w:sz="6" w:space="0" w:color="auto"/>
              <w:bottom w:val="outset" w:sz="6" w:space="0" w:color="auto"/>
              <w:right w:val="outset" w:sz="6" w:space="0" w:color="auto"/>
            </w:tcBorders>
            <w:vAlign w:val="center"/>
            <w:hideMark/>
          </w:tcPr>
          <w:p w:rsidR="003512FC" w:rsidRPr="005A2614" w:rsidRDefault="003512FC" w:rsidP="00C35618">
            <w:pPr>
              <w:spacing w:before="100" w:beforeAutospacing="1" w:after="100" w:afterAutospacing="1"/>
              <w:jc w:val="center"/>
            </w:pPr>
            <w:r w:rsidRPr="005A2614">
              <w:t>C</w:t>
            </w:r>
          </w:p>
        </w:tc>
      </w:tr>
      <w:tr w:rsidR="003512FC" w:rsidRPr="005A2614" w:rsidTr="009670EF">
        <w:trPr>
          <w:trHeight w:val="161"/>
          <w:tblCellSpacing w:w="0" w:type="dxa"/>
        </w:trPr>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3512FC" w:rsidRPr="009E4A09" w:rsidRDefault="0052303D" w:rsidP="003063AC">
            <w:pPr>
              <w:spacing w:before="100" w:beforeAutospacing="1" w:after="100" w:afterAutospacing="1" w:line="161" w:lineRule="atLeast"/>
            </w:pPr>
            <w:r>
              <w:t> </w:t>
            </w:r>
            <w:r w:rsidRPr="0048458B">
              <w:rPr>
                <w:iCs/>
              </w:rPr>
              <w:t>Projekts šo jomu neskar</w:t>
            </w:r>
          </w:p>
        </w:tc>
        <w:tc>
          <w:tcPr>
            <w:tcW w:w="2130" w:type="dxa"/>
            <w:gridSpan w:val="3"/>
            <w:tcBorders>
              <w:top w:val="outset" w:sz="6" w:space="0" w:color="auto"/>
              <w:left w:val="outset" w:sz="6" w:space="0" w:color="auto"/>
              <w:bottom w:val="outset" w:sz="6" w:space="0" w:color="auto"/>
              <w:right w:val="outset" w:sz="6" w:space="0" w:color="auto"/>
            </w:tcBorders>
            <w:vAlign w:val="center"/>
            <w:hideMark/>
          </w:tcPr>
          <w:p w:rsidR="003512FC" w:rsidRPr="005A2614" w:rsidRDefault="0052303D" w:rsidP="0052303D">
            <w:pPr>
              <w:spacing w:before="100" w:beforeAutospacing="1" w:after="100" w:afterAutospacing="1" w:line="161" w:lineRule="atLeast"/>
            </w:pPr>
            <w:r w:rsidRPr="0048458B">
              <w:rPr>
                <w:iCs/>
              </w:rPr>
              <w:t>Projekts šo jomu neskar</w:t>
            </w:r>
          </w:p>
        </w:tc>
        <w:tc>
          <w:tcPr>
            <w:tcW w:w="5129" w:type="dxa"/>
            <w:gridSpan w:val="2"/>
            <w:tcBorders>
              <w:top w:val="outset" w:sz="6" w:space="0" w:color="auto"/>
              <w:left w:val="outset" w:sz="6" w:space="0" w:color="auto"/>
              <w:bottom w:val="outset" w:sz="6" w:space="0" w:color="auto"/>
              <w:right w:val="outset" w:sz="6" w:space="0" w:color="auto"/>
            </w:tcBorders>
            <w:vAlign w:val="center"/>
            <w:hideMark/>
          </w:tcPr>
          <w:p w:rsidR="003512FC" w:rsidRPr="005A2614" w:rsidRDefault="0052303D" w:rsidP="0052303D">
            <w:pPr>
              <w:spacing w:before="100" w:beforeAutospacing="1" w:after="100" w:afterAutospacing="1" w:line="161" w:lineRule="atLeast"/>
            </w:pPr>
            <w:r w:rsidRPr="0048458B">
              <w:rPr>
                <w:iCs/>
              </w:rPr>
              <w:t>Projekts šo jomu neskar</w:t>
            </w:r>
          </w:p>
        </w:tc>
      </w:tr>
      <w:tr w:rsidR="003512FC" w:rsidRPr="005A2614" w:rsidTr="009670EF">
        <w:trPr>
          <w:trHeight w:val="161"/>
          <w:tblCellSpacing w:w="0" w:type="dxa"/>
        </w:trPr>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3512FC" w:rsidRPr="009E4A09" w:rsidRDefault="003512FC" w:rsidP="009E4A09">
            <w:pPr>
              <w:spacing w:before="100" w:beforeAutospacing="1" w:after="100" w:afterAutospacing="1"/>
            </w:pPr>
            <w:r w:rsidRPr="009E4A09">
              <w:lastRenderedPageBreak/>
              <w:t>Starptautiskās saistības (pēc būtības), kas izriet no norādītā starptautiskā dokumenta.</w:t>
            </w:r>
          </w:p>
          <w:p w:rsidR="003512FC" w:rsidRPr="009E4A09" w:rsidRDefault="003512FC" w:rsidP="008E1108">
            <w:pPr>
              <w:spacing w:before="100" w:beforeAutospacing="1" w:after="100" w:afterAutospacing="1"/>
            </w:pPr>
            <w:r w:rsidRPr="009E4A09">
              <w:t>Konkrēti veicamie pasākumi vai uzdevumi, kas nepieciešami šo starptautisko saistību izpildei</w:t>
            </w:r>
          </w:p>
        </w:tc>
        <w:tc>
          <w:tcPr>
            <w:tcW w:w="2130" w:type="dxa"/>
            <w:gridSpan w:val="3"/>
            <w:tcBorders>
              <w:top w:val="outset" w:sz="6" w:space="0" w:color="auto"/>
              <w:left w:val="outset" w:sz="6" w:space="0" w:color="auto"/>
              <w:bottom w:val="outset" w:sz="6" w:space="0" w:color="auto"/>
              <w:right w:val="outset" w:sz="6" w:space="0" w:color="auto"/>
            </w:tcBorders>
            <w:hideMark/>
          </w:tcPr>
          <w:p w:rsidR="003512FC" w:rsidRPr="005A2614" w:rsidRDefault="0052303D" w:rsidP="00B86B2A">
            <w:pPr>
              <w:spacing w:before="100" w:beforeAutospacing="1" w:after="100" w:afterAutospacing="1" w:line="161" w:lineRule="atLeast"/>
              <w:ind w:left="126"/>
            </w:pPr>
            <w:r w:rsidRPr="0048458B">
              <w:rPr>
                <w:iCs/>
              </w:rPr>
              <w:t>Projekts šo jomu neskar</w:t>
            </w:r>
          </w:p>
        </w:tc>
        <w:tc>
          <w:tcPr>
            <w:tcW w:w="5129" w:type="dxa"/>
            <w:gridSpan w:val="2"/>
            <w:tcBorders>
              <w:top w:val="outset" w:sz="6" w:space="0" w:color="auto"/>
              <w:left w:val="outset" w:sz="6" w:space="0" w:color="auto"/>
              <w:bottom w:val="outset" w:sz="6" w:space="0" w:color="auto"/>
              <w:right w:val="outset" w:sz="6" w:space="0" w:color="auto"/>
            </w:tcBorders>
          </w:tcPr>
          <w:p w:rsidR="003512FC" w:rsidRPr="005A2614" w:rsidRDefault="0052303D" w:rsidP="00B86B2A">
            <w:pPr>
              <w:spacing w:before="100" w:beforeAutospacing="1" w:after="100" w:afterAutospacing="1" w:line="161" w:lineRule="atLeast"/>
              <w:ind w:left="126"/>
            </w:pPr>
            <w:r w:rsidRPr="0048458B">
              <w:rPr>
                <w:iCs/>
              </w:rPr>
              <w:t>Projekts šo jomu neskar</w:t>
            </w:r>
          </w:p>
        </w:tc>
      </w:tr>
      <w:tr w:rsidR="003512FC" w:rsidRPr="005A2614" w:rsidTr="009670EF">
        <w:trPr>
          <w:trHeight w:val="161"/>
          <w:tblCellSpacing w:w="0" w:type="dxa"/>
        </w:trPr>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3512FC" w:rsidRPr="005A2614" w:rsidRDefault="003512FC" w:rsidP="003063AC">
            <w:pPr>
              <w:spacing w:before="100" w:beforeAutospacing="1" w:after="100" w:afterAutospacing="1" w:line="161" w:lineRule="atLeast"/>
            </w:pPr>
            <w:r w:rsidRPr="005A2614">
              <w:t>Vai starptautiskajā dokumentā paredzētās saistības nav pretrunā ar jau esošajām Latvijas Republikas starptautiskajām saistībām</w:t>
            </w:r>
          </w:p>
        </w:tc>
        <w:tc>
          <w:tcPr>
            <w:tcW w:w="7259" w:type="dxa"/>
            <w:gridSpan w:val="5"/>
            <w:tcBorders>
              <w:top w:val="outset" w:sz="6" w:space="0" w:color="auto"/>
              <w:left w:val="outset" w:sz="6" w:space="0" w:color="auto"/>
              <w:bottom w:val="outset" w:sz="6" w:space="0" w:color="auto"/>
              <w:right w:val="outset" w:sz="6" w:space="0" w:color="ACA899"/>
            </w:tcBorders>
            <w:hideMark/>
          </w:tcPr>
          <w:p w:rsidR="003512FC" w:rsidRPr="005A2614" w:rsidRDefault="0052303D" w:rsidP="00B86B2A">
            <w:pPr>
              <w:spacing w:before="100" w:beforeAutospacing="1" w:after="100" w:afterAutospacing="1" w:line="161" w:lineRule="atLeast"/>
              <w:ind w:left="126"/>
            </w:pPr>
            <w:r w:rsidRPr="0048458B">
              <w:rPr>
                <w:iCs/>
              </w:rPr>
              <w:t>Projekts šo jomu neskar</w:t>
            </w:r>
          </w:p>
        </w:tc>
      </w:tr>
      <w:tr w:rsidR="003512FC" w:rsidRPr="005A2614" w:rsidTr="009670EF">
        <w:trPr>
          <w:trHeight w:val="342"/>
          <w:tblCellSpacing w:w="0" w:type="dxa"/>
        </w:trPr>
        <w:tc>
          <w:tcPr>
            <w:tcW w:w="1954" w:type="dxa"/>
            <w:gridSpan w:val="2"/>
            <w:tcBorders>
              <w:top w:val="outset" w:sz="6" w:space="0" w:color="auto"/>
              <w:left w:val="outset" w:sz="6" w:space="0" w:color="auto"/>
              <w:bottom w:val="outset" w:sz="6" w:space="0" w:color="auto"/>
              <w:right w:val="outset" w:sz="6" w:space="0" w:color="auto"/>
            </w:tcBorders>
            <w:hideMark/>
          </w:tcPr>
          <w:p w:rsidR="003512FC" w:rsidRPr="005A2614" w:rsidRDefault="003512FC" w:rsidP="003063AC">
            <w:pPr>
              <w:spacing w:before="100" w:beforeAutospacing="1" w:after="100" w:afterAutospacing="1"/>
            </w:pPr>
            <w:r>
              <w:t> Cita informāc</w:t>
            </w:r>
            <w:r w:rsidRPr="005A2614">
              <w:t>ija</w:t>
            </w:r>
          </w:p>
        </w:tc>
        <w:tc>
          <w:tcPr>
            <w:tcW w:w="7259" w:type="dxa"/>
            <w:gridSpan w:val="5"/>
            <w:tcBorders>
              <w:top w:val="outset" w:sz="6" w:space="0" w:color="auto"/>
              <w:left w:val="outset" w:sz="6" w:space="0" w:color="auto"/>
              <w:bottom w:val="outset" w:sz="6" w:space="0" w:color="auto"/>
              <w:right w:val="outset" w:sz="6" w:space="0" w:color="auto"/>
            </w:tcBorders>
            <w:hideMark/>
          </w:tcPr>
          <w:p w:rsidR="003512FC" w:rsidRPr="005A2614" w:rsidRDefault="003512FC" w:rsidP="00B86B2A">
            <w:pPr>
              <w:spacing w:before="100" w:beforeAutospacing="1" w:after="100" w:afterAutospacing="1"/>
              <w:ind w:left="126"/>
            </w:pPr>
            <w:r>
              <w:t xml:space="preserve"> Nav.</w:t>
            </w:r>
          </w:p>
        </w:tc>
      </w:tr>
    </w:tbl>
    <w:p w:rsidR="004260CD" w:rsidRDefault="004260CD" w:rsidP="004260CD">
      <w:pPr>
        <w:pStyle w:val="naisf"/>
        <w:spacing w:before="0" w:after="0"/>
        <w:rPr>
          <w:sz w:val="28"/>
          <w:szCs w:val="28"/>
        </w:rPr>
      </w:pPr>
    </w:p>
    <w:tbl>
      <w:tblPr>
        <w:tblW w:w="9457"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6"/>
        <w:gridCol w:w="2239"/>
        <w:gridCol w:w="6712"/>
      </w:tblGrid>
      <w:tr w:rsidR="001051AD" w:rsidRPr="007C0F2C" w:rsidTr="001E7C09">
        <w:trPr>
          <w:jc w:val="center"/>
        </w:trPr>
        <w:tc>
          <w:tcPr>
            <w:tcW w:w="9457" w:type="dxa"/>
            <w:gridSpan w:val="3"/>
          </w:tcPr>
          <w:p w:rsidR="001051AD" w:rsidRPr="007C0F2C" w:rsidRDefault="001051AD" w:rsidP="003063AC">
            <w:pPr>
              <w:pStyle w:val="naisnod"/>
              <w:spacing w:before="0" w:after="0"/>
              <w:ind w:left="57" w:right="57"/>
            </w:pPr>
            <w:r w:rsidRPr="007C0F2C">
              <w:t>VI. Sabiedrības līdzdalība un šīs līdzdalības rezultāti</w:t>
            </w:r>
          </w:p>
        </w:tc>
      </w:tr>
      <w:tr w:rsidR="001051AD" w:rsidRPr="007C0F2C" w:rsidTr="001E0CD5">
        <w:trPr>
          <w:trHeight w:val="553"/>
          <w:jc w:val="center"/>
        </w:trPr>
        <w:tc>
          <w:tcPr>
            <w:tcW w:w="506" w:type="dxa"/>
          </w:tcPr>
          <w:p w:rsidR="001051AD" w:rsidRPr="007C0F2C" w:rsidRDefault="001051AD" w:rsidP="003063AC">
            <w:pPr>
              <w:pStyle w:val="naiskr"/>
              <w:spacing w:before="0" w:after="0"/>
              <w:ind w:left="57" w:right="57"/>
              <w:rPr>
                <w:bCs/>
                <w:sz w:val="22"/>
                <w:szCs w:val="22"/>
              </w:rPr>
            </w:pPr>
            <w:r w:rsidRPr="007C0F2C">
              <w:rPr>
                <w:bCs/>
                <w:sz w:val="22"/>
                <w:szCs w:val="22"/>
              </w:rPr>
              <w:t>1.</w:t>
            </w:r>
          </w:p>
        </w:tc>
        <w:tc>
          <w:tcPr>
            <w:tcW w:w="2239" w:type="dxa"/>
          </w:tcPr>
          <w:p w:rsidR="001051AD" w:rsidRPr="007C0F2C" w:rsidRDefault="001051AD" w:rsidP="00190EB2">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6712" w:type="dxa"/>
          </w:tcPr>
          <w:p w:rsidR="00CF0FC5" w:rsidRDefault="00B86B2A" w:rsidP="00CF0FC5">
            <w:pPr>
              <w:pStyle w:val="naiskr"/>
              <w:spacing w:before="0" w:after="0"/>
              <w:ind w:left="57" w:right="57"/>
              <w:jc w:val="both"/>
              <w:rPr>
                <w:bCs/>
              </w:rPr>
            </w:pPr>
            <w:r>
              <w:t xml:space="preserve">Sākotnējās likumprojekta redakcijas apspriestas </w:t>
            </w:r>
            <w:r w:rsidRPr="00585498">
              <w:rPr>
                <w:rFonts w:eastAsia="Calibri"/>
              </w:rPr>
              <w:t xml:space="preserve">ar </w:t>
            </w:r>
            <w:r w:rsidRPr="00585498">
              <w:rPr>
                <w:bCs/>
              </w:rPr>
              <w:t xml:space="preserve">2010. gada 15. februāra rīkojumu Nr.39 </w:t>
            </w:r>
            <w:r>
              <w:rPr>
                <w:bCs/>
              </w:rPr>
              <w:t>izveidotās</w:t>
            </w:r>
            <w:r w:rsidRPr="00585498">
              <w:rPr>
                <w:bCs/>
              </w:rPr>
              <w:t xml:space="preserve"> darba grup</w:t>
            </w:r>
            <w:r>
              <w:rPr>
                <w:bCs/>
              </w:rPr>
              <w:t xml:space="preserve">as ietvaros, </w:t>
            </w:r>
            <w:r w:rsidR="0087400C">
              <w:rPr>
                <w:bCs/>
              </w:rPr>
              <w:t xml:space="preserve">kurā darbojās pārstāvji no Vides ministrijas, Zemkopības ministrijas, Satiksmes ministrijas, Reģionālās attīstības un pašvaldību lietu ministrijas, Latvijas </w:t>
            </w:r>
            <w:r w:rsidR="007C7241">
              <w:rPr>
                <w:bCs/>
              </w:rPr>
              <w:t>P</w:t>
            </w:r>
            <w:r w:rsidR="0087400C">
              <w:rPr>
                <w:bCs/>
              </w:rPr>
              <w:t>ašvaldību savienības, Fizikālā enerģētikas institūta, Lauksaimniecības universitātes, Sabiedrisko pakalpojumu regulēšanas komisijas, AS „Latvenergo”, AS „Augstsprieguma tīkls”, AS „Sadales tīkls” u.c.</w:t>
            </w:r>
          </w:p>
          <w:p w:rsidR="009559B5" w:rsidRDefault="00CF0FC5" w:rsidP="009559B5">
            <w:pPr>
              <w:pStyle w:val="naiskr"/>
              <w:spacing w:before="0" w:after="0"/>
              <w:ind w:left="57" w:right="57"/>
              <w:jc w:val="both"/>
              <w:rPr>
                <w:bCs/>
              </w:rPr>
            </w:pPr>
            <w:r>
              <w:rPr>
                <w:bCs/>
              </w:rPr>
              <w:t>Organizējot nozares asociāciju un ekspertu uzklausīšanu, Ekonomikas ministrija aicinājusi izvirzīt savus pārstāvjus darbam pie likumprojekta izstr</w:t>
            </w:r>
            <w:r w:rsidR="0087400C">
              <w:rPr>
                <w:bCs/>
              </w:rPr>
              <w:t>ādes.</w:t>
            </w:r>
          </w:p>
          <w:p w:rsidR="009559B5" w:rsidRDefault="0087400C" w:rsidP="009559B5">
            <w:pPr>
              <w:pStyle w:val="naiskr"/>
              <w:spacing w:before="0" w:after="0"/>
              <w:ind w:left="57" w:right="57"/>
              <w:jc w:val="both"/>
            </w:pPr>
            <w:r>
              <w:rPr>
                <w:bCs/>
              </w:rPr>
              <w:t xml:space="preserve">Par likumprojektu organizētas darba grupas sanāksmes un sanāksmes plašākā auditorijā, iesaistot atjaunojamās enerģijas nozares asociācijas, uzaicinot to deleģētos pārstāvjus. Sanāksmēs tika pārstāvēta </w:t>
            </w:r>
            <w:r w:rsidRPr="009559B5">
              <w:t>RPA „Rīgas enerģētikas aģentūra”, SIA „Biomehānikas un fizikālo pētījumu institūts”, Klimata tehnoloģiju sadarbības padome, Atjaunojamās enerģijas konfederācija, Latvijas Vēja enerģijas asociācija, Mazās hidroenerģētikas asociācija, Latvijas Biomasas asociācija (LATBIONRG), Latvijas Biodegvielu un bioenerģijas asociācija, Latvijas Biogāzes asociācija, Saules enerģijas asociācija, Latvijas Biometāna asociācija, Latvijas Siltumuzņēmumu asociācija, Latvijas Atkritumu saimniecības uzņēmumu asociācija, SIA „</w:t>
            </w:r>
            <w:proofErr w:type="spellStart"/>
            <w:r w:rsidRPr="009559B5">
              <w:t>Getliņi</w:t>
            </w:r>
            <w:proofErr w:type="spellEnd"/>
            <w:r w:rsidRPr="009559B5">
              <w:t xml:space="preserve"> EKO“,  Vides attīstības biedrība, Biedrība „Latvijas Kokrūpniecības federācija”, Latvijas Termogazifikācijas asociācija, </w:t>
            </w:r>
            <w:r w:rsidR="009559B5" w:rsidRPr="009559B5">
              <w:t xml:space="preserve">Latvijas Elektroenerģētiķu un energobūvnieku asociācija, „Lauksaimnieku organizāciju sadarbības </w:t>
            </w:r>
            <w:r w:rsidR="009559B5" w:rsidRPr="009559B5">
              <w:lastRenderedPageBreak/>
              <w:t xml:space="preserve">padome”, Zemnieku saeima,  Latvijas Siltumsūkņu Asociācija, </w:t>
            </w:r>
            <w:r w:rsidR="009559B5" w:rsidRPr="009559B5">
              <w:rPr>
                <w:lang w:val="de-DE"/>
              </w:rPr>
              <w:t xml:space="preserve">Latvijas Energoefektivitātes asociācija (LEEA), </w:t>
            </w:r>
            <w:r w:rsidR="009559B5" w:rsidRPr="009559B5">
              <w:rPr>
                <w:bCs/>
              </w:rPr>
              <w:t xml:space="preserve">Latvijas Ūdeņraža Asociācija, </w:t>
            </w:r>
            <w:r w:rsidR="009559B5" w:rsidRPr="009559B5">
              <w:t>Vides konsultatīvā padome, Biedrība „Zaļais pulss”, Eiropas Reģionālās attīstības biedrība, SIA ENEFIT, “Bezizmešu mobilitātes atbalsta</w:t>
            </w:r>
            <w:r w:rsidR="006F5F13">
              <w:t xml:space="preserve"> </w:t>
            </w:r>
            <w:r w:rsidR="009559B5" w:rsidRPr="009559B5">
              <w:t>biedrība</w:t>
            </w:r>
            <w:r w:rsidR="006F5F13">
              <w:t>””</w:t>
            </w:r>
            <w:r w:rsidR="009559B5" w:rsidRPr="009559B5">
              <w:t>. Par likumprojektu, atbildot uz iesniegumiem tika informēti arī citi interesenti.</w:t>
            </w:r>
          </w:p>
          <w:p w:rsidR="00CF0FC5" w:rsidRPr="009559B5" w:rsidRDefault="007C7241" w:rsidP="009559B5">
            <w:pPr>
              <w:pStyle w:val="naiskr"/>
              <w:spacing w:before="0" w:after="0"/>
              <w:ind w:left="57" w:right="57"/>
              <w:jc w:val="both"/>
              <w:rPr>
                <w:bCs/>
              </w:rPr>
            </w:pPr>
            <w:r>
              <w:rPr>
                <w:bCs/>
              </w:rPr>
              <w:t>Rīgas Tehniskās universitātes</w:t>
            </w:r>
            <w:r w:rsidR="00CF0FC5">
              <w:rPr>
                <w:bCs/>
              </w:rPr>
              <w:t xml:space="preserve"> rīkotajos</w:t>
            </w:r>
            <w:r w:rsidR="00B86B2A">
              <w:rPr>
                <w:bCs/>
              </w:rPr>
              <w:t xml:space="preserve"> Zaļās enerģijas forumos</w:t>
            </w:r>
            <w:r w:rsidR="00CF0FC5">
              <w:rPr>
                <w:bCs/>
              </w:rPr>
              <w:t>, piedaloties Vides ministrijai, Ekonomikas ministrijai un Zemkopības ministrijai</w:t>
            </w:r>
            <w:r w:rsidR="002D63F0">
              <w:rPr>
                <w:bCs/>
              </w:rPr>
              <w:t xml:space="preserve"> (2010.gada </w:t>
            </w:r>
            <w:r w:rsidR="00CF0FC5">
              <w:rPr>
                <w:bCs/>
              </w:rPr>
              <w:t>18.janvārī</w:t>
            </w:r>
            <w:r w:rsidR="002D63F0">
              <w:rPr>
                <w:bCs/>
              </w:rPr>
              <w:t>, 2010.gada</w:t>
            </w:r>
            <w:r w:rsidR="00CF0FC5">
              <w:rPr>
                <w:bCs/>
              </w:rPr>
              <w:t xml:space="preserve"> 19.maijā</w:t>
            </w:r>
            <w:r>
              <w:rPr>
                <w:bCs/>
              </w:rPr>
              <w:t>, 2010.gada 16.septembrī</w:t>
            </w:r>
            <w:r w:rsidR="002D63F0">
              <w:rPr>
                <w:bCs/>
              </w:rPr>
              <w:t>)</w:t>
            </w:r>
            <w:r w:rsidR="00B86B2A">
              <w:rPr>
                <w:bCs/>
              </w:rPr>
              <w:t xml:space="preserve"> prezentētas likumprojekta </w:t>
            </w:r>
            <w:r w:rsidR="009559B5">
              <w:rPr>
                <w:bCs/>
              </w:rPr>
              <w:t>aktuālās</w:t>
            </w:r>
            <w:r w:rsidR="00B86B2A">
              <w:rPr>
                <w:bCs/>
              </w:rPr>
              <w:t xml:space="preserve"> redakcijas, uzklausīti enerģētiku pārstāvošo ekspertu viedokļi, iebildumi un komentāri, sniegtas atbildes uz ekspertu jautājumiem. Pēc Ekonomikas ministrijas aicinājuma Ekonomikas ministrijā saņemti iebildumi un priekšlikumi.</w:t>
            </w:r>
          </w:p>
        </w:tc>
      </w:tr>
      <w:tr w:rsidR="001051AD" w:rsidRPr="007C0F2C" w:rsidTr="001E0CD5">
        <w:trPr>
          <w:trHeight w:val="339"/>
          <w:jc w:val="center"/>
        </w:trPr>
        <w:tc>
          <w:tcPr>
            <w:tcW w:w="506" w:type="dxa"/>
          </w:tcPr>
          <w:p w:rsidR="001051AD" w:rsidRPr="007C0F2C" w:rsidRDefault="001051AD" w:rsidP="003063AC">
            <w:pPr>
              <w:pStyle w:val="naiskr"/>
              <w:spacing w:before="0" w:after="0"/>
              <w:ind w:left="57" w:right="-469"/>
              <w:rPr>
                <w:bCs/>
                <w:sz w:val="22"/>
                <w:szCs w:val="22"/>
              </w:rPr>
            </w:pPr>
            <w:r w:rsidRPr="007C0F2C">
              <w:rPr>
                <w:bCs/>
                <w:sz w:val="22"/>
                <w:szCs w:val="22"/>
              </w:rPr>
              <w:lastRenderedPageBreak/>
              <w:t>2.</w:t>
            </w:r>
          </w:p>
        </w:tc>
        <w:tc>
          <w:tcPr>
            <w:tcW w:w="2239" w:type="dxa"/>
          </w:tcPr>
          <w:p w:rsidR="001051AD" w:rsidRPr="007C0F2C" w:rsidRDefault="001051AD" w:rsidP="00190EB2">
            <w:pPr>
              <w:pStyle w:val="naiskr"/>
              <w:spacing w:before="0" w:after="0"/>
              <w:ind w:left="57" w:right="57"/>
              <w:rPr>
                <w:sz w:val="22"/>
                <w:szCs w:val="22"/>
              </w:rPr>
            </w:pPr>
            <w:r w:rsidRPr="007C0F2C">
              <w:rPr>
                <w:sz w:val="22"/>
                <w:szCs w:val="22"/>
              </w:rPr>
              <w:t xml:space="preserve">Sabiedrības līdzdalība projekta izstrādē </w:t>
            </w:r>
          </w:p>
        </w:tc>
        <w:tc>
          <w:tcPr>
            <w:tcW w:w="6712" w:type="dxa"/>
          </w:tcPr>
          <w:p w:rsidR="001051AD" w:rsidRPr="00D57116" w:rsidRDefault="00B86B2A" w:rsidP="00D57116">
            <w:pPr>
              <w:pStyle w:val="naiskr"/>
              <w:spacing w:before="0" w:after="0"/>
              <w:ind w:left="57" w:right="57"/>
              <w:jc w:val="both"/>
              <w:rPr>
                <w:bCs/>
              </w:rPr>
            </w:pPr>
            <w:r>
              <w:t>Likumprojekta sākotnējās redakcijas guvušas lielu sabiedrības ieinteresētību</w:t>
            </w:r>
            <w:r w:rsidR="009559B5">
              <w:t>. No iesaist</w:t>
            </w:r>
            <w:r w:rsidR="00D57116">
              <w:t>īto nozares ekspertiem</w:t>
            </w:r>
            <w:r w:rsidR="009559B5">
              <w:t>, asociāciju pārstāvj</w:t>
            </w:r>
            <w:r w:rsidR="00D57116">
              <w:t>iem</w:t>
            </w:r>
            <w:r w:rsidR="009559B5">
              <w:t xml:space="preserve"> par likumprojektu saņemti un izvērtēti iesniegtie iebildumi un priekšlikumi.</w:t>
            </w:r>
          </w:p>
        </w:tc>
      </w:tr>
      <w:tr w:rsidR="001051AD" w:rsidRPr="007C0F2C" w:rsidTr="001E0CD5">
        <w:trPr>
          <w:trHeight w:val="375"/>
          <w:jc w:val="center"/>
        </w:trPr>
        <w:tc>
          <w:tcPr>
            <w:tcW w:w="506" w:type="dxa"/>
          </w:tcPr>
          <w:p w:rsidR="001051AD" w:rsidRPr="007C0F2C" w:rsidRDefault="001051AD" w:rsidP="003063AC">
            <w:pPr>
              <w:pStyle w:val="naiskr"/>
              <w:spacing w:before="0" w:after="0"/>
              <w:ind w:left="57" w:right="-469"/>
              <w:rPr>
                <w:bCs/>
                <w:sz w:val="22"/>
                <w:szCs w:val="22"/>
              </w:rPr>
            </w:pPr>
            <w:r w:rsidRPr="007C0F2C">
              <w:rPr>
                <w:bCs/>
                <w:sz w:val="22"/>
                <w:szCs w:val="22"/>
              </w:rPr>
              <w:t>3.</w:t>
            </w:r>
          </w:p>
        </w:tc>
        <w:tc>
          <w:tcPr>
            <w:tcW w:w="2239" w:type="dxa"/>
          </w:tcPr>
          <w:p w:rsidR="001051AD" w:rsidRPr="007C0F2C" w:rsidRDefault="001051AD" w:rsidP="00190EB2">
            <w:pPr>
              <w:pStyle w:val="naiskr"/>
              <w:spacing w:before="0" w:after="0"/>
              <w:ind w:left="57" w:right="57"/>
              <w:rPr>
                <w:sz w:val="22"/>
                <w:szCs w:val="22"/>
              </w:rPr>
            </w:pPr>
            <w:r w:rsidRPr="007C0F2C">
              <w:rPr>
                <w:sz w:val="22"/>
                <w:szCs w:val="22"/>
              </w:rPr>
              <w:t xml:space="preserve">Sabiedrības līdzdalības rezultāti </w:t>
            </w:r>
          </w:p>
        </w:tc>
        <w:tc>
          <w:tcPr>
            <w:tcW w:w="6712" w:type="dxa"/>
          </w:tcPr>
          <w:p w:rsidR="001051AD" w:rsidRPr="000F7F17" w:rsidRDefault="00D57116" w:rsidP="007E7BF9">
            <w:pPr>
              <w:pStyle w:val="naiskr"/>
              <w:spacing w:before="0" w:after="0"/>
              <w:ind w:left="57" w:right="50"/>
              <w:jc w:val="both"/>
            </w:pPr>
            <w:r>
              <w:t>Izvērtējot ilgtspējīgas atjaunojamās enerģijas</w:t>
            </w:r>
            <w:r w:rsidR="00647072">
              <w:t xml:space="preserve"> politikas</w:t>
            </w:r>
            <w:r>
              <w:t xml:space="preserve"> kā enerģētikas </w:t>
            </w:r>
            <w:proofErr w:type="spellStart"/>
            <w:r>
              <w:t>apakšpolitikas</w:t>
            </w:r>
            <w:proofErr w:type="spellEnd"/>
            <w:r>
              <w:t xml:space="preserve"> nozīmi</w:t>
            </w:r>
            <w:r w:rsidR="00647072">
              <w:t xml:space="preserve"> tādas enerģijas veicināšanā, kas enerģijas ražošanai izmanto vietējos atjaunojamos energoresursus, s</w:t>
            </w:r>
            <w:r w:rsidR="00B86B2A">
              <w:t>abiedrības līdzdalība</w:t>
            </w:r>
            <w:r w:rsidR="002D63F0">
              <w:t xml:space="preserve"> </w:t>
            </w:r>
            <w:r w:rsidR="00647072">
              <w:t>l</w:t>
            </w:r>
            <w:r w:rsidR="002D63F0">
              <w:t>ikumprojekta izstrādē</w:t>
            </w:r>
            <w:r w:rsidR="00B86B2A">
              <w:t xml:space="preserve"> </w:t>
            </w:r>
            <w:r>
              <w:t>bijusi būtiska</w:t>
            </w:r>
            <w:r w:rsidR="00647072">
              <w:t>.</w:t>
            </w:r>
          </w:p>
        </w:tc>
      </w:tr>
      <w:tr w:rsidR="001051AD" w:rsidRPr="007C0F2C" w:rsidTr="001E0CD5">
        <w:trPr>
          <w:trHeight w:val="397"/>
          <w:jc w:val="center"/>
        </w:trPr>
        <w:tc>
          <w:tcPr>
            <w:tcW w:w="506" w:type="dxa"/>
          </w:tcPr>
          <w:p w:rsidR="001051AD" w:rsidRPr="007C0F2C" w:rsidRDefault="001051AD" w:rsidP="003063AC">
            <w:pPr>
              <w:pStyle w:val="naiskr"/>
              <w:spacing w:before="0" w:after="0"/>
              <w:ind w:left="57" w:right="-469"/>
              <w:rPr>
                <w:bCs/>
                <w:sz w:val="22"/>
                <w:szCs w:val="22"/>
              </w:rPr>
            </w:pPr>
            <w:r w:rsidRPr="007C0F2C">
              <w:rPr>
                <w:bCs/>
                <w:sz w:val="22"/>
                <w:szCs w:val="22"/>
              </w:rPr>
              <w:t>4.</w:t>
            </w:r>
          </w:p>
        </w:tc>
        <w:tc>
          <w:tcPr>
            <w:tcW w:w="2239" w:type="dxa"/>
          </w:tcPr>
          <w:p w:rsidR="001051AD" w:rsidRPr="007C0F2C" w:rsidRDefault="001051AD" w:rsidP="00190EB2">
            <w:pPr>
              <w:pStyle w:val="naiskr"/>
              <w:spacing w:before="0" w:after="0"/>
              <w:ind w:left="57" w:right="57"/>
              <w:rPr>
                <w:sz w:val="22"/>
                <w:szCs w:val="22"/>
              </w:rPr>
            </w:pPr>
            <w:r w:rsidRPr="007C0F2C">
              <w:rPr>
                <w:sz w:val="22"/>
                <w:szCs w:val="22"/>
              </w:rPr>
              <w:t>Saeimas un ekspertu līdzdalība</w:t>
            </w:r>
          </w:p>
        </w:tc>
        <w:tc>
          <w:tcPr>
            <w:tcW w:w="6712" w:type="dxa"/>
          </w:tcPr>
          <w:p w:rsidR="001051AD" w:rsidRPr="00027A00" w:rsidRDefault="0052303D" w:rsidP="003063AC">
            <w:pPr>
              <w:pStyle w:val="naiskr"/>
              <w:spacing w:before="0" w:after="0"/>
              <w:ind w:left="57" w:right="-469"/>
              <w:jc w:val="both"/>
            </w:pPr>
            <w:r w:rsidRPr="0048458B">
              <w:rPr>
                <w:iCs/>
              </w:rPr>
              <w:t>Projekts šo jomu neskar</w:t>
            </w:r>
            <w:r>
              <w:rPr>
                <w:iCs/>
              </w:rPr>
              <w:t>.</w:t>
            </w:r>
          </w:p>
        </w:tc>
      </w:tr>
      <w:tr w:rsidR="001051AD" w:rsidRPr="007C0F2C" w:rsidTr="008E1108">
        <w:trPr>
          <w:trHeight w:val="323"/>
          <w:jc w:val="center"/>
        </w:trPr>
        <w:tc>
          <w:tcPr>
            <w:tcW w:w="506" w:type="dxa"/>
          </w:tcPr>
          <w:p w:rsidR="001051AD" w:rsidRPr="007C0F2C" w:rsidRDefault="001051AD" w:rsidP="003063AC">
            <w:pPr>
              <w:pStyle w:val="naiskr"/>
              <w:spacing w:before="0" w:after="0"/>
              <w:ind w:left="57" w:right="-469"/>
              <w:rPr>
                <w:bCs/>
                <w:sz w:val="22"/>
                <w:szCs w:val="22"/>
              </w:rPr>
            </w:pPr>
            <w:r w:rsidRPr="007C0F2C">
              <w:rPr>
                <w:bCs/>
                <w:sz w:val="22"/>
                <w:szCs w:val="22"/>
              </w:rPr>
              <w:t>5.</w:t>
            </w:r>
          </w:p>
        </w:tc>
        <w:tc>
          <w:tcPr>
            <w:tcW w:w="2239" w:type="dxa"/>
          </w:tcPr>
          <w:p w:rsidR="001051AD" w:rsidRPr="007C0F2C" w:rsidRDefault="001051AD" w:rsidP="008E1108">
            <w:pPr>
              <w:pStyle w:val="naiskr"/>
              <w:spacing w:before="0" w:after="0"/>
              <w:ind w:left="57" w:right="57"/>
              <w:rPr>
                <w:sz w:val="22"/>
                <w:szCs w:val="22"/>
              </w:rPr>
            </w:pPr>
            <w:r w:rsidRPr="007C0F2C">
              <w:rPr>
                <w:sz w:val="22"/>
                <w:szCs w:val="22"/>
              </w:rPr>
              <w:t>Cita informācij</w:t>
            </w:r>
            <w:r w:rsidR="008E1108">
              <w:rPr>
                <w:sz w:val="22"/>
                <w:szCs w:val="22"/>
              </w:rPr>
              <w:t>a</w:t>
            </w:r>
          </w:p>
        </w:tc>
        <w:tc>
          <w:tcPr>
            <w:tcW w:w="6712" w:type="dxa"/>
          </w:tcPr>
          <w:p w:rsidR="001051AD" w:rsidRPr="00027A00" w:rsidRDefault="007E7BF9" w:rsidP="003063AC">
            <w:pPr>
              <w:pStyle w:val="naiskr"/>
              <w:spacing w:before="0" w:after="0"/>
              <w:ind w:left="57" w:right="-469"/>
              <w:jc w:val="both"/>
            </w:pPr>
            <w:r>
              <w:t>Nav.</w:t>
            </w:r>
          </w:p>
        </w:tc>
      </w:tr>
    </w:tbl>
    <w:p w:rsidR="0084743F" w:rsidRPr="0056365F" w:rsidRDefault="0084743F" w:rsidP="0084743F">
      <w:pPr>
        <w:pStyle w:val="naisf"/>
        <w:spacing w:before="0" w:after="0"/>
        <w:jc w:val="center"/>
      </w:pPr>
    </w:p>
    <w:tbl>
      <w:tblPr>
        <w:tblW w:w="955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41"/>
        <w:gridCol w:w="2913"/>
        <w:gridCol w:w="6099"/>
      </w:tblGrid>
      <w:tr w:rsidR="0023436E" w:rsidRPr="0056365F" w:rsidTr="004260CD">
        <w:tc>
          <w:tcPr>
            <w:tcW w:w="9553" w:type="dxa"/>
            <w:gridSpan w:val="3"/>
            <w:tcBorders>
              <w:top w:val="single" w:sz="4" w:space="0" w:color="auto"/>
            </w:tcBorders>
          </w:tcPr>
          <w:p w:rsidR="0023436E" w:rsidRPr="0056365F" w:rsidRDefault="0023436E" w:rsidP="007D099D">
            <w:pPr>
              <w:pStyle w:val="naisnod"/>
              <w:spacing w:before="0" w:after="0"/>
              <w:ind w:left="57" w:right="57"/>
            </w:pPr>
            <w:r w:rsidRPr="0056365F">
              <w:t>VII</w:t>
            </w:r>
            <w:r w:rsidR="000941C5" w:rsidRPr="0056365F">
              <w:t>.</w:t>
            </w:r>
            <w:r w:rsidRPr="0056365F">
              <w:t xml:space="preserve"> Tiesību akta projekta izpildes nodrošināšana un tās ietekme uz institūcijām</w:t>
            </w:r>
          </w:p>
        </w:tc>
      </w:tr>
      <w:tr w:rsidR="0023436E" w:rsidRPr="0056365F" w:rsidTr="001E0CD5">
        <w:trPr>
          <w:trHeight w:val="427"/>
        </w:trPr>
        <w:tc>
          <w:tcPr>
            <w:tcW w:w="541" w:type="dxa"/>
          </w:tcPr>
          <w:p w:rsidR="0023436E" w:rsidRPr="0056365F" w:rsidRDefault="0023436E" w:rsidP="007D099D">
            <w:pPr>
              <w:pStyle w:val="naisnod"/>
              <w:spacing w:before="0" w:after="0"/>
              <w:ind w:left="57" w:right="57"/>
              <w:jc w:val="left"/>
              <w:rPr>
                <w:b w:val="0"/>
              </w:rPr>
            </w:pPr>
            <w:r w:rsidRPr="0056365F">
              <w:rPr>
                <w:b w:val="0"/>
              </w:rPr>
              <w:t>1.</w:t>
            </w:r>
          </w:p>
        </w:tc>
        <w:tc>
          <w:tcPr>
            <w:tcW w:w="2913" w:type="dxa"/>
          </w:tcPr>
          <w:p w:rsidR="0023436E" w:rsidRPr="0056365F" w:rsidRDefault="001A4066" w:rsidP="007D099D">
            <w:pPr>
              <w:pStyle w:val="naisf"/>
              <w:spacing w:before="0" w:after="0"/>
              <w:ind w:left="57" w:right="57" w:firstLine="0"/>
              <w:jc w:val="left"/>
            </w:pPr>
            <w:r w:rsidRPr="0056365F">
              <w:t>P</w:t>
            </w:r>
            <w:r w:rsidR="0023436E" w:rsidRPr="0056365F">
              <w:t xml:space="preserve">rojekta izpildē iesaistītās institūcijas </w:t>
            </w:r>
          </w:p>
        </w:tc>
        <w:tc>
          <w:tcPr>
            <w:tcW w:w="6099" w:type="dxa"/>
          </w:tcPr>
          <w:p w:rsidR="008C4C54" w:rsidRPr="0056365F" w:rsidRDefault="005F6070" w:rsidP="008C4C54">
            <w:pPr>
              <w:pStyle w:val="naisnod"/>
              <w:spacing w:before="0" w:after="0"/>
              <w:ind w:left="57" w:right="57"/>
              <w:jc w:val="left"/>
              <w:rPr>
                <w:b w:val="0"/>
              </w:rPr>
            </w:pPr>
            <w:r w:rsidRPr="0056365F">
              <w:rPr>
                <w:b w:val="0"/>
              </w:rPr>
              <w:t>Protokollēmuma</w:t>
            </w:r>
            <w:r w:rsidR="008C4C54" w:rsidRPr="0056365F">
              <w:rPr>
                <w:b w:val="0"/>
              </w:rPr>
              <w:t xml:space="preserve"> izpildi nodrošina šādas institūcijas:</w:t>
            </w:r>
          </w:p>
          <w:p w:rsidR="008C4C54" w:rsidRPr="0056365F" w:rsidRDefault="0057345E" w:rsidP="006576F3">
            <w:pPr>
              <w:pStyle w:val="naisnod"/>
              <w:spacing w:before="0" w:after="0"/>
              <w:ind w:left="85" w:right="57"/>
              <w:jc w:val="both"/>
              <w:rPr>
                <w:b w:val="0"/>
              </w:rPr>
            </w:pPr>
            <w:r w:rsidRPr="0056365F">
              <w:rPr>
                <w:b w:val="0"/>
              </w:rPr>
              <w:t xml:space="preserve">Ministru kabinets, </w:t>
            </w:r>
            <w:r w:rsidR="008C4C54" w:rsidRPr="0056365F">
              <w:rPr>
                <w:b w:val="0"/>
              </w:rPr>
              <w:t>Ekonomikas ministrija</w:t>
            </w:r>
            <w:r w:rsidRPr="0056365F">
              <w:rPr>
                <w:b w:val="0"/>
              </w:rPr>
              <w:t xml:space="preserve">, </w:t>
            </w:r>
            <w:r w:rsidR="004260CD" w:rsidRPr="0056365F">
              <w:rPr>
                <w:b w:val="0"/>
              </w:rPr>
              <w:t xml:space="preserve">Vides ministrija, </w:t>
            </w:r>
            <w:r w:rsidR="008C4C54" w:rsidRPr="0056365F">
              <w:rPr>
                <w:b w:val="0"/>
                <w:iCs/>
              </w:rPr>
              <w:t>Reģionālās attīstības</w:t>
            </w:r>
            <w:r w:rsidRPr="0056365F">
              <w:rPr>
                <w:b w:val="0"/>
                <w:iCs/>
              </w:rPr>
              <w:t xml:space="preserve"> un pašvaldību lietu ministrija</w:t>
            </w:r>
            <w:r w:rsidR="004260CD">
              <w:rPr>
                <w:b w:val="0"/>
                <w:iCs/>
              </w:rPr>
              <w:t>, pašvaldības, Sabiedrisko pakalpojumu regulēšanas komisija, AS „Latvenergo”, AS „Augstspriegumu tīkls”, AS „Sadales tīkls”</w:t>
            </w:r>
            <w:r w:rsidR="006F5F13">
              <w:rPr>
                <w:b w:val="0"/>
                <w:iCs/>
              </w:rPr>
              <w:t>.</w:t>
            </w:r>
          </w:p>
        </w:tc>
      </w:tr>
      <w:tr w:rsidR="0023436E" w:rsidRPr="0056365F" w:rsidTr="001E0CD5">
        <w:trPr>
          <w:trHeight w:val="463"/>
        </w:trPr>
        <w:tc>
          <w:tcPr>
            <w:tcW w:w="541" w:type="dxa"/>
          </w:tcPr>
          <w:p w:rsidR="0023436E" w:rsidRPr="0056365F" w:rsidRDefault="0023436E" w:rsidP="007D099D">
            <w:pPr>
              <w:pStyle w:val="naisnod"/>
              <w:spacing w:before="0" w:after="0"/>
              <w:ind w:left="57" w:right="57"/>
              <w:jc w:val="left"/>
              <w:rPr>
                <w:b w:val="0"/>
              </w:rPr>
            </w:pPr>
            <w:r w:rsidRPr="0056365F">
              <w:rPr>
                <w:b w:val="0"/>
              </w:rPr>
              <w:t>2.</w:t>
            </w:r>
          </w:p>
        </w:tc>
        <w:tc>
          <w:tcPr>
            <w:tcW w:w="2913" w:type="dxa"/>
          </w:tcPr>
          <w:p w:rsidR="0023436E" w:rsidRPr="0056365F" w:rsidRDefault="001A4066" w:rsidP="007D099D">
            <w:pPr>
              <w:pStyle w:val="naisf"/>
              <w:spacing w:before="0" w:after="0"/>
              <w:ind w:left="57" w:right="57" w:firstLine="0"/>
              <w:jc w:val="left"/>
            </w:pPr>
            <w:r w:rsidRPr="0056365F">
              <w:t>Projekta i</w:t>
            </w:r>
            <w:r w:rsidR="0023436E" w:rsidRPr="0056365F">
              <w:t xml:space="preserve">zpildes ietekme uz pārvaldes funkcijām </w:t>
            </w:r>
          </w:p>
        </w:tc>
        <w:tc>
          <w:tcPr>
            <w:tcW w:w="6099" w:type="dxa"/>
          </w:tcPr>
          <w:p w:rsidR="005F6070" w:rsidRPr="0056365F" w:rsidRDefault="00A72A27" w:rsidP="00F941A8">
            <w:pPr>
              <w:pStyle w:val="naisnod"/>
              <w:spacing w:before="0" w:after="0"/>
              <w:ind w:left="57" w:right="57" w:hanging="10"/>
              <w:jc w:val="both"/>
              <w:rPr>
                <w:b w:val="0"/>
                <w:color w:val="000000"/>
              </w:rPr>
            </w:pPr>
            <w:r w:rsidRPr="0056365F">
              <w:rPr>
                <w:b w:val="0"/>
                <w:color w:val="000000"/>
              </w:rPr>
              <w:t xml:space="preserve">Projekts </w:t>
            </w:r>
            <w:r w:rsidR="004260CD">
              <w:rPr>
                <w:b w:val="0"/>
                <w:color w:val="000000"/>
              </w:rPr>
              <w:t>paredz noteikt jaunas</w:t>
            </w:r>
            <w:r w:rsidRPr="0056365F">
              <w:rPr>
                <w:b w:val="0"/>
                <w:color w:val="000000"/>
              </w:rPr>
              <w:t xml:space="preserve"> iesaistīto institūciju </w:t>
            </w:r>
            <w:r w:rsidR="00F32BA5" w:rsidRPr="0056365F">
              <w:rPr>
                <w:b w:val="0"/>
                <w:color w:val="000000"/>
              </w:rPr>
              <w:t>funkcijas</w:t>
            </w:r>
            <w:r w:rsidR="005F6070" w:rsidRPr="0056365F">
              <w:rPr>
                <w:b w:val="0"/>
                <w:color w:val="000000"/>
              </w:rPr>
              <w:t>.</w:t>
            </w:r>
          </w:p>
          <w:p w:rsidR="0023436E" w:rsidRPr="0056365F" w:rsidRDefault="005F6070" w:rsidP="004260CD">
            <w:pPr>
              <w:pStyle w:val="naisnod"/>
              <w:spacing w:before="0" w:after="0"/>
              <w:ind w:left="57" w:right="57" w:hanging="10"/>
              <w:jc w:val="both"/>
              <w:rPr>
                <w:b w:val="0"/>
              </w:rPr>
            </w:pPr>
            <w:r w:rsidRPr="0056365F">
              <w:rPr>
                <w:b w:val="0"/>
                <w:color w:val="000000"/>
              </w:rPr>
              <w:t>Protokollēmuma projekts paredz paplašināt visu iesaistīto institūciju kompetenci</w:t>
            </w:r>
            <w:r w:rsidR="004260CD">
              <w:rPr>
                <w:b w:val="0"/>
                <w:color w:val="000000"/>
              </w:rPr>
              <w:t>.</w:t>
            </w:r>
          </w:p>
        </w:tc>
      </w:tr>
      <w:tr w:rsidR="0023436E" w:rsidRPr="0056365F" w:rsidTr="001E0CD5">
        <w:trPr>
          <w:trHeight w:val="725"/>
        </w:trPr>
        <w:tc>
          <w:tcPr>
            <w:tcW w:w="541" w:type="dxa"/>
          </w:tcPr>
          <w:p w:rsidR="0023436E" w:rsidRPr="0056365F" w:rsidRDefault="0023436E" w:rsidP="007D099D">
            <w:pPr>
              <w:pStyle w:val="naisnod"/>
              <w:spacing w:before="0" w:after="0"/>
              <w:ind w:left="57" w:right="57"/>
              <w:jc w:val="left"/>
              <w:rPr>
                <w:b w:val="0"/>
              </w:rPr>
            </w:pPr>
            <w:r w:rsidRPr="0056365F">
              <w:rPr>
                <w:b w:val="0"/>
              </w:rPr>
              <w:t>3.</w:t>
            </w:r>
          </w:p>
        </w:tc>
        <w:tc>
          <w:tcPr>
            <w:tcW w:w="2913" w:type="dxa"/>
          </w:tcPr>
          <w:p w:rsidR="0023436E" w:rsidRPr="0056365F" w:rsidRDefault="001A4066" w:rsidP="007D099D">
            <w:pPr>
              <w:pStyle w:val="naisf"/>
              <w:spacing w:before="0" w:after="0"/>
              <w:ind w:left="57" w:right="57" w:firstLine="0"/>
              <w:jc w:val="left"/>
            </w:pPr>
            <w:r w:rsidRPr="0056365F">
              <w:t>Projekta iz</w:t>
            </w:r>
            <w:r w:rsidR="0023436E" w:rsidRPr="0056365F">
              <w:t>pildes ietekme uz pārvaldes institucionālo struktūru.</w:t>
            </w:r>
          </w:p>
          <w:p w:rsidR="0023436E" w:rsidRPr="0056365F" w:rsidRDefault="006C4607" w:rsidP="007D099D">
            <w:pPr>
              <w:pStyle w:val="naisf"/>
              <w:spacing w:before="0" w:after="0"/>
              <w:ind w:left="57" w:right="57" w:firstLine="0"/>
              <w:jc w:val="left"/>
            </w:pPr>
            <w:r w:rsidRPr="0056365F">
              <w:t>Jaunu institūciju izveide</w:t>
            </w:r>
          </w:p>
        </w:tc>
        <w:tc>
          <w:tcPr>
            <w:tcW w:w="6099" w:type="dxa"/>
          </w:tcPr>
          <w:p w:rsidR="0023436E" w:rsidRPr="0052303D" w:rsidRDefault="0052303D" w:rsidP="00F941A8">
            <w:pPr>
              <w:pStyle w:val="naisnod"/>
              <w:spacing w:before="0" w:after="0"/>
              <w:ind w:left="57" w:right="57" w:hanging="10"/>
              <w:jc w:val="left"/>
              <w:rPr>
                <w:b w:val="0"/>
              </w:rPr>
            </w:pPr>
            <w:r w:rsidRPr="0052303D">
              <w:rPr>
                <w:b w:val="0"/>
                <w:iCs/>
              </w:rPr>
              <w:t>Projekts šo jomu neskar.</w:t>
            </w:r>
          </w:p>
        </w:tc>
      </w:tr>
      <w:tr w:rsidR="0023436E" w:rsidRPr="0056365F" w:rsidTr="001E0CD5">
        <w:trPr>
          <w:trHeight w:val="780"/>
        </w:trPr>
        <w:tc>
          <w:tcPr>
            <w:tcW w:w="541" w:type="dxa"/>
          </w:tcPr>
          <w:p w:rsidR="0023436E" w:rsidRPr="0056365F" w:rsidRDefault="0023436E" w:rsidP="007D099D">
            <w:pPr>
              <w:pStyle w:val="naisnod"/>
              <w:spacing w:before="0" w:after="0"/>
              <w:ind w:left="57" w:right="57"/>
              <w:jc w:val="left"/>
              <w:rPr>
                <w:b w:val="0"/>
              </w:rPr>
            </w:pPr>
            <w:r w:rsidRPr="0056365F">
              <w:rPr>
                <w:b w:val="0"/>
              </w:rPr>
              <w:t>4.</w:t>
            </w:r>
          </w:p>
        </w:tc>
        <w:tc>
          <w:tcPr>
            <w:tcW w:w="2913" w:type="dxa"/>
          </w:tcPr>
          <w:p w:rsidR="0023436E" w:rsidRPr="0056365F" w:rsidRDefault="001A4066" w:rsidP="007D099D">
            <w:pPr>
              <w:pStyle w:val="naisf"/>
              <w:spacing w:before="0" w:after="0"/>
              <w:ind w:left="57" w:right="57" w:firstLine="0"/>
              <w:jc w:val="left"/>
            </w:pPr>
            <w:r w:rsidRPr="0056365F">
              <w:t>Projekta i</w:t>
            </w:r>
            <w:r w:rsidR="0023436E" w:rsidRPr="0056365F">
              <w:t>zpildes ietekme uz pārvaldes institucionālo struktūru.</w:t>
            </w:r>
          </w:p>
          <w:p w:rsidR="0023436E" w:rsidRPr="0056365F" w:rsidRDefault="006C4607" w:rsidP="007D099D">
            <w:pPr>
              <w:pStyle w:val="naisf"/>
              <w:spacing w:before="0" w:after="0"/>
              <w:ind w:left="57" w:right="57" w:firstLine="0"/>
              <w:jc w:val="left"/>
            </w:pPr>
            <w:r w:rsidRPr="0056365F">
              <w:t>Esošu institūciju likvidācija</w:t>
            </w:r>
          </w:p>
        </w:tc>
        <w:tc>
          <w:tcPr>
            <w:tcW w:w="6099" w:type="dxa"/>
          </w:tcPr>
          <w:p w:rsidR="0023436E" w:rsidRPr="0052303D" w:rsidRDefault="0052303D" w:rsidP="00F941A8">
            <w:pPr>
              <w:pStyle w:val="naisnod"/>
              <w:spacing w:before="0" w:after="0"/>
              <w:ind w:left="57" w:right="57" w:hanging="10"/>
              <w:jc w:val="left"/>
              <w:rPr>
                <w:b w:val="0"/>
              </w:rPr>
            </w:pPr>
            <w:r w:rsidRPr="0052303D">
              <w:rPr>
                <w:b w:val="0"/>
                <w:iCs/>
              </w:rPr>
              <w:t>Projekts šo jomu neskar.</w:t>
            </w:r>
          </w:p>
        </w:tc>
      </w:tr>
      <w:tr w:rsidR="0023436E" w:rsidRPr="0056365F" w:rsidTr="001E0CD5">
        <w:trPr>
          <w:trHeight w:val="703"/>
        </w:trPr>
        <w:tc>
          <w:tcPr>
            <w:tcW w:w="541" w:type="dxa"/>
          </w:tcPr>
          <w:p w:rsidR="0023436E" w:rsidRPr="0056365F" w:rsidRDefault="0023436E" w:rsidP="007D099D">
            <w:pPr>
              <w:pStyle w:val="naisnod"/>
              <w:spacing w:before="0" w:after="0"/>
              <w:ind w:left="57" w:right="57"/>
              <w:jc w:val="left"/>
              <w:rPr>
                <w:b w:val="0"/>
              </w:rPr>
            </w:pPr>
            <w:r w:rsidRPr="0056365F">
              <w:rPr>
                <w:b w:val="0"/>
              </w:rPr>
              <w:t>5.</w:t>
            </w:r>
          </w:p>
        </w:tc>
        <w:tc>
          <w:tcPr>
            <w:tcW w:w="2913" w:type="dxa"/>
          </w:tcPr>
          <w:p w:rsidR="0023436E" w:rsidRPr="0056365F" w:rsidRDefault="001A4066" w:rsidP="007D099D">
            <w:pPr>
              <w:pStyle w:val="naisf"/>
              <w:spacing w:before="0" w:after="0"/>
              <w:ind w:left="57" w:right="57" w:firstLine="0"/>
              <w:jc w:val="left"/>
            </w:pPr>
            <w:r w:rsidRPr="0056365F">
              <w:t>Projekta i</w:t>
            </w:r>
            <w:r w:rsidR="0023436E" w:rsidRPr="0056365F">
              <w:t>zpildes ietekme uz pārvaldes institucionālo struktūru.</w:t>
            </w:r>
          </w:p>
          <w:p w:rsidR="0023436E" w:rsidRPr="0056365F" w:rsidRDefault="0023436E" w:rsidP="007D099D">
            <w:pPr>
              <w:pStyle w:val="naisf"/>
              <w:spacing w:before="0" w:after="0"/>
              <w:ind w:left="57" w:right="57" w:firstLine="0"/>
              <w:jc w:val="left"/>
            </w:pPr>
            <w:r w:rsidRPr="0056365F">
              <w:t>Esošu institūciju reorganizācija</w:t>
            </w:r>
          </w:p>
        </w:tc>
        <w:tc>
          <w:tcPr>
            <w:tcW w:w="6099" w:type="dxa"/>
          </w:tcPr>
          <w:p w:rsidR="00A72A27" w:rsidRPr="0056365F" w:rsidRDefault="0052303D" w:rsidP="00F941A8">
            <w:pPr>
              <w:spacing w:before="100" w:beforeAutospacing="1" w:after="100" w:afterAutospacing="1"/>
              <w:ind w:left="57" w:hanging="10"/>
              <w:rPr>
                <w:color w:val="000000"/>
              </w:rPr>
            </w:pPr>
            <w:r w:rsidRPr="0048458B">
              <w:rPr>
                <w:iCs/>
              </w:rPr>
              <w:t>Projekts šo jomu neskar</w:t>
            </w:r>
            <w:r>
              <w:rPr>
                <w:iCs/>
              </w:rPr>
              <w:t>.</w:t>
            </w:r>
          </w:p>
          <w:p w:rsidR="0023436E" w:rsidRPr="0056365F" w:rsidRDefault="0023436E" w:rsidP="00F941A8">
            <w:pPr>
              <w:pStyle w:val="naisnod"/>
              <w:spacing w:before="0" w:after="0"/>
              <w:ind w:left="57" w:right="57" w:hanging="10"/>
              <w:jc w:val="left"/>
              <w:rPr>
                <w:b w:val="0"/>
              </w:rPr>
            </w:pPr>
          </w:p>
        </w:tc>
      </w:tr>
      <w:tr w:rsidR="0023436E" w:rsidRPr="0056365F" w:rsidTr="001E0CD5">
        <w:trPr>
          <w:trHeight w:val="476"/>
        </w:trPr>
        <w:tc>
          <w:tcPr>
            <w:tcW w:w="541" w:type="dxa"/>
          </w:tcPr>
          <w:p w:rsidR="0023436E" w:rsidRPr="0056365F" w:rsidRDefault="00F63DAC" w:rsidP="007D099D">
            <w:pPr>
              <w:pStyle w:val="naiskr"/>
              <w:spacing w:before="0" w:after="0"/>
              <w:ind w:left="57" w:right="57"/>
            </w:pPr>
            <w:r w:rsidRPr="0056365F">
              <w:lastRenderedPageBreak/>
              <w:t>6</w:t>
            </w:r>
            <w:r w:rsidR="0023436E" w:rsidRPr="0056365F">
              <w:t>.</w:t>
            </w:r>
          </w:p>
        </w:tc>
        <w:tc>
          <w:tcPr>
            <w:tcW w:w="2913" w:type="dxa"/>
          </w:tcPr>
          <w:p w:rsidR="0023436E" w:rsidRPr="0056365F" w:rsidRDefault="006C4607" w:rsidP="007D099D">
            <w:pPr>
              <w:pStyle w:val="naiskr"/>
              <w:spacing w:before="0" w:after="0"/>
              <w:ind w:left="57" w:right="57"/>
            </w:pPr>
            <w:r w:rsidRPr="0056365F">
              <w:t>Cita informācija</w:t>
            </w:r>
          </w:p>
        </w:tc>
        <w:tc>
          <w:tcPr>
            <w:tcW w:w="6099" w:type="dxa"/>
          </w:tcPr>
          <w:p w:rsidR="0023436E" w:rsidRPr="0056365F" w:rsidRDefault="007E7BF9" w:rsidP="00F941A8">
            <w:pPr>
              <w:pStyle w:val="naiskr"/>
              <w:spacing w:before="0" w:after="0"/>
              <w:ind w:left="57" w:right="57" w:hanging="10"/>
            </w:pPr>
            <w:r>
              <w:t>Nav</w:t>
            </w:r>
            <w:r w:rsidR="006F5F13">
              <w:t>.</w:t>
            </w:r>
          </w:p>
        </w:tc>
      </w:tr>
    </w:tbl>
    <w:p w:rsidR="00E1068D" w:rsidRPr="0056365F" w:rsidRDefault="00E1068D" w:rsidP="006C4607">
      <w:pPr>
        <w:pStyle w:val="naisf"/>
        <w:tabs>
          <w:tab w:val="left" w:pos="5760"/>
        </w:tabs>
        <w:spacing w:before="0" w:after="0"/>
        <w:ind w:firstLine="720"/>
      </w:pPr>
    </w:p>
    <w:p w:rsidR="00443084" w:rsidRPr="0056365F" w:rsidRDefault="00443084" w:rsidP="006C4607">
      <w:pPr>
        <w:pStyle w:val="naisf"/>
        <w:tabs>
          <w:tab w:val="left" w:pos="5760"/>
        </w:tabs>
        <w:spacing w:before="0" w:after="0"/>
        <w:ind w:firstLine="720"/>
      </w:pPr>
    </w:p>
    <w:p w:rsidR="00684F60" w:rsidRPr="0056365F" w:rsidRDefault="00241586" w:rsidP="00684F60">
      <w:pPr>
        <w:pStyle w:val="NormalWeb"/>
        <w:spacing w:before="0" w:beforeAutospacing="0" w:after="0" w:afterAutospacing="0"/>
        <w:ind w:left="540"/>
        <w:rPr>
          <w:sz w:val="28"/>
          <w:szCs w:val="28"/>
        </w:rPr>
      </w:pPr>
      <w:r w:rsidRPr="0056365F">
        <w:rPr>
          <w:sz w:val="28"/>
          <w:szCs w:val="28"/>
        </w:rPr>
        <w:t>Ekonomikas ministr</w:t>
      </w:r>
      <w:r w:rsidR="006576F3">
        <w:rPr>
          <w:sz w:val="28"/>
          <w:szCs w:val="28"/>
        </w:rPr>
        <w:t>s</w:t>
      </w:r>
      <w:r w:rsidRPr="0056365F">
        <w:rPr>
          <w:sz w:val="28"/>
          <w:szCs w:val="28"/>
        </w:rPr>
        <w:tab/>
      </w:r>
      <w:r w:rsidRPr="0056365F">
        <w:rPr>
          <w:sz w:val="28"/>
          <w:szCs w:val="28"/>
        </w:rPr>
        <w:tab/>
      </w:r>
      <w:r w:rsidRPr="0056365F">
        <w:rPr>
          <w:sz w:val="28"/>
          <w:szCs w:val="28"/>
        </w:rPr>
        <w:tab/>
      </w:r>
      <w:r w:rsidRPr="0056365F">
        <w:rPr>
          <w:sz w:val="28"/>
          <w:szCs w:val="28"/>
        </w:rPr>
        <w:tab/>
      </w:r>
      <w:r w:rsidRPr="0056365F">
        <w:rPr>
          <w:sz w:val="28"/>
          <w:szCs w:val="28"/>
        </w:rPr>
        <w:tab/>
      </w:r>
      <w:r w:rsidR="006576F3">
        <w:rPr>
          <w:sz w:val="28"/>
          <w:szCs w:val="28"/>
        </w:rPr>
        <w:t>A</w:t>
      </w:r>
      <w:r w:rsidR="00684F60" w:rsidRPr="0056365F">
        <w:rPr>
          <w:sz w:val="28"/>
          <w:szCs w:val="28"/>
        </w:rPr>
        <w:t xml:space="preserve">. </w:t>
      </w:r>
      <w:r w:rsidR="006576F3">
        <w:rPr>
          <w:sz w:val="28"/>
          <w:szCs w:val="28"/>
        </w:rPr>
        <w:t>Kampars</w:t>
      </w:r>
    </w:p>
    <w:p w:rsidR="00B37DF1" w:rsidRPr="0056365F" w:rsidRDefault="00B37DF1" w:rsidP="00684F60">
      <w:pPr>
        <w:ind w:left="540"/>
        <w:rPr>
          <w:sz w:val="28"/>
          <w:szCs w:val="28"/>
        </w:rPr>
      </w:pPr>
    </w:p>
    <w:p w:rsidR="00B37DF1" w:rsidRPr="0056365F" w:rsidRDefault="00B37DF1" w:rsidP="00684F60">
      <w:pPr>
        <w:ind w:left="540"/>
        <w:rPr>
          <w:sz w:val="28"/>
          <w:szCs w:val="28"/>
        </w:rPr>
      </w:pPr>
    </w:p>
    <w:p w:rsidR="00684F60" w:rsidRPr="0056365F" w:rsidRDefault="00295E2D" w:rsidP="00357BF6">
      <w:pPr>
        <w:ind w:firstLine="567"/>
        <w:rPr>
          <w:sz w:val="28"/>
          <w:szCs w:val="28"/>
        </w:rPr>
      </w:pPr>
      <w:r w:rsidRPr="0056365F">
        <w:rPr>
          <w:sz w:val="28"/>
          <w:szCs w:val="28"/>
        </w:rPr>
        <w:t>V</w:t>
      </w:r>
      <w:r w:rsidR="007A18B1" w:rsidRPr="0056365F">
        <w:rPr>
          <w:sz w:val="28"/>
          <w:szCs w:val="28"/>
        </w:rPr>
        <w:t>ī</w:t>
      </w:r>
      <w:r w:rsidR="00684F60" w:rsidRPr="0056365F">
        <w:rPr>
          <w:sz w:val="28"/>
          <w:szCs w:val="28"/>
        </w:rPr>
        <w:t xml:space="preserve">zē: </w:t>
      </w:r>
      <w:r w:rsidR="00786386">
        <w:rPr>
          <w:sz w:val="28"/>
          <w:szCs w:val="28"/>
        </w:rPr>
        <w:t>V</w:t>
      </w:r>
      <w:r w:rsidR="00684F60" w:rsidRPr="0056365F">
        <w:rPr>
          <w:sz w:val="28"/>
          <w:szCs w:val="28"/>
        </w:rPr>
        <w:t>alsts sekretār</w:t>
      </w:r>
      <w:r w:rsidR="00357BF6">
        <w:rPr>
          <w:sz w:val="28"/>
          <w:szCs w:val="28"/>
        </w:rPr>
        <w:t>s</w:t>
      </w:r>
      <w:r w:rsidR="00357BF6">
        <w:rPr>
          <w:sz w:val="28"/>
          <w:szCs w:val="28"/>
        </w:rPr>
        <w:tab/>
      </w:r>
      <w:r w:rsidR="00357BF6">
        <w:rPr>
          <w:sz w:val="28"/>
          <w:szCs w:val="28"/>
        </w:rPr>
        <w:tab/>
      </w:r>
      <w:r w:rsidR="00357BF6">
        <w:rPr>
          <w:sz w:val="28"/>
          <w:szCs w:val="28"/>
        </w:rPr>
        <w:tab/>
      </w:r>
      <w:r w:rsidR="00357BF6">
        <w:rPr>
          <w:sz w:val="28"/>
          <w:szCs w:val="28"/>
        </w:rPr>
        <w:tab/>
      </w:r>
      <w:r w:rsidR="00357BF6">
        <w:rPr>
          <w:sz w:val="28"/>
          <w:szCs w:val="28"/>
        </w:rPr>
        <w:tab/>
        <w:t>J.Pūce</w:t>
      </w:r>
    </w:p>
    <w:p w:rsidR="00B37DF1" w:rsidRDefault="00B37DF1" w:rsidP="00684F60">
      <w:pPr>
        <w:ind w:firstLine="720"/>
      </w:pPr>
    </w:p>
    <w:p w:rsidR="00B5709A" w:rsidRDefault="00B5709A" w:rsidP="00684F60">
      <w:pPr>
        <w:ind w:firstLine="720"/>
      </w:pPr>
    </w:p>
    <w:p w:rsidR="006F6434" w:rsidRDefault="006F6434" w:rsidP="00684F60">
      <w:pPr>
        <w:ind w:firstLine="720"/>
      </w:pPr>
    </w:p>
    <w:p w:rsidR="006F6434" w:rsidRDefault="006F6434" w:rsidP="00684F60">
      <w:pPr>
        <w:ind w:firstLine="720"/>
      </w:pPr>
    </w:p>
    <w:p w:rsidR="00B23A60" w:rsidRDefault="00B23A60" w:rsidP="00684F60">
      <w:pPr>
        <w:ind w:firstLine="720"/>
      </w:pPr>
    </w:p>
    <w:p w:rsidR="00B23A60" w:rsidRDefault="00B23A60" w:rsidP="00684F60">
      <w:pPr>
        <w:ind w:firstLine="720"/>
      </w:pPr>
    </w:p>
    <w:p w:rsidR="00B23A60" w:rsidRDefault="00B23A60" w:rsidP="00684F60">
      <w:pPr>
        <w:ind w:firstLine="720"/>
      </w:pPr>
    </w:p>
    <w:p w:rsidR="006F6434" w:rsidRDefault="006F6434"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6F6434" w:rsidRDefault="006F6434" w:rsidP="00684F60">
      <w:pPr>
        <w:ind w:firstLine="720"/>
      </w:pPr>
    </w:p>
    <w:p w:rsidR="00684F60" w:rsidRPr="00241586" w:rsidRDefault="00BA20F7" w:rsidP="00CA6FC8">
      <w:pPr>
        <w:rPr>
          <w:sz w:val="20"/>
          <w:szCs w:val="20"/>
        </w:rPr>
      </w:pPr>
      <w:r>
        <w:rPr>
          <w:sz w:val="20"/>
          <w:szCs w:val="20"/>
        </w:rPr>
        <w:t>1</w:t>
      </w:r>
      <w:r w:rsidR="0060410C">
        <w:rPr>
          <w:sz w:val="20"/>
          <w:szCs w:val="20"/>
        </w:rPr>
        <w:t>4</w:t>
      </w:r>
      <w:r w:rsidR="004A46D5">
        <w:rPr>
          <w:sz w:val="20"/>
          <w:szCs w:val="20"/>
        </w:rPr>
        <w:t>.</w:t>
      </w:r>
      <w:r w:rsidR="008A7BF4">
        <w:rPr>
          <w:sz w:val="20"/>
          <w:szCs w:val="20"/>
        </w:rPr>
        <w:t>01</w:t>
      </w:r>
      <w:r w:rsidR="00684F60" w:rsidRPr="00241586">
        <w:rPr>
          <w:sz w:val="20"/>
          <w:szCs w:val="20"/>
        </w:rPr>
        <w:t>.20</w:t>
      </w:r>
      <w:r w:rsidR="009B0096" w:rsidRPr="00241586">
        <w:rPr>
          <w:sz w:val="20"/>
          <w:szCs w:val="20"/>
        </w:rPr>
        <w:t>1</w:t>
      </w:r>
      <w:r w:rsidR="008A7BF4">
        <w:rPr>
          <w:sz w:val="20"/>
          <w:szCs w:val="20"/>
        </w:rPr>
        <w:t>1</w:t>
      </w:r>
      <w:r w:rsidR="0043626C">
        <w:rPr>
          <w:sz w:val="20"/>
          <w:szCs w:val="20"/>
        </w:rPr>
        <w:t>.</w:t>
      </w:r>
      <w:r w:rsidR="00684F60" w:rsidRPr="00241586">
        <w:rPr>
          <w:sz w:val="20"/>
          <w:szCs w:val="20"/>
        </w:rPr>
        <w:t xml:space="preserve"> </w:t>
      </w:r>
      <w:r w:rsidR="00C73804">
        <w:rPr>
          <w:sz w:val="20"/>
          <w:szCs w:val="20"/>
        </w:rPr>
        <w:t>12</w:t>
      </w:r>
      <w:r w:rsidR="00B23A60">
        <w:rPr>
          <w:sz w:val="20"/>
          <w:szCs w:val="20"/>
        </w:rPr>
        <w:t>:</w:t>
      </w:r>
      <w:r w:rsidR="00C73804">
        <w:rPr>
          <w:sz w:val="20"/>
          <w:szCs w:val="20"/>
        </w:rPr>
        <w:t>14</w:t>
      </w:r>
    </w:p>
    <w:p w:rsidR="00241586" w:rsidRDefault="001C594D" w:rsidP="00CA6FC8">
      <w:pPr>
        <w:rPr>
          <w:sz w:val="20"/>
          <w:szCs w:val="20"/>
        </w:rPr>
      </w:pPr>
      <w:r>
        <w:rPr>
          <w:sz w:val="20"/>
          <w:szCs w:val="20"/>
        </w:rPr>
        <w:t>81</w:t>
      </w:r>
      <w:r w:rsidR="001C0986">
        <w:rPr>
          <w:sz w:val="20"/>
          <w:szCs w:val="20"/>
        </w:rPr>
        <w:t>66</w:t>
      </w:r>
    </w:p>
    <w:p w:rsidR="00C73804" w:rsidRDefault="00C73804" w:rsidP="00C73804">
      <w:pPr>
        <w:jc w:val="both"/>
        <w:rPr>
          <w:sz w:val="20"/>
          <w:szCs w:val="20"/>
        </w:rPr>
      </w:pPr>
      <w:r>
        <w:rPr>
          <w:sz w:val="20"/>
          <w:szCs w:val="20"/>
        </w:rPr>
        <w:t>K.Piģēns</w:t>
      </w:r>
    </w:p>
    <w:p w:rsidR="00C73804" w:rsidRDefault="00C73804" w:rsidP="00C73804">
      <w:pPr>
        <w:rPr>
          <w:sz w:val="20"/>
          <w:szCs w:val="20"/>
        </w:rPr>
      </w:pPr>
      <w:r>
        <w:rPr>
          <w:sz w:val="20"/>
          <w:szCs w:val="20"/>
        </w:rPr>
        <w:t xml:space="preserve">67013133, </w:t>
      </w:r>
      <w:hyperlink r:id="rId11" w:history="1">
        <w:r>
          <w:rPr>
            <w:rStyle w:val="Hyperlink"/>
            <w:sz w:val="20"/>
            <w:szCs w:val="20"/>
          </w:rPr>
          <w:t>Karlis.Pigens@em.gov.lv</w:t>
        </w:r>
      </w:hyperlink>
      <w:r>
        <w:rPr>
          <w:sz w:val="20"/>
          <w:szCs w:val="20"/>
        </w:rPr>
        <w:t> </w:t>
      </w:r>
    </w:p>
    <w:p w:rsidR="0015060C" w:rsidRPr="00E971FA" w:rsidRDefault="0015060C" w:rsidP="00C73804"/>
    <w:sectPr w:rsidR="0015060C" w:rsidRPr="00E971FA" w:rsidSect="009327EA">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3E" w:rsidRDefault="00F24A3E">
      <w:r>
        <w:separator/>
      </w:r>
    </w:p>
  </w:endnote>
  <w:endnote w:type="continuationSeparator" w:id="0">
    <w:p w:rsidR="00F24A3E" w:rsidRDefault="00F24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8" w:rsidRPr="004260CD" w:rsidRDefault="00A87048" w:rsidP="004260CD">
    <w:pPr>
      <w:jc w:val="both"/>
      <w:rPr>
        <w:sz w:val="20"/>
        <w:szCs w:val="20"/>
      </w:rPr>
    </w:pPr>
    <w:r w:rsidRPr="00B27435">
      <w:rPr>
        <w:sz w:val="20"/>
        <w:szCs w:val="20"/>
      </w:rPr>
      <w:t>EM</w:t>
    </w:r>
    <w:r>
      <w:rPr>
        <w:sz w:val="20"/>
        <w:szCs w:val="20"/>
      </w:rPr>
      <w:t>Anot</w:t>
    </w:r>
    <w:r w:rsidRPr="00B27435">
      <w:rPr>
        <w:sz w:val="20"/>
        <w:szCs w:val="20"/>
      </w:rPr>
      <w:t>_</w:t>
    </w:r>
    <w:r w:rsidR="00BF166A">
      <w:rPr>
        <w:sz w:val="20"/>
        <w:szCs w:val="20"/>
      </w:rPr>
      <w:t>1</w:t>
    </w:r>
    <w:r w:rsidR="0060410C">
      <w:rPr>
        <w:sz w:val="20"/>
        <w:szCs w:val="20"/>
      </w:rPr>
      <w:t>4</w:t>
    </w:r>
    <w:r w:rsidR="00210D65">
      <w:rPr>
        <w:sz w:val="20"/>
        <w:szCs w:val="20"/>
      </w:rPr>
      <w:t>01</w:t>
    </w:r>
    <w:r w:rsidR="00E5648D" w:rsidRPr="00B27435">
      <w:rPr>
        <w:sz w:val="20"/>
        <w:szCs w:val="20"/>
      </w:rPr>
      <w:t>1</w:t>
    </w:r>
    <w:r w:rsidR="00210D65">
      <w:rPr>
        <w:sz w:val="20"/>
        <w:szCs w:val="20"/>
      </w:rPr>
      <w:t>1</w:t>
    </w:r>
    <w:r w:rsidRPr="00B27435">
      <w:rPr>
        <w:sz w:val="20"/>
        <w:szCs w:val="20"/>
      </w:rPr>
      <w:t>_</w:t>
    </w:r>
    <w:r w:rsidR="00527E55">
      <w:rPr>
        <w:sz w:val="20"/>
        <w:szCs w:val="20"/>
      </w:rPr>
      <w:t>AEL</w:t>
    </w:r>
    <w:r w:rsidRPr="00B27435">
      <w:rPr>
        <w:sz w:val="20"/>
        <w:szCs w:val="20"/>
      </w:rPr>
      <w:t xml:space="preserve">; </w:t>
    </w:r>
    <w:r>
      <w:rPr>
        <w:sz w:val="20"/>
        <w:szCs w:val="20"/>
      </w:rPr>
      <w:t>Likumprojekta</w:t>
    </w:r>
    <w:r w:rsidRPr="00B27435">
      <w:rPr>
        <w:sz w:val="20"/>
        <w:szCs w:val="20"/>
      </w:rPr>
      <w:t xml:space="preserve"> „</w:t>
    </w:r>
    <w:r>
      <w:rPr>
        <w:sz w:val="20"/>
        <w:szCs w:val="20"/>
      </w:rPr>
      <w:t>Atjaunojamās enerģijas likums</w:t>
    </w:r>
    <w:r w:rsidRPr="00B27435">
      <w:rPr>
        <w:sz w:val="20"/>
        <w:szCs w:val="20"/>
      </w:rPr>
      <w:t xml:space="preserve">” sākotnējās ietekmes novērtējuma </w:t>
    </w:r>
    <w:smartTag w:uri="schemas-tilde-lv/tildestengine" w:element="veidnes">
      <w:smartTagPr>
        <w:attr w:name="text" w:val="ziņojums"/>
        <w:attr w:name="baseform" w:val="ziņojums"/>
        <w:attr w:name="id" w:val="-1"/>
      </w:smartTagPr>
      <w:r w:rsidRPr="00B27435">
        <w:rPr>
          <w:sz w:val="20"/>
          <w:szCs w:val="20"/>
        </w:rPr>
        <w:t>ziņojums</w:t>
      </w:r>
    </w:smartTag>
    <w:r w:rsidRPr="00B27435">
      <w:rPr>
        <w:sz w:val="20"/>
        <w:szCs w:val="20"/>
      </w:rPr>
      <w:t xml:space="preserve"> </w:t>
    </w:r>
    <w:r w:rsidRPr="00B27435">
      <w:rPr>
        <w:sz w:val="20"/>
        <w:szCs w:val="20"/>
        <w:lang w:val="pl-PL"/>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8" w:rsidRPr="00B27435" w:rsidRDefault="00A87048" w:rsidP="00D92468">
    <w:pPr>
      <w:jc w:val="both"/>
      <w:rPr>
        <w:sz w:val="20"/>
        <w:szCs w:val="20"/>
      </w:rPr>
    </w:pPr>
    <w:r w:rsidRPr="00B27435">
      <w:rPr>
        <w:sz w:val="20"/>
        <w:szCs w:val="20"/>
      </w:rPr>
      <w:t>EM</w:t>
    </w:r>
    <w:r>
      <w:rPr>
        <w:sz w:val="20"/>
        <w:szCs w:val="20"/>
      </w:rPr>
      <w:t>Anot</w:t>
    </w:r>
    <w:r w:rsidRPr="00B27435">
      <w:rPr>
        <w:sz w:val="20"/>
        <w:szCs w:val="20"/>
      </w:rPr>
      <w:t>_</w:t>
    </w:r>
    <w:r w:rsidR="0060410C">
      <w:rPr>
        <w:sz w:val="20"/>
        <w:szCs w:val="20"/>
      </w:rPr>
      <w:t>14</w:t>
    </w:r>
    <w:r w:rsidR="00210D65">
      <w:rPr>
        <w:sz w:val="20"/>
        <w:szCs w:val="20"/>
      </w:rPr>
      <w:t>01</w:t>
    </w:r>
    <w:r w:rsidR="00E5648D" w:rsidRPr="00B27435">
      <w:rPr>
        <w:sz w:val="20"/>
        <w:szCs w:val="20"/>
      </w:rPr>
      <w:t>1</w:t>
    </w:r>
    <w:r w:rsidR="00210D65">
      <w:rPr>
        <w:sz w:val="20"/>
        <w:szCs w:val="20"/>
      </w:rPr>
      <w:t>1</w:t>
    </w:r>
    <w:r w:rsidRPr="00B27435">
      <w:rPr>
        <w:sz w:val="20"/>
        <w:szCs w:val="20"/>
      </w:rPr>
      <w:t>_</w:t>
    </w:r>
    <w:r w:rsidR="00527E55">
      <w:rPr>
        <w:sz w:val="20"/>
        <w:szCs w:val="20"/>
      </w:rPr>
      <w:t>AEL</w:t>
    </w:r>
    <w:r w:rsidRPr="00B27435">
      <w:rPr>
        <w:sz w:val="20"/>
        <w:szCs w:val="20"/>
      </w:rPr>
      <w:t xml:space="preserve">; </w:t>
    </w:r>
    <w:r>
      <w:rPr>
        <w:sz w:val="20"/>
        <w:szCs w:val="20"/>
      </w:rPr>
      <w:t>Likumprojekta</w:t>
    </w:r>
    <w:r w:rsidRPr="00B27435">
      <w:rPr>
        <w:sz w:val="20"/>
        <w:szCs w:val="20"/>
      </w:rPr>
      <w:t xml:space="preserve"> „</w:t>
    </w:r>
    <w:r>
      <w:rPr>
        <w:sz w:val="20"/>
        <w:szCs w:val="20"/>
      </w:rPr>
      <w:t>Atjaunojamās enerģijas likums</w:t>
    </w:r>
    <w:r w:rsidRPr="00B27435">
      <w:rPr>
        <w:sz w:val="20"/>
        <w:szCs w:val="20"/>
      </w:rPr>
      <w:t xml:space="preserve">” sākotnējās ietekmes novērtējuma </w:t>
    </w:r>
    <w:smartTag w:uri="schemas-tilde-lv/tildestengine" w:element="veidnes">
      <w:smartTagPr>
        <w:attr w:name="text" w:val="ziņojums"/>
        <w:attr w:name="baseform" w:val="ziņojums"/>
        <w:attr w:name="id" w:val="-1"/>
      </w:smartTagPr>
      <w:r w:rsidRPr="00B27435">
        <w:rPr>
          <w:sz w:val="20"/>
          <w:szCs w:val="20"/>
        </w:rPr>
        <w:t>ziņojums</w:t>
      </w:r>
    </w:smartTag>
    <w:r w:rsidRPr="00B27435">
      <w:rPr>
        <w:sz w:val="20"/>
        <w:szCs w:val="20"/>
      </w:rPr>
      <w:t xml:space="preserve"> </w:t>
    </w:r>
    <w:r w:rsidRPr="00B27435">
      <w:rPr>
        <w:sz w:val="20"/>
        <w:szCs w:val="20"/>
        <w:lang w:val="pl-PL"/>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3E" w:rsidRDefault="00F24A3E">
      <w:r>
        <w:separator/>
      </w:r>
    </w:p>
  </w:footnote>
  <w:footnote w:type="continuationSeparator" w:id="0">
    <w:p w:rsidR="00F24A3E" w:rsidRDefault="00F24A3E">
      <w:r>
        <w:continuationSeparator/>
      </w:r>
    </w:p>
  </w:footnote>
  <w:footnote w:id="1">
    <w:p w:rsidR="00EE311E" w:rsidRDefault="00EE311E" w:rsidP="00EE311E">
      <w:pPr>
        <w:pStyle w:val="FootnoteText"/>
      </w:pPr>
      <w:r>
        <w:rPr>
          <w:rStyle w:val="FootnoteReference"/>
        </w:rPr>
        <w:footnoteRef/>
      </w:r>
      <w:r>
        <w:t xml:space="preserve"> Turklāt apkures perioda ilgums, kurš norādīts LBN 003-001 Rīgas pilsētai un vidējais aritmētiskais apkures perioda ilgums 10 Latvijas apdzīvotām vietām atšķiras tikai par 1,4%.</w:t>
      </w:r>
    </w:p>
  </w:footnote>
  <w:footnote w:id="2">
    <w:p w:rsidR="00EE311E" w:rsidRDefault="00EE311E" w:rsidP="00EE311E">
      <w:pPr>
        <w:pStyle w:val="FootnoteText"/>
      </w:pPr>
      <w:r>
        <w:rPr>
          <w:rStyle w:val="FootnoteReference"/>
        </w:rPr>
        <w:footnoteRef/>
      </w:r>
      <w:r>
        <w:t xml:space="preserve"> Ievērojot, ka vairumā gadījumu apkures perioda ilgums varētu būt īsāks, ziemām kļūstot siltākām, noapaļošana veikta uz leju.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8" w:rsidRDefault="00F7350E" w:rsidP="003C449B">
    <w:pPr>
      <w:pStyle w:val="Header"/>
      <w:framePr w:wrap="around" w:vAnchor="text" w:hAnchor="margin" w:xAlign="center" w:y="1"/>
      <w:rPr>
        <w:rStyle w:val="PageNumber"/>
      </w:rPr>
    </w:pPr>
    <w:r>
      <w:rPr>
        <w:rStyle w:val="PageNumber"/>
      </w:rPr>
      <w:fldChar w:fldCharType="begin"/>
    </w:r>
    <w:r w:rsidR="00A87048">
      <w:rPr>
        <w:rStyle w:val="PageNumber"/>
      </w:rPr>
      <w:instrText xml:space="preserve">PAGE  </w:instrText>
    </w:r>
    <w:r>
      <w:rPr>
        <w:rStyle w:val="PageNumber"/>
      </w:rPr>
      <w:fldChar w:fldCharType="end"/>
    </w:r>
  </w:p>
  <w:p w:rsidR="00A87048" w:rsidRDefault="00A870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8" w:rsidRDefault="00F7350E" w:rsidP="003C449B">
    <w:pPr>
      <w:pStyle w:val="Header"/>
      <w:framePr w:wrap="around" w:vAnchor="text" w:hAnchor="margin" w:xAlign="center" w:y="1"/>
      <w:rPr>
        <w:rStyle w:val="PageNumber"/>
      </w:rPr>
    </w:pPr>
    <w:r>
      <w:rPr>
        <w:rStyle w:val="PageNumber"/>
      </w:rPr>
      <w:fldChar w:fldCharType="begin"/>
    </w:r>
    <w:r w:rsidR="00A87048">
      <w:rPr>
        <w:rStyle w:val="PageNumber"/>
      </w:rPr>
      <w:instrText xml:space="preserve">PAGE  </w:instrText>
    </w:r>
    <w:r>
      <w:rPr>
        <w:rStyle w:val="PageNumber"/>
      </w:rPr>
      <w:fldChar w:fldCharType="separate"/>
    </w:r>
    <w:r w:rsidR="00C73804">
      <w:rPr>
        <w:rStyle w:val="PageNumber"/>
        <w:noProof/>
      </w:rPr>
      <w:t>30</w:t>
    </w:r>
    <w:r>
      <w:rPr>
        <w:rStyle w:val="PageNumber"/>
      </w:rPr>
      <w:fldChar w:fldCharType="end"/>
    </w:r>
  </w:p>
  <w:p w:rsidR="00A87048" w:rsidRDefault="00A87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8AEB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3DF4"/>
    <w:multiLevelType w:val="hybridMultilevel"/>
    <w:tmpl w:val="173A5518"/>
    <w:lvl w:ilvl="0" w:tplc="F13E83A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00D05E75"/>
    <w:multiLevelType w:val="hybridMultilevel"/>
    <w:tmpl w:val="88048D2E"/>
    <w:lvl w:ilvl="0" w:tplc="B80E709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
    <w:nsid w:val="06FE5F61"/>
    <w:multiLevelType w:val="hybridMultilevel"/>
    <w:tmpl w:val="6C9AD5B6"/>
    <w:lvl w:ilvl="0" w:tplc="5C84C872">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4">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9A5625"/>
    <w:multiLevelType w:val="hybridMultilevel"/>
    <w:tmpl w:val="B1580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5B3F6D"/>
    <w:multiLevelType w:val="hybridMultilevel"/>
    <w:tmpl w:val="1374A58E"/>
    <w:lvl w:ilvl="0" w:tplc="C9008C1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3D59F7"/>
    <w:multiLevelType w:val="hybridMultilevel"/>
    <w:tmpl w:val="32D68446"/>
    <w:lvl w:ilvl="0" w:tplc="F25C3A94">
      <w:start w:val="1"/>
      <w:numFmt w:val="decimal"/>
      <w:lvlText w:val="%1."/>
      <w:lvlJc w:val="left"/>
      <w:pPr>
        <w:ind w:left="588" w:hanging="360"/>
      </w:pPr>
      <w:rPr>
        <w:rFonts w:hint="default"/>
        <w:b w:val="0"/>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EA0707B"/>
    <w:multiLevelType w:val="hybridMultilevel"/>
    <w:tmpl w:val="59EE7776"/>
    <w:lvl w:ilvl="0" w:tplc="FAC024B4">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3">
    <w:nsid w:val="30EB6D57"/>
    <w:multiLevelType w:val="hybridMultilevel"/>
    <w:tmpl w:val="06BCC750"/>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4">
    <w:nsid w:val="3B061FCB"/>
    <w:multiLevelType w:val="hybridMultilevel"/>
    <w:tmpl w:val="2D34897E"/>
    <w:lvl w:ilvl="0" w:tplc="FAC024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05539A0"/>
    <w:multiLevelType w:val="hybridMultilevel"/>
    <w:tmpl w:val="61F67FEC"/>
    <w:lvl w:ilvl="0" w:tplc="7DE67F12">
      <w:start w:val="1"/>
      <w:numFmt w:val="decimal"/>
      <w:lvlText w:val="%1)"/>
      <w:lvlJc w:val="left"/>
      <w:pPr>
        <w:ind w:left="427" w:hanging="360"/>
      </w:pPr>
      <w:rPr>
        <w:rFonts w:hint="default"/>
        <w:u w:val="none"/>
      </w:rPr>
    </w:lvl>
    <w:lvl w:ilvl="1" w:tplc="04260019" w:tentative="1">
      <w:start w:val="1"/>
      <w:numFmt w:val="lowerLetter"/>
      <w:lvlText w:val="%2."/>
      <w:lvlJc w:val="left"/>
      <w:pPr>
        <w:ind w:left="1147" w:hanging="360"/>
      </w:pPr>
    </w:lvl>
    <w:lvl w:ilvl="2" w:tplc="0426001B" w:tentative="1">
      <w:start w:val="1"/>
      <w:numFmt w:val="lowerRoman"/>
      <w:lvlText w:val="%3."/>
      <w:lvlJc w:val="right"/>
      <w:pPr>
        <w:ind w:left="1867" w:hanging="180"/>
      </w:pPr>
    </w:lvl>
    <w:lvl w:ilvl="3" w:tplc="0426000F" w:tentative="1">
      <w:start w:val="1"/>
      <w:numFmt w:val="decimal"/>
      <w:lvlText w:val="%4."/>
      <w:lvlJc w:val="left"/>
      <w:pPr>
        <w:ind w:left="2587" w:hanging="360"/>
      </w:pPr>
    </w:lvl>
    <w:lvl w:ilvl="4" w:tplc="04260019" w:tentative="1">
      <w:start w:val="1"/>
      <w:numFmt w:val="lowerLetter"/>
      <w:lvlText w:val="%5."/>
      <w:lvlJc w:val="left"/>
      <w:pPr>
        <w:ind w:left="3307" w:hanging="360"/>
      </w:pPr>
    </w:lvl>
    <w:lvl w:ilvl="5" w:tplc="0426001B" w:tentative="1">
      <w:start w:val="1"/>
      <w:numFmt w:val="lowerRoman"/>
      <w:lvlText w:val="%6."/>
      <w:lvlJc w:val="right"/>
      <w:pPr>
        <w:ind w:left="4027" w:hanging="180"/>
      </w:pPr>
    </w:lvl>
    <w:lvl w:ilvl="6" w:tplc="0426000F" w:tentative="1">
      <w:start w:val="1"/>
      <w:numFmt w:val="decimal"/>
      <w:lvlText w:val="%7."/>
      <w:lvlJc w:val="left"/>
      <w:pPr>
        <w:ind w:left="4747" w:hanging="360"/>
      </w:pPr>
    </w:lvl>
    <w:lvl w:ilvl="7" w:tplc="04260019" w:tentative="1">
      <w:start w:val="1"/>
      <w:numFmt w:val="lowerLetter"/>
      <w:lvlText w:val="%8."/>
      <w:lvlJc w:val="left"/>
      <w:pPr>
        <w:ind w:left="5467" w:hanging="360"/>
      </w:pPr>
    </w:lvl>
    <w:lvl w:ilvl="8" w:tplc="0426001B" w:tentative="1">
      <w:start w:val="1"/>
      <w:numFmt w:val="lowerRoman"/>
      <w:lvlText w:val="%9."/>
      <w:lvlJc w:val="right"/>
      <w:pPr>
        <w:ind w:left="6187" w:hanging="180"/>
      </w:pPr>
    </w:lvl>
  </w:abstractNum>
  <w:abstractNum w:abstractNumId="16">
    <w:nsid w:val="42FB5227"/>
    <w:multiLevelType w:val="hybridMultilevel"/>
    <w:tmpl w:val="64D245AC"/>
    <w:lvl w:ilvl="0" w:tplc="C3263FB4">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7">
    <w:nsid w:val="432E02E5"/>
    <w:multiLevelType w:val="hybridMultilevel"/>
    <w:tmpl w:val="F7FE606C"/>
    <w:lvl w:ilvl="0" w:tplc="5C049D02">
      <w:start w:val="1"/>
      <w:numFmt w:val="decimal"/>
      <w:lvlText w:val="%1."/>
      <w:lvlJc w:val="left"/>
      <w:pPr>
        <w:ind w:left="1072" w:hanging="360"/>
      </w:pPr>
      <w:rPr>
        <w:rFonts w:hint="default"/>
      </w:rPr>
    </w:lvl>
    <w:lvl w:ilvl="1" w:tplc="04260019" w:tentative="1">
      <w:start w:val="1"/>
      <w:numFmt w:val="lowerLetter"/>
      <w:lvlText w:val="%2."/>
      <w:lvlJc w:val="left"/>
      <w:pPr>
        <w:ind w:left="1792" w:hanging="360"/>
      </w:pPr>
    </w:lvl>
    <w:lvl w:ilvl="2" w:tplc="0426001B" w:tentative="1">
      <w:start w:val="1"/>
      <w:numFmt w:val="lowerRoman"/>
      <w:lvlText w:val="%3."/>
      <w:lvlJc w:val="right"/>
      <w:pPr>
        <w:ind w:left="2512" w:hanging="180"/>
      </w:pPr>
    </w:lvl>
    <w:lvl w:ilvl="3" w:tplc="0426000F" w:tentative="1">
      <w:start w:val="1"/>
      <w:numFmt w:val="decimal"/>
      <w:lvlText w:val="%4."/>
      <w:lvlJc w:val="left"/>
      <w:pPr>
        <w:ind w:left="3232" w:hanging="360"/>
      </w:pPr>
    </w:lvl>
    <w:lvl w:ilvl="4" w:tplc="04260019" w:tentative="1">
      <w:start w:val="1"/>
      <w:numFmt w:val="lowerLetter"/>
      <w:lvlText w:val="%5."/>
      <w:lvlJc w:val="left"/>
      <w:pPr>
        <w:ind w:left="3952" w:hanging="360"/>
      </w:pPr>
    </w:lvl>
    <w:lvl w:ilvl="5" w:tplc="0426001B" w:tentative="1">
      <w:start w:val="1"/>
      <w:numFmt w:val="lowerRoman"/>
      <w:lvlText w:val="%6."/>
      <w:lvlJc w:val="right"/>
      <w:pPr>
        <w:ind w:left="4672" w:hanging="180"/>
      </w:pPr>
    </w:lvl>
    <w:lvl w:ilvl="6" w:tplc="0426000F" w:tentative="1">
      <w:start w:val="1"/>
      <w:numFmt w:val="decimal"/>
      <w:lvlText w:val="%7."/>
      <w:lvlJc w:val="left"/>
      <w:pPr>
        <w:ind w:left="5392" w:hanging="360"/>
      </w:pPr>
    </w:lvl>
    <w:lvl w:ilvl="7" w:tplc="04260019" w:tentative="1">
      <w:start w:val="1"/>
      <w:numFmt w:val="lowerLetter"/>
      <w:lvlText w:val="%8."/>
      <w:lvlJc w:val="left"/>
      <w:pPr>
        <w:ind w:left="6112" w:hanging="360"/>
      </w:pPr>
    </w:lvl>
    <w:lvl w:ilvl="8" w:tplc="0426001B" w:tentative="1">
      <w:start w:val="1"/>
      <w:numFmt w:val="lowerRoman"/>
      <w:lvlText w:val="%9."/>
      <w:lvlJc w:val="right"/>
      <w:pPr>
        <w:ind w:left="6832" w:hanging="180"/>
      </w:pPr>
    </w:lvl>
  </w:abstractNum>
  <w:abstractNum w:abstractNumId="18">
    <w:nsid w:val="476C3373"/>
    <w:multiLevelType w:val="hybridMultilevel"/>
    <w:tmpl w:val="801AEFC4"/>
    <w:lvl w:ilvl="0" w:tplc="64B29F5E">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080753D"/>
    <w:multiLevelType w:val="hybridMultilevel"/>
    <w:tmpl w:val="E7589964"/>
    <w:lvl w:ilvl="0" w:tplc="944CBD3E">
      <w:start w:val="1"/>
      <w:numFmt w:val="bullet"/>
      <w:lvlText w:val=""/>
      <w:lvlJc w:val="left"/>
      <w:pPr>
        <w:tabs>
          <w:tab w:val="num" w:pos="907"/>
        </w:tabs>
        <w:ind w:left="907" w:hanging="187"/>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3">
    <w:nsid w:val="513B0256"/>
    <w:multiLevelType w:val="hybridMultilevel"/>
    <w:tmpl w:val="32D68446"/>
    <w:lvl w:ilvl="0" w:tplc="F25C3A94">
      <w:start w:val="1"/>
      <w:numFmt w:val="decimal"/>
      <w:lvlText w:val="%1."/>
      <w:lvlJc w:val="left"/>
      <w:pPr>
        <w:ind w:left="588" w:hanging="360"/>
      </w:pPr>
      <w:rPr>
        <w:rFonts w:hint="default"/>
        <w:b w:val="0"/>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DDE696F"/>
    <w:multiLevelType w:val="hybridMultilevel"/>
    <w:tmpl w:val="31B40D2E"/>
    <w:lvl w:ilvl="0" w:tplc="FAC024B4">
      <w:start w:val="1"/>
      <w:numFmt w:val="bullet"/>
      <w:lvlText w:val=""/>
      <w:lvlJc w:val="left"/>
      <w:pPr>
        <w:ind w:left="472" w:hanging="360"/>
      </w:pPr>
      <w:rPr>
        <w:rFonts w:ascii="Symbol" w:hAnsi="Symbo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2022458"/>
    <w:multiLevelType w:val="hybridMultilevel"/>
    <w:tmpl w:val="92043E4C"/>
    <w:lvl w:ilvl="0" w:tplc="3A74FAEA">
      <w:start w:val="1"/>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570"/>
        </w:tabs>
        <w:ind w:left="570" w:hanging="360"/>
      </w:pPr>
    </w:lvl>
    <w:lvl w:ilvl="2" w:tplc="FFFFFFFF" w:tentative="1">
      <w:start w:val="1"/>
      <w:numFmt w:val="lowerRoman"/>
      <w:lvlText w:val="%3."/>
      <w:lvlJc w:val="right"/>
      <w:pPr>
        <w:tabs>
          <w:tab w:val="num" w:pos="1290"/>
        </w:tabs>
        <w:ind w:left="1290" w:hanging="180"/>
      </w:pPr>
    </w:lvl>
    <w:lvl w:ilvl="3" w:tplc="FFFFFFFF" w:tentative="1">
      <w:start w:val="1"/>
      <w:numFmt w:val="decimal"/>
      <w:lvlText w:val="%4."/>
      <w:lvlJc w:val="left"/>
      <w:pPr>
        <w:tabs>
          <w:tab w:val="num" w:pos="2010"/>
        </w:tabs>
        <w:ind w:left="2010" w:hanging="360"/>
      </w:pPr>
    </w:lvl>
    <w:lvl w:ilvl="4" w:tplc="FFFFFFFF" w:tentative="1">
      <w:start w:val="1"/>
      <w:numFmt w:val="lowerLetter"/>
      <w:lvlText w:val="%5."/>
      <w:lvlJc w:val="left"/>
      <w:pPr>
        <w:tabs>
          <w:tab w:val="num" w:pos="2730"/>
        </w:tabs>
        <w:ind w:left="2730" w:hanging="360"/>
      </w:pPr>
    </w:lvl>
    <w:lvl w:ilvl="5" w:tplc="FFFFFFFF" w:tentative="1">
      <w:start w:val="1"/>
      <w:numFmt w:val="lowerRoman"/>
      <w:lvlText w:val="%6."/>
      <w:lvlJc w:val="right"/>
      <w:pPr>
        <w:tabs>
          <w:tab w:val="num" w:pos="3450"/>
        </w:tabs>
        <w:ind w:left="3450" w:hanging="180"/>
      </w:pPr>
    </w:lvl>
    <w:lvl w:ilvl="6" w:tplc="FFFFFFFF" w:tentative="1">
      <w:start w:val="1"/>
      <w:numFmt w:val="decimal"/>
      <w:lvlText w:val="%7."/>
      <w:lvlJc w:val="left"/>
      <w:pPr>
        <w:tabs>
          <w:tab w:val="num" w:pos="4170"/>
        </w:tabs>
        <w:ind w:left="4170" w:hanging="360"/>
      </w:pPr>
    </w:lvl>
    <w:lvl w:ilvl="7" w:tplc="FFFFFFFF" w:tentative="1">
      <w:start w:val="1"/>
      <w:numFmt w:val="lowerLetter"/>
      <w:lvlText w:val="%8."/>
      <w:lvlJc w:val="left"/>
      <w:pPr>
        <w:tabs>
          <w:tab w:val="num" w:pos="4890"/>
        </w:tabs>
        <w:ind w:left="4890" w:hanging="360"/>
      </w:pPr>
    </w:lvl>
    <w:lvl w:ilvl="8" w:tplc="FFFFFFFF" w:tentative="1">
      <w:start w:val="1"/>
      <w:numFmt w:val="lowerRoman"/>
      <w:lvlText w:val="%9."/>
      <w:lvlJc w:val="right"/>
      <w:pPr>
        <w:tabs>
          <w:tab w:val="num" w:pos="5610"/>
        </w:tabs>
        <w:ind w:left="5610" w:hanging="180"/>
      </w:pPr>
    </w:lvl>
  </w:abstractNum>
  <w:abstractNum w:abstractNumId="3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557237"/>
    <w:multiLevelType w:val="hybridMultilevel"/>
    <w:tmpl w:val="F23231C0"/>
    <w:lvl w:ilvl="0" w:tplc="D686634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2">
    <w:nsid w:val="6DCA244B"/>
    <w:multiLevelType w:val="hybridMultilevel"/>
    <w:tmpl w:val="28DE1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0B940DA"/>
    <w:multiLevelType w:val="hybridMultilevel"/>
    <w:tmpl w:val="7B865890"/>
    <w:lvl w:ilvl="0" w:tplc="07A21C1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4">
    <w:nsid w:val="745C3A53"/>
    <w:multiLevelType w:val="hybridMultilevel"/>
    <w:tmpl w:val="A5AE936A"/>
    <w:lvl w:ilvl="0" w:tplc="490236B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5">
    <w:nsid w:val="76BF5B75"/>
    <w:multiLevelType w:val="hybridMultilevel"/>
    <w:tmpl w:val="1FDEF388"/>
    <w:lvl w:ilvl="0" w:tplc="F8127FF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98777FF"/>
    <w:multiLevelType w:val="hybridMultilevel"/>
    <w:tmpl w:val="A89C0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D864420"/>
    <w:multiLevelType w:val="hybridMultilevel"/>
    <w:tmpl w:val="F5AA3B46"/>
    <w:lvl w:ilvl="0" w:tplc="B992CC58">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38">
    <w:nsid w:val="7DFD1E59"/>
    <w:multiLevelType w:val="hybridMultilevel"/>
    <w:tmpl w:val="BCBAC032"/>
    <w:lvl w:ilvl="0" w:tplc="BCFE124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num w:numId="1">
    <w:abstractNumId w:val="11"/>
  </w:num>
  <w:num w:numId="2">
    <w:abstractNumId w:val="28"/>
  </w:num>
  <w:num w:numId="3">
    <w:abstractNumId w:val="9"/>
  </w:num>
  <w:num w:numId="4">
    <w:abstractNumId w:val="7"/>
  </w:num>
  <w:num w:numId="5">
    <w:abstractNumId w:val="4"/>
  </w:num>
  <w:num w:numId="6">
    <w:abstractNumId w:val="24"/>
  </w:num>
  <w:num w:numId="7">
    <w:abstractNumId w:val="30"/>
  </w:num>
  <w:num w:numId="8">
    <w:abstractNumId w:val="19"/>
  </w:num>
  <w:num w:numId="9">
    <w:abstractNumId w:val="8"/>
  </w:num>
  <w:num w:numId="10">
    <w:abstractNumId w:val="20"/>
  </w:num>
  <w:num w:numId="11">
    <w:abstractNumId w:val="21"/>
  </w:num>
  <w:num w:numId="12">
    <w:abstractNumId w:val="25"/>
  </w:num>
  <w:num w:numId="13">
    <w:abstractNumId w:val="27"/>
  </w:num>
  <w:num w:numId="14">
    <w:abstractNumId w:val="29"/>
  </w:num>
  <w:num w:numId="15">
    <w:abstractNumId w:val="32"/>
  </w:num>
  <w:num w:numId="16">
    <w:abstractNumId w:val="3"/>
  </w:num>
  <w:num w:numId="17">
    <w:abstractNumId w:val="1"/>
  </w:num>
  <w:num w:numId="18">
    <w:abstractNumId w:val="5"/>
  </w:num>
  <w:num w:numId="19">
    <w:abstractNumId w:val="34"/>
  </w:num>
  <w:num w:numId="20">
    <w:abstractNumId w:val="31"/>
  </w:num>
  <w:num w:numId="21">
    <w:abstractNumId w:val="2"/>
  </w:num>
  <w:num w:numId="22">
    <w:abstractNumId w:val="6"/>
  </w:num>
  <w:num w:numId="23">
    <w:abstractNumId w:val="0"/>
  </w:num>
  <w:num w:numId="24">
    <w:abstractNumId w:val="17"/>
  </w:num>
  <w:num w:numId="25">
    <w:abstractNumId w:val="33"/>
  </w:num>
  <w:num w:numId="26">
    <w:abstractNumId w:val="35"/>
  </w:num>
  <w:num w:numId="27">
    <w:abstractNumId w:val="12"/>
  </w:num>
  <w:num w:numId="28">
    <w:abstractNumId w:val="13"/>
  </w:num>
  <w:num w:numId="29">
    <w:abstractNumId w:val="38"/>
  </w:num>
  <w:num w:numId="30">
    <w:abstractNumId w:val="26"/>
  </w:num>
  <w:num w:numId="31">
    <w:abstractNumId w:val="16"/>
  </w:num>
  <w:num w:numId="32">
    <w:abstractNumId w:val="37"/>
  </w:num>
  <w:num w:numId="33">
    <w:abstractNumId w:val="36"/>
  </w:num>
  <w:num w:numId="34">
    <w:abstractNumId w:val="14"/>
  </w:num>
  <w:num w:numId="35">
    <w:abstractNumId w:val="10"/>
  </w:num>
  <w:num w:numId="36">
    <w:abstractNumId w:val="23"/>
  </w:num>
  <w:num w:numId="37">
    <w:abstractNumId w:val="22"/>
  </w:num>
  <w:num w:numId="38">
    <w:abstractNumId w:val="15"/>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06540"/>
    <w:rsid w:val="000074C1"/>
    <w:rsid w:val="00007B6F"/>
    <w:rsid w:val="00010B44"/>
    <w:rsid w:val="00011D24"/>
    <w:rsid w:val="00013FF4"/>
    <w:rsid w:val="0001591C"/>
    <w:rsid w:val="00016E4C"/>
    <w:rsid w:val="00020FE1"/>
    <w:rsid w:val="000224F8"/>
    <w:rsid w:val="00022E13"/>
    <w:rsid w:val="000233ED"/>
    <w:rsid w:val="0002617B"/>
    <w:rsid w:val="000275BD"/>
    <w:rsid w:val="00032388"/>
    <w:rsid w:val="00034608"/>
    <w:rsid w:val="00035CE2"/>
    <w:rsid w:val="000545E5"/>
    <w:rsid w:val="000547A8"/>
    <w:rsid w:val="0005553B"/>
    <w:rsid w:val="000604D2"/>
    <w:rsid w:val="0006054B"/>
    <w:rsid w:val="00064A31"/>
    <w:rsid w:val="00065CC1"/>
    <w:rsid w:val="00075E95"/>
    <w:rsid w:val="000771D1"/>
    <w:rsid w:val="00080A6F"/>
    <w:rsid w:val="00082500"/>
    <w:rsid w:val="000830A2"/>
    <w:rsid w:val="00083EC5"/>
    <w:rsid w:val="000844B5"/>
    <w:rsid w:val="000846DB"/>
    <w:rsid w:val="00085D0F"/>
    <w:rsid w:val="00085D29"/>
    <w:rsid w:val="0009005E"/>
    <w:rsid w:val="00090098"/>
    <w:rsid w:val="00091889"/>
    <w:rsid w:val="00091B57"/>
    <w:rsid w:val="00093645"/>
    <w:rsid w:val="000939D5"/>
    <w:rsid w:val="000941C5"/>
    <w:rsid w:val="00094CD6"/>
    <w:rsid w:val="000A6451"/>
    <w:rsid w:val="000B064E"/>
    <w:rsid w:val="000B0ACD"/>
    <w:rsid w:val="000B1788"/>
    <w:rsid w:val="000B2FB6"/>
    <w:rsid w:val="000B5AB4"/>
    <w:rsid w:val="000B69CF"/>
    <w:rsid w:val="000B744D"/>
    <w:rsid w:val="000B7C4C"/>
    <w:rsid w:val="000C0C7B"/>
    <w:rsid w:val="000C3F6F"/>
    <w:rsid w:val="000C790C"/>
    <w:rsid w:val="000C7F8B"/>
    <w:rsid w:val="000D758B"/>
    <w:rsid w:val="000D7F80"/>
    <w:rsid w:val="000E1391"/>
    <w:rsid w:val="000E3B44"/>
    <w:rsid w:val="000E469F"/>
    <w:rsid w:val="000E52B9"/>
    <w:rsid w:val="000F061D"/>
    <w:rsid w:val="000F2A85"/>
    <w:rsid w:val="000F2D81"/>
    <w:rsid w:val="000F3942"/>
    <w:rsid w:val="000F3F45"/>
    <w:rsid w:val="000F4794"/>
    <w:rsid w:val="000F6B1B"/>
    <w:rsid w:val="001051AD"/>
    <w:rsid w:val="001071E2"/>
    <w:rsid w:val="00107474"/>
    <w:rsid w:val="001144EB"/>
    <w:rsid w:val="0012044D"/>
    <w:rsid w:val="00121141"/>
    <w:rsid w:val="00121B9A"/>
    <w:rsid w:val="00124F12"/>
    <w:rsid w:val="001269EC"/>
    <w:rsid w:val="00127877"/>
    <w:rsid w:val="001326F9"/>
    <w:rsid w:val="001423B3"/>
    <w:rsid w:val="00144E3A"/>
    <w:rsid w:val="00145740"/>
    <w:rsid w:val="0015060C"/>
    <w:rsid w:val="0015382A"/>
    <w:rsid w:val="0015434B"/>
    <w:rsid w:val="00156E11"/>
    <w:rsid w:val="0016018A"/>
    <w:rsid w:val="0016022C"/>
    <w:rsid w:val="00161597"/>
    <w:rsid w:val="00161F0E"/>
    <w:rsid w:val="0016683A"/>
    <w:rsid w:val="001703F4"/>
    <w:rsid w:val="00170E2A"/>
    <w:rsid w:val="00171704"/>
    <w:rsid w:val="00174053"/>
    <w:rsid w:val="00177248"/>
    <w:rsid w:val="00177394"/>
    <w:rsid w:val="001821E4"/>
    <w:rsid w:val="00182C18"/>
    <w:rsid w:val="00183CC2"/>
    <w:rsid w:val="00183E5B"/>
    <w:rsid w:val="00186551"/>
    <w:rsid w:val="0018688F"/>
    <w:rsid w:val="001900E4"/>
    <w:rsid w:val="00190D67"/>
    <w:rsid w:val="00190EB2"/>
    <w:rsid w:val="00190F88"/>
    <w:rsid w:val="00196AC1"/>
    <w:rsid w:val="001A0DD7"/>
    <w:rsid w:val="001A105D"/>
    <w:rsid w:val="001A4066"/>
    <w:rsid w:val="001A6AE4"/>
    <w:rsid w:val="001A773C"/>
    <w:rsid w:val="001B0075"/>
    <w:rsid w:val="001B01FD"/>
    <w:rsid w:val="001B1EC6"/>
    <w:rsid w:val="001B499E"/>
    <w:rsid w:val="001B4A71"/>
    <w:rsid w:val="001B7C60"/>
    <w:rsid w:val="001C0986"/>
    <w:rsid w:val="001C2A0F"/>
    <w:rsid w:val="001C4D28"/>
    <w:rsid w:val="001C594D"/>
    <w:rsid w:val="001D1400"/>
    <w:rsid w:val="001D16AD"/>
    <w:rsid w:val="001D22F5"/>
    <w:rsid w:val="001D2E96"/>
    <w:rsid w:val="001D3D1C"/>
    <w:rsid w:val="001D4D05"/>
    <w:rsid w:val="001D5B54"/>
    <w:rsid w:val="001D6BC8"/>
    <w:rsid w:val="001E063B"/>
    <w:rsid w:val="001E0CD5"/>
    <w:rsid w:val="001E1DBF"/>
    <w:rsid w:val="001E4639"/>
    <w:rsid w:val="001E4A7D"/>
    <w:rsid w:val="001E7C09"/>
    <w:rsid w:val="001F08D6"/>
    <w:rsid w:val="001F2E13"/>
    <w:rsid w:val="001F43A8"/>
    <w:rsid w:val="001F5CD6"/>
    <w:rsid w:val="001F636D"/>
    <w:rsid w:val="001F6BB5"/>
    <w:rsid w:val="001F7927"/>
    <w:rsid w:val="00204F52"/>
    <w:rsid w:val="00205645"/>
    <w:rsid w:val="0020637A"/>
    <w:rsid w:val="00206EE5"/>
    <w:rsid w:val="00210D65"/>
    <w:rsid w:val="0021263D"/>
    <w:rsid w:val="00213F0C"/>
    <w:rsid w:val="00214094"/>
    <w:rsid w:val="0021549C"/>
    <w:rsid w:val="0021592D"/>
    <w:rsid w:val="00220B1F"/>
    <w:rsid w:val="00220E4B"/>
    <w:rsid w:val="00222D76"/>
    <w:rsid w:val="00223C3F"/>
    <w:rsid w:val="00223EB1"/>
    <w:rsid w:val="00225104"/>
    <w:rsid w:val="00227447"/>
    <w:rsid w:val="00230FC6"/>
    <w:rsid w:val="0023121A"/>
    <w:rsid w:val="00231344"/>
    <w:rsid w:val="0023436E"/>
    <w:rsid w:val="002347C0"/>
    <w:rsid w:val="002349E3"/>
    <w:rsid w:val="00234D13"/>
    <w:rsid w:val="00236D7B"/>
    <w:rsid w:val="002379C8"/>
    <w:rsid w:val="00237F21"/>
    <w:rsid w:val="00240887"/>
    <w:rsid w:val="00241586"/>
    <w:rsid w:val="00241A6C"/>
    <w:rsid w:val="00242D2B"/>
    <w:rsid w:val="00246F6E"/>
    <w:rsid w:val="002472D1"/>
    <w:rsid w:val="00253862"/>
    <w:rsid w:val="00262354"/>
    <w:rsid w:val="00262AA5"/>
    <w:rsid w:val="00262E2B"/>
    <w:rsid w:val="00263B52"/>
    <w:rsid w:val="00265B54"/>
    <w:rsid w:val="00270429"/>
    <w:rsid w:val="00270D49"/>
    <w:rsid w:val="002721DF"/>
    <w:rsid w:val="002723E9"/>
    <w:rsid w:val="002735E8"/>
    <w:rsid w:val="002739F7"/>
    <w:rsid w:val="0027696A"/>
    <w:rsid w:val="002777B2"/>
    <w:rsid w:val="00277929"/>
    <w:rsid w:val="00283B82"/>
    <w:rsid w:val="002846E9"/>
    <w:rsid w:val="00284C34"/>
    <w:rsid w:val="00285487"/>
    <w:rsid w:val="0029066C"/>
    <w:rsid w:val="0029241A"/>
    <w:rsid w:val="00293752"/>
    <w:rsid w:val="00294BFF"/>
    <w:rsid w:val="0029519D"/>
    <w:rsid w:val="00295E2D"/>
    <w:rsid w:val="002964CC"/>
    <w:rsid w:val="0029676F"/>
    <w:rsid w:val="0029760B"/>
    <w:rsid w:val="002A1786"/>
    <w:rsid w:val="002A22B4"/>
    <w:rsid w:val="002A5228"/>
    <w:rsid w:val="002B1BDD"/>
    <w:rsid w:val="002B1E5C"/>
    <w:rsid w:val="002B2CA0"/>
    <w:rsid w:val="002B50DB"/>
    <w:rsid w:val="002C12AB"/>
    <w:rsid w:val="002C1EF4"/>
    <w:rsid w:val="002C4EA1"/>
    <w:rsid w:val="002C782A"/>
    <w:rsid w:val="002C7CAC"/>
    <w:rsid w:val="002D2942"/>
    <w:rsid w:val="002D2B8B"/>
    <w:rsid w:val="002D3306"/>
    <w:rsid w:val="002D43E4"/>
    <w:rsid w:val="002D48AA"/>
    <w:rsid w:val="002D63F0"/>
    <w:rsid w:val="002D6502"/>
    <w:rsid w:val="002D6EA2"/>
    <w:rsid w:val="002D75FD"/>
    <w:rsid w:val="002D7BAA"/>
    <w:rsid w:val="002D7F54"/>
    <w:rsid w:val="002E02A5"/>
    <w:rsid w:val="002E3FF4"/>
    <w:rsid w:val="002E7253"/>
    <w:rsid w:val="002F4216"/>
    <w:rsid w:val="002F434C"/>
    <w:rsid w:val="002F4C6C"/>
    <w:rsid w:val="002F501E"/>
    <w:rsid w:val="002F5DE6"/>
    <w:rsid w:val="002F78C8"/>
    <w:rsid w:val="002F7BC5"/>
    <w:rsid w:val="00301CF3"/>
    <w:rsid w:val="0030312F"/>
    <w:rsid w:val="003063AC"/>
    <w:rsid w:val="003118E7"/>
    <w:rsid w:val="003157B9"/>
    <w:rsid w:val="00316241"/>
    <w:rsid w:val="00322730"/>
    <w:rsid w:val="00323B9C"/>
    <w:rsid w:val="00324BFF"/>
    <w:rsid w:val="0032656E"/>
    <w:rsid w:val="0032715C"/>
    <w:rsid w:val="0032776D"/>
    <w:rsid w:val="003325CB"/>
    <w:rsid w:val="00334A15"/>
    <w:rsid w:val="0033591B"/>
    <w:rsid w:val="003360ED"/>
    <w:rsid w:val="00336B5E"/>
    <w:rsid w:val="00337CA5"/>
    <w:rsid w:val="00345BC2"/>
    <w:rsid w:val="00347E23"/>
    <w:rsid w:val="003502CB"/>
    <w:rsid w:val="003512FC"/>
    <w:rsid w:val="003516C5"/>
    <w:rsid w:val="00352D8F"/>
    <w:rsid w:val="0035372E"/>
    <w:rsid w:val="00355262"/>
    <w:rsid w:val="003579CA"/>
    <w:rsid w:val="00357BF6"/>
    <w:rsid w:val="00361173"/>
    <w:rsid w:val="00361AA4"/>
    <w:rsid w:val="00362478"/>
    <w:rsid w:val="0036766B"/>
    <w:rsid w:val="00372CE6"/>
    <w:rsid w:val="00375046"/>
    <w:rsid w:val="00375B25"/>
    <w:rsid w:val="00386C5E"/>
    <w:rsid w:val="003920A9"/>
    <w:rsid w:val="00392705"/>
    <w:rsid w:val="00394724"/>
    <w:rsid w:val="0039651E"/>
    <w:rsid w:val="00396542"/>
    <w:rsid w:val="0039685B"/>
    <w:rsid w:val="003A1C8F"/>
    <w:rsid w:val="003A31A6"/>
    <w:rsid w:val="003A56B9"/>
    <w:rsid w:val="003A6E7A"/>
    <w:rsid w:val="003A7253"/>
    <w:rsid w:val="003A7F0C"/>
    <w:rsid w:val="003A7F79"/>
    <w:rsid w:val="003B1482"/>
    <w:rsid w:val="003B331E"/>
    <w:rsid w:val="003B392E"/>
    <w:rsid w:val="003B4AA9"/>
    <w:rsid w:val="003B6404"/>
    <w:rsid w:val="003C07AD"/>
    <w:rsid w:val="003C449B"/>
    <w:rsid w:val="003C460B"/>
    <w:rsid w:val="003C576B"/>
    <w:rsid w:val="003C5B77"/>
    <w:rsid w:val="003D055E"/>
    <w:rsid w:val="003D21FF"/>
    <w:rsid w:val="003D654C"/>
    <w:rsid w:val="003E04D8"/>
    <w:rsid w:val="003E4A91"/>
    <w:rsid w:val="003F0112"/>
    <w:rsid w:val="003F071A"/>
    <w:rsid w:val="003F160B"/>
    <w:rsid w:val="003F4A37"/>
    <w:rsid w:val="003F62BF"/>
    <w:rsid w:val="00400032"/>
    <w:rsid w:val="00400B5B"/>
    <w:rsid w:val="00405A00"/>
    <w:rsid w:val="00410764"/>
    <w:rsid w:val="00411471"/>
    <w:rsid w:val="0041154D"/>
    <w:rsid w:val="004122E1"/>
    <w:rsid w:val="004130FF"/>
    <w:rsid w:val="00420870"/>
    <w:rsid w:val="00421E3F"/>
    <w:rsid w:val="00424721"/>
    <w:rsid w:val="004260CD"/>
    <w:rsid w:val="0043626C"/>
    <w:rsid w:val="0043791B"/>
    <w:rsid w:val="004403D7"/>
    <w:rsid w:val="00441483"/>
    <w:rsid w:val="00441BCB"/>
    <w:rsid w:val="00443084"/>
    <w:rsid w:val="004434F5"/>
    <w:rsid w:val="00450931"/>
    <w:rsid w:val="0045176A"/>
    <w:rsid w:val="004518B0"/>
    <w:rsid w:val="00455EC8"/>
    <w:rsid w:val="00456332"/>
    <w:rsid w:val="004616CB"/>
    <w:rsid w:val="00461826"/>
    <w:rsid w:val="004654C2"/>
    <w:rsid w:val="00466B10"/>
    <w:rsid w:val="004671CC"/>
    <w:rsid w:val="004800F9"/>
    <w:rsid w:val="00481B7F"/>
    <w:rsid w:val="0048285A"/>
    <w:rsid w:val="00483502"/>
    <w:rsid w:val="00483D7F"/>
    <w:rsid w:val="0048458B"/>
    <w:rsid w:val="00486876"/>
    <w:rsid w:val="0049134A"/>
    <w:rsid w:val="004A3074"/>
    <w:rsid w:val="004A46D5"/>
    <w:rsid w:val="004A58CB"/>
    <w:rsid w:val="004A6F00"/>
    <w:rsid w:val="004B1795"/>
    <w:rsid w:val="004B3A71"/>
    <w:rsid w:val="004B56DD"/>
    <w:rsid w:val="004B59B5"/>
    <w:rsid w:val="004C020F"/>
    <w:rsid w:val="004C046A"/>
    <w:rsid w:val="004C0FE5"/>
    <w:rsid w:val="004C1AFD"/>
    <w:rsid w:val="004C3F9E"/>
    <w:rsid w:val="004C47D4"/>
    <w:rsid w:val="004C558B"/>
    <w:rsid w:val="004D2625"/>
    <w:rsid w:val="004D3CD8"/>
    <w:rsid w:val="004D4064"/>
    <w:rsid w:val="004E3155"/>
    <w:rsid w:val="004E42EC"/>
    <w:rsid w:val="004E7868"/>
    <w:rsid w:val="004E7D9E"/>
    <w:rsid w:val="004F0CF5"/>
    <w:rsid w:val="004F195B"/>
    <w:rsid w:val="004F1F88"/>
    <w:rsid w:val="004F3B26"/>
    <w:rsid w:val="004F5F1B"/>
    <w:rsid w:val="00501519"/>
    <w:rsid w:val="00502374"/>
    <w:rsid w:val="005026CE"/>
    <w:rsid w:val="00503336"/>
    <w:rsid w:val="00503F0A"/>
    <w:rsid w:val="00504DD3"/>
    <w:rsid w:val="005060A1"/>
    <w:rsid w:val="0051107E"/>
    <w:rsid w:val="00511810"/>
    <w:rsid w:val="00516014"/>
    <w:rsid w:val="00516072"/>
    <w:rsid w:val="005177E4"/>
    <w:rsid w:val="00517AE2"/>
    <w:rsid w:val="005207DE"/>
    <w:rsid w:val="00521D19"/>
    <w:rsid w:val="0052303D"/>
    <w:rsid w:val="00523997"/>
    <w:rsid w:val="00525EDB"/>
    <w:rsid w:val="00527AB5"/>
    <w:rsid w:val="00527E55"/>
    <w:rsid w:val="00530A85"/>
    <w:rsid w:val="005332EC"/>
    <w:rsid w:val="00534418"/>
    <w:rsid w:val="005353AB"/>
    <w:rsid w:val="00543BEF"/>
    <w:rsid w:val="005445FE"/>
    <w:rsid w:val="00545647"/>
    <w:rsid w:val="00545D3D"/>
    <w:rsid w:val="00547944"/>
    <w:rsid w:val="00555BD1"/>
    <w:rsid w:val="005560BC"/>
    <w:rsid w:val="005573BE"/>
    <w:rsid w:val="00560C29"/>
    <w:rsid w:val="0056365F"/>
    <w:rsid w:val="00563C01"/>
    <w:rsid w:val="00564673"/>
    <w:rsid w:val="0056688B"/>
    <w:rsid w:val="00567927"/>
    <w:rsid w:val="0057228D"/>
    <w:rsid w:val="00572700"/>
    <w:rsid w:val="0057345E"/>
    <w:rsid w:val="00574850"/>
    <w:rsid w:val="00580468"/>
    <w:rsid w:val="00580AF4"/>
    <w:rsid w:val="00583862"/>
    <w:rsid w:val="0058487D"/>
    <w:rsid w:val="00585498"/>
    <w:rsid w:val="0058603B"/>
    <w:rsid w:val="00587030"/>
    <w:rsid w:val="0058788C"/>
    <w:rsid w:val="005903E7"/>
    <w:rsid w:val="00590A35"/>
    <w:rsid w:val="00594270"/>
    <w:rsid w:val="0059431B"/>
    <w:rsid w:val="005A39CC"/>
    <w:rsid w:val="005A67C2"/>
    <w:rsid w:val="005B3561"/>
    <w:rsid w:val="005B4730"/>
    <w:rsid w:val="005B7F95"/>
    <w:rsid w:val="005C293E"/>
    <w:rsid w:val="005C37C8"/>
    <w:rsid w:val="005C67B1"/>
    <w:rsid w:val="005D37E8"/>
    <w:rsid w:val="005D681E"/>
    <w:rsid w:val="005D71AB"/>
    <w:rsid w:val="005E05D7"/>
    <w:rsid w:val="005E15D0"/>
    <w:rsid w:val="005E1AE5"/>
    <w:rsid w:val="005E2D07"/>
    <w:rsid w:val="005E41E7"/>
    <w:rsid w:val="005E450F"/>
    <w:rsid w:val="005E6315"/>
    <w:rsid w:val="005E7C26"/>
    <w:rsid w:val="005F2D73"/>
    <w:rsid w:val="005F3764"/>
    <w:rsid w:val="005F3C5D"/>
    <w:rsid w:val="005F5698"/>
    <w:rsid w:val="005F6070"/>
    <w:rsid w:val="005F64EA"/>
    <w:rsid w:val="0060410C"/>
    <w:rsid w:val="00612867"/>
    <w:rsid w:val="006171A7"/>
    <w:rsid w:val="006171F2"/>
    <w:rsid w:val="00621DA9"/>
    <w:rsid w:val="0062298A"/>
    <w:rsid w:val="006234AF"/>
    <w:rsid w:val="00624FAC"/>
    <w:rsid w:val="00626514"/>
    <w:rsid w:val="00626589"/>
    <w:rsid w:val="006279A2"/>
    <w:rsid w:val="00630A3A"/>
    <w:rsid w:val="006314D5"/>
    <w:rsid w:val="00632111"/>
    <w:rsid w:val="00632C4F"/>
    <w:rsid w:val="0063359B"/>
    <w:rsid w:val="006339A0"/>
    <w:rsid w:val="00635099"/>
    <w:rsid w:val="006413A8"/>
    <w:rsid w:val="00641811"/>
    <w:rsid w:val="00642E56"/>
    <w:rsid w:val="00647072"/>
    <w:rsid w:val="00647EB4"/>
    <w:rsid w:val="00651E00"/>
    <w:rsid w:val="00653C94"/>
    <w:rsid w:val="006546B6"/>
    <w:rsid w:val="00654B95"/>
    <w:rsid w:val="006576F3"/>
    <w:rsid w:val="00666811"/>
    <w:rsid w:val="00667DD0"/>
    <w:rsid w:val="00674572"/>
    <w:rsid w:val="00675605"/>
    <w:rsid w:val="00675DB9"/>
    <w:rsid w:val="00677D1C"/>
    <w:rsid w:val="00681C6F"/>
    <w:rsid w:val="00681D5E"/>
    <w:rsid w:val="00684F60"/>
    <w:rsid w:val="0068690B"/>
    <w:rsid w:val="00686EC3"/>
    <w:rsid w:val="00687763"/>
    <w:rsid w:val="00692B0D"/>
    <w:rsid w:val="00693299"/>
    <w:rsid w:val="0069337A"/>
    <w:rsid w:val="00693E0E"/>
    <w:rsid w:val="006A1AE3"/>
    <w:rsid w:val="006A4476"/>
    <w:rsid w:val="006B33F7"/>
    <w:rsid w:val="006B3B5F"/>
    <w:rsid w:val="006B6B1C"/>
    <w:rsid w:val="006B7E74"/>
    <w:rsid w:val="006C30E1"/>
    <w:rsid w:val="006C428B"/>
    <w:rsid w:val="006C4607"/>
    <w:rsid w:val="006C4F69"/>
    <w:rsid w:val="006C71C8"/>
    <w:rsid w:val="006C7E33"/>
    <w:rsid w:val="006D0460"/>
    <w:rsid w:val="006D0BF6"/>
    <w:rsid w:val="006D1178"/>
    <w:rsid w:val="006D3D50"/>
    <w:rsid w:val="006D48F1"/>
    <w:rsid w:val="006D5CF3"/>
    <w:rsid w:val="006E30EC"/>
    <w:rsid w:val="006E335C"/>
    <w:rsid w:val="006F0171"/>
    <w:rsid w:val="006F45BE"/>
    <w:rsid w:val="006F47D2"/>
    <w:rsid w:val="006F5F13"/>
    <w:rsid w:val="006F6434"/>
    <w:rsid w:val="007004FC"/>
    <w:rsid w:val="00701435"/>
    <w:rsid w:val="00703702"/>
    <w:rsid w:val="00703753"/>
    <w:rsid w:val="0070378A"/>
    <w:rsid w:val="00704823"/>
    <w:rsid w:val="00706670"/>
    <w:rsid w:val="007068B9"/>
    <w:rsid w:val="00706E80"/>
    <w:rsid w:val="00711BB9"/>
    <w:rsid w:val="00712F3D"/>
    <w:rsid w:val="007153D0"/>
    <w:rsid w:val="0071669A"/>
    <w:rsid w:val="00720C67"/>
    <w:rsid w:val="00722373"/>
    <w:rsid w:val="00722C9B"/>
    <w:rsid w:val="0072417C"/>
    <w:rsid w:val="00727513"/>
    <w:rsid w:val="00730F38"/>
    <w:rsid w:val="0073302A"/>
    <w:rsid w:val="00734450"/>
    <w:rsid w:val="007345E0"/>
    <w:rsid w:val="007346FF"/>
    <w:rsid w:val="0073494F"/>
    <w:rsid w:val="00735856"/>
    <w:rsid w:val="007402CA"/>
    <w:rsid w:val="00743F3E"/>
    <w:rsid w:val="0074451A"/>
    <w:rsid w:val="00745A0D"/>
    <w:rsid w:val="00745F67"/>
    <w:rsid w:val="0075039E"/>
    <w:rsid w:val="007514E6"/>
    <w:rsid w:val="00752D9D"/>
    <w:rsid w:val="00754784"/>
    <w:rsid w:val="007574F9"/>
    <w:rsid w:val="0075755A"/>
    <w:rsid w:val="00757C6E"/>
    <w:rsid w:val="007608D9"/>
    <w:rsid w:val="00762B65"/>
    <w:rsid w:val="00762BDA"/>
    <w:rsid w:val="007657C2"/>
    <w:rsid w:val="007667EE"/>
    <w:rsid w:val="00770BA7"/>
    <w:rsid w:val="00771019"/>
    <w:rsid w:val="00771CBF"/>
    <w:rsid w:val="007721E4"/>
    <w:rsid w:val="0077533B"/>
    <w:rsid w:val="00776BB0"/>
    <w:rsid w:val="007805FD"/>
    <w:rsid w:val="007813FF"/>
    <w:rsid w:val="00782941"/>
    <w:rsid w:val="00782A5B"/>
    <w:rsid w:val="00783248"/>
    <w:rsid w:val="00784422"/>
    <w:rsid w:val="00784FAA"/>
    <w:rsid w:val="00785A09"/>
    <w:rsid w:val="00786386"/>
    <w:rsid w:val="0079022D"/>
    <w:rsid w:val="00790B52"/>
    <w:rsid w:val="00790BE2"/>
    <w:rsid w:val="00795816"/>
    <w:rsid w:val="007A18B1"/>
    <w:rsid w:val="007A2723"/>
    <w:rsid w:val="007A52B2"/>
    <w:rsid w:val="007A5BBE"/>
    <w:rsid w:val="007A5D88"/>
    <w:rsid w:val="007B02D8"/>
    <w:rsid w:val="007B363E"/>
    <w:rsid w:val="007B3B54"/>
    <w:rsid w:val="007B3FA0"/>
    <w:rsid w:val="007B58C9"/>
    <w:rsid w:val="007B7CC1"/>
    <w:rsid w:val="007C0F2C"/>
    <w:rsid w:val="007C1308"/>
    <w:rsid w:val="007C1860"/>
    <w:rsid w:val="007C2BCC"/>
    <w:rsid w:val="007C4EF0"/>
    <w:rsid w:val="007C7241"/>
    <w:rsid w:val="007C7825"/>
    <w:rsid w:val="007D05C2"/>
    <w:rsid w:val="007D099D"/>
    <w:rsid w:val="007D1168"/>
    <w:rsid w:val="007D1708"/>
    <w:rsid w:val="007E11A4"/>
    <w:rsid w:val="007E2664"/>
    <w:rsid w:val="007E3ABF"/>
    <w:rsid w:val="007E5BFA"/>
    <w:rsid w:val="007E6689"/>
    <w:rsid w:val="007E6B84"/>
    <w:rsid w:val="007E731C"/>
    <w:rsid w:val="007E7BF9"/>
    <w:rsid w:val="007E7C0C"/>
    <w:rsid w:val="007F0A03"/>
    <w:rsid w:val="007F6C0A"/>
    <w:rsid w:val="007F7669"/>
    <w:rsid w:val="00806C74"/>
    <w:rsid w:val="00810040"/>
    <w:rsid w:val="008109D0"/>
    <w:rsid w:val="00810FEB"/>
    <w:rsid w:val="00814534"/>
    <w:rsid w:val="00816C29"/>
    <w:rsid w:val="00817322"/>
    <w:rsid w:val="0082023A"/>
    <w:rsid w:val="00820881"/>
    <w:rsid w:val="008209AE"/>
    <w:rsid w:val="00821A7A"/>
    <w:rsid w:val="00824182"/>
    <w:rsid w:val="008253EA"/>
    <w:rsid w:val="008253F8"/>
    <w:rsid w:val="008302A8"/>
    <w:rsid w:val="008325E4"/>
    <w:rsid w:val="00832A2B"/>
    <w:rsid w:val="00834259"/>
    <w:rsid w:val="008349CA"/>
    <w:rsid w:val="0084109A"/>
    <w:rsid w:val="008429DD"/>
    <w:rsid w:val="00845811"/>
    <w:rsid w:val="00846994"/>
    <w:rsid w:val="0084743F"/>
    <w:rsid w:val="00847FC1"/>
    <w:rsid w:val="0085013C"/>
    <w:rsid w:val="0085014D"/>
    <w:rsid w:val="00850451"/>
    <w:rsid w:val="00852042"/>
    <w:rsid w:val="008534C9"/>
    <w:rsid w:val="00853FD9"/>
    <w:rsid w:val="0085599D"/>
    <w:rsid w:val="00860799"/>
    <w:rsid w:val="0086151A"/>
    <w:rsid w:val="0086252B"/>
    <w:rsid w:val="00864D22"/>
    <w:rsid w:val="0086579F"/>
    <w:rsid w:val="00873125"/>
    <w:rsid w:val="0087400C"/>
    <w:rsid w:val="0087510C"/>
    <w:rsid w:val="00880DF6"/>
    <w:rsid w:val="00885F3D"/>
    <w:rsid w:val="0088613B"/>
    <w:rsid w:val="00891F8F"/>
    <w:rsid w:val="008947FD"/>
    <w:rsid w:val="00896448"/>
    <w:rsid w:val="0089738E"/>
    <w:rsid w:val="008A7BF4"/>
    <w:rsid w:val="008A7CBE"/>
    <w:rsid w:val="008B25E6"/>
    <w:rsid w:val="008B2E96"/>
    <w:rsid w:val="008B3858"/>
    <w:rsid w:val="008B5FDB"/>
    <w:rsid w:val="008B7961"/>
    <w:rsid w:val="008C0FC5"/>
    <w:rsid w:val="008C4BAC"/>
    <w:rsid w:val="008C4C54"/>
    <w:rsid w:val="008C50F4"/>
    <w:rsid w:val="008C5649"/>
    <w:rsid w:val="008C643F"/>
    <w:rsid w:val="008C7D52"/>
    <w:rsid w:val="008D232B"/>
    <w:rsid w:val="008D581D"/>
    <w:rsid w:val="008D5A15"/>
    <w:rsid w:val="008D6632"/>
    <w:rsid w:val="008E0D8D"/>
    <w:rsid w:val="008E1108"/>
    <w:rsid w:val="008E1D38"/>
    <w:rsid w:val="008E284D"/>
    <w:rsid w:val="008E44A2"/>
    <w:rsid w:val="008E5ED0"/>
    <w:rsid w:val="008E697D"/>
    <w:rsid w:val="008F0529"/>
    <w:rsid w:val="008F1E93"/>
    <w:rsid w:val="00900681"/>
    <w:rsid w:val="00903263"/>
    <w:rsid w:val="00906A21"/>
    <w:rsid w:val="009079C3"/>
    <w:rsid w:val="00910462"/>
    <w:rsid w:val="00915AB1"/>
    <w:rsid w:val="009172F8"/>
    <w:rsid w:val="00917532"/>
    <w:rsid w:val="0092182A"/>
    <w:rsid w:val="00922E0A"/>
    <w:rsid w:val="009235BA"/>
    <w:rsid w:val="00924023"/>
    <w:rsid w:val="00924CE2"/>
    <w:rsid w:val="00925B9F"/>
    <w:rsid w:val="00927884"/>
    <w:rsid w:val="00930822"/>
    <w:rsid w:val="00931AED"/>
    <w:rsid w:val="009327EA"/>
    <w:rsid w:val="00932CAB"/>
    <w:rsid w:val="00936833"/>
    <w:rsid w:val="009467E6"/>
    <w:rsid w:val="009476A3"/>
    <w:rsid w:val="00950502"/>
    <w:rsid w:val="009506BF"/>
    <w:rsid w:val="009525C6"/>
    <w:rsid w:val="0095334F"/>
    <w:rsid w:val="009539CD"/>
    <w:rsid w:val="009559B5"/>
    <w:rsid w:val="0095631A"/>
    <w:rsid w:val="00956C04"/>
    <w:rsid w:val="009601B4"/>
    <w:rsid w:val="00960403"/>
    <w:rsid w:val="009639D9"/>
    <w:rsid w:val="00963B42"/>
    <w:rsid w:val="00964957"/>
    <w:rsid w:val="00965897"/>
    <w:rsid w:val="009670EF"/>
    <w:rsid w:val="0096765C"/>
    <w:rsid w:val="00972551"/>
    <w:rsid w:val="009727E4"/>
    <w:rsid w:val="00972896"/>
    <w:rsid w:val="0097298E"/>
    <w:rsid w:val="00973D2C"/>
    <w:rsid w:val="00983D11"/>
    <w:rsid w:val="0098664F"/>
    <w:rsid w:val="00990136"/>
    <w:rsid w:val="009934C5"/>
    <w:rsid w:val="00994C0F"/>
    <w:rsid w:val="009955C9"/>
    <w:rsid w:val="00995EA7"/>
    <w:rsid w:val="00997015"/>
    <w:rsid w:val="00997163"/>
    <w:rsid w:val="009A1F49"/>
    <w:rsid w:val="009A51A0"/>
    <w:rsid w:val="009A63DE"/>
    <w:rsid w:val="009A6721"/>
    <w:rsid w:val="009B0096"/>
    <w:rsid w:val="009B22D7"/>
    <w:rsid w:val="009B2A4D"/>
    <w:rsid w:val="009B4F6C"/>
    <w:rsid w:val="009B72ED"/>
    <w:rsid w:val="009C0BA9"/>
    <w:rsid w:val="009C309F"/>
    <w:rsid w:val="009C48EF"/>
    <w:rsid w:val="009C4C0B"/>
    <w:rsid w:val="009C5D8E"/>
    <w:rsid w:val="009C6DEB"/>
    <w:rsid w:val="009D5A16"/>
    <w:rsid w:val="009D6504"/>
    <w:rsid w:val="009D7CCF"/>
    <w:rsid w:val="009E059A"/>
    <w:rsid w:val="009E12D7"/>
    <w:rsid w:val="009E4A09"/>
    <w:rsid w:val="009E661A"/>
    <w:rsid w:val="009F5770"/>
    <w:rsid w:val="009F63DB"/>
    <w:rsid w:val="009F6530"/>
    <w:rsid w:val="00A0071A"/>
    <w:rsid w:val="00A01434"/>
    <w:rsid w:val="00A04BC0"/>
    <w:rsid w:val="00A050D7"/>
    <w:rsid w:val="00A061CD"/>
    <w:rsid w:val="00A06781"/>
    <w:rsid w:val="00A06CAE"/>
    <w:rsid w:val="00A074C3"/>
    <w:rsid w:val="00A07649"/>
    <w:rsid w:val="00A14406"/>
    <w:rsid w:val="00A1463D"/>
    <w:rsid w:val="00A1509C"/>
    <w:rsid w:val="00A17653"/>
    <w:rsid w:val="00A229C6"/>
    <w:rsid w:val="00A2516F"/>
    <w:rsid w:val="00A26F57"/>
    <w:rsid w:val="00A31A3E"/>
    <w:rsid w:val="00A34260"/>
    <w:rsid w:val="00A40449"/>
    <w:rsid w:val="00A40659"/>
    <w:rsid w:val="00A45645"/>
    <w:rsid w:val="00A4623E"/>
    <w:rsid w:val="00A4759A"/>
    <w:rsid w:val="00A514AD"/>
    <w:rsid w:val="00A5196A"/>
    <w:rsid w:val="00A52D73"/>
    <w:rsid w:val="00A54068"/>
    <w:rsid w:val="00A57616"/>
    <w:rsid w:val="00A61BE3"/>
    <w:rsid w:val="00A6211E"/>
    <w:rsid w:val="00A70CFD"/>
    <w:rsid w:val="00A72A0B"/>
    <w:rsid w:val="00A72A27"/>
    <w:rsid w:val="00A75073"/>
    <w:rsid w:val="00A76B2A"/>
    <w:rsid w:val="00A81E42"/>
    <w:rsid w:val="00A84386"/>
    <w:rsid w:val="00A85228"/>
    <w:rsid w:val="00A864FE"/>
    <w:rsid w:val="00A86F41"/>
    <w:rsid w:val="00A87048"/>
    <w:rsid w:val="00A87D04"/>
    <w:rsid w:val="00A92996"/>
    <w:rsid w:val="00A93A94"/>
    <w:rsid w:val="00A94378"/>
    <w:rsid w:val="00A950C5"/>
    <w:rsid w:val="00AA1D25"/>
    <w:rsid w:val="00AA344F"/>
    <w:rsid w:val="00AA40FB"/>
    <w:rsid w:val="00AA4724"/>
    <w:rsid w:val="00AB123C"/>
    <w:rsid w:val="00AB2B1A"/>
    <w:rsid w:val="00AB397F"/>
    <w:rsid w:val="00AB5832"/>
    <w:rsid w:val="00AB6C76"/>
    <w:rsid w:val="00AC3BC9"/>
    <w:rsid w:val="00AC3DC2"/>
    <w:rsid w:val="00AC51F2"/>
    <w:rsid w:val="00AC76CE"/>
    <w:rsid w:val="00AD106F"/>
    <w:rsid w:val="00AD31A3"/>
    <w:rsid w:val="00AD3BB5"/>
    <w:rsid w:val="00AD5E63"/>
    <w:rsid w:val="00AE1239"/>
    <w:rsid w:val="00AE4183"/>
    <w:rsid w:val="00AE5066"/>
    <w:rsid w:val="00AE5A0F"/>
    <w:rsid w:val="00AE5E24"/>
    <w:rsid w:val="00AE61B7"/>
    <w:rsid w:val="00AE6CBA"/>
    <w:rsid w:val="00AE79AD"/>
    <w:rsid w:val="00AF00D4"/>
    <w:rsid w:val="00AF0434"/>
    <w:rsid w:val="00AF21A0"/>
    <w:rsid w:val="00AF35E4"/>
    <w:rsid w:val="00AF5CDE"/>
    <w:rsid w:val="00AF6E08"/>
    <w:rsid w:val="00B02718"/>
    <w:rsid w:val="00B03903"/>
    <w:rsid w:val="00B04E28"/>
    <w:rsid w:val="00B101FD"/>
    <w:rsid w:val="00B10D91"/>
    <w:rsid w:val="00B11445"/>
    <w:rsid w:val="00B11A57"/>
    <w:rsid w:val="00B14A20"/>
    <w:rsid w:val="00B207C4"/>
    <w:rsid w:val="00B20FBA"/>
    <w:rsid w:val="00B211C3"/>
    <w:rsid w:val="00B220AF"/>
    <w:rsid w:val="00B23A60"/>
    <w:rsid w:val="00B25597"/>
    <w:rsid w:val="00B267B9"/>
    <w:rsid w:val="00B27435"/>
    <w:rsid w:val="00B31686"/>
    <w:rsid w:val="00B33E09"/>
    <w:rsid w:val="00B35AEC"/>
    <w:rsid w:val="00B37DF1"/>
    <w:rsid w:val="00B40E10"/>
    <w:rsid w:val="00B44629"/>
    <w:rsid w:val="00B44CC3"/>
    <w:rsid w:val="00B50708"/>
    <w:rsid w:val="00B508B2"/>
    <w:rsid w:val="00B50C68"/>
    <w:rsid w:val="00B51293"/>
    <w:rsid w:val="00B527C4"/>
    <w:rsid w:val="00B52B1E"/>
    <w:rsid w:val="00B55481"/>
    <w:rsid w:val="00B56C32"/>
    <w:rsid w:val="00B5709A"/>
    <w:rsid w:val="00B57ACF"/>
    <w:rsid w:val="00B57C7C"/>
    <w:rsid w:val="00B64736"/>
    <w:rsid w:val="00B64BB1"/>
    <w:rsid w:val="00B658DA"/>
    <w:rsid w:val="00B67C5F"/>
    <w:rsid w:val="00B70445"/>
    <w:rsid w:val="00B706A5"/>
    <w:rsid w:val="00B73166"/>
    <w:rsid w:val="00B75CA5"/>
    <w:rsid w:val="00B75DAB"/>
    <w:rsid w:val="00B7657B"/>
    <w:rsid w:val="00B80BBC"/>
    <w:rsid w:val="00B8426C"/>
    <w:rsid w:val="00B86388"/>
    <w:rsid w:val="00B86633"/>
    <w:rsid w:val="00B8671E"/>
    <w:rsid w:val="00B86B2A"/>
    <w:rsid w:val="00B87078"/>
    <w:rsid w:val="00B91B8D"/>
    <w:rsid w:val="00B94E90"/>
    <w:rsid w:val="00BA20F7"/>
    <w:rsid w:val="00BB0A82"/>
    <w:rsid w:val="00BB3C89"/>
    <w:rsid w:val="00BB5363"/>
    <w:rsid w:val="00BB62C3"/>
    <w:rsid w:val="00BB74EC"/>
    <w:rsid w:val="00BB7C94"/>
    <w:rsid w:val="00BC0A9D"/>
    <w:rsid w:val="00BC0D7B"/>
    <w:rsid w:val="00BC16CD"/>
    <w:rsid w:val="00BC299D"/>
    <w:rsid w:val="00BC36BF"/>
    <w:rsid w:val="00BC3E5B"/>
    <w:rsid w:val="00BC3F96"/>
    <w:rsid w:val="00BC4107"/>
    <w:rsid w:val="00BC42B4"/>
    <w:rsid w:val="00BD1DC3"/>
    <w:rsid w:val="00BD2200"/>
    <w:rsid w:val="00BD542D"/>
    <w:rsid w:val="00BD7C5E"/>
    <w:rsid w:val="00BE0FB6"/>
    <w:rsid w:val="00BE5921"/>
    <w:rsid w:val="00BF0C92"/>
    <w:rsid w:val="00BF166A"/>
    <w:rsid w:val="00BF40ED"/>
    <w:rsid w:val="00BF415E"/>
    <w:rsid w:val="00BF5BC2"/>
    <w:rsid w:val="00C00733"/>
    <w:rsid w:val="00C02D6F"/>
    <w:rsid w:val="00C037FF"/>
    <w:rsid w:val="00C03CD7"/>
    <w:rsid w:val="00C07071"/>
    <w:rsid w:val="00C1133D"/>
    <w:rsid w:val="00C12493"/>
    <w:rsid w:val="00C1613B"/>
    <w:rsid w:val="00C16157"/>
    <w:rsid w:val="00C22496"/>
    <w:rsid w:val="00C224A8"/>
    <w:rsid w:val="00C23D1C"/>
    <w:rsid w:val="00C27A08"/>
    <w:rsid w:val="00C31312"/>
    <w:rsid w:val="00C31B23"/>
    <w:rsid w:val="00C326C6"/>
    <w:rsid w:val="00C35295"/>
    <w:rsid w:val="00C35618"/>
    <w:rsid w:val="00C36ADD"/>
    <w:rsid w:val="00C36E74"/>
    <w:rsid w:val="00C40595"/>
    <w:rsid w:val="00C41621"/>
    <w:rsid w:val="00C449FA"/>
    <w:rsid w:val="00C452FA"/>
    <w:rsid w:val="00C519D7"/>
    <w:rsid w:val="00C5384F"/>
    <w:rsid w:val="00C542E8"/>
    <w:rsid w:val="00C559B5"/>
    <w:rsid w:val="00C56964"/>
    <w:rsid w:val="00C61058"/>
    <w:rsid w:val="00C62494"/>
    <w:rsid w:val="00C64051"/>
    <w:rsid w:val="00C656D5"/>
    <w:rsid w:val="00C67103"/>
    <w:rsid w:val="00C71BB9"/>
    <w:rsid w:val="00C73804"/>
    <w:rsid w:val="00C763DB"/>
    <w:rsid w:val="00C81291"/>
    <w:rsid w:val="00C81F32"/>
    <w:rsid w:val="00C84DEF"/>
    <w:rsid w:val="00C8556C"/>
    <w:rsid w:val="00C94C28"/>
    <w:rsid w:val="00CA1F67"/>
    <w:rsid w:val="00CA2BE6"/>
    <w:rsid w:val="00CA41EC"/>
    <w:rsid w:val="00CA591D"/>
    <w:rsid w:val="00CA66D4"/>
    <w:rsid w:val="00CA6FC8"/>
    <w:rsid w:val="00CB0247"/>
    <w:rsid w:val="00CB0957"/>
    <w:rsid w:val="00CB2CAC"/>
    <w:rsid w:val="00CB3440"/>
    <w:rsid w:val="00CB3B0F"/>
    <w:rsid w:val="00CB4A5E"/>
    <w:rsid w:val="00CB5D1D"/>
    <w:rsid w:val="00CB659A"/>
    <w:rsid w:val="00CB7BA6"/>
    <w:rsid w:val="00CC1692"/>
    <w:rsid w:val="00CC3258"/>
    <w:rsid w:val="00CC7C87"/>
    <w:rsid w:val="00CD138B"/>
    <w:rsid w:val="00CD3E31"/>
    <w:rsid w:val="00CD5C45"/>
    <w:rsid w:val="00CD6CC4"/>
    <w:rsid w:val="00CD6E51"/>
    <w:rsid w:val="00CD74A3"/>
    <w:rsid w:val="00CE0527"/>
    <w:rsid w:val="00CE519C"/>
    <w:rsid w:val="00CE5B23"/>
    <w:rsid w:val="00CF0FC5"/>
    <w:rsid w:val="00CF1BFA"/>
    <w:rsid w:val="00CF70AD"/>
    <w:rsid w:val="00CF7729"/>
    <w:rsid w:val="00D00059"/>
    <w:rsid w:val="00D00ED0"/>
    <w:rsid w:val="00D03092"/>
    <w:rsid w:val="00D03110"/>
    <w:rsid w:val="00D05324"/>
    <w:rsid w:val="00D05AC4"/>
    <w:rsid w:val="00D107FA"/>
    <w:rsid w:val="00D12275"/>
    <w:rsid w:val="00D12766"/>
    <w:rsid w:val="00D20FF4"/>
    <w:rsid w:val="00D2478B"/>
    <w:rsid w:val="00D24D2C"/>
    <w:rsid w:val="00D251D1"/>
    <w:rsid w:val="00D27156"/>
    <w:rsid w:val="00D27572"/>
    <w:rsid w:val="00D27841"/>
    <w:rsid w:val="00D30AD8"/>
    <w:rsid w:val="00D31DF3"/>
    <w:rsid w:val="00D35881"/>
    <w:rsid w:val="00D35D64"/>
    <w:rsid w:val="00D42040"/>
    <w:rsid w:val="00D432C9"/>
    <w:rsid w:val="00D44D1D"/>
    <w:rsid w:val="00D46F93"/>
    <w:rsid w:val="00D50456"/>
    <w:rsid w:val="00D525FD"/>
    <w:rsid w:val="00D52D32"/>
    <w:rsid w:val="00D534B2"/>
    <w:rsid w:val="00D55CDD"/>
    <w:rsid w:val="00D56686"/>
    <w:rsid w:val="00D57116"/>
    <w:rsid w:val="00D62A89"/>
    <w:rsid w:val="00D633CE"/>
    <w:rsid w:val="00D63EB7"/>
    <w:rsid w:val="00D663D7"/>
    <w:rsid w:val="00D66490"/>
    <w:rsid w:val="00D677D4"/>
    <w:rsid w:val="00D715F4"/>
    <w:rsid w:val="00D730B3"/>
    <w:rsid w:val="00D7517F"/>
    <w:rsid w:val="00D86184"/>
    <w:rsid w:val="00D86620"/>
    <w:rsid w:val="00D92468"/>
    <w:rsid w:val="00D92FD2"/>
    <w:rsid w:val="00D942C5"/>
    <w:rsid w:val="00DA6119"/>
    <w:rsid w:val="00DA7BF2"/>
    <w:rsid w:val="00DA7DA5"/>
    <w:rsid w:val="00DB073B"/>
    <w:rsid w:val="00DB6FEA"/>
    <w:rsid w:val="00DB78F0"/>
    <w:rsid w:val="00DC0BAA"/>
    <w:rsid w:val="00DC0BEA"/>
    <w:rsid w:val="00DC2E43"/>
    <w:rsid w:val="00DC79F2"/>
    <w:rsid w:val="00DD05F9"/>
    <w:rsid w:val="00DD095C"/>
    <w:rsid w:val="00DD1020"/>
    <w:rsid w:val="00DD1330"/>
    <w:rsid w:val="00DD2225"/>
    <w:rsid w:val="00DD27E3"/>
    <w:rsid w:val="00DD2B9C"/>
    <w:rsid w:val="00DD36FB"/>
    <w:rsid w:val="00DD3E17"/>
    <w:rsid w:val="00DD4DFF"/>
    <w:rsid w:val="00DE0B83"/>
    <w:rsid w:val="00DE1132"/>
    <w:rsid w:val="00DE1A81"/>
    <w:rsid w:val="00DE1C13"/>
    <w:rsid w:val="00DE38BD"/>
    <w:rsid w:val="00DE4E10"/>
    <w:rsid w:val="00DE5904"/>
    <w:rsid w:val="00DF0D43"/>
    <w:rsid w:val="00DF0E49"/>
    <w:rsid w:val="00DF189B"/>
    <w:rsid w:val="00DF4811"/>
    <w:rsid w:val="00E02ABF"/>
    <w:rsid w:val="00E0415E"/>
    <w:rsid w:val="00E04227"/>
    <w:rsid w:val="00E0508D"/>
    <w:rsid w:val="00E052F6"/>
    <w:rsid w:val="00E055BF"/>
    <w:rsid w:val="00E07012"/>
    <w:rsid w:val="00E1068D"/>
    <w:rsid w:val="00E12914"/>
    <w:rsid w:val="00E12C42"/>
    <w:rsid w:val="00E14995"/>
    <w:rsid w:val="00E179CD"/>
    <w:rsid w:val="00E23E8D"/>
    <w:rsid w:val="00E25DA3"/>
    <w:rsid w:val="00E3266F"/>
    <w:rsid w:val="00E35EBD"/>
    <w:rsid w:val="00E37E94"/>
    <w:rsid w:val="00E37F98"/>
    <w:rsid w:val="00E4167C"/>
    <w:rsid w:val="00E46559"/>
    <w:rsid w:val="00E5226D"/>
    <w:rsid w:val="00E560BC"/>
    <w:rsid w:val="00E5648D"/>
    <w:rsid w:val="00E63B77"/>
    <w:rsid w:val="00E643EF"/>
    <w:rsid w:val="00E65F49"/>
    <w:rsid w:val="00E66056"/>
    <w:rsid w:val="00E6670C"/>
    <w:rsid w:val="00E739EF"/>
    <w:rsid w:val="00E7402E"/>
    <w:rsid w:val="00E74FC7"/>
    <w:rsid w:val="00E7641A"/>
    <w:rsid w:val="00E776E8"/>
    <w:rsid w:val="00E80E1B"/>
    <w:rsid w:val="00E82709"/>
    <w:rsid w:val="00E84C4B"/>
    <w:rsid w:val="00E852ED"/>
    <w:rsid w:val="00E856A2"/>
    <w:rsid w:val="00E85D5A"/>
    <w:rsid w:val="00E92562"/>
    <w:rsid w:val="00E92C1F"/>
    <w:rsid w:val="00E95A43"/>
    <w:rsid w:val="00E95D4B"/>
    <w:rsid w:val="00E971FA"/>
    <w:rsid w:val="00EB1938"/>
    <w:rsid w:val="00EB199F"/>
    <w:rsid w:val="00EB2321"/>
    <w:rsid w:val="00EB23C4"/>
    <w:rsid w:val="00EB6FF5"/>
    <w:rsid w:val="00EB7F79"/>
    <w:rsid w:val="00EC14DD"/>
    <w:rsid w:val="00EC1743"/>
    <w:rsid w:val="00EC23F7"/>
    <w:rsid w:val="00EC4BD8"/>
    <w:rsid w:val="00EC53E4"/>
    <w:rsid w:val="00EC5DCB"/>
    <w:rsid w:val="00EC63EB"/>
    <w:rsid w:val="00ED0290"/>
    <w:rsid w:val="00ED412F"/>
    <w:rsid w:val="00ED74B5"/>
    <w:rsid w:val="00EE0223"/>
    <w:rsid w:val="00EE2ED2"/>
    <w:rsid w:val="00EE311E"/>
    <w:rsid w:val="00EE426B"/>
    <w:rsid w:val="00EE433E"/>
    <w:rsid w:val="00EE7056"/>
    <w:rsid w:val="00EF2668"/>
    <w:rsid w:val="00EF36B2"/>
    <w:rsid w:val="00EF6A76"/>
    <w:rsid w:val="00EF743C"/>
    <w:rsid w:val="00F10C9A"/>
    <w:rsid w:val="00F14AB0"/>
    <w:rsid w:val="00F201EC"/>
    <w:rsid w:val="00F208A9"/>
    <w:rsid w:val="00F23DF9"/>
    <w:rsid w:val="00F246CC"/>
    <w:rsid w:val="00F24A3E"/>
    <w:rsid w:val="00F24AB9"/>
    <w:rsid w:val="00F32BA5"/>
    <w:rsid w:val="00F32CA4"/>
    <w:rsid w:val="00F362FF"/>
    <w:rsid w:val="00F41D75"/>
    <w:rsid w:val="00F41FF2"/>
    <w:rsid w:val="00F42D34"/>
    <w:rsid w:val="00F42D88"/>
    <w:rsid w:val="00F44E4B"/>
    <w:rsid w:val="00F45B4B"/>
    <w:rsid w:val="00F47423"/>
    <w:rsid w:val="00F47C80"/>
    <w:rsid w:val="00F51329"/>
    <w:rsid w:val="00F5139D"/>
    <w:rsid w:val="00F52ED0"/>
    <w:rsid w:val="00F53489"/>
    <w:rsid w:val="00F56516"/>
    <w:rsid w:val="00F60BC3"/>
    <w:rsid w:val="00F613CB"/>
    <w:rsid w:val="00F61C7E"/>
    <w:rsid w:val="00F63412"/>
    <w:rsid w:val="00F63DAC"/>
    <w:rsid w:val="00F64E33"/>
    <w:rsid w:val="00F7026E"/>
    <w:rsid w:val="00F71870"/>
    <w:rsid w:val="00F7350E"/>
    <w:rsid w:val="00F7454F"/>
    <w:rsid w:val="00F77988"/>
    <w:rsid w:val="00F77F48"/>
    <w:rsid w:val="00F812FA"/>
    <w:rsid w:val="00F81EA3"/>
    <w:rsid w:val="00F8737D"/>
    <w:rsid w:val="00F87631"/>
    <w:rsid w:val="00F9177B"/>
    <w:rsid w:val="00F925F0"/>
    <w:rsid w:val="00F941A8"/>
    <w:rsid w:val="00F94FDF"/>
    <w:rsid w:val="00F965BE"/>
    <w:rsid w:val="00FA0DCF"/>
    <w:rsid w:val="00FB30F1"/>
    <w:rsid w:val="00FB4974"/>
    <w:rsid w:val="00FB4EAC"/>
    <w:rsid w:val="00FB53E7"/>
    <w:rsid w:val="00FB556E"/>
    <w:rsid w:val="00FC3286"/>
    <w:rsid w:val="00FD7076"/>
    <w:rsid w:val="00FE1CA1"/>
    <w:rsid w:val="00FE460B"/>
    <w:rsid w:val="00FE63A4"/>
    <w:rsid w:val="00FE6884"/>
    <w:rsid w:val="00FF23CB"/>
    <w:rsid w:val="00FF2C23"/>
    <w:rsid w:val="00FF4C3D"/>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421E3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9F653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D2225"/>
    <w:pPr>
      <w:keepNext/>
      <w:jc w:val="center"/>
      <w:outlineLvl w:val="3"/>
    </w:pPr>
    <w:rPr>
      <w:rFonts w:eastAsia="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8C5649"/>
    <w:rPr>
      <w:sz w:val="20"/>
      <w:szCs w:val="20"/>
    </w:rPr>
  </w:style>
  <w:style w:type="character" w:styleId="FootnoteReference">
    <w:name w:val="footnote reference"/>
    <w:aliases w:val="Footnote Reference Number,SUPERS"/>
    <w:basedOn w:val="DefaultParagraphFont"/>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uiPriority w:val="99"/>
    <w:rsid w:val="00684F60"/>
    <w:pPr>
      <w:spacing w:before="100" w:beforeAutospacing="1" w:after="100" w:afterAutospacing="1"/>
    </w:pPr>
  </w:style>
  <w:style w:type="character" w:customStyle="1" w:styleId="HeaderChar">
    <w:name w:val="Header Char"/>
    <w:basedOn w:val="DefaultParagraphFont"/>
    <w:link w:val="Header"/>
    <w:locked/>
    <w:rsid w:val="00DD2225"/>
    <w:rPr>
      <w:sz w:val="24"/>
      <w:szCs w:val="24"/>
    </w:rPr>
  </w:style>
  <w:style w:type="character" w:styleId="Strong">
    <w:name w:val="Strong"/>
    <w:basedOn w:val="DefaultParagraphFont"/>
    <w:uiPriority w:val="22"/>
    <w:qFormat/>
    <w:rsid w:val="00DD2225"/>
    <w:rPr>
      <w:rFonts w:cs="Times New Roman"/>
      <w:b/>
      <w:bCs/>
    </w:rPr>
  </w:style>
  <w:style w:type="character" w:customStyle="1" w:styleId="Heading4Char">
    <w:name w:val="Heading 4 Char"/>
    <w:basedOn w:val="DefaultParagraphFont"/>
    <w:link w:val="Heading4"/>
    <w:rsid w:val="00DD2225"/>
    <w:rPr>
      <w:rFonts w:eastAsia="Calibri"/>
      <w:b/>
      <w:bCs/>
      <w:sz w:val="28"/>
      <w:szCs w:val="28"/>
      <w:lang w:eastAsia="en-US"/>
    </w:rPr>
  </w:style>
  <w:style w:type="paragraph" w:styleId="BodyText3">
    <w:name w:val="Body Text 3"/>
    <w:basedOn w:val="Normal"/>
    <w:link w:val="BodyText3Char"/>
    <w:rsid w:val="00293752"/>
    <w:pPr>
      <w:spacing w:after="120"/>
    </w:pPr>
    <w:rPr>
      <w:sz w:val="16"/>
      <w:szCs w:val="16"/>
      <w:lang w:val="en-GB" w:eastAsia="en-US"/>
    </w:rPr>
  </w:style>
  <w:style w:type="character" w:customStyle="1" w:styleId="BodyText3Char">
    <w:name w:val="Body Text 3 Char"/>
    <w:basedOn w:val="DefaultParagraphFont"/>
    <w:link w:val="BodyText3"/>
    <w:rsid w:val="00293752"/>
    <w:rPr>
      <w:sz w:val="16"/>
      <w:szCs w:val="16"/>
      <w:lang w:val="en-GB" w:eastAsia="en-US"/>
    </w:rPr>
  </w:style>
  <w:style w:type="character" w:customStyle="1" w:styleId="spelle">
    <w:name w:val="spelle"/>
    <w:basedOn w:val="DefaultParagraphFont"/>
    <w:rsid w:val="0002617B"/>
  </w:style>
  <w:style w:type="paragraph" w:styleId="BodyText2">
    <w:name w:val="Body Text 2"/>
    <w:basedOn w:val="Normal"/>
    <w:link w:val="BodyText2Char"/>
    <w:rsid w:val="005A67C2"/>
    <w:pPr>
      <w:spacing w:after="120" w:line="480" w:lineRule="auto"/>
    </w:pPr>
  </w:style>
  <w:style w:type="paragraph" w:customStyle="1" w:styleId="CharCharRakstzRakstzCharCharRakstzRakstz">
    <w:name w:val="Char Char Rakstz. Rakstz. Char Char Rakstz. Rakstz."/>
    <w:basedOn w:val="Normal"/>
    <w:autoRedefine/>
    <w:rsid w:val="0074451A"/>
    <w:pPr>
      <w:spacing w:before="40"/>
    </w:pPr>
    <w:rPr>
      <w:lang w:val="pl-PL" w:eastAsia="pl-PL"/>
    </w:rPr>
  </w:style>
  <w:style w:type="paragraph" w:styleId="NoSpacing">
    <w:name w:val="No Spacing"/>
    <w:qFormat/>
    <w:rsid w:val="00A1463D"/>
    <w:rPr>
      <w:rFonts w:ascii="Calibri" w:hAnsi="Calibri"/>
      <w:sz w:val="22"/>
      <w:szCs w:val="22"/>
      <w:lang w:val="en-US" w:eastAsia="en-US"/>
    </w:rPr>
  </w:style>
  <w:style w:type="character" w:customStyle="1" w:styleId="NormalWebChar">
    <w:name w:val="Normal (Web) Char"/>
    <w:basedOn w:val="DefaultParagraphFont"/>
    <w:link w:val="NormalWeb"/>
    <w:locked/>
    <w:rsid w:val="00A1463D"/>
    <w:rPr>
      <w:sz w:val="24"/>
      <w:szCs w:val="24"/>
      <w:lang w:val="lv-LV" w:eastAsia="lv-LV" w:bidi="ar-SA"/>
    </w:rPr>
  </w:style>
  <w:style w:type="character" w:customStyle="1" w:styleId="Heading3Char">
    <w:name w:val="Heading 3 Char"/>
    <w:basedOn w:val="DefaultParagraphFont"/>
    <w:link w:val="Heading3"/>
    <w:rsid w:val="009F6530"/>
    <w:rPr>
      <w:rFonts w:ascii="Cambria" w:eastAsia="Times New Roman" w:hAnsi="Cambria" w:cs="Times New Roman"/>
      <w:b/>
      <w:bCs/>
      <w:sz w:val="26"/>
      <w:szCs w:val="26"/>
    </w:rPr>
  </w:style>
  <w:style w:type="character" w:styleId="FollowedHyperlink">
    <w:name w:val="FollowedHyperlink"/>
    <w:basedOn w:val="DefaultParagraphFont"/>
    <w:rsid w:val="00BE0FB6"/>
    <w:rPr>
      <w:color w:val="800080"/>
      <w:u w:val="single"/>
    </w:rPr>
  </w:style>
  <w:style w:type="character" w:customStyle="1" w:styleId="BodyText2Char">
    <w:name w:val="Body Text 2 Char"/>
    <w:basedOn w:val="DefaultParagraphFont"/>
    <w:link w:val="BodyText2"/>
    <w:rsid w:val="00121141"/>
    <w:rPr>
      <w:sz w:val="24"/>
      <w:szCs w:val="24"/>
    </w:rPr>
  </w:style>
  <w:style w:type="paragraph" w:styleId="ListParagraph">
    <w:name w:val="List Paragraph"/>
    <w:basedOn w:val="Normal"/>
    <w:uiPriority w:val="34"/>
    <w:qFormat/>
    <w:rsid w:val="00121141"/>
    <w:pPr>
      <w:widowControl w:val="0"/>
      <w:spacing w:before="60" w:after="60" w:line="360" w:lineRule="auto"/>
      <w:ind w:left="720" w:firstLine="720"/>
      <w:contextualSpacing/>
      <w:jc w:val="both"/>
    </w:pPr>
    <w:rPr>
      <w:sz w:val="26"/>
      <w:szCs w:val="20"/>
      <w:lang w:val="en-AU" w:eastAsia="en-US"/>
    </w:rPr>
  </w:style>
  <w:style w:type="character" w:customStyle="1" w:styleId="Heading1Char">
    <w:name w:val="Heading 1 Char"/>
    <w:basedOn w:val="DefaultParagraphFont"/>
    <w:link w:val="Heading1"/>
    <w:rsid w:val="00421E3F"/>
    <w:rPr>
      <w:rFonts w:ascii="Cambria" w:eastAsia="Times New Roman" w:hAnsi="Cambria" w:cs="Times New Roman"/>
      <w:b/>
      <w:bCs/>
      <w:kern w:val="32"/>
      <w:sz w:val="32"/>
      <w:szCs w:val="32"/>
    </w:rPr>
  </w:style>
  <w:style w:type="paragraph" w:customStyle="1" w:styleId="Char2">
    <w:name w:val="Char2"/>
    <w:basedOn w:val="Normal"/>
    <w:rsid w:val="0021549C"/>
    <w:pPr>
      <w:spacing w:after="160" w:line="240" w:lineRule="exact"/>
    </w:pPr>
    <w:rPr>
      <w:rFonts w:ascii="Tahoma" w:hAnsi="Tahoma"/>
      <w:sz w:val="20"/>
      <w:szCs w:val="20"/>
      <w:lang w:val="en-US" w:eastAsia="en-US"/>
    </w:rPr>
  </w:style>
  <w:style w:type="paragraph" w:customStyle="1" w:styleId="Default">
    <w:name w:val="Default"/>
    <w:basedOn w:val="Normal"/>
    <w:rsid w:val="00316241"/>
    <w:pPr>
      <w:autoSpaceDE w:val="0"/>
      <w:autoSpaceDN w:val="0"/>
    </w:pPr>
    <w:rPr>
      <w:color w:val="000000"/>
    </w:rPr>
  </w:style>
  <w:style w:type="paragraph" w:styleId="BodyText">
    <w:name w:val="Body Text"/>
    <w:basedOn w:val="Normal"/>
    <w:link w:val="BodyTextChar"/>
    <w:rsid w:val="00A45645"/>
    <w:pPr>
      <w:spacing w:after="120"/>
    </w:pPr>
  </w:style>
  <w:style w:type="character" w:customStyle="1" w:styleId="BodyTextChar">
    <w:name w:val="Body Text Char"/>
    <w:basedOn w:val="DefaultParagraphFont"/>
    <w:link w:val="BodyText"/>
    <w:rsid w:val="00A45645"/>
    <w:rPr>
      <w:sz w:val="24"/>
      <w:szCs w:val="24"/>
    </w:rPr>
  </w:style>
  <w:style w:type="paragraph" w:styleId="Subtitle">
    <w:name w:val="Subtitle"/>
    <w:basedOn w:val="Normal"/>
    <w:next w:val="Normal"/>
    <w:link w:val="SubtitleChar"/>
    <w:qFormat/>
    <w:rsid w:val="00936833"/>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36833"/>
    <w:rPr>
      <w:b/>
      <w:sz w:val="26"/>
      <w:lang w:val="en-AU" w:eastAsia="en-US"/>
    </w:rPr>
  </w:style>
  <w:style w:type="paragraph" w:styleId="ListBullet">
    <w:name w:val="List Bullet"/>
    <w:basedOn w:val="Normal"/>
    <w:rsid w:val="00F94FDF"/>
    <w:pPr>
      <w:numPr>
        <w:numId w:val="23"/>
      </w:numPr>
      <w:contextualSpacing/>
    </w:pPr>
  </w:style>
  <w:style w:type="paragraph" w:styleId="BodyTextIndent">
    <w:name w:val="Body Text Indent"/>
    <w:basedOn w:val="Normal"/>
    <w:link w:val="BodyTextIndentChar"/>
    <w:rsid w:val="00930822"/>
    <w:pPr>
      <w:spacing w:after="120"/>
      <w:ind w:left="283"/>
    </w:pPr>
  </w:style>
  <w:style w:type="character" w:customStyle="1" w:styleId="BodyTextIndentChar">
    <w:name w:val="Body Text Indent Char"/>
    <w:basedOn w:val="DefaultParagraphFont"/>
    <w:link w:val="BodyTextIndent"/>
    <w:rsid w:val="00930822"/>
    <w:rPr>
      <w:sz w:val="24"/>
      <w:szCs w:val="24"/>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EE311E"/>
  </w:style>
</w:styles>
</file>

<file path=word/webSettings.xml><?xml version="1.0" encoding="utf-8"?>
<w:webSettings xmlns:r="http://schemas.openxmlformats.org/officeDocument/2006/relationships" xmlns:w="http://schemas.openxmlformats.org/wordprocessingml/2006/main">
  <w:divs>
    <w:div w:id="245842684">
      <w:bodyDiv w:val="1"/>
      <w:marLeft w:val="0"/>
      <w:marRight w:val="0"/>
      <w:marTop w:val="0"/>
      <w:marBottom w:val="0"/>
      <w:divBdr>
        <w:top w:val="none" w:sz="0" w:space="0" w:color="auto"/>
        <w:left w:val="none" w:sz="0" w:space="0" w:color="auto"/>
        <w:bottom w:val="none" w:sz="0" w:space="0" w:color="auto"/>
        <w:right w:val="none" w:sz="0" w:space="0" w:color="auto"/>
      </w:divBdr>
    </w:div>
    <w:div w:id="633949058">
      <w:bodyDiv w:val="1"/>
      <w:marLeft w:val="0"/>
      <w:marRight w:val="0"/>
      <w:marTop w:val="0"/>
      <w:marBottom w:val="0"/>
      <w:divBdr>
        <w:top w:val="none" w:sz="0" w:space="0" w:color="auto"/>
        <w:left w:val="none" w:sz="0" w:space="0" w:color="auto"/>
        <w:bottom w:val="none" w:sz="0" w:space="0" w:color="auto"/>
        <w:right w:val="none" w:sz="0" w:space="0" w:color="auto"/>
      </w:divBdr>
      <w:divsChild>
        <w:div w:id="19130794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86242924">
      <w:bodyDiv w:val="1"/>
      <w:marLeft w:val="0"/>
      <w:marRight w:val="0"/>
      <w:marTop w:val="0"/>
      <w:marBottom w:val="0"/>
      <w:divBdr>
        <w:top w:val="none" w:sz="0" w:space="0" w:color="auto"/>
        <w:left w:val="none" w:sz="0" w:space="0" w:color="auto"/>
        <w:bottom w:val="none" w:sz="0" w:space="0" w:color="auto"/>
        <w:right w:val="none" w:sz="0" w:space="0" w:color="auto"/>
      </w:divBdr>
    </w:div>
    <w:div w:id="835415587">
      <w:bodyDiv w:val="1"/>
      <w:marLeft w:val="0"/>
      <w:marRight w:val="0"/>
      <w:marTop w:val="0"/>
      <w:marBottom w:val="0"/>
      <w:divBdr>
        <w:top w:val="none" w:sz="0" w:space="0" w:color="auto"/>
        <w:left w:val="none" w:sz="0" w:space="0" w:color="auto"/>
        <w:bottom w:val="none" w:sz="0" w:space="0" w:color="auto"/>
        <w:right w:val="none" w:sz="0" w:space="0" w:color="auto"/>
      </w:divBdr>
    </w:div>
    <w:div w:id="1116364428">
      <w:bodyDiv w:val="1"/>
      <w:marLeft w:val="0"/>
      <w:marRight w:val="0"/>
      <w:marTop w:val="0"/>
      <w:marBottom w:val="0"/>
      <w:divBdr>
        <w:top w:val="none" w:sz="0" w:space="0" w:color="auto"/>
        <w:left w:val="none" w:sz="0" w:space="0" w:color="auto"/>
        <w:bottom w:val="none" w:sz="0" w:space="0" w:color="auto"/>
        <w:right w:val="none" w:sz="0" w:space="0" w:color="auto"/>
      </w:divBdr>
    </w:div>
    <w:div w:id="1524399450">
      <w:bodyDiv w:val="1"/>
      <w:marLeft w:val="0"/>
      <w:marRight w:val="0"/>
      <w:marTop w:val="0"/>
      <w:marBottom w:val="0"/>
      <w:divBdr>
        <w:top w:val="none" w:sz="0" w:space="0" w:color="auto"/>
        <w:left w:val="none" w:sz="0" w:space="0" w:color="auto"/>
        <w:bottom w:val="none" w:sz="0" w:space="0" w:color="auto"/>
        <w:right w:val="none" w:sz="0" w:space="0" w:color="auto"/>
      </w:divBdr>
      <w:divsChild>
        <w:div w:id="17954443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26866435">
      <w:bodyDiv w:val="1"/>
      <w:marLeft w:val="0"/>
      <w:marRight w:val="0"/>
      <w:marTop w:val="0"/>
      <w:marBottom w:val="0"/>
      <w:divBdr>
        <w:top w:val="none" w:sz="0" w:space="0" w:color="auto"/>
        <w:left w:val="none" w:sz="0" w:space="0" w:color="auto"/>
        <w:bottom w:val="none" w:sz="0" w:space="0" w:color="auto"/>
        <w:right w:val="none" w:sz="0" w:space="0" w:color="auto"/>
      </w:divBdr>
      <w:divsChild>
        <w:div w:id="20356154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90032022">
      <w:bodyDiv w:val="1"/>
      <w:marLeft w:val="0"/>
      <w:marRight w:val="0"/>
      <w:marTop w:val="0"/>
      <w:marBottom w:val="0"/>
      <w:divBdr>
        <w:top w:val="none" w:sz="0" w:space="0" w:color="auto"/>
        <w:left w:val="none" w:sz="0" w:space="0" w:color="auto"/>
        <w:bottom w:val="none" w:sz="0" w:space="0" w:color="auto"/>
        <w:right w:val="none" w:sz="0" w:space="0" w:color="auto"/>
      </w:divBdr>
    </w:div>
    <w:div w:id="20950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lv/mk/tap/?pid=40175879&amp;mode=mk&amp;date=2010-05-1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is.Pigens@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gov.lv/em/2nd/?cat=30168" TargetMode="External"/><Relationship Id="rId4" Type="http://schemas.openxmlformats.org/officeDocument/2006/relationships/settings" Target="settings.xml"/><Relationship Id="rId9" Type="http://schemas.openxmlformats.org/officeDocument/2006/relationships/hyperlink" Target="http://www.em.gov.lv/em/2nd/?cat=142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1D4D-4BEC-4D4F-8DCD-AB707298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44812</Words>
  <Characters>25543</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Likumprojekts "Atjaunojamās enerģijas likums"</vt:lpstr>
    </vt:vector>
  </TitlesOfParts>
  <Company>VIDM</Company>
  <LinksUpToDate>false</LinksUpToDate>
  <CharactersWithSpaces>70215</CharactersWithSpaces>
  <SharedDoc>false</SharedDoc>
  <HLinks>
    <vt:vector size="24" baseType="variant">
      <vt:variant>
        <vt:i4>7798865</vt:i4>
      </vt:variant>
      <vt:variant>
        <vt:i4>9</vt:i4>
      </vt:variant>
      <vt:variant>
        <vt:i4>0</vt:i4>
      </vt:variant>
      <vt:variant>
        <vt:i4>5</vt:i4>
      </vt:variant>
      <vt:variant>
        <vt:lpwstr>mailto:baiba.neimane@em.gov.lv</vt:lpwstr>
      </vt:variant>
      <vt:variant>
        <vt:lpwstr/>
      </vt:variant>
      <vt:variant>
        <vt:i4>7405617</vt:i4>
      </vt:variant>
      <vt:variant>
        <vt:i4>6</vt:i4>
      </vt:variant>
      <vt:variant>
        <vt:i4>0</vt:i4>
      </vt:variant>
      <vt:variant>
        <vt:i4>5</vt:i4>
      </vt:variant>
      <vt:variant>
        <vt:lpwstr>http://www.em.gov.lv/em/2nd/?cat=30168</vt:lpwstr>
      </vt:variant>
      <vt:variant>
        <vt:lpwstr/>
      </vt:variant>
      <vt:variant>
        <vt:i4>7929915</vt:i4>
      </vt:variant>
      <vt:variant>
        <vt:i4>3</vt:i4>
      </vt:variant>
      <vt:variant>
        <vt:i4>0</vt:i4>
      </vt:variant>
      <vt:variant>
        <vt:i4>5</vt:i4>
      </vt:variant>
      <vt:variant>
        <vt:lpwstr>http://www.em.gov.lv/em/2nd/?cat=14281</vt:lpwstr>
      </vt:variant>
      <vt:variant>
        <vt:lpwstr/>
      </vt:variant>
      <vt:variant>
        <vt:i4>4390985</vt:i4>
      </vt:variant>
      <vt:variant>
        <vt:i4>0</vt:i4>
      </vt:variant>
      <vt:variant>
        <vt:i4>0</vt:i4>
      </vt:variant>
      <vt:variant>
        <vt:i4>5</vt:i4>
      </vt:variant>
      <vt:variant>
        <vt:lpwstr>http://www.mk.gov.lv/lv/mk/tap/?pid=40175879&amp;mode=mk&amp;date=2010-05-12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"Atjaunojamās enerģijas likums"</dc:title>
  <dc:subject>Sākotnējās ietekmes novērtējuma ziņojums (Anotācija)</dc:subject>
  <dc:creator>Baiba Neimane</dc:creator>
  <cp:keywords/>
  <dc:description>baiba.neimane@em.gov.lv
67013214</dc:description>
  <cp:lastModifiedBy>PigensK</cp:lastModifiedBy>
  <cp:revision>11</cp:revision>
  <cp:lastPrinted>2010-12-29T11:11:00Z</cp:lastPrinted>
  <dcterms:created xsi:type="dcterms:W3CDTF">2011-01-06T06:38:00Z</dcterms:created>
  <dcterms:modified xsi:type="dcterms:W3CDTF">2011-01-14T10:14:00Z</dcterms:modified>
</cp:coreProperties>
</file>