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B3" w:rsidRPr="000E7450" w:rsidRDefault="002949B3" w:rsidP="002949B3">
      <w:pPr>
        <w:pStyle w:val="Style25"/>
        <w:widowControl/>
        <w:spacing w:line="240" w:lineRule="auto"/>
        <w:ind w:left="264" w:right="-19"/>
        <w:rPr>
          <w:rStyle w:val="FontStyle49"/>
          <w:sz w:val="28"/>
          <w:szCs w:val="28"/>
        </w:rPr>
      </w:pPr>
      <w:bookmarkStart w:id="0" w:name="OLE_LINK6"/>
      <w:bookmarkStart w:id="1" w:name="OLE_LINK7"/>
      <w:bookmarkStart w:id="2" w:name="OLE_LINK8"/>
      <w:bookmarkStart w:id="3" w:name="OLE_LINK3"/>
      <w:bookmarkStart w:id="4" w:name="OLE_LINK1"/>
      <w:bookmarkStart w:id="5" w:name="OLE_LINK2"/>
      <w:r w:rsidRPr="000E7450">
        <w:rPr>
          <w:rStyle w:val="FontStyle49"/>
          <w:sz w:val="28"/>
          <w:szCs w:val="28"/>
        </w:rPr>
        <w:t>Ministru kabineta noteikumu „Grozījums Ministru kabineta 2009.gada 17.novembra noteikumos Nr.1332 „</w:t>
      </w:r>
      <w:r w:rsidRPr="000E7450">
        <w:rPr>
          <w:b/>
          <w:bCs/>
          <w:sz w:val="28"/>
          <w:szCs w:val="28"/>
        </w:rPr>
        <w:t>Noteikumi par darbības programmas „Infrastruktūra un pakalpojumi” papildinājuma 3.4.4.2.aktivitātes „Sociālo dzīvojamo māju siltumnoturības uzlabošanas pasākumi” projektu iesniegumu atlases otro un turpmākajām kārtām</w:t>
      </w:r>
      <w:r w:rsidRPr="000E7450">
        <w:rPr>
          <w:rStyle w:val="FontStyle49"/>
          <w:sz w:val="28"/>
          <w:szCs w:val="28"/>
        </w:rPr>
        <w:t xml:space="preserve">”” </w:t>
      </w:r>
      <w:bookmarkStart w:id="6" w:name="OLE_LINK9"/>
      <w:bookmarkStart w:id="7" w:name="OLE_LINK10"/>
      <w:r w:rsidRPr="000E7450">
        <w:rPr>
          <w:rStyle w:val="FontStyle49"/>
          <w:sz w:val="28"/>
          <w:szCs w:val="28"/>
        </w:rPr>
        <w:t>sākotnējās ietekmes novērtējuma ziņojums (anotācija)</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134"/>
        <w:gridCol w:w="5953"/>
      </w:tblGrid>
      <w:tr w:rsidR="00DA42C8" w:rsidRPr="000E7450" w:rsidTr="00EA24B4">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0"/>
          <w:bookmarkEnd w:id="1"/>
          <w:bookmarkEnd w:id="2"/>
          <w:bookmarkEnd w:id="6"/>
          <w:bookmarkEnd w:id="7"/>
          <w:bookmarkEnd w:id="3"/>
          <w:bookmarkEnd w:id="4"/>
          <w:bookmarkEnd w:id="5"/>
          <w:p w:rsidR="00DA42C8" w:rsidRPr="000E7450" w:rsidRDefault="002949B3" w:rsidP="00517928">
            <w:pPr>
              <w:ind w:right="-19"/>
              <w:jc w:val="center"/>
              <w:rPr>
                <w:rFonts w:eastAsia="Times New Roman"/>
                <w:b/>
                <w:sz w:val="28"/>
                <w:szCs w:val="28"/>
                <w:lang w:val="lv-LV" w:eastAsia="lv-LV"/>
              </w:rPr>
            </w:pPr>
            <w:r w:rsidRPr="000E7450">
              <w:rPr>
                <w:rFonts w:eastAsia="Times New Roman"/>
                <w:b/>
                <w:sz w:val="28"/>
                <w:szCs w:val="28"/>
                <w:lang w:val="lv-LV" w:eastAsia="lv-LV"/>
              </w:rPr>
              <w:t>I.Tiesību akta projekta izstrādes nepieciešamība</w:t>
            </w:r>
          </w:p>
        </w:tc>
      </w:tr>
      <w:tr w:rsidR="00DA42C8" w:rsidRPr="000E7450" w:rsidTr="00EA24B4">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A42C8" w:rsidRPr="000E7450" w:rsidRDefault="002949B3" w:rsidP="00517928">
            <w:pPr>
              <w:ind w:right="-19"/>
              <w:rPr>
                <w:rFonts w:eastAsia="Times New Roman"/>
                <w:sz w:val="28"/>
                <w:szCs w:val="28"/>
                <w:lang w:val="lv-LV" w:eastAsia="lv-LV"/>
              </w:rPr>
            </w:pPr>
            <w:r w:rsidRPr="000E7450">
              <w:rPr>
                <w:rFonts w:eastAsia="Times New Roman"/>
                <w:sz w:val="28"/>
                <w:szCs w:val="28"/>
                <w:lang w:val="lv-LV" w:eastAsia="lv-LV"/>
              </w:rPr>
              <w:t>1.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2949B3" w:rsidRPr="000E7450" w:rsidRDefault="002949B3" w:rsidP="002949B3">
            <w:pPr>
              <w:ind w:right="-19" w:firstLine="850"/>
              <w:jc w:val="both"/>
              <w:rPr>
                <w:sz w:val="28"/>
                <w:szCs w:val="28"/>
                <w:lang w:val="lv-LV"/>
              </w:rPr>
            </w:pPr>
            <w:r w:rsidRPr="000E7450">
              <w:rPr>
                <w:sz w:val="28"/>
                <w:szCs w:val="28"/>
                <w:lang w:val="lv-LV"/>
              </w:rPr>
              <w:t xml:space="preserve">Noteikumu projekts sagatavots, pamatojoties uz Eiropas Savienības struktūrfondu un </w:t>
            </w:r>
            <w:r w:rsidRPr="000E7450">
              <w:rPr>
                <w:sz w:val="28"/>
                <w:szCs w:val="28"/>
                <w:lang w:val="lv-LV"/>
              </w:rPr>
              <w:br/>
              <w:t xml:space="preserve">Kohēzijas fonda vadības likuma </w:t>
            </w:r>
            <w:r w:rsidRPr="000E7450">
              <w:rPr>
                <w:sz w:val="28"/>
                <w:szCs w:val="28"/>
                <w:lang w:val="lv-LV"/>
              </w:rPr>
              <w:br/>
              <w:t xml:space="preserve">18.panta 10.punktu un Ministru kabineta </w:t>
            </w:r>
            <w:r w:rsidRPr="000E7450">
              <w:rPr>
                <w:color w:val="000000"/>
                <w:sz w:val="28"/>
                <w:szCs w:val="28"/>
                <w:lang w:val="lv-LV"/>
              </w:rPr>
              <w:t>2011.gada 14.septembra rīkojumu Nr.459</w:t>
            </w:r>
            <w:r w:rsidRPr="000E7450">
              <w:rPr>
                <w:sz w:val="28"/>
                <w:szCs w:val="28"/>
                <w:lang w:val="lv-LV"/>
              </w:rPr>
              <w:t xml:space="preserve"> „Grozījumi darbības programmas „Infrastruktūra un pakalpojumi” papildinājumā” (turpmāk – MK rīkojums Nr.459) 1.2.apakšpunktu.</w:t>
            </w:r>
          </w:p>
        </w:tc>
      </w:tr>
      <w:tr w:rsidR="00DA42C8" w:rsidRPr="000E7450" w:rsidTr="00EA24B4">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A42C8" w:rsidRPr="000E7450" w:rsidRDefault="002949B3" w:rsidP="00517928">
            <w:pPr>
              <w:ind w:right="-19"/>
              <w:rPr>
                <w:rFonts w:eastAsia="Times New Roman"/>
                <w:sz w:val="28"/>
                <w:szCs w:val="28"/>
                <w:lang w:val="lv-LV" w:eastAsia="lv-LV"/>
              </w:rPr>
            </w:pPr>
            <w:r w:rsidRPr="000E7450">
              <w:rPr>
                <w:rFonts w:eastAsia="Times New Roman"/>
                <w:sz w:val="28"/>
                <w:szCs w:val="28"/>
                <w:lang w:val="lv-LV" w:eastAsia="lv-LV"/>
              </w:rPr>
              <w:t>2. Pašreizējā situācija un problēmas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2949B3" w:rsidRPr="00200496" w:rsidRDefault="002949B3" w:rsidP="002949B3">
            <w:pPr>
              <w:pStyle w:val="Style12"/>
              <w:widowControl/>
              <w:spacing w:line="240" w:lineRule="auto"/>
              <w:ind w:right="-19" w:firstLine="850"/>
              <w:rPr>
                <w:iCs/>
                <w:sz w:val="28"/>
                <w:szCs w:val="28"/>
              </w:rPr>
            </w:pPr>
            <w:r w:rsidRPr="00200496">
              <w:rPr>
                <w:color w:val="000000"/>
                <w:sz w:val="28"/>
                <w:szCs w:val="28"/>
              </w:rPr>
              <w:t>Pamatojoties uz M</w:t>
            </w:r>
            <w:r w:rsidR="00BA4258" w:rsidRPr="00200496">
              <w:rPr>
                <w:color w:val="000000"/>
                <w:sz w:val="28"/>
                <w:szCs w:val="28"/>
              </w:rPr>
              <w:t>K</w:t>
            </w:r>
            <w:r w:rsidRPr="00200496">
              <w:rPr>
                <w:color w:val="000000"/>
                <w:sz w:val="28"/>
                <w:szCs w:val="28"/>
              </w:rPr>
              <w:t xml:space="preserve"> rīkojumu Nr.459 darbības programmas „Infrastruktūra un pakalpojumi” papildinājum</w:t>
            </w:r>
            <w:r w:rsidR="00BA4258" w:rsidRPr="00200496">
              <w:rPr>
                <w:color w:val="000000"/>
                <w:sz w:val="28"/>
                <w:szCs w:val="28"/>
              </w:rPr>
              <w:t>a</w:t>
            </w:r>
            <w:r w:rsidRPr="00200496">
              <w:rPr>
                <w:iCs/>
                <w:sz w:val="28"/>
                <w:szCs w:val="28"/>
              </w:rPr>
              <w:t xml:space="preserve"> </w:t>
            </w:r>
            <w:r w:rsidR="00BA4258" w:rsidRPr="00200496">
              <w:rPr>
                <w:bCs/>
                <w:sz w:val="28"/>
                <w:szCs w:val="28"/>
              </w:rPr>
              <w:t xml:space="preserve">3.4.4.2.aktivitātē „Sociālo dzīvojamo māju </w:t>
            </w:r>
            <w:proofErr w:type="spellStart"/>
            <w:r w:rsidR="00BA4258" w:rsidRPr="00200496">
              <w:rPr>
                <w:bCs/>
                <w:sz w:val="28"/>
                <w:szCs w:val="28"/>
              </w:rPr>
              <w:t>siltumnoturības</w:t>
            </w:r>
            <w:proofErr w:type="spellEnd"/>
            <w:r w:rsidR="00BA4258" w:rsidRPr="00200496">
              <w:rPr>
                <w:bCs/>
                <w:sz w:val="28"/>
                <w:szCs w:val="28"/>
              </w:rPr>
              <w:t xml:space="preserve"> uzlabošanas pasākumi”  (turpmāk – 3.4.4.2.aktivitāte) ir </w:t>
            </w:r>
            <w:r w:rsidRPr="00200496">
              <w:rPr>
                <w:iCs/>
                <w:sz w:val="28"/>
                <w:szCs w:val="28"/>
              </w:rPr>
              <w:t>samazin</w:t>
            </w:r>
            <w:r w:rsidR="00BA4258" w:rsidRPr="00200496">
              <w:rPr>
                <w:iCs/>
                <w:sz w:val="28"/>
                <w:szCs w:val="28"/>
              </w:rPr>
              <w:t>āts</w:t>
            </w:r>
            <w:r w:rsidRPr="00200496">
              <w:rPr>
                <w:iCs/>
                <w:sz w:val="28"/>
                <w:szCs w:val="28"/>
              </w:rPr>
              <w:t xml:space="preserve"> </w:t>
            </w:r>
            <w:r w:rsidRPr="00200496">
              <w:rPr>
                <w:sz w:val="28"/>
                <w:szCs w:val="28"/>
              </w:rPr>
              <w:t>pieejam</w:t>
            </w:r>
            <w:r w:rsidR="00BA4258" w:rsidRPr="00200496">
              <w:rPr>
                <w:sz w:val="28"/>
                <w:szCs w:val="28"/>
              </w:rPr>
              <w:t>ais</w:t>
            </w:r>
            <w:r w:rsidRPr="00200496">
              <w:rPr>
                <w:sz w:val="28"/>
                <w:szCs w:val="28"/>
              </w:rPr>
              <w:t xml:space="preserve"> Eiropas Reģionālās attīstības fonda</w:t>
            </w:r>
            <w:r w:rsidR="00EA24B4" w:rsidRPr="00200496">
              <w:rPr>
                <w:sz w:val="28"/>
                <w:szCs w:val="28"/>
              </w:rPr>
              <w:t xml:space="preserve"> </w:t>
            </w:r>
            <w:r w:rsidR="00BA4258" w:rsidRPr="00200496">
              <w:rPr>
                <w:sz w:val="28"/>
                <w:szCs w:val="28"/>
              </w:rPr>
              <w:t>(turpmāk –</w:t>
            </w:r>
            <w:r w:rsidRPr="00200496">
              <w:rPr>
                <w:sz w:val="28"/>
                <w:szCs w:val="28"/>
              </w:rPr>
              <w:t xml:space="preserve"> </w:t>
            </w:r>
            <w:r w:rsidRPr="00200496">
              <w:rPr>
                <w:bCs/>
                <w:sz w:val="28"/>
                <w:szCs w:val="28"/>
              </w:rPr>
              <w:t>ERAF</w:t>
            </w:r>
            <w:r w:rsidR="00BA4258" w:rsidRPr="00200496">
              <w:rPr>
                <w:bCs/>
                <w:sz w:val="28"/>
                <w:szCs w:val="28"/>
              </w:rPr>
              <w:t>)</w:t>
            </w:r>
            <w:r w:rsidRPr="00200496">
              <w:rPr>
                <w:bCs/>
                <w:sz w:val="28"/>
                <w:szCs w:val="28"/>
              </w:rPr>
              <w:t xml:space="preserve"> finansējums no 9 849 830 EUR (6 922 499 lati) uz 6 903 351 EUR (4 851 702 lati) un nacionāl</w:t>
            </w:r>
            <w:r w:rsidR="00BA4258" w:rsidRPr="00200496">
              <w:rPr>
                <w:bCs/>
                <w:sz w:val="28"/>
                <w:szCs w:val="28"/>
              </w:rPr>
              <w:t>ais</w:t>
            </w:r>
            <w:r w:rsidRPr="00200496">
              <w:rPr>
                <w:bCs/>
                <w:sz w:val="28"/>
                <w:szCs w:val="28"/>
              </w:rPr>
              <w:t xml:space="preserve"> publisk</w:t>
            </w:r>
            <w:r w:rsidR="00BA4258" w:rsidRPr="00200496">
              <w:rPr>
                <w:bCs/>
                <w:sz w:val="28"/>
                <w:szCs w:val="28"/>
              </w:rPr>
              <w:t>ais</w:t>
            </w:r>
            <w:r w:rsidRPr="00200496">
              <w:rPr>
                <w:bCs/>
                <w:sz w:val="28"/>
                <w:szCs w:val="28"/>
              </w:rPr>
              <w:t xml:space="preserve"> finansējum</w:t>
            </w:r>
            <w:r w:rsidR="00BA4258" w:rsidRPr="00200496">
              <w:rPr>
                <w:bCs/>
                <w:sz w:val="28"/>
                <w:szCs w:val="28"/>
              </w:rPr>
              <w:t>s</w:t>
            </w:r>
            <w:r w:rsidRPr="00200496">
              <w:rPr>
                <w:bCs/>
                <w:sz w:val="28"/>
                <w:szCs w:val="28"/>
              </w:rPr>
              <w:t xml:space="preserve"> </w:t>
            </w:r>
            <w:r w:rsidR="005A36A9" w:rsidRPr="00200496">
              <w:rPr>
                <w:sz w:val="28"/>
                <w:szCs w:val="28"/>
              </w:rPr>
              <w:t>–</w:t>
            </w:r>
            <w:r w:rsidR="004C365B" w:rsidRPr="00200496">
              <w:rPr>
                <w:bCs/>
                <w:sz w:val="28"/>
                <w:szCs w:val="28"/>
              </w:rPr>
              <w:t xml:space="preserve"> </w:t>
            </w:r>
            <w:r w:rsidRPr="00200496">
              <w:rPr>
                <w:bCs/>
                <w:sz w:val="28"/>
                <w:szCs w:val="28"/>
              </w:rPr>
              <w:t>no 3 283 277 EUR (2 307 500 lati) uz 2 301 117 EUR (1 617 234 lati)</w:t>
            </w:r>
            <w:r w:rsidRPr="00200496">
              <w:rPr>
                <w:sz w:val="28"/>
                <w:szCs w:val="28"/>
              </w:rPr>
              <w:t>.</w:t>
            </w:r>
            <w:r w:rsidRPr="00200496">
              <w:rPr>
                <w:iCs/>
                <w:sz w:val="28"/>
                <w:szCs w:val="28"/>
              </w:rPr>
              <w:t xml:space="preserve">  </w:t>
            </w:r>
          </w:p>
          <w:p w:rsidR="002949B3" w:rsidRPr="000E7450" w:rsidRDefault="002949B3" w:rsidP="002949B3">
            <w:pPr>
              <w:pStyle w:val="Style12"/>
              <w:widowControl/>
              <w:spacing w:line="240" w:lineRule="auto"/>
              <w:ind w:right="-19" w:firstLine="850"/>
              <w:rPr>
                <w:sz w:val="28"/>
                <w:szCs w:val="28"/>
              </w:rPr>
            </w:pPr>
            <w:r w:rsidRPr="00200496">
              <w:rPr>
                <w:iCs/>
                <w:sz w:val="28"/>
                <w:szCs w:val="28"/>
              </w:rPr>
              <w:t>Ņemot vērā augstāk minētās izmaiņas  darbības programmas „Infrastruktūra un pakalpojumi” papildinājumā, nepieciešams veikt grozījumus</w:t>
            </w:r>
            <w:r w:rsidRPr="00200496">
              <w:rPr>
                <w:rStyle w:val="apple-style-span"/>
                <w:color w:val="000000"/>
                <w:sz w:val="28"/>
                <w:szCs w:val="28"/>
                <w:shd w:val="clear" w:color="auto" w:fill="FFFFFF"/>
              </w:rPr>
              <w:t xml:space="preserve"> </w:t>
            </w:r>
            <w:r w:rsidRPr="00200496">
              <w:rPr>
                <w:rStyle w:val="FontStyle40"/>
                <w:sz w:val="28"/>
                <w:szCs w:val="28"/>
              </w:rPr>
              <w:t>Ministru kabineta 2009.gada 17.novembra noteikumos</w:t>
            </w:r>
            <w:r w:rsidRPr="000E7450">
              <w:rPr>
                <w:rStyle w:val="FontStyle40"/>
                <w:sz w:val="28"/>
                <w:szCs w:val="28"/>
              </w:rPr>
              <w:t xml:space="preserve"> </w:t>
            </w:r>
            <w:r w:rsidRPr="000E7450">
              <w:rPr>
                <w:rStyle w:val="FontStyle49"/>
                <w:b w:val="0"/>
                <w:sz w:val="28"/>
                <w:szCs w:val="28"/>
              </w:rPr>
              <w:t>Nr.1332</w:t>
            </w:r>
            <w:r w:rsidRPr="000E7450">
              <w:rPr>
                <w:rStyle w:val="FontStyle49"/>
                <w:sz w:val="28"/>
                <w:szCs w:val="28"/>
              </w:rPr>
              <w:t xml:space="preserve"> </w:t>
            </w:r>
            <w:r w:rsidRPr="000E7450">
              <w:rPr>
                <w:rStyle w:val="FontStyle49"/>
                <w:b w:val="0"/>
                <w:sz w:val="28"/>
                <w:szCs w:val="28"/>
              </w:rPr>
              <w:t>„</w:t>
            </w:r>
            <w:r w:rsidRPr="000E7450">
              <w:rPr>
                <w:bCs/>
                <w:sz w:val="28"/>
                <w:szCs w:val="28"/>
              </w:rPr>
              <w:t>Noteikumi par darbības programmas „Infrastruktūra un pakalpojumi” papildinājuma 3.4.4.2.aktivitātes „Sociālo dzīvojamo māju siltumnoturības uzlabošanas pasākumi” projektu iesniegumu atlases otro un turpmākajām kārtām</w:t>
            </w:r>
            <w:r w:rsidRPr="000E7450">
              <w:rPr>
                <w:sz w:val="28"/>
                <w:szCs w:val="28"/>
              </w:rPr>
              <w:t>””</w:t>
            </w:r>
            <w:r w:rsidRPr="000E7450">
              <w:rPr>
                <w:rStyle w:val="FontStyle40"/>
                <w:sz w:val="28"/>
                <w:szCs w:val="28"/>
              </w:rPr>
              <w:t xml:space="preserve"> (turpmāk </w:t>
            </w:r>
            <w:r w:rsidR="005A36A9" w:rsidRPr="000E7450">
              <w:rPr>
                <w:b/>
                <w:sz w:val="28"/>
                <w:szCs w:val="28"/>
              </w:rPr>
              <w:t>–</w:t>
            </w:r>
            <w:r w:rsidRPr="000E7450">
              <w:rPr>
                <w:rStyle w:val="FontStyle40"/>
                <w:sz w:val="28"/>
                <w:szCs w:val="28"/>
              </w:rPr>
              <w:t xml:space="preserve"> MK noteikumi Nr.1332) nosakot, ka projektu iesniegumu atlases otrajā un turpmākajās kārtās pieejamais ERAF finansējums ir </w:t>
            </w:r>
            <w:r w:rsidRPr="000E7450">
              <w:rPr>
                <w:sz w:val="28"/>
                <w:szCs w:val="28"/>
              </w:rPr>
              <w:t xml:space="preserve">3 201 935 lati un nacionālais publiskais finansējums ir ne mazāks kā </w:t>
            </w:r>
          </w:p>
          <w:p w:rsidR="00DA42C8" w:rsidRPr="000E7450" w:rsidRDefault="002949B3" w:rsidP="00ED3489">
            <w:pPr>
              <w:jc w:val="both"/>
              <w:rPr>
                <w:sz w:val="28"/>
                <w:szCs w:val="28"/>
              </w:rPr>
            </w:pPr>
            <w:r w:rsidRPr="000E7450">
              <w:rPr>
                <w:sz w:val="28"/>
                <w:szCs w:val="28"/>
              </w:rPr>
              <w:lastRenderedPageBreak/>
              <w:t>1 067 </w:t>
            </w:r>
            <w:r w:rsidRPr="00200496">
              <w:rPr>
                <w:sz w:val="28"/>
                <w:szCs w:val="28"/>
              </w:rPr>
              <w:t xml:space="preserve">311 </w:t>
            </w:r>
            <w:proofErr w:type="spellStart"/>
            <w:r w:rsidRPr="00200496">
              <w:rPr>
                <w:sz w:val="28"/>
                <w:szCs w:val="28"/>
              </w:rPr>
              <w:t>lati</w:t>
            </w:r>
            <w:proofErr w:type="spellEnd"/>
            <w:r w:rsidRPr="000E7450">
              <w:rPr>
                <w:rStyle w:val="FontStyle40"/>
                <w:sz w:val="28"/>
                <w:szCs w:val="28"/>
              </w:rPr>
              <w:t>.</w:t>
            </w:r>
          </w:p>
        </w:tc>
      </w:tr>
      <w:tr w:rsidR="00DA42C8" w:rsidRPr="000E7450" w:rsidTr="00EA24B4">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A42C8" w:rsidRPr="000E7450" w:rsidRDefault="002949B3" w:rsidP="00517928">
            <w:pPr>
              <w:ind w:right="-19"/>
              <w:rPr>
                <w:rFonts w:eastAsia="Times New Roman"/>
                <w:sz w:val="28"/>
                <w:szCs w:val="28"/>
                <w:lang w:val="lv-LV" w:eastAsia="lv-LV"/>
              </w:rPr>
            </w:pPr>
            <w:r w:rsidRPr="000E7450">
              <w:rPr>
                <w:rFonts w:eastAsia="Times New Roman"/>
                <w:sz w:val="28"/>
                <w:szCs w:val="28"/>
                <w:lang w:val="lv-LV" w:eastAsia="lv-LV"/>
              </w:rPr>
              <w:lastRenderedPageBreak/>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50F14" w:rsidRPr="000E7450" w:rsidRDefault="002949B3">
            <w:pPr>
              <w:pStyle w:val="NormalWeb"/>
              <w:spacing w:before="0" w:beforeAutospacing="0" w:after="0" w:afterAutospacing="0"/>
              <w:ind w:right="-19"/>
              <w:rPr>
                <w:b/>
                <w:sz w:val="28"/>
                <w:szCs w:val="28"/>
                <w:lang w:val="lv-LV"/>
              </w:rPr>
            </w:pPr>
            <w:r w:rsidRPr="000E7450">
              <w:rPr>
                <w:iCs/>
                <w:sz w:val="28"/>
                <w:szCs w:val="28"/>
                <w:lang w:val="lv-LV"/>
              </w:rPr>
              <w:t>Projekts šo jomu neskar</w:t>
            </w:r>
            <w:r w:rsidRPr="000E7450">
              <w:rPr>
                <w:sz w:val="28"/>
                <w:szCs w:val="28"/>
                <w:lang w:val="lv-LV"/>
              </w:rPr>
              <w:t>.</w:t>
            </w:r>
          </w:p>
          <w:p w:rsidR="00150F14" w:rsidRPr="000E7450" w:rsidRDefault="00150F14">
            <w:pPr>
              <w:pStyle w:val="FootnoteText"/>
              <w:ind w:right="-19"/>
              <w:rPr>
                <w:sz w:val="28"/>
                <w:szCs w:val="28"/>
              </w:rPr>
            </w:pPr>
          </w:p>
        </w:tc>
      </w:tr>
      <w:tr w:rsidR="00DA42C8" w:rsidRPr="000E7450" w:rsidTr="00EA24B4">
        <w:trPr>
          <w:trHeight w:val="643"/>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A42C8" w:rsidRPr="000E7450" w:rsidRDefault="002949B3" w:rsidP="00517928">
            <w:pPr>
              <w:ind w:right="-19"/>
              <w:rPr>
                <w:rFonts w:eastAsia="Times New Roman"/>
                <w:sz w:val="28"/>
                <w:szCs w:val="28"/>
                <w:lang w:val="lv-LV" w:eastAsia="lv-LV"/>
              </w:rPr>
            </w:pPr>
            <w:r w:rsidRPr="000E7450">
              <w:rPr>
                <w:rFonts w:eastAsia="Times New Roman"/>
                <w:sz w:val="28"/>
                <w:szCs w:val="28"/>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50F14" w:rsidRPr="000E7450" w:rsidRDefault="002949B3">
            <w:pPr>
              <w:ind w:right="72"/>
              <w:jc w:val="both"/>
              <w:rPr>
                <w:sz w:val="28"/>
                <w:szCs w:val="28"/>
                <w:lang w:val="lv-LV"/>
              </w:rPr>
            </w:pPr>
            <w:r w:rsidRPr="000E7450">
              <w:rPr>
                <w:rStyle w:val="FontStyle40"/>
                <w:sz w:val="28"/>
                <w:szCs w:val="28"/>
                <w:lang w:val="lv-LV"/>
              </w:rPr>
              <w:t>Grozījumi MK noteikumos Nr.1332 paredz samazināt 3.4.4.2.aktivitātē pieejamo ERAF  un nacionālo publisko finansējumu.</w:t>
            </w:r>
            <w:r w:rsidRPr="000E7450">
              <w:rPr>
                <w:b/>
                <w:iCs/>
                <w:sz w:val="28"/>
                <w:szCs w:val="28"/>
                <w:lang w:val="lv-LV" w:eastAsia="lv-LV"/>
              </w:rPr>
              <w:t xml:space="preserve"> </w:t>
            </w:r>
          </w:p>
        </w:tc>
      </w:tr>
      <w:tr w:rsidR="00DA42C8" w:rsidRPr="000E7450" w:rsidTr="00EA24B4">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A42C8" w:rsidRPr="000E7450" w:rsidRDefault="002949B3" w:rsidP="00517928">
            <w:pPr>
              <w:ind w:right="-19"/>
              <w:rPr>
                <w:rFonts w:eastAsia="Times New Roman"/>
                <w:sz w:val="28"/>
                <w:szCs w:val="28"/>
                <w:lang w:val="lv-LV" w:eastAsia="lv-LV"/>
              </w:rPr>
            </w:pPr>
            <w:r w:rsidRPr="000E7450">
              <w:rPr>
                <w:rFonts w:eastAsia="Times New Roman"/>
                <w:sz w:val="28"/>
                <w:szCs w:val="28"/>
                <w:lang w:val="lv-LV" w:eastAsia="lv-LV"/>
              </w:rPr>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50F14" w:rsidRPr="000E7450" w:rsidRDefault="002949B3">
            <w:pPr>
              <w:pStyle w:val="NormalWeb"/>
              <w:spacing w:before="0" w:beforeAutospacing="0" w:after="0" w:afterAutospacing="0"/>
              <w:ind w:right="-19"/>
              <w:rPr>
                <w:b/>
                <w:sz w:val="28"/>
                <w:szCs w:val="28"/>
                <w:lang w:val="lv-LV"/>
              </w:rPr>
            </w:pPr>
            <w:r w:rsidRPr="000E7450">
              <w:rPr>
                <w:iCs/>
                <w:sz w:val="28"/>
                <w:szCs w:val="28"/>
                <w:lang w:val="lv-LV"/>
              </w:rPr>
              <w:t>Projekts šo jomu neskar</w:t>
            </w:r>
            <w:r w:rsidRPr="000E7450">
              <w:rPr>
                <w:b/>
                <w:sz w:val="28"/>
                <w:szCs w:val="28"/>
                <w:lang w:val="lv-LV"/>
              </w:rPr>
              <w:t>.</w:t>
            </w:r>
          </w:p>
          <w:p w:rsidR="00150F14" w:rsidRPr="000E7450" w:rsidRDefault="00150F14">
            <w:pPr>
              <w:pStyle w:val="BodyText"/>
              <w:ind w:right="-19"/>
              <w:rPr>
                <w:szCs w:val="28"/>
              </w:rPr>
            </w:pPr>
          </w:p>
        </w:tc>
      </w:tr>
      <w:tr w:rsidR="00DA42C8" w:rsidRPr="000E7450" w:rsidTr="00EA24B4">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A42C8" w:rsidRPr="000E7450" w:rsidRDefault="002949B3" w:rsidP="00517928">
            <w:pPr>
              <w:ind w:right="-19"/>
              <w:rPr>
                <w:rFonts w:eastAsia="Times New Roman"/>
                <w:sz w:val="28"/>
                <w:szCs w:val="28"/>
                <w:lang w:val="lv-LV" w:eastAsia="lv-LV"/>
              </w:rPr>
            </w:pPr>
            <w:r w:rsidRPr="000E7450">
              <w:rPr>
                <w:rFonts w:eastAsia="Times New Roman"/>
                <w:sz w:val="28"/>
                <w:szCs w:val="28"/>
                <w:lang w:val="lv-LV" w:eastAsia="lv-LV"/>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50F14" w:rsidRPr="000E7450" w:rsidRDefault="002949B3">
            <w:pPr>
              <w:pStyle w:val="NormalWeb"/>
              <w:spacing w:before="0" w:beforeAutospacing="0" w:after="0" w:afterAutospacing="0"/>
              <w:ind w:right="-19"/>
              <w:rPr>
                <w:b/>
                <w:sz w:val="28"/>
                <w:szCs w:val="28"/>
                <w:lang w:val="lv-LV"/>
              </w:rPr>
            </w:pPr>
            <w:r w:rsidRPr="000E7450">
              <w:rPr>
                <w:iCs/>
                <w:sz w:val="28"/>
                <w:szCs w:val="28"/>
                <w:lang w:val="lv-LV"/>
              </w:rPr>
              <w:t>Projekts šo jomu neskar</w:t>
            </w:r>
            <w:r w:rsidRPr="000E7450">
              <w:rPr>
                <w:b/>
                <w:sz w:val="28"/>
                <w:szCs w:val="28"/>
                <w:lang w:val="lv-LV"/>
              </w:rPr>
              <w:t>.</w:t>
            </w:r>
          </w:p>
          <w:p w:rsidR="00150F14" w:rsidRPr="000E7450" w:rsidRDefault="00150F14">
            <w:pPr>
              <w:pStyle w:val="BodyText"/>
              <w:ind w:right="-19"/>
              <w:rPr>
                <w:szCs w:val="28"/>
              </w:rPr>
            </w:pPr>
          </w:p>
        </w:tc>
      </w:tr>
      <w:tr w:rsidR="00DA42C8" w:rsidRPr="000E7450" w:rsidTr="00EA24B4">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A42C8" w:rsidRPr="000E7450" w:rsidRDefault="002949B3" w:rsidP="00517928">
            <w:pPr>
              <w:ind w:right="-19"/>
              <w:rPr>
                <w:rFonts w:eastAsia="Times New Roman"/>
                <w:sz w:val="28"/>
                <w:szCs w:val="28"/>
                <w:lang w:val="lv-LV" w:eastAsia="lv-LV"/>
              </w:rPr>
            </w:pPr>
            <w:r w:rsidRPr="000E7450">
              <w:rPr>
                <w:rFonts w:eastAsia="Times New Roman"/>
                <w:sz w:val="28"/>
                <w:szCs w:val="28"/>
                <w:lang w:val="lv-LV" w:eastAsia="lv-LV"/>
              </w:rPr>
              <w:t> 7.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50F14" w:rsidRPr="000E7450" w:rsidRDefault="002949B3">
            <w:pPr>
              <w:ind w:right="-19"/>
              <w:jc w:val="both"/>
              <w:rPr>
                <w:sz w:val="28"/>
                <w:szCs w:val="28"/>
                <w:lang w:val="lv-LV"/>
              </w:rPr>
            </w:pPr>
            <w:r w:rsidRPr="000E7450">
              <w:rPr>
                <w:sz w:val="28"/>
                <w:szCs w:val="28"/>
                <w:lang w:val="lv-LV"/>
              </w:rPr>
              <w:t>Nav.</w:t>
            </w:r>
          </w:p>
        </w:tc>
      </w:tr>
    </w:tbl>
    <w:p w:rsidR="00DA42C8" w:rsidRPr="000E7450" w:rsidRDefault="00DA42C8" w:rsidP="00517928">
      <w:pPr>
        <w:pStyle w:val="NormalWeb"/>
        <w:spacing w:before="0" w:beforeAutospacing="0" w:after="0" w:afterAutospacing="0"/>
        <w:ind w:right="-19"/>
        <w:rPr>
          <w:b/>
          <w:sz w:val="28"/>
          <w:szCs w:val="28"/>
          <w:lang w:val="lv-LV"/>
        </w:rPr>
      </w:pPr>
    </w:p>
    <w:tbl>
      <w:tblPr>
        <w:tblpPr w:leftFromText="180" w:rightFromText="180" w:vertAnchor="text" w:horzAnchor="margin" w:tblpXSpec="center" w:tblpY="149"/>
        <w:tblW w:w="910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851"/>
        <w:gridCol w:w="3265"/>
        <w:gridCol w:w="4986"/>
      </w:tblGrid>
      <w:tr w:rsidR="00DA42C8" w:rsidRPr="000E7450" w:rsidTr="00C74F3A">
        <w:tc>
          <w:tcPr>
            <w:tcW w:w="9102" w:type="dxa"/>
            <w:gridSpan w:val="3"/>
            <w:vAlign w:val="center"/>
          </w:tcPr>
          <w:p w:rsidR="00150F14" w:rsidRPr="000E7450" w:rsidRDefault="002949B3">
            <w:pPr>
              <w:pStyle w:val="naisnod"/>
              <w:spacing w:before="0" w:after="0"/>
              <w:ind w:right="-19"/>
              <w:rPr>
                <w:sz w:val="28"/>
                <w:szCs w:val="28"/>
              </w:rPr>
            </w:pPr>
            <w:r w:rsidRPr="000E7450">
              <w:rPr>
                <w:sz w:val="28"/>
                <w:szCs w:val="28"/>
              </w:rPr>
              <w:t>II. Tiesību akta projekta ietekme uz sabiedrību</w:t>
            </w:r>
          </w:p>
        </w:tc>
      </w:tr>
      <w:tr w:rsidR="00DA42C8" w:rsidRPr="000E7450" w:rsidTr="00C74F3A">
        <w:trPr>
          <w:trHeight w:val="112"/>
        </w:trPr>
        <w:tc>
          <w:tcPr>
            <w:tcW w:w="851" w:type="dxa"/>
          </w:tcPr>
          <w:p w:rsidR="00DA42C8" w:rsidRPr="000E7450" w:rsidRDefault="002949B3" w:rsidP="00517928">
            <w:pPr>
              <w:pStyle w:val="naiskr"/>
              <w:spacing w:before="0" w:after="0"/>
              <w:ind w:right="-19"/>
              <w:rPr>
                <w:sz w:val="28"/>
                <w:szCs w:val="28"/>
              </w:rPr>
            </w:pPr>
            <w:r w:rsidRPr="000E7450">
              <w:rPr>
                <w:sz w:val="28"/>
                <w:szCs w:val="28"/>
              </w:rPr>
              <w:t>1.</w:t>
            </w:r>
          </w:p>
        </w:tc>
        <w:tc>
          <w:tcPr>
            <w:tcW w:w="3265" w:type="dxa"/>
          </w:tcPr>
          <w:p w:rsidR="00150F14" w:rsidRPr="000E7450" w:rsidRDefault="002949B3">
            <w:pPr>
              <w:pStyle w:val="naiskr"/>
              <w:spacing w:before="0" w:after="0"/>
              <w:ind w:right="-19"/>
              <w:rPr>
                <w:sz w:val="28"/>
                <w:szCs w:val="28"/>
              </w:rPr>
            </w:pPr>
            <w:r w:rsidRPr="000E7450">
              <w:rPr>
                <w:sz w:val="28"/>
                <w:szCs w:val="28"/>
              </w:rPr>
              <w:t>Sabiedrības mērķgrupa</w:t>
            </w:r>
          </w:p>
        </w:tc>
        <w:tc>
          <w:tcPr>
            <w:tcW w:w="4986" w:type="dxa"/>
          </w:tcPr>
          <w:p w:rsidR="002949B3" w:rsidRPr="000E7450" w:rsidRDefault="002949B3" w:rsidP="002949B3">
            <w:pPr>
              <w:pStyle w:val="naiskr"/>
              <w:spacing w:before="0" w:after="0"/>
              <w:ind w:right="-19"/>
              <w:jc w:val="both"/>
              <w:rPr>
                <w:iCs/>
                <w:sz w:val="28"/>
                <w:szCs w:val="28"/>
              </w:rPr>
            </w:pPr>
            <w:r w:rsidRPr="000E7450">
              <w:rPr>
                <w:rStyle w:val="FontStyle40"/>
                <w:sz w:val="28"/>
                <w:szCs w:val="28"/>
              </w:rPr>
              <w:t>Latvijas Republikas pašvaldības.</w:t>
            </w:r>
          </w:p>
        </w:tc>
      </w:tr>
      <w:tr w:rsidR="00DA42C8" w:rsidRPr="000E7450" w:rsidTr="00C74F3A">
        <w:trPr>
          <w:trHeight w:val="523"/>
        </w:trPr>
        <w:tc>
          <w:tcPr>
            <w:tcW w:w="851" w:type="dxa"/>
          </w:tcPr>
          <w:p w:rsidR="00DA42C8" w:rsidRPr="000E7450" w:rsidRDefault="002949B3" w:rsidP="00517928">
            <w:pPr>
              <w:pStyle w:val="naiskr"/>
              <w:spacing w:before="0" w:after="0"/>
              <w:ind w:right="-19"/>
              <w:rPr>
                <w:sz w:val="28"/>
                <w:szCs w:val="28"/>
              </w:rPr>
            </w:pPr>
            <w:r w:rsidRPr="000E7450">
              <w:rPr>
                <w:sz w:val="28"/>
                <w:szCs w:val="28"/>
              </w:rPr>
              <w:t>2.</w:t>
            </w:r>
          </w:p>
        </w:tc>
        <w:tc>
          <w:tcPr>
            <w:tcW w:w="3265" w:type="dxa"/>
          </w:tcPr>
          <w:p w:rsidR="00150F14" w:rsidRPr="000E7450" w:rsidRDefault="002949B3">
            <w:pPr>
              <w:pStyle w:val="naiskr"/>
              <w:spacing w:before="0" w:after="0"/>
              <w:ind w:right="-19"/>
              <w:rPr>
                <w:sz w:val="28"/>
                <w:szCs w:val="28"/>
              </w:rPr>
            </w:pPr>
            <w:r w:rsidRPr="000E7450">
              <w:rPr>
                <w:sz w:val="28"/>
                <w:szCs w:val="28"/>
              </w:rPr>
              <w:t>Citas sabiedrības grupas (bez mērķgrupas), kuras tiesiskais regulējums arī ietekmē vai varētu ietekmēt</w:t>
            </w:r>
          </w:p>
        </w:tc>
        <w:tc>
          <w:tcPr>
            <w:tcW w:w="4986" w:type="dxa"/>
          </w:tcPr>
          <w:p w:rsidR="00150F14" w:rsidRPr="000E7450" w:rsidRDefault="002949B3">
            <w:pPr>
              <w:pStyle w:val="naiskr"/>
              <w:spacing w:before="0" w:after="0"/>
              <w:ind w:right="-19"/>
              <w:jc w:val="both"/>
              <w:rPr>
                <w:sz w:val="28"/>
                <w:szCs w:val="28"/>
              </w:rPr>
            </w:pPr>
            <w:r w:rsidRPr="000E7450">
              <w:rPr>
                <w:iCs/>
                <w:sz w:val="28"/>
                <w:szCs w:val="28"/>
              </w:rPr>
              <w:t>Nav.</w:t>
            </w:r>
          </w:p>
        </w:tc>
      </w:tr>
      <w:tr w:rsidR="00DA42C8" w:rsidRPr="000E7450" w:rsidTr="00C74F3A">
        <w:trPr>
          <w:trHeight w:val="517"/>
        </w:trPr>
        <w:tc>
          <w:tcPr>
            <w:tcW w:w="851" w:type="dxa"/>
          </w:tcPr>
          <w:p w:rsidR="00DA42C8" w:rsidRPr="000E7450" w:rsidRDefault="002949B3" w:rsidP="00517928">
            <w:pPr>
              <w:pStyle w:val="naiskr"/>
              <w:spacing w:before="0" w:after="0"/>
              <w:ind w:right="-19"/>
              <w:rPr>
                <w:sz w:val="28"/>
                <w:szCs w:val="28"/>
              </w:rPr>
            </w:pPr>
            <w:r w:rsidRPr="000E7450">
              <w:rPr>
                <w:sz w:val="28"/>
                <w:szCs w:val="28"/>
              </w:rPr>
              <w:t>3.</w:t>
            </w:r>
          </w:p>
        </w:tc>
        <w:tc>
          <w:tcPr>
            <w:tcW w:w="3265" w:type="dxa"/>
          </w:tcPr>
          <w:p w:rsidR="00150F14" w:rsidRPr="000E7450" w:rsidRDefault="002949B3">
            <w:pPr>
              <w:pStyle w:val="naiskr"/>
              <w:spacing w:before="0" w:after="0"/>
              <w:ind w:right="-19"/>
              <w:rPr>
                <w:sz w:val="28"/>
                <w:szCs w:val="28"/>
              </w:rPr>
            </w:pPr>
            <w:r w:rsidRPr="000E7450">
              <w:rPr>
                <w:sz w:val="28"/>
                <w:szCs w:val="28"/>
              </w:rPr>
              <w:t>Tiesiskā regulējuma finansiālā ietekme</w:t>
            </w:r>
          </w:p>
        </w:tc>
        <w:tc>
          <w:tcPr>
            <w:tcW w:w="4986" w:type="dxa"/>
          </w:tcPr>
          <w:p w:rsidR="00150F14" w:rsidRPr="000E7450" w:rsidRDefault="002949B3">
            <w:pPr>
              <w:pStyle w:val="naiskr"/>
              <w:spacing w:before="0" w:after="0"/>
              <w:ind w:right="-19"/>
              <w:jc w:val="both"/>
              <w:rPr>
                <w:sz w:val="28"/>
                <w:szCs w:val="28"/>
              </w:rPr>
            </w:pPr>
            <w:r w:rsidRPr="000E7450">
              <w:rPr>
                <w:iCs/>
                <w:sz w:val="28"/>
                <w:szCs w:val="28"/>
              </w:rPr>
              <w:t>Projekts šo jomu neskar.</w:t>
            </w:r>
          </w:p>
        </w:tc>
      </w:tr>
      <w:tr w:rsidR="00DA42C8" w:rsidRPr="000E7450" w:rsidTr="00C74F3A">
        <w:trPr>
          <w:trHeight w:val="517"/>
        </w:trPr>
        <w:tc>
          <w:tcPr>
            <w:tcW w:w="851" w:type="dxa"/>
          </w:tcPr>
          <w:p w:rsidR="00DA42C8" w:rsidRPr="000E7450" w:rsidRDefault="002949B3" w:rsidP="00517928">
            <w:pPr>
              <w:pStyle w:val="naiskr"/>
              <w:spacing w:before="0" w:after="0"/>
              <w:ind w:right="-19"/>
              <w:rPr>
                <w:sz w:val="28"/>
                <w:szCs w:val="28"/>
              </w:rPr>
            </w:pPr>
            <w:r w:rsidRPr="000E7450">
              <w:rPr>
                <w:sz w:val="28"/>
                <w:szCs w:val="28"/>
              </w:rPr>
              <w:t>4.</w:t>
            </w:r>
          </w:p>
        </w:tc>
        <w:tc>
          <w:tcPr>
            <w:tcW w:w="3265" w:type="dxa"/>
          </w:tcPr>
          <w:p w:rsidR="00150F14" w:rsidRPr="000E7450" w:rsidRDefault="002949B3">
            <w:pPr>
              <w:pStyle w:val="naiskr"/>
              <w:spacing w:before="0" w:after="0"/>
              <w:ind w:right="-19"/>
              <w:rPr>
                <w:sz w:val="28"/>
                <w:szCs w:val="28"/>
              </w:rPr>
            </w:pPr>
            <w:r w:rsidRPr="000E7450">
              <w:rPr>
                <w:sz w:val="28"/>
                <w:szCs w:val="28"/>
              </w:rPr>
              <w:t>Tiesiskā regulējuma nefinansiālā ietekme</w:t>
            </w:r>
          </w:p>
        </w:tc>
        <w:tc>
          <w:tcPr>
            <w:tcW w:w="4986" w:type="dxa"/>
          </w:tcPr>
          <w:p w:rsidR="00150F14" w:rsidRPr="000E7450" w:rsidRDefault="002949B3">
            <w:pPr>
              <w:pStyle w:val="naiskr"/>
              <w:spacing w:before="0" w:after="0"/>
              <w:ind w:right="-19"/>
              <w:jc w:val="both"/>
              <w:rPr>
                <w:iCs/>
                <w:sz w:val="28"/>
                <w:szCs w:val="28"/>
              </w:rPr>
            </w:pPr>
            <w:r w:rsidRPr="000E7450">
              <w:rPr>
                <w:iCs/>
                <w:sz w:val="28"/>
                <w:szCs w:val="28"/>
              </w:rPr>
              <w:t>Projekts šo jomu neskar.</w:t>
            </w:r>
          </w:p>
        </w:tc>
      </w:tr>
      <w:tr w:rsidR="00DA42C8" w:rsidRPr="000E7450" w:rsidTr="00C74F3A">
        <w:trPr>
          <w:trHeight w:val="531"/>
        </w:trPr>
        <w:tc>
          <w:tcPr>
            <w:tcW w:w="851" w:type="dxa"/>
          </w:tcPr>
          <w:p w:rsidR="00DA42C8" w:rsidRPr="000E7450" w:rsidRDefault="002949B3" w:rsidP="00517928">
            <w:pPr>
              <w:pStyle w:val="naiskr"/>
              <w:spacing w:before="0" w:after="0"/>
              <w:ind w:right="-19"/>
              <w:rPr>
                <w:sz w:val="28"/>
                <w:szCs w:val="28"/>
              </w:rPr>
            </w:pPr>
            <w:r w:rsidRPr="000E7450">
              <w:rPr>
                <w:sz w:val="28"/>
                <w:szCs w:val="28"/>
              </w:rPr>
              <w:t>5.</w:t>
            </w:r>
          </w:p>
        </w:tc>
        <w:tc>
          <w:tcPr>
            <w:tcW w:w="3265" w:type="dxa"/>
          </w:tcPr>
          <w:p w:rsidR="00150F14" w:rsidRPr="000E7450" w:rsidRDefault="002949B3">
            <w:pPr>
              <w:pStyle w:val="naiskr"/>
              <w:spacing w:before="0" w:after="0"/>
              <w:ind w:right="-19"/>
              <w:rPr>
                <w:sz w:val="28"/>
                <w:szCs w:val="28"/>
              </w:rPr>
            </w:pPr>
            <w:r w:rsidRPr="000E7450">
              <w:rPr>
                <w:sz w:val="28"/>
                <w:szCs w:val="28"/>
              </w:rPr>
              <w:t>Administratīvās procedūras raksturojums</w:t>
            </w:r>
          </w:p>
        </w:tc>
        <w:tc>
          <w:tcPr>
            <w:tcW w:w="4986" w:type="dxa"/>
          </w:tcPr>
          <w:p w:rsidR="00150F14" w:rsidRPr="000E7450" w:rsidRDefault="002949B3">
            <w:pPr>
              <w:pStyle w:val="NormalWeb"/>
              <w:spacing w:before="0" w:beforeAutospacing="0" w:after="0" w:afterAutospacing="0"/>
              <w:ind w:right="-19"/>
              <w:rPr>
                <w:b/>
                <w:sz w:val="28"/>
                <w:szCs w:val="28"/>
                <w:lang w:val="lv-LV"/>
              </w:rPr>
            </w:pPr>
            <w:r w:rsidRPr="000E7450">
              <w:rPr>
                <w:iCs/>
                <w:sz w:val="28"/>
                <w:szCs w:val="28"/>
                <w:lang w:val="lv-LV"/>
              </w:rPr>
              <w:t>Projekts šo jomu neskar</w:t>
            </w:r>
            <w:r w:rsidRPr="000E7450">
              <w:rPr>
                <w:sz w:val="28"/>
                <w:szCs w:val="28"/>
                <w:lang w:val="lv-LV"/>
              </w:rPr>
              <w:t>.</w:t>
            </w:r>
          </w:p>
          <w:p w:rsidR="00150F14" w:rsidRPr="000E7450" w:rsidRDefault="00150F14">
            <w:pPr>
              <w:pStyle w:val="naiskr"/>
              <w:spacing w:before="0" w:after="0"/>
              <w:ind w:right="-19"/>
              <w:rPr>
                <w:sz w:val="28"/>
                <w:szCs w:val="28"/>
              </w:rPr>
            </w:pPr>
          </w:p>
        </w:tc>
      </w:tr>
      <w:tr w:rsidR="00DA42C8" w:rsidRPr="000E7450" w:rsidTr="00C74F3A">
        <w:trPr>
          <w:trHeight w:val="357"/>
        </w:trPr>
        <w:tc>
          <w:tcPr>
            <w:tcW w:w="851" w:type="dxa"/>
          </w:tcPr>
          <w:p w:rsidR="00DA42C8" w:rsidRPr="000E7450" w:rsidRDefault="002949B3" w:rsidP="00517928">
            <w:pPr>
              <w:pStyle w:val="naiskr"/>
              <w:spacing w:before="0" w:after="0"/>
              <w:ind w:right="-19"/>
              <w:rPr>
                <w:sz w:val="28"/>
                <w:szCs w:val="28"/>
              </w:rPr>
            </w:pPr>
            <w:r w:rsidRPr="000E7450">
              <w:rPr>
                <w:sz w:val="28"/>
                <w:szCs w:val="28"/>
              </w:rPr>
              <w:t>6.</w:t>
            </w:r>
          </w:p>
        </w:tc>
        <w:tc>
          <w:tcPr>
            <w:tcW w:w="3265" w:type="dxa"/>
          </w:tcPr>
          <w:p w:rsidR="00150F14" w:rsidRPr="000E7450" w:rsidRDefault="002949B3">
            <w:pPr>
              <w:pStyle w:val="naiskr"/>
              <w:spacing w:before="0" w:after="0"/>
              <w:ind w:right="-19"/>
              <w:rPr>
                <w:sz w:val="28"/>
                <w:szCs w:val="28"/>
              </w:rPr>
            </w:pPr>
            <w:r w:rsidRPr="000E7450">
              <w:rPr>
                <w:sz w:val="28"/>
                <w:szCs w:val="28"/>
              </w:rPr>
              <w:t>Administratīvo izmaksu monetārs novērtējums</w:t>
            </w:r>
          </w:p>
        </w:tc>
        <w:tc>
          <w:tcPr>
            <w:tcW w:w="4986" w:type="dxa"/>
          </w:tcPr>
          <w:p w:rsidR="00150F14" w:rsidRPr="000E7450" w:rsidRDefault="002949B3">
            <w:pPr>
              <w:pStyle w:val="NormalWeb"/>
              <w:spacing w:before="0" w:beforeAutospacing="0" w:after="0" w:afterAutospacing="0"/>
              <w:ind w:right="-19"/>
              <w:rPr>
                <w:b/>
                <w:sz w:val="28"/>
                <w:szCs w:val="28"/>
                <w:lang w:val="lv-LV"/>
              </w:rPr>
            </w:pPr>
            <w:r w:rsidRPr="000E7450">
              <w:rPr>
                <w:iCs/>
                <w:sz w:val="28"/>
                <w:szCs w:val="28"/>
                <w:lang w:val="lv-LV"/>
              </w:rPr>
              <w:t>Projekts šo jomu neskar</w:t>
            </w:r>
            <w:r w:rsidRPr="000E7450">
              <w:rPr>
                <w:sz w:val="28"/>
                <w:szCs w:val="28"/>
                <w:lang w:val="lv-LV"/>
              </w:rPr>
              <w:t>.</w:t>
            </w:r>
          </w:p>
          <w:p w:rsidR="00150F14" w:rsidRPr="000E7450" w:rsidRDefault="00150F14">
            <w:pPr>
              <w:pStyle w:val="naiskr"/>
              <w:spacing w:before="0" w:after="0"/>
              <w:ind w:right="-19"/>
              <w:rPr>
                <w:sz w:val="28"/>
                <w:szCs w:val="28"/>
              </w:rPr>
            </w:pPr>
          </w:p>
        </w:tc>
      </w:tr>
      <w:tr w:rsidR="00DA42C8" w:rsidRPr="000E7450" w:rsidTr="00C74F3A">
        <w:trPr>
          <w:trHeight w:val="236"/>
        </w:trPr>
        <w:tc>
          <w:tcPr>
            <w:tcW w:w="851" w:type="dxa"/>
          </w:tcPr>
          <w:p w:rsidR="00DA42C8" w:rsidRPr="000E7450" w:rsidRDefault="002949B3" w:rsidP="00517928">
            <w:pPr>
              <w:pStyle w:val="naiskr"/>
              <w:spacing w:before="0" w:after="0"/>
              <w:ind w:right="-19"/>
              <w:rPr>
                <w:sz w:val="28"/>
                <w:szCs w:val="28"/>
              </w:rPr>
            </w:pPr>
            <w:r w:rsidRPr="000E7450">
              <w:rPr>
                <w:sz w:val="28"/>
                <w:szCs w:val="28"/>
              </w:rPr>
              <w:t>7.</w:t>
            </w:r>
          </w:p>
        </w:tc>
        <w:tc>
          <w:tcPr>
            <w:tcW w:w="3265" w:type="dxa"/>
          </w:tcPr>
          <w:p w:rsidR="00DA42C8" w:rsidRPr="000E7450" w:rsidRDefault="002949B3" w:rsidP="00517928">
            <w:pPr>
              <w:pStyle w:val="naiskr"/>
              <w:spacing w:before="0" w:after="0"/>
              <w:ind w:right="-19"/>
              <w:rPr>
                <w:sz w:val="28"/>
                <w:szCs w:val="28"/>
              </w:rPr>
            </w:pPr>
            <w:r w:rsidRPr="000E7450">
              <w:rPr>
                <w:sz w:val="28"/>
                <w:szCs w:val="28"/>
              </w:rPr>
              <w:t>Cita informācija</w:t>
            </w:r>
          </w:p>
        </w:tc>
        <w:tc>
          <w:tcPr>
            <w:tcW w:w="4986" w:type="dxa"/>
          </w:tcPr>
          <w:p w:rsidR="00150F14" w:rsidRPr="000E7450" w:rsidRDefault="002949B3">
            <w:pPr>
              <w:pStyle w:val="naiskr"/>
              <w:spacing w:before="0" w:after="0"/>
              <w:ind w:right="-19"/>
              <w:rPr>
                <w:sz w:val="28"/>
                <w:szCs w:val="28"/>
              </w:rPr>
            </w:pPr>
            <w:r w:rsidRPr="000E7450">
              <w:rPr>
                <w:sz w:val="28"/>
                <w:szCs w:val="28"/>
              </w:rPr>
              <w:t>Nav.</w:t>
            </w:r>
          </w:p>
        </w:tc>
      </w:tr>
    </w:tbl>
    <w:p w:rsidR="00DA42C8" w:rsidRPr="000E7450" w:rsidRDefault="00DA42C8" w:rsidP="00517928">
      <w:pPr>
        <w:pStyle w:val="NormalWeb"/>
        <w:spacing w:before="0" w:beforeAutospacing="0" w:after="0" w:afterAutospacing="0"/>
        <w:ind w:right="-19"/>
        <w:rPr>
          <w:b/>
          <w:sz w:val="28"/>
          <w:szCs w:val="28"/>
          <w:lang w:val="lv-LV"/>
        </w:rPr>
      </w:pPr>
    </w:p>
    <w:tbl>
      <w:tblPr>
        <w:tblpPr w:leftFromText="180" w:rightFromText="180" w:vertAnchor="text" w:horzAnchor="margin" w:tblpXSpec="center" w:tblpY="149"/>
        <w:tblW w:w="910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2865"/>
        <w:gridCol w:w="6237"/>
      </w:tblGrid>
      <w:tr w:rsidR="00326899" w:rsidRPr="000E7450" w:rsidTr="00C74F3A">
        <w:tc>
          <w:tcPr>
            <w:tcW w:w="9102" w:type="dxa"/>
            <w:gridSpan w:val="2"/>
            <w:vAlign w:val="center"/>
          </w:tcPr>
          <w:p w:rsidR="00150F14" w:rsidRPr="000E7450" w:rsidRDefault="002949B3">
            <w:pPr>
              <w:pStyle w:val="naisnod"/>
              <w:spacing w:before="0" w:after="0"/>
              <w:rPr>
                <w:sz w:val="28"/>
                <w:szCs w:val="28"/>
              </w:rPr>
            </w:pPr>
            <w:r w:rsidRPr="000E7450">
              <w:rPr>
                <w:bCs w:val="0"/>
                <w:sz w:val="28"/>
                <w:szCs w:val="28"/>
              </w:rPr>
              <w:t>IV. Tiesību akta projekta ietekme uz spēkā esošo tiesību normu sistēmu</w:t>
            </w:r>
          </w:p>
        </w:tc>
      </w:tr>
      <w:tr w:rsidR="00326899" w:rsidRPr="000E7450" w:rsidTr="00C74F3A">
        <w:trPr>
          <w:trHeight w:val="467"/>
        </w:trPr>
        <w:tc>
          <w:tcPr>
            <w:tcW w:w="2865" w:type="dxa"/>
          </w:tcPr>
          <w:p w:rsidR="002949B3" w:rsidRPr="000E7450" w:rsidRDefault="002949B3" w:rsidP="002949B3">
            <w:pPr>
              <w:pStyle w:val="tvhtml"/>
              <w:spacing w:before="0" w:beforeAutospacing="0" w:after="0" w:afterAutospacing="0"/>
              <w:rPr>
                <w:sz w:val="28"/>
                <w:szCs w:val="28"/>
              </w:rPr>
            </w:pPr>
            <w:r w:rsidRPr="000E7450">
              <w:rPr>
                <w:sz w:val="28"/>
                <w:szCs w:val="28"/>
              </w:rPr>
              <w:t>Nepieciešamie saistītie tiesību aktu projekti</w:t>
            </w:r>
          </w:p>
        </w:tc>
        <w:tc>
          <w:tcPr>
            <w:tcW w:w="6237" w:type="dxa"/>
          </w:tcPr>
          <w:p w:rsidR="00326899" w:rsidRPr="000E7450" w:rsidRDefault="002949B3" w:rsidP="00517928">
            <w:pPr>
              <w:jc w:val="both"/>
              <w:rPr>
                <w:sz w:val="28"/>
                <w:szCs w:val="28"/>
                <w:u w:val="single"/>
                <w:lang w:val="lv-LV"/>
              </w:rPr>
            </w:pPr>
            <w:r w:rsidRPr="000E7450">
              <w:rPr>
                <w:bCs/>
                <w:sz w:val="28"/>
                <w:szCs w:val="28"/>
                <w:lang w:val="lv-LV"/>
              </w:rPr>
              <w:t>I</w:t>
            </w:r>
            <w:r w:rsidRPr="000E7450">
              <w:rPr>
                <w:iCs/>
                <w:sz w:val="28"/>
                <w:szCs w:val="28"/>
                <w:lang w:val="lv-LV"/>
              </w:rPr>
              <w:t>r nepieciešams veikt g</w:t>
            </w:r>
            <w:r w:rsidRPr="000E7450">
              <w:rPr>
                <w:bCs/>
                <w:sz w:val="28"/>
                <w:szCs w:val="28"/>
                <w:lang w:val="lv-LV"/>
              </w:rPr>
              <w:t xml:space="preserve">rozījumus Ministru kabineta </w:t>
            </w:r>
            <w:r w:rsidRPr="000E7450">
              <w:rPr>
                <w:iCs/>
                <w:sz w:val="28"/>
                <w:szCs w:val="28"/>
                <w:lang w:val="lv-LV"/>
              </w:rPr>
              <w:t>2008.gada 15.janvāra noteikumos Nr.28 „</w:t>
            </w:r>
            <w:r w:rsidRPr="000E7450">
              <w:rPr>
                <w:bCs/>
                <w:sz w:val="28"/>
                <w:szCs w:val="28"/>
                <w:lang w:val="lv-LV"/>
              </w:rPr>
              <w:t xml:space="preserve">Noteikumi par darbības programmas “Infrastruktūra un pakalpojumi” papildinājuma 3.4.4.2.aktivitātes “Sociālo dzīvojamo māju siltumnoturības uzlabošanas </w:t>
            </w:r>
            <w:r w:rsidRPr="000E7450">
              <w:rPr>
                <w:bCs/>
                <w:sz w:val="28"/>
                <w:szCs w:val="28"/>
                <w:lang w:val="lv-LV"/>
              </w:rPr>
              <w:lastRenderedPageBreak/>
              <w:t>pasākumi” projektu iesniegumu atlases pirmo kārtu</w:t>
            </w:r>
            <w:r w:rsidRPr="000E7450">
              <w:rPr>
                <w:iCs/>
                <w:sz w:val="28"/>
                <w:szCs w:val="28"/>
                <w:lang w:val="lv-LV"/>
              </w:rPr>
              <w:t>”, precizējot ERAF</w:t>
            </w:r>
            <w:r w:rsidRPr="000E7450">
              <w:rPr>
                <w:b/>
                <w:iCs/>
                <w:sz w:val="28"/>
                <w:szCs w:val="28"/>
                <w:lang w:val="lv-LV"/>
              </w:rPr>
              <w:t xml:space="preserve"> </w:t>
            </w:r>
            <w:r w:rsidRPr="000E7450">
              <w:rPr>
                <w:iCs/>
                <w:sz w:val="28"/>
                <w:szCs w:val="28"/>
                <w:lang w:val="lv-LV"/>
              </w:rPr>
              <w:t>un nacionālā finansējuma apmēru.</w:t>
            </w:r>
          </w:p>
        </w:tc>
      </w:tr>
      <w:tr w:rsidR="00326899" w:rsidRPr="000E7450" w:rsidTr="00C74F3A">
        <w:trPr>
          <w:trHeight w:val="300"/>
        </w:trPr>
        <w:tc>
          <w:tcPr>
            <w:tcW w:w="2865" w:type="dxa"/>
          </w:tcPr>
          <w:p w:rsidR="00326899" w:rsidRPr="000E7450" w:rsidRDefault="002949B3" w:rsidP="00517928">
            <w:pPr>
              <w:pStyle w:val="naiskr"/>
              <w:spacing w:before="0" w:after="0"/>
              <w:rPr>
                <w:sz w:val="28"/>
                <w:szCs w:val="28"/>
              </w:rPr>
            </w:pPr>
            <w:r w:rsidRPr="000E7450">
              <w:rPr>
                <w:sz w:val="28"/>
                <w:szCs w:val="28"/>
              </w:rPr>
              <w:lastRenderedPageBreak/>
              <w:t>Cita informācija</w:t>
            </w:r>
          </w:p>
        </w:tc>
        <w:tc>
          <w:tcPr>
            <w:tcW w:w="6237" w:type="dxa"/>
          </w:tcPr>
          <w:p w:rsidR="00150F14" w:rsidRPr="000E7450" w:rsidRDefault="002949B3">
            <w:pPr>
              <w:pStyle w:val="naiskr"/>
              <w:spacing w:before="0" w:after="0"/>
              <w:jc w:val="both"/>
              <w:rPr>
                <w:sz w:val="28"/>
                <w:szCs w:val="28"/>
              </w:rPr>
            </w:pPr>
            <w:r w:rsidRPr="000E7450">
              <w:rPr>
                <w:sz w:val="28"/>
                <w:szCs w:val="28"/>
              </w:rPr>
              <w:t>Nav.</w:t>
            </w:r>
          </w:p>
        </w:tc>
      </w:tr>
    </w:tbl>
    <w:p w:rsidR="00DA42C8" w:rsidRPr="000E7450" w:rsidRDefault="00DA42C8" w:rsidP="00517928">
      <w:pPr>
        <w:pStyle w:val="NormalWeb"/>
        <w:spacing w:before="0" w:beforeAutospacing="0" w:after="0" w:afterAutospacing="0"/>
        <w:ind w:right="-19"/>
        <w:rPr>
          <w:b/>
          <w:sz w:val="28"/>
          <w:szCs w:val="28"/>
          <w:lang w:val="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4111"/>
        <w:gridCol w:w="5245"/>
      </w:tblGrid>
      <w:tr w:rsidR="00DA42C8" w:rsidRPr="000E7450" w:rsidTr="00517928">
        <w:trPr>
          <w:trHeight w:val="271"/>
        </w:trPr>
        <w:tc>
          <w:tcPr>
            <w:tcW w:w="9356" w:type="dxa"/>
            <w:gridSpan w:val="2"/>
            <w:hideMark/>
          </w:tcPr>
          <w:p w:rsidR="00DA42C8" w:rsidRPr="000E7450" w:rsidRDefault="002949B3" w:rsidP="00517928">
            <w:pPr>
              <w:ind w:right="-19"/>
              <w:jc w:val="center"/>
              <w:rPr>
                <w:rFonts w:eastAsia="Times New Roman"/>
                <w:b/>
                <w:sz w:val="28"/>
                <w:szCs w:val="28"/>
                <w:lang w:val="lv-LV" w:eastAsia="lv-LV"/>
              </w:rPr>
            </w:pPr>
            <w:r w:rsidRPr="000E7450">
              <w:rPr>
                <w:rFonts w:eastAsia="Times New Roman"/>
                <w:b/>
                <w:sz w:val="28"/>
                <w:szCs w:val="28"/>
                <w:lang w:val="lv-LV" w:eastAsia="lv-LV"/>
              </w:rPr>
              <w:t>VII. Tiesību akta projekta izpildes nodrošināšana un tās ietekme uz institūcijām</w:t>
            </w:r>
          </w:p>
        </w:tc>
      </w:tr>
      <w:tr w:rsidR="00DA42C8" w:rsidRPr="000E7450" w:rsidTr="006F14EF">
        <w:tc>
          <w:tcPr>
            <w:tcW w:w="4111" w:type="dxa"/>
            <w:hideMark/>
          </w:tcPr>
          <w:p w:rsidR="00DA42C8" w:rsidRPr="000E7450" w:rsidRDefault="002949B3" w:rsidP="00517928">
            <w:pPr>
              <w:ind w:right="-19"/>
              <w:rPr>
                <w:rFonts w:eastAsia="Times New Roman"/>
                <w:sz w:val="28"/>
                <w:szCs w:val="28"/>
                <w:lang w:val="lv-LV" w:eastAsia="lv-LV"/>
              </w:rPr>
            </w:pPr>
            <w:r w:rsidRPr="000E7450">
              <w:rPr>
                <w:rFonts w:eastAsia="Times New Roman"/>
                <w:sz w:val="28"/>
                <w:szCs w:val="28"/>
                <w:lang w:val="lv-LV" w:eastAsia="lv-LV"/>
              </w:rPr>
              <w:t>1. Projekta izpildē iesaistītās institūcijas</w:t>
            </w:r>
          </w:p>
        </w:tc>
        <w:tc>
          <w:tcPr>
            <w:tcW w:w="5245" w:type="dxa"/>
            <w:hideMark/>
          </w:tcPr>
          <w:p w:rsidR="00150F14" w:rsidRPr="000E7450" w:rsidRDefault="002949B3">
            <w:pPr>
              <w:ind w:right="-19"/>
              <w:jc w:val="both"/>
              <w:rPr>
                <w:rFonts w:eastAsia="Times New Roman"/>
                <w:sz w:val="28"/>
                <w:szCs w:val="28"/>
                <w:lang w:val="lv-LV" w:eastAsia="lv-LV"/>
              </w:rPr>
            </w:pPr>
            <w:r w:rsidRPr="000E7450">
              <w:rPr>
                <w:sz w:val="28"/>
                <w:szCs w:val="28"/>
                <w:lang w:val="lv-LV"/>
              </w:rPr>
              <w:t>Noteikumu projekta izpildē ir iesaistīta valsts aģentūra „Latvijas Investīciju un attīstības aģentūra”.</w:t>
            </w:r>
          </w:p>
        </w:tc>
      </w:tr>
      <w:tr w:rsidR="00DA42C8" w:rsidRPr="000E7450" w:rsidTr="006F14EF">
        <w:tc>
          <w:tcPr>
            <w:tcW w:w="4111" w:type="dxa"/>
            <w:hideMark/>
          </w:tcPr>
          <w:p w:rsidR="00DA42C8" w:rsidRPr="000E7450" w:rsidRDefault="002949B3" w:rsidP="00517928">
            <w:pPr>
              <w:ind w:right="-19"/>
              <w:rPr>
                <w:rFonts w:eastAsia="Times New Roman"/>
                <w:sz w:val="28"/>
                <w:szCs w:val="28"/>
                <w:lang w:val="lv-LV" w:eastAsia="lv-LV"/>
              </w:rPr>
            </w:pPr>
            <w:r w:rsidRPr="000E7450">
              <w:rPr>
                <w:rFonts w:eastAsia="Times New Roman"/>
                <w:sz w:val="28"/>
                <w:szCs w:val="28"/>
                <w:lang w:val="lv-LV" w:eastAsia="lv-LV"/>
              </w:rPr>
              <w:t>2. Projekta izpildes ietekme uz pārvaldes funkcijām</w:t>
            </w:r>
          </w:p>
        </w:tc>
        <w:tc>
          <w:tcPr>
            <w:tcW w:w="5245" w:type="dxa"/>
            <w:hideMark/>
          </w:tcPr>
          <w:p w:rsidR="00150F14" w:rsidRPr="000E7450" w:rsidRDefault="002949B3">
            <w:pPr>
              <w:ind w:right="-19"/>
              <w:jc w:val="both"/>
              <w:rPr>
                <w:sz w:val="28"/>
                <w:szCs w:val="28"/>
                <w:lang w:val="lv-LV"/>
              </w:rPr>
            </w:pPr>
            <w:r w:rsidRPr="000E7450">
              <w:rPr>
                <w:sz w:val="28"/>
                <w:szCs w:val="28"/>
                <w:lang w:val="lv-LV"/>
              </w:rPr>
              <w:t>Noteikumu projekta izpildi nodrošinās valsts aģentūra „Latvijas Investīciju un attīstības aģentūra” esošo funkciju ietvaros.</w:t>
            </w:r>
          </w:p>
        </w:tc>
      </w:tr>
      <w:tr w:rsidR="00DA42C8" w:rsidRPr="000E7450" w:rsidTr="006F14EF">
        <w:trPr>
          <w:trHeight w:val="930"/>
        </w:trPr>
        <w:tc>
          <w:tcPr>
            <w:tcW w:w="4111" w:type="dxa"/>
            <w:hideMark/>
          </w:tcPr>
          <w:p w:rsidR="00DA42C8" w:rsidRPr="000E7450" w:rsidRDefault="002949B3" w:rsidP="00517928">
            <w:pPr>
              <w:ind w:right="-19"/>
              <w:rPr>
                <w:rFonts w:eastAsia="Times New Roman"/>
                <w:sz w:val="28"/>
                <w:szCs w:val="28"/>
                <w:lang w:val="lv-LV" w:eastAsia="lv-LV"/>
              </w:rPr>
            </w:pPr>
            <w:r w:rsidRPr="000E7450">
              <w:rPr>
                <w:rFonts w:eastAsia="Times New Roman"/>
                <w:sz w:val="28"/>
                <w:szCs w:val="28"/>
                <w:lang w:val="lv-LV" w:eastAsia="lv-LV"/>
              </w:rPr>
              <w:t>3. Projekta izpildes ietekme uz pārvaldes institucionālo struktūru. Jaunu institūciju izveide</w:t>
            </w:r>
          </w:p>
        </w:tc>
        <w:tc>
          <w:tcPr>
            <w:tcW w:w="5245" w:type="dxa"/>
            <w:hideMark/>
          </w:tcPr>
          <w:p w:rsidR="00150F14" w:rsidRPr="000E7450" w:rsidRDefault="002949B3">
            <w:pPr>
              <w:ind w:right="-19"/>
              <w:jc w:val="both"/>
              <w:rPr>
                <w:rFonts w:eastAsia="Times New Roman"/>
                <w:sz w:val="28"/>
                <w:szCs w:val="28"/>
                <w:lang w:val="lv-LV" w:eastAsia="lv-LV"/>
              </w:rPr>
            </w:pPr>
            <w:r w:rsidRPr="000E7450">
              <w:rPr>
                <w:sz w:val="28"/>
                <w:szCs w:val="28"/>
                <w:lang w:val="lv-LV"/>
              </w:rPr>
              <w:t>Noteikumu projekta izpildei nav nepieciešams radīt jaunas institūcijas.</w:t>
            </w:r>
          </w:p>
        </w:tc>
      </w:tr>
      <w:tr w:rsidR="00DA42C8" w:rsidRPr="000E7450" w:rsidTr="00517928">
        <w:trPr>
          <w:trHeight w:val="892"/>
        </w:trPr>
        <w:tc>
          <w:tcPr>
            <w:tcW w:w="4111" w:type="dxa"/>
            <w:hideMark/>
          </w:tcPr>
          <w:p w:rsidR="00DA42C8" w:rsidRPr="000E7450" w:rsidRDefault="002949B3" w:rsidP="00517928">
            <w:pPr>
              <w:ind w:right="-19"/>
              <w:rPr>
                <w:rFonts w:eastAsia="Times New Roman"/>
                <w:sz w:val="28"/>
                <w:szCs w:val="28"/>
                <w:lang w:val="lv-LV" w:eastAsia="lv-LV"/>
              </w:rPr>
            </w:pPr>
            <w:r w:rsidRPr="000E7450">
              <w:rPr>
                <w:rFonts w:eastAsia="Times New Roman"/>
                <w:sz w:val="28"/>
                <w:szCs w:val="28"/>
                <w:lang w:val="lv-LV" w:eastAsia="lv-LV"/>
              </w:rPr>
              <w:t>4. Projekta izpildes ietekmes uz pārvaldes institucionālo struktūru. Esošu institūciju likvidācija</w:t>
            </w:r>
          </w:p>
        </w:tc>
        <w:tc>
          <w:tcPr>
            <w:tcW w:w="5245" w:type="dxa"/>
            <w:hideMark/>
          </w:tcPr>
          <w:p w:rsidR="00150F14" w:rsidRPr="000E7450" w:rsidRDefault="002949B3">
            <w:pPr>
              <w:ind w:right="-19"/>
              <w:jc w:val="both"/>
              <w:rPr>
                <w:rFonts w:eastAsia="Times New Roman"/>
                <w:sz w:val="28"/>
                <w:szCs w:val="28"/>
                <w:lang w:val="lv-LV" w:eastAsia="lv-LV"/>
              </w:rPr>
            </w:pPr>
            <w:r w:rsidRPr="000E7450">
              <w:rPr>
                <w:sz w:val="28"/>
                <w:szCs w:val="28"/>
                <w:lang w:val="lv-LV"/>
              </w:rPr>
              <w:t>Noteikumu projekta izpildei nav nepieciešams likvidēt esošās institūcijas.</w:t>
            </w:r>
          </w:p>
        </w:tc>
      </w:tr>
      <w:tr w:rsidR="00DA42C8" w:rsidRPr="000E7450" w:rsidTr="006F14EF">
        <w:trPr>
          <w:trHeight w:val="912"/>
        </w:trPr>
        <w:tc>
          <w:tcPr>
            <w:tcW w:w="4111" w:type="dxa"/>
            <w:hideMark/>
          </w:tcPr>
          <w:p w:rsidR="00DA42C8" w:rsidRPr="000E7450" w:rsidRDefault="002949B3" w:rsidP="00517928">
            <w:pPr>
              <w:ind w:right="-19"/>
              <w:rPr>
                <w:rFonts w:eastAsia="Times New Roman"/>
                <w:sz w:val="28"/>
                <w:szCs w:val="28"/>
                <w:lang w:val="lv-LV" w:eastAsia="lv-LV"/>
              </w:rPr>
            </w:pPr>
            <w:r w:rsidRPr="000E7450">
              <w:rPr>
                <w:rFonts w:eastAsia="Times New Roman"/>
                <w:sz w:val="28"/>
                <w:szCs w:val="28"/>
                <w:lang w:val="lv-LV" w:eastAsia="lv-LV"/>
              </w:rPr>
              <w:t>5. Projekta izpildes ietekmes uz pārvaldes institucionālo struktūru. Esošu institūciju reorganizācija</w:t>
            </w:r>
          </w:p>
        </w:tc>
        <w:tc>
          <w:tcPr>
            <w:tcW w:w="5245" w:type="dxa"/>
            <w:hideMark/>
          </w:tcPr>
          <w:p w:rsidR="00150F14" w:rsidRPr="000E7450" w:rsidRDefault="002949B3">
            <w:pPr>
              <w:ind w:right="-19"/>
              <w:jc w:val="both"/>
              <w:rPr>
                <w:rFonts w:eastAsia="Times New Roman"/>
                <w:sz w:val="28"/>
                <w:szCs w:val="28"/>
                <w:lang w:val="lv-LV" w:eastAsia="lv-LV"/>
              </w:rPr>
            </w:pPr>
            <w:r w:rsidRPr="000E7450">
              <w:rPr>
                <w:sz w:val="28"/>
                <w:szCs w:val="28"/>
                <w:lang w:val="lv-LV"/>
              </w:rPr>
              <w:t>Noteikumu projekta izpildei nav nepieciešams reorganizēt esošās institūcijas.</w:t>
            </w:r>
          </w:p>
        </w:tc>
      </w:tr>
      <w:tr w:rsidR="00DA42C8" w:rsidRPr="000E7450" w:rsidTr="006F14EF">
        <w:tc>
          <w:tcPr>
            <w:tcW w:w="4111" w:type="dxa"/>
            <w:hideMark/>
          </w:tcPr>
          <w:p w:rsidR="00DA42C8" w:rsidRPr="000E7450" w:rsidRDefault="002949B3" w:rsidP="00517928">
            <w:pPr>
              <w:ind w:right="-19"/>
              <w:rPr>
                <w:rFonts w:eastAsia="Times New Roman"/>
                <w:sz w:val="28"/>
                <w:szCs w:val="28"/>
                <w:lang w:val="lv-LV" w:eastAsia="lv-LV"/>
              </w:rPr>
            </w:pPr>
            <w:r w:rsidRPr="000E7450">
              <w:rPr>
                <w:rFonts w:eastAsia="Times New Roman"/>
                <w:sz w:val="28"/>
                <w:szCs w:val="28"/>
                <w:lang w:val="lv-LV" w:eastAsia="lv-LV"/>
              </w:rPr>
              <w:t>6. Cita informācija</w:t>
            </w:r>
          </w:p>
        </w:tc>
        <w:tc>
          <w:tcPr>
            <w:tcW w:w="5245" w:type="dxa"/>
            <w:hideMark/>
          </w:tcPr>
          <w:p w:rsidR="00150F14" w:rsidRPr="000E7450" w:rsidRDefault="002949B3">
            <w:pPr>
              <w:ind w:right="-19"/>
              <w:rPr>
                <w:rFonts w:eastAsia="Times New Roman"/>
                <w:sz w:val="28"/>
                <w:szCs w:val="28"/>
                <w:lang w:val="lv-LV" w:eastAsia="lv-LV"/>
              </w:rPr>
            </w:pPr>
            <w:r w:rsidRPr="000E7450">
              <w:rPr>
                <w:rFonts w:eastAsia="Times New Roman"/>
                <w:sz w:val="28"/>
                <w:szCs w:val="28"/>
                <w:lang w:val="lv-LV" w:eastAsia="lv-LV"/>
              </w:rPr>
              <w:t>Nav.</w:t>
            </w:r>
          </w:p>
        </w:tc>
      </w:tr>
    </w:tbl>
    <w:p w:rsidR="00DA42C8" w:rsidRPr="000E7450" w:rsidRDefault="002949B3" w:rsidP="00517928">
      <w:pPr>
        <w:tabs>
          <w:tab w:val="left" w:pos="7655"/>
        </w:tabs>
        <w:ind w:right="-19"/>
        <w:jc w:val="both"/>
        <w:rPr>
          <w:bCs/>
          <w:sz w:val="28"/>
          <w:szCs w:val="28"/>
          <w:lang w:val="lv-LV"/>
        </w:rPr>
      </w:pPr>
      <w:r w:rsidRPr="000E7450">
        <w:rPr>
          <w:b/>
          <w:sz w:val="28"/>
          <w:szCs w:val="28"/>
          <w:lang w:val="lv-LV"/>
        </w:rPr>
        <w:t xml:space="preserve">Anotācijas III, V un VI sadaļa - </w:t>
      </w:r>
      <w:r w:rsidRPr="000E7450">
        <w:rPr>
          <w:iCs/>
          <w:sz w:val="28"/>
          <w:szCs w:val="28"/>
          <w:lang w:val="lv-LV"/>
        </w:rPr>
        <w:t>projekts šīs jomas neskar</w:t>
      </w:r>
      <w:r w:rsidRPr="000E7450">
        <w:rPr>
          <w:b/>
          <w:sz w:val="28"/>
          <w:szCs w:val="28"/>
          <w:lang w:val="lv-LV"/>
        </w:rPr>
        <w:t>.</w:t>
      </w:r>
    </w:p>
    <w:p w:rsidR="00150F14" w:rsidRPr="000E7450" w:rsidRDefault="00150F14">
      <w:pPr>
        <w:tabs>
          <w:tab w:val="left" w:pos="7655"/>
        </w:tabs>
        <w:ind w:right="-19"/>
        <w:jc w:val="both"/>
        <w:rPr>
          <w:bCs/>
          <w:sz w:val="28"/>
          <w:szCs w:val="28"/>
          <w:lang w:val="lv-LV"/>
        </w:rPr>
      </w:pPr>
    </w:p>
    <w:p w:rsidR="00150F14" w:rsidRPr="000E7450" w:rsidRDefault="002949B3">
      <w:pPr>
        <w:tabs>
          <w:tab w:val="left" w:pos="7655"/>
        </w:tabs>
        <w:ind w:right="-19"/>
        <w:jc w:val="both"/>
        <w:rPr>
          <w:bCs/>
          <w:sz w:val="28"/>
          <w:szCs w:val="28"/>
          <w:lang w:val="lv-LV"/>
        </w:rPr>
      </w:pPr>
      <w:r w:rsidRPr="000E7450">
        <w:rPr>
          <w:bCs/>
          <w:sz w:val="28"/>
          <w:szCs w:val="28"/>
          <w:lang w:val="lv-LV"/>
        </w:rPr>
        <w:t>Ekonomikas ministrs</w:t>
      </w:r>
      <w:r w:rsidRPr="000E7450">
        <w:rPr>
          <w:bCs/>
          <w:sz w:val="28"/>
          <w:szCs w:val="28"/>
          <w:lang w:val="lv-LV"/>
        </w:rPr>
        <w:tab/>
        <w:t>A.Kampars</w:t>
      </w:r>
    </w:p>
    <w:p w:rsidR="00150F14" w:rsidRPr="000E7450" w:rsidRDefault="00150F14">
      <w:pPr>
        <w:pStyle w:val="EnvelopeReturn"/>
        <w:ind w:right="-19"/>
        <w:jc w:val="both"/>
        <w:rPr>
          <w:rFonts w:ascii="Times New Roman" w:hAnsi="Times New Roman"/>
          <w:color w:val="000000"/>
          <w:sz w:val="28"/>
          <w:szCs w:val="28"/>
          <w:lang w:val="lv-LV"/>
        </w:rPr>
      </w:pPr>
    </w:p>
    <w:p w:rsidR="00150F14" w:rsidRPr="000E7450" w:rsidRDefault="002949B3" w:rsidP="00940676">
      <w:pPr>
        <w:pStyle w:val="EnvelopeReturn"/>
        <w:ind w:right="-19"/>
        <w:jc w:val="both"/>
        <w:rPr>
          <w:rFonts w:ascii="Times New Roman" w:hAnsi="Times New Roman"/>
          <w:color w:val="000000"/>
          <w:sz w:val="28"/>
          <w:szCs w:val="28"/>
          <w:lang w:val="lv-LV"/>
        </w:rPr>
      </w:pPr>
      <w:r w:rsidRPr="000E7450">
        <w:rPr>
          <w:rFonts w:ascii="Times New Roman" w:hAnsi="Times New Roman"/>
          <w:color w:val="000000"/>
          <w:sz w:val="28"/>
          <w:szCs w:val="28"/>
          <w:lang w:val="lv-LV"/>
        </w:rPr>
        <w:t>Vīza: Valsts sekretārs</w:t>
      </w:r>
      <w:r w:rsidRPr="000E7450">
        <w:rPr>
          <w:rFonts w:ascii="Times New Roman" w:hAnsi="Times New Roman"/>
          <w:color w:val="000000"/>
          <w:sz w:val="28"/>
          <w:szCs w:val="28"/>
          <w:lang w:val="lv-LV"/>
        </w:rPr>
        <w:tab/>
      </w:r>
      <w:r w:rsidRPr="000E7450">
        <w:rPr>
          <w:rFonts w:ascii="Times New Roman" w:hAnsi="Times New Roman"/>
          <w:color w:val="000000"/>
          <w:sz w:val="28"/>
          <w:szCs w:val="28"/>
          <w:lang w:val="lv-LV"/>
        </w:rPr>
        <w:tab/>
      </w:r>
      <w:r w:rsidRPr="000E7450">
        <w:rPr>
          <w:rFonts w:ascii="Times New Roman" w:hAnsi="Times New Roman"/>
          <w:color w:val="000000"/>
          <w:sz w:val="28"/>
          <w:szCs w:val="28"/>
          <w:lang w:val="lv-LV"/>
        </w:rPr>
        <w:tab/>
      </w:r>
      <w:r w:rsidRPr="000E7450">
        <w:rPr>
          <w:rFonts w:ascii="Times New Roman" w:hAnsi="Times New Roman"/>
          <w:color w:val="000000"/>
          <w:sz w:val="28"/>
          <w:szCs w:val="28"/>
          <w:lang w:val="lv-LV"/>
        </w:rPr>
        <w:tab/>
      </w:r>
      <w:r w:rsidRPr="000E7450">
        <w:rPr>
          <w:rFonts w:ascii="Times New Roman" w:hAnsi="Times New Roman"/>
          <w:color w:val="000000"/>
          <w:sz w:val="28"/>
          <w:szCs w:val="28"/>
          <w:lang w:val="lv-LV"/>
        </w:rPr>
        <w:tab/>
      </w:r>
      <w:r w:rsidRPr="000E7450">
        <w:rPr>
          <w:rFonts w:ascii="Times New Roman" w:hAnsi="Times New Roman"/>
          <w:color w:val="000000"/>
          <w:sz w:val="28"/>
          <w:szCs w:val="28"/>
          <w:lang w:val="lv-LV"/>
        </w:rPr>
        <w:tab/>
      </w:r>
      <w:r w:rsidRPr="000E7450">
        <w:rPr>
          <w:rFonts w:ascii="Times New Roman" w:hAnsi="Times New Roman"/>
          <w:color w:val="000000"/>
          <w:sz w:val="28"/>
          <w:szCs w:val="28"/>
          <w:lang w:val="lv-LV"/>
        </w:rPr>
        <w:tab/>
      </w:r>
      <w:r w:rsidR="00940676" w:rsidRPr="000E7450">
        <w:rPr>
          <w:rFonts w:ascii="Times New Roman" w:hAnsi="Times New Roman"/>
          <w:color w:val="000000"/>
          <w:sz w:val="28"/>
          <w:szCs w:val="28"/>
          <w:lang w:val="lv-LV"/>
        </w:rPr>
        <w:tab/>
        <w:t>J.Pūce</w:t>
      </w:r>
    </w:p>
    <w:p w:rsidR="00150F14" w:rsidRPr="000E7450" w:rsidRDefault="00150F14">
      <w:pPr>
        <w:ind w:right="-19"/>
        <w:jc w:val="both"/>
        <w:rPr>
          <w:color w:val="000000"/>
          <w:sz w:val="28"/>
          <w:szCs w:val="28"/>
          <w:lang w:val="lv-LV"/>
        </w:rPr>
      </w:pPr>
    </w:p>
    <w:p w:rsidR="00150F14" w:rsidRPr="000E7450" w:rsidRDefault="00150F14">
      <w:pPr>
        <w:ind w:right="-19"/>
        <w:jc w:val="both"/>
        <w:rPr>
          <w:color w:val="000000"/>
          <w:sz w:val="28"/>
          <w:szCs w:val="28"/>
          <w:lang w:val="lv-LV"/>
        </w:rPr>
      </w:pPr>
    </w:p>
    <w:p w:rsidR="00150F14" w:rsidRPr="000E7450" w:rsidRDefault="00150F14">
      <w:pPr>
        <w:ind w:right="-19"/>
        <w:jc w:val="both"/>
        <w:rPr>
          <w:color w:val="000000"/>
          <w:sz w:val="28"/>
          <w:szCs w:val="28"/>
          <w:lang w:val="lv-LV"/>
        </w:rPr>
      </w:pPr>
    </w:p>
    <w:p w:rsidR="00150F14" w:rsidRPr="000E7450" w:rsidRDefault="00320EF2">
      <w:pPr>
        <w:ind w:right="-19"/>
        <w:jc w:val="both"/>
        <w:rPr>
          <w:color w:val="000000"/>
          <w:sz w:val="28"/>
          <w:szCs w:val="28"/>
          <w:lang w:val="lv-LV"/>
        </w:rPr>
      </w:pPr>
      <w:r>
        <w:rPr>
          <w:color w:val="000000"/>
          <w:sz w:val="28"/>
          <w:szCs w:val="28"/>
          <w:lang w:val="lv-LV"/>
        </w:rPr>
        <w:t>14.10.2011 13:07</w:t>
      </w:r>
    </w:p>
    <w:p w:rsidR="008103EC" w:rsidRPr="000E7450" w:rsidRDefault="00665E2D" w:rsidP="00517928">
      <w:pPr>
        <w:ind w:right="-19"/>
        <w:jc w:val="both"/>
        <w:rPr>
          <w:sz w:val="28"/>
          <w:szCs w:val="28"/>
          <w:lang w:val="lv-LV"/>
        </w:rPr>
      </w:pPr>
      <w:fldSimple w:instr=" NUMWORDS   \* MERGEFORMAT ">
        <w:r w:rsidR="00320EF2" w:rsidRPr="00320EF2">
          <w:rPr>
            <w:noProof/>
            <w:sz w:val="28"/>
            <w:szCs w:val="28"/>
            <w:lang w:val="lv-LV"/>
          </w:rPr>
          <w:t>538</w:t>
        </w:r>
      </w:fldSimple>
    </w:p>
    <w:p w:rsidR="00517928" w:rsidRPr="000E7450" w:rsidRDefault="002949B3" w:rsidP="00517928">
      <w:pPr>
        <w:ind w:right="-19"/>
        <w:rPr>
          <w:color w:val="000000"/>
          <w:sz w:val="28"/>
          <w:szCs w:val="28"/>
          <w:lang w:val="lv-LV"/>
        </w:rPr>
      </w:pPr>
      <w:proofErr w:type="spellStart"/>
      <w:r w:rsidRPr="000E7450">
        <w:rPr>
          <w:color w:val="000000"/>
          <w:sz w:val="28"/>
          <w:szCs w:val="28"/>
          <w:lang w:val="lv-LV"/>
        </w:rPr>
        <w:t>L.Mičule</w:t>
      </w:r>
      <w:proofErr w:type="spellEnd"/>
    </w:p>
    <w:p w:rsidR="00C6026D" w:rsidRPr="000E7450" w:rsidRDefault="002949B3" w:rsidP="00517928">
      <w:pPr>
        <w:ind w:right="-19"/>
        <w:rPr>
          <w:sz w:val="28"/>
          <w:szCs w:val="28"/>
        </w:rPr>
      </w:pPr>
      <w:bookmarkStart w:id="8" w:name="OLE_LINK4"/>
      <w:bookmarkStart w:id="9" w:name="OLE_LINK5"/>
      <w:r w:rsidRPr="000E7450">
        <w:rPr>
          <w:color w:val="000000"/>
          <w:sz w:val="28"/>
          <w:szCs w:val="28"/>
          <w:lang w:val="lv-LV"/>
        </w:rPr>
        <w:t>67013093</w:t>
      </w:r>
      <w:bookmarkEnd w:id="8"/>
      <w:bookmarkEnd w:id="9"/>
      <w:r w:rsidRPr="000E7450">
        <w:rPr>
          <w:color w:val="000000"/>
          <w:sz w:val="28"/>
          <w:szCs w:val="28"/>
          <w:lang w:val="lv-LV"/>
        </w:rPr>
        <w:t xml:space="preserve">, </w:t>
      </w:r>
      <w:r w:rsidRPr="000E7450">
        <w:rPr>
          <w:sz w:val="28"/>
          <w:szCs w:val="28"/>
          <w:lang w:val="lv-LV"/>
        </w:rPr>
        <w:t>Liga.Micule@em.gov.lv</w:t>
      </w:r>
    </w:p>
    <w:sectPr w:rsidR="00C6026D" w:rsidRPr="000E7450" w:rsidSect="00EA24B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B4" w:rsidRDefault="00EA24B4" w:rsidP="00DD4698">
      <w:r>
        <w:separator/>
      </w:r>
    </w:p>
  </w:endnote>
  <w:endnote w:type="continuationSeparator" w:id="0">
    <w:p w:rsidR="00EA24B4" w:rsidRDefault="00EA24B4" w:rsidP="00DD4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B4" w:rsidRPr="00F32DE9" w:rsidRDefault="00665E2D" w:rsidP="00EA24B4">
    <w:pPr>
      <w:pStyle w:val="Style3"/>
      <w:widowControl/>
      <w:spacing w:line="274" w:lineRule="exact"/>
      <w:ind w:left="-142"/>
    </w:pPr>
    <w:fldSimple w:instr=" FILENAME   \* MERGEFORMAT ">
      <w:r w:rsidR="00640624" w:rsidRPr="00640624">
        <w:rPr>
          <w:rStyle w:val="FontStyle46"/>
          <w:rFonts w:eastAsia="Calibri"/>
          <w:noProof/>
          <w:sz w:val="24"/>
          <w:szCs w:val="24"/>
        </w:rPr>
        <w:t>EMAnot_141011_groz1332</w:t>
      </w:r>
    </w:fldSimple>
    <w:r w:rsidR="002F3E94">
      <w:rPr>
        <w:rStyle w:val="FontStyle46"/>
        <w:rFonts w:eastAsia="Calibri"/>
        <w:sz w:val="24"/>
        <w:szCs w:val="24"/>
      </w:rPr>
      <w:t xml:space="preserve">; </w:t>
    </w:r>
    <w:r w:rsidR="002949B3" w:rsidRPr="002949B3">
      <w:rPr>
        <w:rStyle w:val="FontStyle49"/>
        <w:b w:val="0"/>
      </w:rPr>
      <w:t>Ministru kabineta noteikumu „Grozījums Ministru kabineta 2009.gada 17.novembra noteikumos Nr.1332 „</w:t>
    </w:r>
    <w:r w:rsidR="002949B3" w:rsidRPr="002949B3">
      <w:rPr>
        <w:bCs/>
      </w:rPr>
      <w:t>Noteikumi par darbības programmas „Infrastruktūra un pakalpojumi” papildinājuma 3.4.4.2.aktivitātes „Sociālo dzīvojamo māju siltumnoturības uzlabošanas pasākumi” projektu iesniegumu atlases otro un turpmākajām kārtām</w:t>
    </w:r>
    <w:r w:rsidR="002949B3" w:rsidRPr="002949B3">
      <w:rPr>
        <w:rStyle w:val="FontStyle49"/>
        <w:b w:val="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B4" w:rsidRPr="00F32DE9" w:rsidRDefault="00665E2D" w:rsidP="00C23F11">
    <w:pPr>
      <w:pStyle w:val="Style25"/>
      <w:widowControl/>
      <w:spacing w:before="67"/>
      <w:ind w:right="-19"/>
      <w:jc w:val="both"/>
      <w:rPr>
        <w:b/>
        <w:bCs/>
      </w:rPr>
    </w:pPr>
    <w:fldSimple w:instr=" FILENAME   \* MERGEFORMAT ">
      <w:r w:rsidR="00640624" w:rsidRPr="00640624">
        <w:rPr>
          <w:rStyle w:val="FontStyle46"/>
          <w:rFonts w:eastAsia="Calibri"/>
          <w:noProof/>
          <w:sz w:val="24"/>
          <w:szCs w:val="24"/>
        </w:rPr>
        <w:t>EMAnot_141011_groz1332</w:t>
      </w:r>
    </w:fldSimple>
    <w:r w:rsidR="002F3E94" w:rsidRPr="002F3E94">
      <w:rPr>
        <w:rStyle w:val="FontStyle46"/>
        <w:rFonts w:eastAsia="Calibri"/>
        <w:sz w:val="24"/>
        <w:szCs w:val="24"/>
      </w:rPr>
      <w:t>;</w:t>
    </w:r>
    <w:r w:rsidR="002F3E94" w:rsidRPr="002F3E94">
      <w:rPr>
        <w:rStyle w:val="FontStyle46"/>
        <w:rFonts w:eastAsia="Calibri"/>
        <w:b/>
        <w:sz w:val="24"/>
        <w:szCs w:val="24"/>
      </w:rPr>
      <w:t xml:space="preserve"> </w:t>
    </w:r>
    <w:r w:rsidR="002949B3" w:rsidRPr="002949B3">
      <w:rPr>
        <w:rStyle w:val="FontStyle49"/>
        <w:b w:val="0"/>
      </w:rPr>
      <w:t>Ministru kabineta noteikumu „Grozījums Ministru kabineta 2009.gada 17.novembra noteikumos Nr.1332 „</w:t>
    </w:r>
    <w:r w:rsidR="002949B3" w:rsidRPr="002949B3">
      <w:rPr>
        <w:bCs/>
      </w:rPr>
      <w:t>Noteikumi par darbības programmas „Infrastruktūra un pakalpojumi” papildinājuma 3.4.4.2.aktivitātes „Sociālo dzīvojamo māju siltumnoturības uzlabošanas pasākumi” projektu iesniegumu atlases otro un turpmākajām kārtām</w:t>
    </w:r>
    <w:r w:rsidR="002949B3" w:rsidRPr="002949B3">
      <w:rPr>
        <w:rStyle w:val="FontStyle49"/>
        <w:b w:val="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B4" w:rsidRDefault="00EA24B4" w:rsidP="00DD4698">
      <w:r>
        <w:separator/>
      </w:r>
    </w:p>
  </w:footnote>
  <w:footnote w:type="continuationSeparator" w:id="0">
    <w:p w:rsidR="00EA24B4" w:rsidRDefault="00EA24B4" w:rsidP="00DD4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B4" w:rsidRPr="00B014C2" w:rsidRDefault="00665E2D">
    <w:pPr>
      <w:pStyle w:val="Header"/>
      <w:jc w:val="center"/>
      <w:rPr>
        <w:sz w:val="24"/>
        <w:szCs w:val="24"/>
      </w:rPr>
    </w:pPr>
    <w:r w:rsidRPr="00B014C2">
      <w:rPr>
        <w:sz w:val="24"/>
        <w:szCs w:val="24"/>
      </w:rPr>
      <w:fldChar w:fldCharType="begin"/>
    </w:r>
    <w:r w:rsidR="00EA24B4" w:rsidRPr="00B014C2">
      <w:rPr>
        <w:sz w:val="24"/>
        <w:szCs w:val="24"/>
      </w:rPr>
      <w:instrText xml:space="preserve"> PAGE   \* MERGEFORMAT </w:instrText>
    </w:r>
    <w:r w:rsidRPr="00B014C2">
      <w:rPr>
        <w:sz w:val="24"/>
        <w:szCs w:val="24"/>
      </w:rPr>
      <w:fldChar w:fldCharType="separate"/>
    </w:r>
    <w:r w:rsidR="00640624">
      <w:rPr>
        <w:noProof/>
        <w:sz w:val="24"/>
        <w:szCs w:val="24"/>
      </w:rPr>
      <w:t>3</w:t>
    </w:r>
    <w:r w:rsidRPr="00B014C2">
      <w:rPr>
        <w:sz w:val="24"/>
        <w:szCs w:val="24"/>
      </w:rPr>
      <w:fldChar w:fldCharType="end"/>
    </w:r>
  </w:p>
  <w:p w:rsidR="00EA24B4" w:rsidRDefault="00EA24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12E7"/>
    <w:multiLevelType w:val="hybridMultilevel"/>
    <w:tmpl w:val="A64083D4"/>
    <w:lvl w:ilvl="0" w:tplc="6C242948">
      <w:start w:val="1"/>
      <w:numFmt w:val="bullet"/>
      <w:lvlText w:val=""/>
      <w:lvlJc w:val="left"/>
      <w:pPr>
        <w:ind w:left="77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42C8"/>
    <w:rsid w:val="00001CC5"/>
    <w:rsid w:val="00065911"/>
    <w:rsid w:val="000A3487"/>
    <w:rsid w:val="000E2615"/>
    <w:rsid w:val="000E7450"/>
    <w:rsid w:val="00150F14"/>
    <w:rsid w:val="001939B3"/>
    <w:rsid w:val="001C1794"/>
    <w:rsid w:val="001C5579"/>
    <w:rsid w:val="001D1B72"/>
    <w:rsid w:val="001E78AF"/>
    <w:rsid w:val="00200496"/>
    <w:rsid w:val="00213A0C"/>
    <w:rsid w:val="0025725B"/>
    <w:rsid w:val="002949B3"/>
    <w:rsid w:val="002A215D"/>
    <w:rsid w:val="002A322B"/>
    <w:rsid w:val="002E7192"/>
    <w:rsid w:val="002F3E94"/>
    <w:rsid w:val="00320EF2"/>
    <w:rsid w:val="00326899"/>
    <w:rsid w:val="00393D79"/>
    <w:rsid w:val="003C01D1"/>
    <w:rsid w:val="003C3708"/>
    <w:rsid w:val="003E3901"/>
    <w:rsid w:val="003F19FA"/>
    <w:rsid w:val="00407BB8"/>
    <w:rsid w:val="00436E1C"/>
    <w:rsid w:val="004856A5"/>
    <w:rsid w:val="004A0027"/>
    <w:rsid w:val="004B7ED0"/>
    <w:rsid w:val="004C365B"/>
    <w:rsid w:val="004F3CD7"/>
    <w:rsid w:val="00517928"/>
    <w:rsid w:val="0052343B"/>
    <w:rsid w:val="00551299"/>
    <w:rsid w:val="00562D5E"/>
    <w:rsid w:val="00563451"/>
    <w:rsid w:val="005A36A9"/>
    <w:rsid w:val="005E770D"/>
    <w:rsid w:val="005F6353"/>
    <w:rsid w:val="00601D01"/>
    <w:rsid w:val="00605342"/>
    <w:rsid w:val="00640624"/>
    <w:rsid w:val="00665E2D"/>
    <w:rsid w:val="006934D2"/>
    <w:rsid w:val="006B3257"/>
    <w:rsid w:val="006E01E1"/>
    <w:rsid w:val="006F14EF"/>
    <w:rsid w:val="00714B78"/>
    <w:rsid w:val="00741DDD"/>
    <w:rsid w:val="007948DF"/>
    <w:rsid w:val="00797FF9"/>
    <w:rsid w:val="007A2C94"/>
    <w:rsid w:val="007B767D"/>
    <w:rsid w:val="007C70E4"/>
    <w:rsid w:val="008103EC"/>
    <w:rsid w:val="00846B10"/>
    <w:rsid w:val="008A7F35"/>
    <w:rsid w:val="008B1D92"/>
    <w:rsid w:val="008C625D"/>
    <w:rsid w:val="008E64CE"/>
    <w:rsid w:val="009231BE"/>
    <w:rsid w:val="009305F7"/>
    <w:rsid w:val="00940676"/>
    <w:rsid w:val="009F6805"/>
    <w:rsid w:val="00A45226"/>
    <w:rsid w:val="00AE0A97"/>
    <w:rsid w:val="00AE0BD7"/>
    <w:rsid w:val="00AF4FCF"/>
    <w:rsid w:val="00AF5342"/>
    <w:rsid w:val="00B8692D"/>
    <w:rsid w:val="00B86B74"/>
    <w:rsid w:val="00B95557"/>
    <w:rsid w:val="00BA4258"/>
    <w:rsid w:val="00C23F11"/>
    <w:rsid w:val="00C6026D"/>
    <w:rsid w:val="00C74F3A"/>
    <w:rsid w:val="00C76E79"/>
    <w:rsid w:val="00C90C16"/>
    <w:rsid w:val="00C91FE3"/>
    <w:rsid w:val="00CC7B66"/>
    <w:rsid w:val="00D26759"/>
    <w:rsid w:val="00D4726C"/>
    <w:rsid w:val="00D666AF"/>
    <w:rsid w:val="00D705C9"/>
    <w:rsid w:val="00D809C1"/>
    <w:rsid w:val="00DA2044"/>
    <w:rsid w:val="00DA42C8"/>
    <w:rsid w:val="00DD4698"/>
    <w:rsid w:val="00E1126F"/>
    <w:rsid w:val="00E25379"/>
    <w:rsid w:val="00E44647"/>
    <w:rsid w:val="00E94EF3"/>
    <w:rsid w:val="00EA24B4"/>
    <w:rsid w:val="00EB4B3C"/>
    <w:rsid w:val="00ED3489"/>
    <w:rsid w:val="00F0345D"/>
    <w:rsid w:val="00F24F91"/>
    <w:rsid w:val="00F32DE9"/>
    <w:rsid w:val="00FB7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C8"/>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A42C8"/>
    <w:pPr>
      <w:jc w:val="both"/>
    </w:pPr>
    <w:rPr>
      <w:rFonts w:eastAsia="Times New Roman"/>
      <w:sz w:val="28"/>
      <w:lang w:val="lv-LV" w:eastAsia="lv-LV"/>
    </w:rPr>
  </w:style>
  <w:style w:type="character" w:customStyle="1" w:styleId="BodyTextChar">
    <w:name w:val="Body Text Char"/>
    <w:basedOn w:val="DefaultParagraphFont"/>
    <w:link w:val="BodyText"/>
    <w:rsid w:val="00DA42C8"/>
    <w:rPr>
      <w:rFonts w:ascii="Times New Roman" w:eastAsia="Times New Roman" w:hAnsi="Times New Roman" w:cs="Times New Roman"/>
      <w:sz w:val="28"/>
      <w:szCs w:val="20"/>
      <w:lang w:val="lv-LV" w:eastAsia="lv-LV"/>
    </w:rPr>
  </w:style>
  <w:style w:type="paragraph" w:styleId="Header">
    <w:name w:val="header"/>
    <w:basedOn w:val="Normal"/>
    <w:link w:val="HeaderChar"/>
    <w:uiPriority w:val="99"/>
    <w:unhideWhenUsed/>
    <w:rsid w:val="00DA42C8"/>
    <w:pPr>
      <w:tabs>
        <w:tab w:val="center" w:pos="4153"/>
        <w:tab w:val="right" w:pos="8306"/>
      </w:tabs>
    </w:pPr>
  </w:style>
  <w:style w:type="character" w:customStyle="1" w:styleId="HeaderChar">
    <w:name w:val="Header Char"/>
    <w:basedOn w:val="DefaultParagraphFont"/>
    <w:link w:val="Header"/>
    <w:uiPriority w:val="99"/>
    <w:rsid w:val="00DA42C8"/>
    <w:rPr>
      <w:rFonts w:ascii="Times New Roman" w:eastAsia="Calibri" w:hAnsi="Times New Roman" w:cs="Times New Roman"/>
      <w:sz w:val="20"/>
      <w:szCs w:val="20"/>
      <w:lang w:val="en-AU"/>
    </w:rPr>
  </w:style>
  <w:style w:type="paragraph" w:customStyle="1" w:styleId="naisnod">
    <w:name w:val="naisnod"/>
    <w:basedOn w:val="Normal"/>
    <w:rsid w:val="00DA42C8"/>
    <w:pPr>
      <w:spacing w:before="150" w:after="150"/>
      <w:jc w:val="center"/>
    </w:pPr>
    <w:rPr>
      <w:rFonts w:eastAsia="Times New Roman"/>
      <w:b/>
      <w:bCs/>
      <w:sz w:val="24"/>
      <w:szCs w:val="24"/>
      <w:lang w:val="lv-LV" w:eastAsia="lv-LV"/>
    </w:rPr>
  </w:style>
  <w:style w:type="paragraph" w:customStyle="1" w:styleId="naiskr">
    <w:name w:val="naiskr"/>
    <w:basedOn w:val="Normal"/>
    <w:rsid w:val="00DA42C8"/>
    <w:pPr>
      <w:spacing w:before="75" w:after="75"/>
    </w:pPr>
    <w:rPr>
      <w:rFonts w:eastAsia="Times New Roman"/>
      <w:sz w:val="24"/>
      <w:szCs w:val="24"/>
      <w:lang w:val="lv-LV" w:eastAsia="lv-LV"/>
    </w:rPr>
  </w:style>
  <w:style w:type="paragraph" w:styleId="EnvelopeReturn">
    <w:name w:val="envelope return"/>
    <w:basedOn w:val="Normal"/>
    <w:uiPriority w:val="99"/>
    <w:unhideWhenUsed/>
    <w:rsid w:val="00DA42C8"/>
    <w:rPr>
      <w:rFonts w:ascii="Cambria" w:eastAsia="Times New Roman" w:hAnsi="Cambria"/>
    </w:rPr>
  </w:style>
  <w:style w:type="paragraph" w:styleId="NormalWeb">
    <w:name w:val="Normal (Web)"/>
    <w:basedOn w:val="Normal"/>
    <w:rsid w:val="00DA42C8"/>
    <w:pPr>
      <w:spacing w:before="100" w:beforeAutospacing="1" w:after="100" w:afterAutospacing="1"/>
    </w:pPr>
    <w:rPr>
      <w:rFonts w:eastAsia="Arial Unicode MS"/>
      <w:sz w:val="24"/>
      <w:szCs w:val="24"/>
      <w:lang w:val="en-GB"/>
    </w:rPr>
  </w:style>
  <w:style w:type="paragraph" w:styleId="FootnoteText">
    <w:name w:val="footnote text"/>
    <w:basedOn w:val="Normal"/>
    <w:link w:val="FootnoteTextChar"/>
    <w:semiHidden/>
    <w:rsid w:val="00DA42C8"/>
    <w:rPr>
      <w:rFonts w:eastAsia="Times New Roman"/>
      <w:lang w:val="lv-LV" w:eastAsia="lv-LV"/>
    </w:rPr>
  </w:style>
  <w:style w:type="character" w:customStyle="1" w:styleId="FootnoteTextChar">
    <w:name w:val="Footnote Text Char"/>
    <w:basedOn w:val="DefaultParagraphFont"/>
    <w:link w:val="FootnoteText"/>
    <w:semiHidden/>
    <w:rsid w:val="00DA42C8"/>
    <w:rPr>
      <w:rFonts w:ascii="Times New Roman" w:eastAsia="Times New Roman" w:hAnsi="Times New Roman" w:cs="Times New Roman"/>
      <w:sz w:val="20"/>
      <w:szCs w:val="20"/>
      <w:lang w:val="lv-LV" w:eastAsia="lv-LV"/>
    </w:rPr>
  </w:style>
  <w:style w:type="paragraph" w:customStyle="1" w:styleId="Style32">
    <w:name w:val="Style32"/>
    <w:basedOn w:val="Normal"/>
    <w:uiPriority w:val="99"/>
    <w:rsid w:val="00DA42C8"/>
    <w:pPr>
      <w:widowControl w:val="0"/>
      <w:autoSpaceDE w:val="0"/>
      <w:autoSpaceDN w:val="0"/>
      <w:adjustRightInd w:val="0"/>
      <w:spacing w:line="296" w:lineRule="exact"/>
      <w:ind w:firstLine="2400"/>
      <w:jc w:val="both"/>
    </w:pPr>
    <w:rPr>
      <w:rFonts w:eastAsia="Times New Roman"/>
      <w:sz w:val="24"/>
      <w:szCs w:val="24"/>
      <w:lang w:val="lv-LV" w:eastAsia="lv-LV"/>
    </w:rPr>
  </w:style>
  <w:style w:type="character" w:customStyle="1" w:styleId="FontStyle49">
    <w:name w:val="Font Style49"/>
    <w:basedOn w:val="DefaultParagraphFont"/>
    <w:uiPriority w:val="99"/>
    <w:rsid w:val="00DA42C8"/>
    <w:rPr>
      <w:rFonts w:ascii="Times New Roman" w:hAnsi="Times New Roman" w:cs="Times New Roman"/>
      <w:b/>
      <w:bCs/>
      <w:sz w:val="24"/>
      <w:szCs w:val="24"/>
    </w:rPr>
  </w:style>
  <w:style w:type="paragraph" w:customStyle="1" w:styleId="Style7">
    <w:name w:val="Style7"/>
    <w:basedOn w:val="Normal"/>
    <w:uiPriority w:val="99"/>
    <w:rsid w:val="00DA42C8"/>
    <w:pPr>
      <w:widowControl w:val="0"/>
      <w:autoSpaceDE w:val="0"/>
      <w:autoSpaceDN w:val="0"/>
      <w:adjustRightInd w:val="0"/>
      <w:spacing w:line="317" w:lineRule="exact"/>
      <w:ind w:firstLine="725"/>
      <w:jc w:val="both"/>
    </w:pPr>
    <w:rPr>
      <w:rFonts w:eastAsia="Times New Roman"/>
      <w:sz w:val="24"/>
      <w:szCs w:val="24"/>
      <w:lang w:val="lv-LV" w:eastAsia="lv-LV"/>
    </w:rPr>
  </w:style>
  <w:style w:type="paragraph" w:customStyle="1" w:styleId="Style12">
    <w:name w:val="Style12"/>
    <w:basedOn w:val="Normal"/>
    <w:uiPriority w:val="99"/>
    <w:rsid w:val="00DA42C8"/>
    <w:pPr>
      <w:widowControl w:val="0"/>
      <w:autoSpaceDE w:val="0"/>
      <w:autoSpaceDN w:val="0"/>
      <w:adjustRightInd w:val="0"/>
      <w:spacing w:line="298" w:lineRule="exact"/>
      <w:jc w:val="both"/>
    </w:pPr>
    <w:rPr>
      <w:rFonts w:eastAsia="Times New Roman"/>
      <w:sz w:val="24"/>
      <w:szCs w:val="24"/>
      <w:lang w:val="lv-LV" w:eastAsia="lv-LV"/>
    </w:rPr>
  </w:style>
  <w:style w:type="character" w:customStyle="1" w:styleId="FontStyle40">
    <w:name w:val="Font Style40"/>
    <w:basedOn w:val="DefaultParagraphFont"/>
    <w:uiPriority w:val="99"/>
    <w:rsid w:val="00DA42C8"/>
    <w:rPr>
      <w:rFonts w:ascii="Times New Roman" w:hAnsi="Times New Roman" w:cs="Times New Roman"/>
      <w:sz w:val="24"/>
      <w:szCs w:val="24"/>
    </w:rPr>
  </w:style>
  <w:style w:type="paragraph" w:customStyle="1" w:styleId="Style3">
    <w:name w:val="Style3"/>
    <w:basedOn w:val="Normal"/>
    <w:uiPriority w:val="99"/>
    <w:rsid w:val="00DA42C8"/>
    <w:pPr>
      <w:widowControl w:val="0"/>
      <w:autoSpaceDE w:val="0"/>
      <w:autoSpaceDN w:val="0"/>
      <w:adjustRightInd w:val="0"/>
      <w:jc w:val="both"/>
    </w:pPr>
    <w:rPr>
      <w:rFonts w:eastAsia="Times New Roman"/>
      <w:sz w:val="24"/>
      <w:szCs w:val="24"/>
      <w:lang w:val="lv-LV" w:eastAsia="lv-LV"/>
    </w:rPr>
  </w:style>
  <w:style w:type="character" w:customStyle="1" w:styleId="FontStyle46">
    <w:name w:val="Font Style46"/>
    <w:basedOn w:val="DefaultParagraphFont"/>
    <w:uiPriority w:val="99"/>
    <w:rsid w:val="00DA42C8"/>
    <w:rPr>
      <w:rFonts w:ascii="Times New Roman" w:hAnsi="Times New Roman" w:cs="Times New Roman"/>
      <w:sz w:val="22"/>
      <w:szCs w:val="22"/>
    </w:rPr>
  </w:style>
  <w:style w:type="character" w:customStyle="1" w:styleId="apple-style-span">
    <w:name w:val="apple-style-span"/>
    <w:basedOn w:val="DefaultParagraphFont"/>
    <w:rsid w:val="00DA42C8"/>
  </w:style>
  <w:style w:type="paragraph" w:customStyle="1" w:styleId="Style25">
    <w:name w:val="Style25"/>
    <w:basedOn w:val="Normal"/>
    <w:uiPriority w:val="99"/>
    <w:rsid w:val="00DA42C8"/>
    <w:pPr>
      <w:widowControl w:val="0"/>
      <w:autoSpaceDE w:val="0"/>
      <w:autoSpaceDN w:val="0"/>
      <w:adjustRightInd w:val="0"/>
      <w:spacing w:line="274" w:lineRule="exact"/>
      <w:jc w:val="center"/>
    </w:pPr>
    <w:rPr>
      <w:rFonts w:eastAsia="Times New Roman"/>
      <w:sz w:val="24"/>
      <w:szCs w:val="24"/>
      <w:lang w:val="lv-LV" w:eastAsia="lv-LV"/>
    </w:rPr>
  </w:style>
  <w:style w:type="paragraph" w:customStyle="1" w:styleId="Default">
    <w:name w:val="Default"/>
    <w:rsid w:val="00DA42C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D4698"/>
    <w:pPr>
      <w:tabs>
        <w:tab w:val="center" w:pos="4320"/>
        <w:tab w:val="right" w:pos="8640"/>
      </w:tabs>
    </w:pPr>
  </w:style>
  <w:style w:type="character" w:customStyle="1" w:styleId="FooterChar">
    <w:name w:val="Footer Char"/>
    <w:basedOn w:val="DefaultParagraphFont"/>
    <w:link w:val="Footer"/>
    <w:uiPriority w:val="99"/>
    <w:semiHidden/>
    <w:rsid w:val="00DD4698"/>
    <w:rPr>
      <w:rFonts w:ascii="Times New Roman" w:eastAsia="Calibri" w:hAnsi="Times New Roman" w:cs="Times New Roman"/>
      <w:sz w:val="20"/>
      <w:szCs w:val="20"/>
      <w:lang w:val="en-AU"/>
    </w:rPr>
  </w:style>
  <w:style w:type="paragraph" w:customStyle="1" w:styleId="tvhtml">
    <w:name w:val="tv_html"/>
    <w:basedOn w:val="Normal"/>
    <w:rsid w:val="00326899"/>
    <w:pPr>
      <w:spacing w:before="100" w:beforeAutospacing="1" w:after="100" w:afterAutospacing="1"/>
    </w:pPr>
    <w:rPr>
      <w:rFonts w:eastAsia="Times New Roman"/>
      <w:sz w:val="24"/>
      <w:szCs w:val="24"/>
      <w:lang w:val="lv-LV" w:eastAsia="lv-LV"/>
    </w:rPr>
  </w:style>
  <w:style w:type="paragraph" w:styleId="BalloonText">
    <w:name w:val="Balloon Text"/>
    <w:basedOn w:val="Normal"/>
    <w:link w:val="BalloonTextChar"/>
    <w:uiPriority w:val="99"/>
    <w:semiHidden/>
    <w:unhideWhenUsed/>
    <w:rsid w:val="00EA24B4"/>
    <w:rPr>
      <w:rFonts w:ascii="Tahoma" w:hAnsi="Tahoma" w:cs="Tahoma"/>
      <w:sz w:val="16"/>
      <w:szCs w:val="16"/>
    </w:rPr>
  </w:style>
  <w:style w:type="character" w:customStyle="1" w:styleId="BalloonTextChar">
    <w:name w:val="Balloon Text Char"/>
    <w:basedOn w:val="DefaultParagraphFont"/>
    <w:link w:val="BalloonText"/>
    <w:uiPriority w:val="99"/>
    <w:semiHidden/>
    <w:rsid w:val="00EA24B4"/>
    <w:rPr>
      <w:rFonts w:ascii="Tahoma" w:eastAsia="Calibri" w:hAnsi="Tahoma" w:cs="Tahoma"/>
      <w:sz w:val="16"/>
      <w:szCs w:val="16"/>
      <w:lang w:val="en-AU"/>
    </w:rPr>
  </w:style>
  <w:style w:type="character" w:styleId="CommentReference">
    <w:name w:val="annotation reference"/>
    <w:basedOn w:val="DefaultParagraphFont"/>
    <w:uiPriority w:val="99"/>
    <w:semiHidden/>
    <w:unhideWhenUsed/>
    <w:rsid w:val="006F14EF"/>
    <w:rPr>
      <w:sz w:val="16"/>
      <w:szCs w:val="16"/>
    </w:rPr>
  </w:style>
  <w:style w:type="paragraph" w:styleId="CommentText">
    <w:name w:val="annotation text"/>
    <w:basedOn w:val="Normal"/>
    <w:link w:val="CommentTextChar"/>
    <w:uiPriority w:val="99"/>
    <w:semiHidden/>
    <w:unhideWhenUsed/>
    <w:rsid w:val="006F14EF"/>
  </w:style>
  <w:style w:type="character" w:customStyle="1" w:styleId="CommentTextChar">
    <w:name w:val="Comment Text Char"/>
    <w:basedOn w:val="DefaultParagraphFont"/>
    <w:link w:val="CommentText"/>
    <w:uiPriority w:val="99"/>
    <w:semiHidden/>
    <w:rsid w:val="006F14EF"/>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F14EF"/>
    <w:rPr>
      <w:b/>
      <w:bCs/>
    </w:rPr>
  </w:style>
  <w:style w:type="character" w:customStyle="1" w:styleId="CommentSubjectChar">
    <w:name w:val="Comment Subject Char"/>
    <w:basedOn w:val="CommentTextChar"/>
    <w:link w:val="CommentSubject"/>
    <w:uiPriority w:val="99"/>
    <w:semiHidden/>
    <w:rsid w:val="006F14EF"/>
    <w:rPr>
      <w:b/>
      <w:bCs/>
    </w:rPr>
  </w:style>
</w:styles>
</file>

<file path=word/webSettings.xml><?xml version="1.0" encoding="utf-8"?>
<w:webSettings xmlns:r="http://schemas.openxmlformats.org/officeDocument/2006/relationships" xmlns:w="http://schemas.openxmlformats.org/wordprocessingml/2006/main">
  <w:divs>
    <w:div w:id="410125762">
      <w:bodyDiv w:val="1"/>
      <w:marLeft w:val="0"/>
      <w:marRight w:val="0"/>
      <w:marTop w:val="0"/>
      <w:marBottom w:val="0"/>
      <w:divBdr>
        <w:top w:val="none" w:sz="0" w:space="0" w:color="auto"/>
        <w:left w:val="none" w:sz="0" w:space="0" w:color="auto"/>
        <w:bottom w:val="none" w:sz="0" w:space="0" w:color="auto"/>
        <w:right w:val="none" w:sz="0" w:space="0" w:color="auto"/>
      </w:divBdr>
    </w:div>
    <w:div w:id="7965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549</Words>
  <Characters>3990</Characters>
  <Application>Microsoft Office Word</Application>
  <DocSecurity>0</DocSecurity>
  <Lines>159</Lines>
  <Paragraphs>74</Paragraphs>
  <ScaleCrop>false</ScaleCrop>
  <HeadingPairs>
    <vt:vector size="2" baseType="variant">
      <vt:variant>
        <vt:lpstr>Title</vt:lpstr>
      </vt:variant>
      <vt:variant>
        <vt:i4>1</vt:i4>
      </vt:variant>
    </vt:vector>
  </HeadingPairs>
  <TitlesOfParts>
    <vt:vector size="1" baseType="lpstr">
      <vt:lpstr>Ministru kabineta noteikumu „Grozījums Ministru kabineta 2009.gada 17.novembra noteikumos Nr.1332 „Noteikumi par darbības programmas „Infrastruktūra un pakalpojumi” papildinājuma 3.4.4.2.aktivitātes „Sociālo dzīvojamo māju siltumnoturības uzlabošanas pasā</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2009.gada 17.novembra noteikumos Nr.1332 „Noteikumi par darbības programmas „Infrastruktūra un pakalpojumi” papildinājuma 3.4.4.2.aktivitātes „Sociālo dzīvojamo māju siltumnoturības uzlabošanas pasākumi” projektu iesniegumu atlases otro un turpmākajām kārtām”” sākotnējās ietekmes novērtējuma ziņojums (anotācija)</dc:title>
  <dc:subject>Sākotnējās ietekmes novērtējuma ziņojums (anotācija)</dc:subject>
  <dc:creator>Līga Mičule</dc:creator>
  <dc:description>Liga.Micule@em.gov.lv
67013093</dc:description>
  <cp:lastModifiedBy>Līga Mičule</cp:lastModifiedBy>
  <cp:revision>12</cp:revision>
  <cp:lastPrinted>2011-10-14T10:07:00Z</cp:lastPrinted>
  <dcterms:created xsi:type="dcterms:W3CDTF">2011-10-12T11:33:00Z</dcterms:created>
  <dcterms:modified xsi:type="dcterms:W3CDTF">2011-10-14T10:07:00Z</dcterms:modified>
</cp:coreProperties>
</file>