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58" w:rsidRPr="001F55B1" w:rsidRDefault="001A6F58" w:rsidP="001F55B1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1F55B1">
        <w:rPr>
          <w:b/>
          <w:sz w:val="28"/>
          <w:szCs w:val="28"/>
        </w:rPr>
        <w:t xml:space="preserve">Ministru kabineta rīkojuma projekta „Grozījums </w:t>
      </w:r>
      <w:r w:rsidRPr="001F55B1">
        <w:rPr>
          <w:b/>
          <w:bCs/>
          <w:sz w:val="28"/>
          <w:szCs w:val="28"/>
        </w:rPr>
        <w:t xml:space="preserve">Ministru kabineta 2011.gada </w:t>
      </w:r>
      <w:r w:rsidR="001F55B1" w:rsidRPr="001F55B1">
        <w:rPr>
          <w:b/>
          <w:bCs/>
          <w:sz w:val="28"/>
          <w:szCs w:val="28"/>
        </w:rPr>
        <w:t>5</w:t>
      </w:r>
      <w:r w:rsidRPr="001F55B1">
        <w:rPr>
          <w:b/>
          <w:bCs/>
          <w:sz w:val="28"/>
          <w:szCs w:val="28"/>
        </w:rPr>
        <w:t>.</w:t>
      </w:r>
      <w:r w:rsidR="001F55B1" w:rsidRPr="001F55B1">
        <w:rPr>
          <w:b/>
          <w:bCs/>
          <w:sz w:val="28"/>
          <w:szCs w:val="28"/>
        </w:rPr>
        <w:t>decembra</w:t>
      </w:r>
      <w:r w:rsidRPr="001F55B1">
        <w:rPr>
          <w:b/>
          <w:bCs/>
          <w:sz w:val="28"/>
          <w:szCs w:val="28"/>
        </w:rPr>
        <w:t xml:space="preserve"> rīkojumā Nr.</w:t>
      </w:r>
      <w:r w:rsidR="001F55B1" w:rsidRPr="001F55B1">
        <w:rPr>
          <w:b/>
          <w:bCs/>
          <w:sz w:val="28"/>
          <w:szCs w:val="28"/>
        </w:rPr>
        <w:t xml:space="preserve">635 </w:t>
      </w:r>
      <w:r w:rsidRPr="001F55B1">
        <w:rPr>
          <w:b/>
          <w:sz w:val="28"/>
          <w:szCs w:val="28"/>
        </w:rPr>
        <w:t>"</w:t>
      </w:r>
      <w:r w:rsidR="001F55B1" w:rsidRPr="001F55B1">
        <w:rPr>
          <w:b/>
          <w:bCs/>
          <w:sz w:val="28"/>
          <w:szCs w:val="28"/>
        </w:rPr>
        <w:t>Par akciju sabiedrības ”Augstsprieguma tīkls„ akciju pirkšanu un akciju turētāju</w:t>
      </w:r>
      <w:r w:rsidRPr="001F55B1">
        <w:rPr>
          <w:b/>
          <w:sz w:val="28"/>
          <w:szCs w:val="28"/>
        </w:rPr>
        <w:t>”</w:t>
      </w:r>
    </w:p>
    <w:bookmarkEnd w:id="0"/>
    <w:bookmarkEnd w:id="1"/>
    <w:p w:rsidR="0089380C" w:rsidRPr="001F55B1" w:rsidRDefault="0089380C" w:rsidP="001F55B1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55B1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F55B1">
          <w:rPr>
            <w:b/>
            <w:bCs/>
            <w:sz w:val="28"/>
            <w:szCs w:val="28"/>
          </w:rPr>
          <w:t>ziņojums</w:t>
        </w:r>
      </w:smartTag>
      <w:r w:rsidRPr="001F55B1">
        <w:rPr>
          <w:b/>
          <w:bCs/>
          <w:sz w:val="28"/>
          <w:szCs w:val="28"/>
        </w:rPr>
        <w:t xml:space="preserve"> (anotācija)</w:t>
      </w:r>
    </w:p>
    <w:bookmarkEnd w:id="2"/>
    <w:bookmarkEnd w:id="3"/>
    <w:bookmarkEnd w:id="4"/>
    <w:p w:rsidR="00774214" w:rsidRPr="00E40368" w:rsidRDefault="00774214" w:rsidP="0077421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3030"/>
        <w:gridCol w:w="5542"/>
      </w:tblGrid>
      <w:tr w:rsidR="0089380C" w:rsidRPr="00E40368" w:rsidTr="00710F3A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0C" w:rsidRPr="00E40368" w:rsidRDefault="0089380C" w:rsidP="006D485C">
            <w:pPr>
              <w:pStyle w:val="naisc"/>
              <w:jc w:val="center"/>
              <w:rPr>
                <w:sz w:val="28"/>
                <w:szCs w:val="28"/>
              </w:rPr>
            </w:pPr>
            <w:r w:rsidRPr="00E40368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89380C" w:rsidRPr="00E40368" w:rsidTr="00710F3A">
        <w:trPr>
          <w:trHeight w:val="630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1.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1A6F58" w:rsidRDefault="0089380C" w:rsidP="008C222E">
            <w:pPr>
              <w:pStyle w:val="naislab"/>
              <w:jc w:val="both"/>
              <w:rPr>
                <w:sz w:val="28"/>
                <w:szCs w:val="28"/>
              </w:rPr>
            </w:pPr>
            <w:r w:rsidRPr="001A6F58">
              <w:rPr>
                <w:sz w:val="28"/>
                <w:szCs w:val="28"/>
              </w:rPr>
              <w:t> Pamatojums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1A6F58" w:rsidRDefault="001F55B1" w:rsidP="001A6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2011.gada 12.janvāra rīkojuma Nr.12 „</w:t>
            </w:r>
            <w:r w:rsidRPr="00D72D4D">
              <w:rPr>
                <w:bCs/>
                <w:sz w:val="28"/>
                <w:szCs w:val="28"/>
              </w:rPr>
              <w:t xml:space="preserve">Par Koncepciju par nepieciešamajām darbībām Eiropas Parlamenta un Padomes 2009.gada 13.jūlija Direktīvā 2009/72/EK par kopīgiem noteikumiem attiecībā uz elektroenerģijas iekšējo tirgu un par Direktīvas 2003/54/EK atcelšanu noteiktajai elektroenerģijas pārvades </w:t>
            </w:r>
            <w:r>
              <w:rPr>
                <w:bCs/>
                <w:sz w:val="28"/>
                <w:szCs w:val="28"/>
              </w:rPr>
              <w:t>sistēmas operatora nodalīšanai” 5.punkts</w:t>
            </w:r>
          </w:p>
        </w:tc>
      </w:tr>
      <w:tr w:rsidR="0089380C" w:rsidRPr="00E40368" w:rsidTr="00710F3A">
        <w:trPr>
          <w:trHeight w:val="472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2.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Pašreizējā situācija un problēmas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5B1" w:rsidRDefault="001F55B1" w:rsidP="001F55B1">
            <w:pPr>
              <w:pStyle w:val="Header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1F55B1">
              <w:rPr>
                <w:sz w:val="28"/>
                <w:szCs w:val="28"/>
              </w:rPr>
              <w:t>Ministru kabinets 2011.gada 5.decembrī pieņēma rīkojumu Nr.635 „</w:t>
            </w:r>
            <w:r w:rsidRPr="001F55B1">
              <w:rPr>
                <w:bCs/>
                <w:sz w:val="28"/>
                <w:szCs w:val="28"/>
              </w:rPr>
              <w:t>Par akciju sabiedrības ”Augstsprieguma tīkls„ akciju pirkšanu un akciju turētāju” (turpmāk – rīkojums).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F55B1" w:rsidRDefault="001F55B1" w:rsidP="001F55B1">
            <w:pPr>
              <w:pStyle w:val="Header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</w:p>
          <w:p w:rsidR="001F55B1" w:rsidRDefault="001F55B1" w:rsidP="001F55B1">
            <w:pPr>
              <w:pStyle w:val="Header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Rīkojums nosaka, ka </w:t>
            </w:r>
            <w:r>
              <w:rPr>
                <w:sz w:val="28"/>
                <w:szCs w:val="28"/>
              </w:rPr>
              <w:t xml:space="preserve">Finanšu ministrija valsts vārdā slēdz </w:t>
            </w:r>
            <w:r w:rsidRPr="003A7CAC">
              <w:rPr>
                <w:sz w:val="28"/>
                <w:szCs w:val="28"/>
              </w:rPr>
              <w:t>pirkuma līgumu</w:t>
            </w:r>
            <w:r>
              <w:rPr>
                <w:sz w:val="28"/>
                <w:szCs w:val="28"/>
              </w:rPr>
              <w:t xml:space="preserve"> ar AS </w:t>
            </w:r>
            <w:r w:rsidRPr="003A7CA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Latvenergo</w:t>
            </w:r>
            <w:r w:rsidRPr="003A7CA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 un pērk</w:t>
            </w:r>
            <w:r w:rsidRPr="003A7C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</w:t>
            </w:r>
            <w:r w:rsidRPr="003A7CAC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Augstsprieguma tīkls</w:t>
            </w:r>
            <w:r w:rsidRPr="003A7CA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akcijas par </w:t>
            </w:r>
            <w:r w:rsidRPr="00A82F99">
              <w:rPr>
                <w:b/>
                <w:sz w:val="28"/>
                <w:szCs w:val="28"/>
              </w:rPr>
              <w:t>3 900 000</w:t>
            </w:r>
            <w:r w:rsidRPr="00440C9B">
              <w:rPr>
                <w:sz w:val="28"/>
                <w:szCs w:val="28"/>
              </w:rPr>
              <w:t xml:space="preserve"> lat</w:t>
            </w:r>
            <w:r>
              <w:rPr>
                <w:sz w:val="28"/>
                <w:szCs w:val="28"/>
              </w:rPr>
              <w:t>iem</w:t>
            </w:r>
            <w:r>
              <w:rPr>
                <w:bCs/>
                <w:sz w:val="28"/>
                <w:szCs w:val="28"/>
              </w:rPr>
              <w:t>.</w:t>
            </w:r>
          </w:p>
          <w:p w:rsidR="001F55B1" w:rsidRDefault="001F55B1" w:rsidP="001F55B1">
            <w:pPr>
              <w:pStyle w:val="Header"/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</w:p>
          <w:p w:rsidR="001F55B1" w:rsidRDefault="001F55B1" w:rsidP="001F55B1">
            <w:pPr>
              <w:pStyle w:val="Header"/>
              <w:tabs>
                <w:tab w:val="left" w:pos="720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Rīkojuma 2.punkts nosaka, ka Finanšu ministrija samaksu par  </w:t>
            </w:r>
            <w:r>
              <w:rPr>
                <w:sz w:val="28"/>
                <w:szCs w:val="28"/>
              </w:rPr>
              <w:t>AS</w:t>
            </w:r>
            <w:r w:rsidRPr="003A7CAC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Augstsprieguma tīkls</w:t>
            </w:r>
            <w:r w:rsidRPr="003A7CA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akcijām veic pēc </w:t>
            </w:r>
            <w:r w:rsidR="002528F4">
              <w:rPr>
                <w:sz w:val="28"/>
                <w:szCs w:val="28"/>
              </w:rPr>
              <w:t xml:space="preserve">tam, </w:t>
            </w:r>
            <w:r>
              <w:rPr>
                <w:sz w:val="28"/>
                <w:szCs w:val="28"/>
              </w:rPr>
              <w:t>kad AS „</w:t>
            </w:r>
            <w:r w:rsidRPr="002528F4">
              <w:rPr>
                <w:sz w:val="28"/>
                <w:szCs w:val="28"/>
              </w:rPr>
              <w:t>Latvenergo”</w:t>
            </w:r>
            <w:r w:rsidR="002528F4" w:rsidRPr="002528F4">
              <w:rPr>
                <w:sz w:val="28"/>
                <w:szCs w:val="28"/>
              </w:rPr>
              <w:t xml:space="preserve"> ir veikusi maksājumu par valsts kapitāla izmantošanu par 2011.gadu (dividendes) </w:t>
            </w:r>
            <w:r w:rsidR="002528F4">
              <w:rPr>
                <w:sz w:val="28"/>
                <w:szCs w:val="28"/>
              </w:rPr>
              <w:t xml:space="preserve">un </w:t>
            </w:r>
            <w:r w:rsidR="002528F4" w:rsidRPr="002528F4">
              <w:rPr>
                <w:sz w:val="28"/>
                <w:szCs w:val="28"/>
              </w:rPr>
              <w:t>ieskaitī</w:t>
            </w:r>
            <w:r w:rsidR="002528F4">
              <w:rPr>
                <w:sz w:val="28"/>
                <w:szCs w:val="28"/>
              </w:rPr>
              <w:t xml:space="preserve">jusi to </w:t>
            </w:r>
            <w:r w:rsidR="002528F4" w:rsidRPr="002528F4">
              <w:rPr>
                <w:sz w:val="28"/>
                <w:szCs w:val="28"/>
              </w:rPr>
              <w:t xml:space="preserve"> valsts budžetā</w:t>
            </w:r>
            <w:r w:rsidR="002528F4">
              <w:t>.</w:t>
            </w:r>
          </w:p>
          <w:p w:rsidR="002528F4" w:rsidRDefault="002528F4" w:rsidP="001F55B1">
            <w:pPr>
              <w:pStyle w:val="Header"/>
              <w:tabs>
                <w:tab w:val="left" w:pos="720"/>
              </w:tabs>
              <w:jc w:val="both"/>
            </w:pPr>
          </w:p>
          <w:p w:rsidR="002528F4" w:rsidRPr="00470AE5" w:rsidRDefault="002528F4" w:rsidP="001F55B1">
            <w:pPr>
              <w:pStyle w:val="Header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70AE5">
              <w:rPr>
                <w:sz w:val="28"/>
                <w:szCs w:val="28"/>
              </w:rPr>
              <w:t>Dividendes par 2011.gadu AS „Latvenergo” plāno ieskaitīt valsts budžetā</w:t>
            </w:r>
            <w:r w:rsidR="00470AE5" w:rsidRPr="00470AE5">
              <w:rPr>
                <w:sz w:val="28"/>
                <w:szCs w:val="28"/>
              </w:rPr>
              <w:t xml:space="preserve"> pēc koncerna gada pārskata apstiprināšanas</w:t>
            </w:r>
            <w:r w:rsidR="00223470">
              <w:rPr>
                <w:sz w:val="28"/>
                <w:szCs w:val="28"/>
              </w:rPr>
              <w:t xml:space="preserve"> aptuveni </w:t>
            </w:r>
            <w:r w:rsidR="00470AE5" w:rsidRPr="00470AE5">
              <w:rPr>
                <w:sz w:val="28"/>
                <w:szCs w:val="28"/>
              </w:rPr>
              <w:t xml:space="preserve">2012.gada </w:t>
            </w:r>
            <w:r w:rsidR="00223470">
              <w:rPr>
                <w:sz w:val="28"/>
                <w:szCs w:val="28"/>
              </w:rPr>
              <w:t>vasarā.</w:t>
            </w:r>
          </w:p>
          <w:p w:rsidR="00223470" w:rsidRDefault="00223470" w:rsidP="001F55B1">
            <w:pPr>
              <w:pStyle w:val="Header"/>
              <w:tabs>
                <w:tab w:val="left" w:pos="720"/>
              </w:tabs>
              <w:jc w:val="both"/>
            </w:pPr>
          </w:p>
          <w:p w:rsidR="002528F4" w:rsidRPr="002528F4" w:rsidRDefault="002528F4" w:rsidP="001F55B1">
            <w:pPr>
              <w:pStyle w:val="Header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528F4">
              <w:rPr>
                <w:sz w:val="28"/>
                <w:szCs w:val="28"/>
              </w:rPr>
              <w:t>Saskaņā ar rīkojumu Finanšu ministrija par AS "Augstsprieguma tīkls"</w:t>
            </w:r>
            <w:r>
              <w:rPr>
                <w:sz w:val="28"/>
                <w:szCs w:val="28"/>
              </w:rPr>
              <w:t xml:space="preserve"> kapitāla daļu turētāju kļūst pēc pirkuma līguma noslēgšanas. Plānots, ka pirkuma līgums starp AS „Latvenergo” un </w:t>
            </w:r>
            <w:r>
              <w:rPr>
                <w:sz w:val="28"/>
                <w:szCs w:val="28"/>
              </w:rPr>
              <w:lastRenderedPageBreak/>
              <w:t>Finanšu ministriju tiks noslēgts 2011.gada nogalē un spēkā tas stāsies 2012.gada 1.janvāri.</w:t>
            </w:r>
          </w:p>
          <w:p w:rsidR="000414FE" w:rsidRDefault="000414FE" w:rsidP="00223470">
            <w:pPr>
              <w:pStyle w:val="naiskr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Lai mazinātu riskus, kas saistās ar saistību izpildi, proti, samaksas veikšanu, kura ir saistīta ar otras puses līdzdarbību (šajā gadījumā – AS „Latvenergo” dividenžu samaksu), nepieciešams grozīt rīkojumā noteikto samaksas kārtību.</w:t>
            </w:r>
          </w:p>
          <w:p w:rsidR="00710F3A" w:rsidRPr="00710F3A" w:rsidRDefault="00AA0A7A" w:rsidP="00223470">
            <w:pPr>
              <w:pStyle w:val="naiskr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Ņemot </w:t>
            </w:r>
            <w:r w:rsidR="00F54CA1">
              <w:rPr>
                <w:bCs/>
                <w:sz w:val="28"/>
                <w:szCs w:val="28"/>
              </w:rPr>
              <w:t xml:space="preserve">vērā </w:t>
            </w:r>
            <w:r>
              <w:rPr>
                <w:bCs/>
                <w:sz w:val="28"/>
                <w:szCs w:val="28"/>
              </w:rPr>
              <w:t>augstāk minēto</w:t>
            </w:r>
            <w:r w:rsidR="00223470">
              <w:rPr>
                <w:bCs/>
                <w:sz w:val="28"/>
                <w:szCs w:val="28"/>
              </w:rPr>
              <w:t xml:space="preserve"> un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3470">
              <w:rPr>
                <w:bCs/>
                <w:sz w:val="28"/>
                <w:szCs w:val="28"/>
              </w:rPr>
              <w:t xml:space="preserve">Finanšu ministrijas vēlmi, </w:t>
            </w:r>
            <w:r>
              <w:rPr>
                <w:bCs/>
                <w:sz w:val="28"/>
                <w:szCs w:val="28"/>
              </w:rPr>
              <w:t xml:space="preserve">Ekonomikas ministrija </w:t>
            </w:r>
            <w:r w:rsidR="00223470">
              <w:rPr>
                <w:bCs/>
                <w:sz w:val="28"/>
                <w:szCs w:val="28"/>
              </w:rPr>
              <w:t>ir sagatavojusi grozījumu</w:t>
            </w:r>
            <w:r w:rsidRPr="00AA0A7A">
              <w:rPr>
                <w:bCs/>
                <w:sz w:val="28"/>
                <w:szCs w:val="28"/>
              </w:rPr>
              <w:t xml:space="preserve"> rīkojuma </w:t>
            </w:r>
            <w:r w:rsidR="002528F4">
              <w:rPr>
                <w:bCs/>
                <w:sz w:val="28"/>
                <w:szCs w:val="28"/>
              </w:rPr>
              <w:t>2</w:t>
            </w:r>
            <w:r w:rsidRPr="00AA0A7A">
              <w:rPr>
                <w:bCs/>
                <w:sz w:val="28"/>
                <w:szCs w:val="28"/>
              </w:rPr>
              <w:t>.punktā</w:t>
            </w:r>
            <w:r w:rsidR="00223470">
              <w:rPr>
                <w:bCs/>
                <w:sz w:val="28"/>
                <w:szCs w:val="28"/>
              </w:rPr>
              <w:t>, tā mainot</w:t>
            </w:r>
            <w:r w:rsidRPr="00AA0A7A">
              <w:rPr>
                <w:bCs/>
                <w:sz w:val="28"/>
                <w:szCs w:val="28"/>
              </w:rPr>
              <w:t xml:space="preserve"> </w:t>
            </w:r>
            <w:r w:rsidR="002528F4">
              <w:rPr>
                <w:sz w:val="28"/>
                <w:szCs w:val="28"/>
              </w:rPr>
              <w:t>samaksas kārtību.</w:t>
            </w:r>
          </w:p>
        </w:tc>
      </w:tr>
      <w:tr w:rsidR="0089380C" w:rsidRPr="00E40368" w:rsidTr="00223470">
        <w:trPr>
          <w:trHeight w:val="657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Saistītie politikas ietekmes novērtējumi un pētījumi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1A6C2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Nav attiecināms.</w:t>
            </w:r>
          </w:p>
        </w:tc>
      </w:tr>
      <w:tr w:rsidR="0089380C" w:rsidRPr="00E40368" w:rsidTr="00223470">
        <w:trPr>
          <w:trHeight w:val="384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4.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Tiesiskā regulējuma mērķis un būtība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5AE" w:rsidRPr="00940AA0" w:rsidRDefault="000414FE" w:rsidP="004575C5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Izmaiņas rīkojuma 2.punktā paredz, svītrot nosacījumu par to, ka Finanšu ministrija AS</w:t>
            </w:r>
            <w:r w:rsidRPr="003A7CAC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Augstsprieguma tīkls</w:t>
            </w:r>
            <w:r w:rsidRPr="003A7CA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akciju apmaksu var veikt tikai pēc tam, kas AS „Latvenergo” ir veikusi maksāj</w:t>
            </w:r>
            <w:r w:rsidR="004575C5">
              <w:rPr>
                <w:sz w:val="28"/>
                <w:szCs w:val="28"/>
              </w:rPr>
              <w:t>umu par valsts kapitāla izmantošanu un ieskaitījusi to valsts budžetā.</w:t>
            </w:r>
          </w:p>
        </w:tc>
      </w:tr>
      <w:tr w:rsidR="0089380C" w:rsidRPr="00E40368" w:rsidTr="000414FE">
        <w:trPr>
          <w:trHeight w:val="476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5.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CE6B47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 xml:space="preserve"> Projekta izstrādē iesaistītās </w:t>
            </w:r>
            <w:r w:rsidR="00CE6B47">
              <w:rPr>
                <w:sz w:val="28"/>
                <w:szCs w:val="28"/>
              </w:rPr>
              <w:t xml:space="preserve">  </w:t>
            </w:r>
            <w:r w:rsidRPr="00E40368">
              <w:rPr>
                <w:sz w:val="28"/>
                <w:szCs w:val="28"/>
              </w:rPr>
              <w:t>institūcijas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4575C5" w:rsidP="00710F3A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 xml:space="preserve">Projekta sagatavošanā </w:t>
            </w:r>
            <w:r>
              <w:rPr>
                <w:sz w:val="28"/>
                <w:szCs w:val="28"/>
              </w:rPr>
              <w:t>tika iesaistīta Finanšu ministrija</w:t>
            </w:r>
          </w:p>
        </w:tc>
      </w:tr>
      <w:tr w:rsidR="0089380C" w:rsidRPr="00E40368" w:rsidTr="000414FE">
        <w:trPr>
          <w:trHeight w:val="652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6.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C222E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Iemesli, kādēļ netika nodrošināta sabiedrības līdzdalība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684126" w:rsidP="000B2F14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Nav attiecināms.</w:t>
            </w:r>
          </w:p>
        </w:tc>
      </w:tr>
      <w:tr w:rsidR="0089380C" w:rsidRPr="00E40368" w:rsidTr="000414FE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7.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CE6B47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Cita informācija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EE300A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</w:p>
        </w:tc>
      </w:tr>
    </w:tbl>
    <w:p w:rsidR="004575C5" w:rsidRPr="00E40368" w:rsidRDefault="004575C5" w:rsidP="004575C5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3040"/>
        <w:gridCol w:w="5542"/>
      </w:tblGrid>
      <w:tr w:rsidR="004575C5" w:rsidRPr="00E40368" w:rsidTr="00C8604B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5C5" w:rsidRPr="00E40368" w:rsidRDefault="004575C5" w:rsidP="00C8604B">
            <w:pPr>
              <w:pStyle w:val="naisnod"/>
              <w:jc w:val="center"/>
              <w:rPr>
                <w:b/>
                <w:sz w:val="28"/>
                <w:szCs w:val="28"/>
              </w:rPr>
            </w:pPr>
            <w:r w:rsidRPr="00E40368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4575C5" w:rsidRPr="00E40368" w:rsidTr="00C8604B">
        <w:trPr>
          <w:trHeight w:val="46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1.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 xml:space="preserve"> Sabiedrības </w:t>
            </w:r>
            <w:proofErr w:type="spellStart"/>
            <w:r w:rsidRPr="00E40368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spacing w:before="0" w:after="0"/>
              <w:ind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Rīkojuma</w:t>
            </w:r>
            <w:r w:rsidRPr="00E40368">
              <w:rPr>
                <w:iCs/>
                <w:sz w:val="28"/>
                <w:szCs w:val="28"/>
              </w:rPr>
              <w:t xml:space="preserve"> projekts </w:t>
            </w:r>
            <w:r>
              <w:rPr>
                <w:iCs/>
                <w:sz w:val="28"/>
                <w:szCs w:val="28"/>
              </w:rPr>
              <w:t>attieksies uz AS „Latvenergo”, AS „Augstsprieguma tīkls” un Finanšu ministriju.</w:t>
            </w:r>
          </w:p>
        </w:tc>
      </w:tr>
      <w:tr w:rsidR="004575C5" w:rsidRPr="00E40368" w:rsidTr="00C8604B">
        <w:trPr>
          <w:trHeight w:val="523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 xml:space="preserve"> Citas sabiedrības grupas (bez </w:t>
            </w:r>
            <w:proofErr w:type="spellStart"/>
            <w:r w:rsidRPr="00E40368">
              <w:rPr>
                <w:sz w:val="28"/>
                <w:szCs w:val="28"/>
              </w:rPr>
              <w:t>mērķgrupas</w:t>
            </w:r>
            <w:proofErr w:type="spellEnd"/>
            <w:r w:rsidRPr="00E40368">
              <w:rPr>
                <w:sz w:val="28"/>
                <w:szCs w:val="28"/>
              </w:rPr>
              <w:t>), kuras tiesiskais regulējums arī ietekmē vai varētu ietekmēt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Projekts šo jomu neskar.</w:t>
            </w:r>
          </w:p>
        </w:tc>
      </w:tr>
      <w:tr w:rsidR="004575C5" w:rsidRPr="00E40368" w:rsidTr="00C8604B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3.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Tiesiskā regulējuma finansiālā ietekme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Default="004575C5" w:rsidP="00C8604B">
            <w:pPr>
              <w:pStyle w:val="Header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E5231">
              <w:rPr>
                <w:sz w:val="28"/>
                <w:szCs w:val="28"/>
              </w:rPr>
              <w:t xml:space="preserve">AS „Augstsprieguma tīkls” </w:t>
            </w:r>
            <w:r>
              <w:rPr>
                <w:sz w:val="28"/>
                <w:szCs w:val="28"/>
              </w:rPr>
              <w:t>akciju</w:t>
            </w:r>
            <w:r w:rsidRPr="005E5231">
              <w:rPr>
                <w:sz w:val="28"/>
                <w:szCs w:val="28"/>
              </w:rPr>
              <w:t xml:space="preserve"> apmaksu plānots veikt no </w:t>
            </w:r>
            <w:r>
              <w:rPr>
                <w:sz w:val="28"/>
                <w:szCs w:val="28"/>
              </w:rPr>
              <w:t xml:space="preserve">2012.gada pamatbudžeta līdzekļiem. Ar rīkojuma </w:t>
            </w:r>
            <w:proofErr w:type="spellStart"/>
            <w:r>
              <w:rPr>
                <w:sz w:val="28"/>
                <w:szCs w:val="28"/>
              </w:rPr>
              <w:t>protokollēmumu</w:t>
            </w:r>
            <w:proofErr w:type="spellEnd"/>
            <w:r>
              <w:rPr>
                <w:sz w:val="28"/>
                <w:szCs w:val="28"/>
              </w:rPr>
              <w:t xml:space="preserve"> tika noteikts,  likumprojektā „Par valsts budžetu 2012.gadam” AS „Latvenergo” valsts budžetā maksājamo dividenžu ampērs tiek palielināts par 3 900 000 latiem, kas atbilsts AS „Augstsprieguma  tīkls” akciju vērtībai.</w:t>
            </w:r>
          </w:p>
          <w:p w:rsidR="004575C5" w:rsidRDefault="004575C5" w:rsidP="00C8604B">
            <w:pPr>
              <w:pStyle w:val="Header"/>
              <w:tabs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Vienlaikus tika noteikts, ka par 3 900 000 latiem tiek </w:t>
            </w:r>
            <w:r w:rsidRPr="00443959">
              <w:rPr>
                <w:sz w:val="28"/>
                <w:szCs w:val="28"/>
              </w:rPr>
              <w:t>palielinā</w:t>
            </w:r>
            <w:r>
              <w:rPr>
                <w:sz w:val="28"/>
                <w:szCs w:val="28"/>
              </w:rPr>
              <w:t xml:space="preserve">ti </w:t>
            </w:r>
            <w:r w:rsidRPr="00443959">
              <w:rPr>
                <w:sz w:val="28"/>
                <w:szCs w:val="28"/>
              </w:rPr>
              <w:t xml:space="preserve">Finanšu </w:t>
            </w:r>
            <w:r>
              <w:rPr>
                <w:sz w:val="28"/>
                <w:szCs w:val="28"/>
              </w:rPr>
              <w:t>ministrijas budžeta</w:t>
            </w:r>
            <w:r w:rsidRPr="00443959">
              <w:rPr>
                <w:sz w:val="28"/>
                <w:szCs w:val="28"/>
              </w:rPr>
              <w:t xml:space="preserve"> resu</w:t>
            </w:r>
            <w:r>
              <w:rPr>
                <w:sz w:val="28"/>
                <w:szCs w:val="28"/>
              </w:rPr>
              <w:t xml:space="preserve">rsi </w:t>
            </w:r>
            <w:r w:rsidRPr="00443959">
              <w:rPr>
                <w:sz w:val="28"/>
                <w:szCs w:val="28"/>
              </w:rPr>
              <w:t>(dotā</w:t>
            </w:r>
            <w:r>
              <w:rPr>
                <w:sz w:val="28"/>
                <w:szCs w:val="28"/>
              </w:rPr>
              <w:t>cija no vispārējiem ieņēmumiem) 2012.gadam</w:t>
            </w:r>
            <w:r w:rsidRPr="004439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tādejādi, </w:t>
            </w:r>
            <w:r w:rsidRPr="00443959">
              <w:rPr>
                <w:sz w:val="28"/>
                <w:szCs w:val="28"/>
              </w:rPr>
              <w:t>nodrošin</w:t>
            </w:r>
            <w:r>
              <w:rPr>
                <w:sz w:val="28"/>
                <w:szCs w:val="28"/>
              </w:rPr>
              <w:t>ot</w:t>
            </w:r>
            <w:r w:rsidRPr="00443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resursu pietiekamību </w:t>
            </w:r>
            <w:r w:rsidRPr="00443959">
              <w:rPr>
                <w:sz w:val="28"/>
                <w:szCs w:val="28"/>
              </w:rPr>
              <w:t>akciju sabiedrības  „Augstsprieguma tīkls”  akciju iegād</w:t>
            </w:r>
            <w:r>
              <w:rPr>
                <w:sz w:val="28"/>
                <w:szCs w:val="28"/>
              </w:rPr>
              <w:t>ei</w:t>
            </w:r>
            <w:r w:rsidRPr="00443959">
              <w:rPr>
                <w:sz w:val="28"/>
                <w:szCs w:val="28"/>
              </w:rPr>
              <w:t xml:space="preserve"> valsts īpašumā</w:t>
            </w:r>
            <w:r>
              <w:rPr>
                <w:sz w:val="28"/>
                <w:szCs w:val="28"/>
              </w:rPr>
              <w:t>.</w:t>
            </w:r>
          </w:p>
          <w:p w:rsidR="004575C5" w:rsidRDefault="004575C5" w:rsidP="00C8604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2011.gada 25.augustā SIA „</w:t>
            </w:r>
            <w:proofErr w:type="spellStart"/>
            <w:r>
              <w:rPr>
                <w:sz w:val="28"/>
                <w:szCs w:val="28"/>
              </w:rPr>
              <w:t>Ernst&amp;Young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Baltic</w:t>
            </w:r>
            <w:proofErr w:type="spellEnd"/>
            <w:r>
              <w:rPr>
                <w:sz w:val="28"/>
                <w:szCs w:val="28"/>
              </w:rPr>
              <w:t xml:space="preserve">” vērtējumā „AS „Augstsprieguma tīkls” 100% akciju novērtējums” visas (4 000 000) </w:t>
            </w:r>
            <w:r w:rsidRPr="005E5231">
              <w:rPr>
                <w:bCs/>
                <w:sz w:val="28"/>
                <w:szCs w:val="28"/>
              </w:rPr>
              <w:t>AS „</w:t>
            </w:r>
            <w:r w:rsidRPr="005E5231">
              <w:rPr>
                <w:sz w:val="28"/>
                <w:szCs w:val="28"/>
              </w:rPr>
              <w:t>Augstsprieguma tīkls”</w:t>
            </w:r>
            <w:r>
              <w:rPr>
                <w:sz w:val="28"/>
                <w:szCs w:val="28"/>
              </w:rPr>
              <w:t xml:space="preserve"> akcijas tika novērtētas par 3 900 000 latiem.</w:t>
            </w:r>
          </w:p>
          <w:p w:rsidR="004575C5" w:rsidRPr="00E40368" w:rsidRDefault="004575C5" w:rsidP="00C8604B">
            <w:pPr>
              <w:spacing w:before="60"/>
              <w:jc w:val="both"/>
              <w:rPr>
                <w:sz w:val="28"/>
                <w:szCs w:val="28"/>
              </w:rPr>
            </w:pPr>
            <w:r w:rsidRPr="005E5231">
              <w:rPr>
                <w:sz w:val="28"/>
                <w:szCs w:val="28"/>
              </w:rPr>
              <w:t xml:space="preserve">AS „Augstsprieguma tīkls” </w:t>
            </w:r>
            <w:r>
              <w:rPr>
                <w:sz w:val="28"/>
                <w:szCs w:val="28"/>
              </w:rPr>
              <w:t>akciju atsavināšanas ietekme uz AS „Latvenergo” ir analizēta ar Ministru kabineta 2011.gada 12.janvāra rīkojumu  Nr.12 „</w:t>
            </w:r>
            <w:r w:rsidRPr="00D72D4D">
              <w:rPr>
                <w:bCs/>
                <w:sz w:val="28"/>
                <w:szCs w:val="28"/>
              </w:rPr>
              <w:t xml:space="preserve">Par Koncepciju par nepieciešamajām darbībām Eiropas Parlamenta un Padomes 2009.gada 13.jūlija Direktīvā 2009/72/EK par kopīgiem noteikumiem attiecībā uz elektroenerģijas iekšējo tirgu un par Direktīvas 2003/54/EK atcelšanu noteiktajai elektroenerģijas pārvades </w:t>
            </w:r>
            <w:r>
              <w:rPr>
                <w:bCs/>
                <w:sz w:val="28"/>
                <w:szCs w:val="28"/>
              </w:rPr>
              <w:t>sistēmas operatora nodalīšanai” apstiprinātajā koncepcijā.</w:t>
            </w:r>
          </w:p>
        </w:tc>
      </w:tr>
      <w:tr w:rsidR="004575C5" w:rsidRPr="00E40368" w:rsidTr="00C8604B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4.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Projekts šo jomu neskar.</w:t>
            </w:r>
          </w:p>
        </w:tc>
      </w:tr>
      <w:tr w:rsidR="004575C5" w:rsidRPr="00E40368" w:rsidTr="00C8604B">
        <w:trPr>
          <w:trHeight w:val="531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5.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Administratīvās procedūras raksturojums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Projekts šo jomu neskar.</w:t>
            </w:r>
          </w:p>
        </w:tc>
      </w:tr>
      <w:tr w:rsidR="004575C5" w:rsidRPr="00E40368" w:rsidTr="00C8604B">
        <w:trPr>
          <w:trHeight w:val="35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6.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Administratīvo izmaksu monetārs novērtējums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Projekts šo jomu neskar.</w:t>
            </w:r>
          </w:p>
        </w:tc>
      </w:tr>
      <w:tr w:rsidR="004575C5" w:rsidRPr="00E40368" w:rsidTr="00C8604B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7.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C8604B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Cita informācija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5C5" w:rsidRPr="00E40368" w:rsidRDefault="004575C5" w:rsidP="004575C5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Pr="00C0263D">
              <w:rPr>
                <w:sz w:val="28"/>
                <w:szCs w:val="28"/>
              </w:rPr>
              <w:t xml:space="preserve">AS „Latvenergo” 2011.gada tīrā peļņa ir plānota 44,5 milj.Ls apmērā. 2011.gadā AS „Augstsprieguma” tīkls ieņēmumi ir plānoti 61,7 milj.Ls, savukārt tīrā peļņa - 0,7 milj.Ls apmērā. </w:t>
            </w:r>
          </w:p>
        </w:tc>
      </w:tr>
    </w:tbl>
    <w:p w:rsidR="00CE6B47" w:rsidRDefault="00CE6B47" w:rsidP="00542541">
      <w:pPr>
        <w:pStyle w:val="naisf"/>
        <w:tabs>
          <w:tab w:val="left" w:pos="5760"/>
        </w:tabs>
        <w:spacing w:before="0" w:beforeAutospacing="0" w:after="0" w:afterAutospacing="0"/>
        <w:rPr>
          <w:sz w:val="28"/>
          <w:szCs w:val="28"/>
        </w:rPr>
      </w:pPr>
    </w:p>
    <w:p w:rsidR="006D485C" w:rsidRPr="00E40368" w:rsidRDefault="006D485C" w:rsidP="00542541">
      <w:pPr>
        <w:pStyle w:val="naisf"/>
        <w:tabs>
          <w:tab w:val="left" w:pos="576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8"/>
        <w:gridCol w:w="3930"/>
        <w:gridCol w:w="4663"/>
      </w:tblGrid>
      <w:tr w:rsidR="0089380C" w:rsidRPr="00E40368" w:rsidTr="00CE6B47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6D485C">
            <w:pPr>
              <w:pStyle w:val="naisc"/>
              <w:jc w:val="both"/>
              <w:rPr>
                <w:sz w:val="28"/>
                <w:szCs w:val="28"/>
              </w:rPr>
            </w:pPr>
            <w:r w:rsidRPr="00E40368">
              <w:rPr>
                <w:b/>
                <w:bCs/>
                <w:sz w:val="28"/>
                <w:szCs w:val="28"/>
              </w:rPr>
              <w:t> VII. Tiesību akta projekta izpildes nodrošināšana un tās ietekme uz institūcijām</w:t>
            </w:r>
          </w:p>
        </w:tc>
      </w:tr>
      <w:tr w:rsidR="0089380C" w:rsidRPr="00E40368" w:rsidTr="00CE6B47">
        <w:trPr>
          <w:trHeight w:val="427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Projekta izpildē iesaistītās institūcijas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940AA0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940AA0">
              <w:rPr>
                <w:sz w:val="28"/>
                <w:szCs w:val="28"/>
              </w:rPr>
              <w:t xml:space="preserve">Ekonomikas ministrija, Ministru kabinets </w:t>
            </w:r>
            <w:r w:rsidR="00B31BC4">
              <w:rPr>
                <w:sz w:val="28"/>
                <w:szCs w:val="28"/>
              </w:rPr>
              <w:t xml:space="preserve"> </w:t>
            </w:r>
          </w:p>
        </w:tc>
      </w:tr>
      <w:tr w:rsidR="0089380C" w:rsidRPr="00E40368" w:rsidTr="00CE6B47">
        <w:trPr>
          <w:trHeight w:val="463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2.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Projekta izpildes ietekme uz pārvaldes funkcijām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 w:rsidP="008F7768">
            <w:pPr>
              <w:pStyle w:val="naiskr"/>
              <w:jc w:val="both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8F7768" w:rsidRPr="00E40368">
              <w:rPr>
                <w:sz w:val="28"/>
                <w:szCs w:val="28"/>
              </w:rPr>
              <w:t>Jaunas valsts institūcijas netiks radītas, kā arī netiks paplašinātas esošo institūciju funkcijas</w:t>
            </w:r>
            <w:r w:rsidR="0061285C" w:rsidRPr="00E40368">
              <w:rPr>
                <w:sz w:val="28"/>
                <w:szCs w:val="28"/>
              </w:rPr>
              <w:t>.</w:t>
            </w:r>
          </w:p>
        </w:tc>
      </w:tr>
      <w:tr w:rsidR="0089380C" w:rsidRPr="00E40368" w:rsidTr="00CE6B47">
        <w:trPr>
          <w:trHeight w:val="725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3.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Projekta izpildes ietekme uz pārvaldes institucionālo struktūru.</w:t>
            </w:r>
          </w:p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5F499B" w:rsidRPr="00E40368">
              <w:rPr>
                <w:iCs/>
                <w:sz w:val="28"/>
                <w:szCs w:val="28"/>
              </w:rPr>
              <w:t>Jaunas institūcijas netiks veidotas.</w:t>
            </w:r>
          </w:p>
        </w:tc>
      </w:tr>
      <w:tr w:rsidR="0089380C" w:rsidRPr="00E40368" w:rsidTr="00CE6B47">
        <w:trPr>
          <w:trHeight w:val="780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4.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Projekta izpildes ietekme uz pārvaldes institucionālo struktūru.</w:t>
            </w:r>
          </w:p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5F499B" w:rsidRPr="00E40368">
              <w:rPr>
                <w:iCs/>
                <w:sz w:val="28"/>
                <w:szCs w:val="28"/>
              </w:rPr>
              <w:t>Esošās institūcijas netiks likvidētas.</w:t>
            </w:r>
          </w:p>
        </w:tc>
      </w:tr>
      <w:tr w:rsidR="0089380C" w:rsidRPr="00E40368" w:rsidTr="00CE6B47">
        <w:trPr>
          <w:trHeight w:val="703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5.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Projekta izpildes ietekme uz pārvaldes institucionālo struktūru.</w:t>
            </w:r>
          </w:p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5F499B" w:rsidRPr="00E40368">
              <w:rPr>
                <w:iCs/>
                <w:sz w:val="28"/>
                <w:szCs w:val="28"/>
              </w:rPr>
              <w:t>Esošās institūcijas netiks reorganizētas.</w:t>
            </w:r>
          </w:p>
        </w:tc>
      </w:tr>
      <w:tr w:rsidR="0089380C" w:rsidRPr="00E40368" w:rsidTr="00CE6B47">
        <w:trPr>
          <w:trHeight w:val="476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6.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Cita informācija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80C" w:rsidRPr="00E40368" w:rsidRDefault="0089380C">
            <w:pPr>
              <w:pStyle w:val="naiskr"/>
              <w:rPr>
                <w:sz w:val="28"/>
                <w:szCs w:val="28"/>
              </w:rPr>
            </w:pPr>
            <w:r w:rsidRPr="00E40368">
              <w:rPr>
                <w:sz w:val="28"/>
                <w:szCs w:val="28"/>
              </w:rPr>
              <w:t> </w:t>
            </w:r>
            <w:r w:rsidR="005F499B" w:rsidRPr="00E40368">
              <w:rPr>
                <w:sz w:val="28"/>
                <w:szCs w:val="28"/>
              </w:rPr>
              <w:t>Nav.</w:t>
            </w:r>
          </w:p>
        </w:tc>
      </w:tr>
    </w:tbl>
    <w:p w:rsidR="00CE6B47" w:rsidRDefault="00CE6B47" w:rsidP="004575C5">
      <w:pPr>
        <w:pStyle w:val="naisf"/>
        <w:tabs>
          <w:tab w:val="left" w:pos="5760"/>
        </w:tabs>
        <w:spacing w:before="0" w:after="0"/>
        <w:rPr>
          <w:sz w:val="28"/>
          <w:szCs w:val="28"/>
        </w:rPr>
      </w:pPr>
      <w:r w:rsidRPr="00E40368">
        <w:rPr>
          <w:sz w:val="28"/>
          <w:szCs w:val="28"/>
        </w:rPr>
        <w:t>Anotācijas</w:t>
      </w:r>
      <w:r>
        <w:rPr>
          <w:sz w:val="28"/>
          <w:szCs w:val="28"/>
        </w:rPr>
        <w:t xml:space="preserve"> </w:t>
      </w:r>
      <w:r w:rsidRPr="00E40368">
        <w:rPr>
          <w:sz w:val="28"/>
          <w:szCs w:val="28"/>
        </w:rPr>
        <w:t>III, IV, un VI sadaļa – nav attiecinām</w:t>
      </w:r>
      <w:r>
        <w:rPr>
          <w:sz w:val="28"/>
          <w:szCs w:val="28"/>
        </w:rPr>
        <w:t>a</w:t>
      </w:r>
      <w:r w:rsidRPr="00E40368">
        <w:rPr>
          <w:sz w:val="28"/>
          <w:szCs w:val="28"/>
        </w:rPr>
        <w:t>s.</w:t>
      </w:r>
    </w:p>
    <w:p w:rsidR="001D1B66" w:rsidRPr="00E40368" w:rsidRDefault="001D1B66" w:rsidP="001D1B66">
      <w:pPr>
        <w:rPr>
          <w:sz w:val="28"/>
          <w:szCs w:val="28"/>
        </w:rPr>
      </w:pPr>
      <w:r w:rsidRPr="00E40368">
        <w:rPr>
          <w:sz w:val="28"/>
          <w:szCs w:val="28"/>
        </w:rPr>
        <w:t xml:space="preserve">Ministru prezidents </w:t>
      </w:r>
      <w:r w:rsidRPr="00E40368">
        <w:rPr>
          <w:sz w:val="28"/>
          <w:szCs w:val="28"/>
        </w:rPr>
        <w:tab/>
      </w:r>
      <w:r w:rsidRPr="00E40368">
        <w:rPr>
          <w:sz w:val="28"/>
          <w:szCs w:val="28"/>
        </w:rPr>
        <w:tab/>
      </w:r>
      <w:r w:rsidRPr="00E40368">
        <w:rPr>
          <w:sz w:val="28"/>
          <w:szCs w:val="28"/>
        </w:rPr>
        <w:tab/>
      </w:r>
      <w:r w:rsidRPr="00E40368">
        <w:rPr>
          <w:sz w:val="28"/>
          <w:szCs w:val="28"/>
        </w:rPr>
        <w:tab/>
      </w:r>
      <w:r w:rsidRPr="00E40368">
        <w:rPr>
          <w:sz w:val="28"/>
          <w:szCs w:val="28"/>
        </w:rPr>
        <w:tab/>
      </w:r>
      <w:r w:rsidRPr="00E40368">
        <w:rPr>
          <w:sz w:val="28"/>
          <w:szCs w:val="28"/>
        </w:rPr>
        <w:tab/>
        <w:t xml:space="preserve">          V. </w:t>
      </w:r>
      <w:proofErr w:type="spellStart"/>
      <w:r w:rsidRPr="00E40368">
        <w:rPr>
          <w:sz w:val="28"/>
          <w:szCs w:val="28"/>
        </w:rPr>
        <w:t>Dombrovskis</w:t>
      </w:r>
      <w:proofErr w:type="spellEnd"/>
    </w:p>
    <w:p w:rsidR="001D1B66" w:rsidRPr="00E40368" w:rsidRDefault="001D1B66" w:rsidP="001D1B66">
      <w:pPr>
        <w:rPr>
          <w:sz w:val="28"/>
          <w:szCs w:val="28"/>
        </w:rPr>
      </w:pPr>
    </w:p>
    <w:p w:rsidR="001D1B66" w:rsidRPr="00E40368" w:rsidRDefault="001D1B66" w:rsidP="001D1B66">
      <w:pPr>
        <w:rPr>
          <w:sz w:val="28"/>
          <w:szCs w:val="28"/>
        </w:rPr>
      </w:pPr>
      <w:r w:rsidRPr="00E40368">
        <w:rPr>
          <w:sz w:val="28"/>
          <w:szCs w:val="28"/>
        </w:rPr>
        <w:t xml:space="preserve">Ekonomikas ministrs                                                                     </w:t>
      </w:r>
      <w:proofErr w:type="spellStart"/>
      <w:r w:rsidR="004575C5">
        <w:rPr>
          <w:sz w:val="28"/>
          <w:szCs w:val="28"/>
        </w:rPr>
        <w:t>D.Pavļuts</w:t>
      </w:r>
      <w:proofErr w:type="spellEnd"/>
    </w:p>
    <w:p w:rsidR="001D1B66" w:rsidRPr="00E40368" w:rsidRDefault="001D1B66" w:rsidP="001D1B66">
      <w:pPr>
        <w:ind w:left="-284"/>
        <w:rPr>
          <w:sz w:val="28"/>
          <w:szCs w:val="28"/>
        </w:rPr>
      </w:pPr>
    </w:p>
    <w:p w:rsidR="001D1B66" w:rsidRPr="00E40368" w:rsidRDefault="001D1B66" w:rsidP="001D1B66">
      <w:pPr>
        <w:rPr>
          <w:sz w:val="28"/>
          <w:szCs w:val="28"/>
        </w:rPr>
      </w:pPr>
      <w:r w:rsidRPr="00E40368">
        <w:rPr>
          <w:sz w:val="28"/>
          <w:szCs w:val="28"/>
        </w:rPr>
        <w:t xml:space="preserve">Iesniedzējs: Ekonomikas ministrs                                                 </w:t>
      </w:r>
      <w:proofErr w:type="spellStart"/>
      <w:r w:rsidR="004575C5">
        <w:rPr>
          <w:sz w:val="28"/>
          <w:szCs w:val="28"/>
        </w:rPr>
        <w:t>D.Pavļuts</w:t>
      </w:r>
      <w:proofErr w:type="spellEnd"/>
    </w:p>
    <w:p w:rsidR="001D1B66" w:rsidRPr="00E40368" w:rsidRDefault="001D1B66" w:rsidP="001D1B66">
      <w:pPr>
        <w:ind w:left="-284"/>
        <w:rPr>
          <w:sz w:val="28"/>
          <w:szCs w:val="28"/>
        </w:rPr>
      </w:pPr>
    </w:p>
    <w:p w:rsidR="001D1B66" w:rsidRPr="00E40368" w:rsidRDefault="001D1B66" w:rsidP="001D1B66">
      <w:pPr>
        <w:rPr>
          <w:sz w:val="28"/>
          <w:szCs w:val="28"/>
        </w:rPr>
      </w:pPr>
      <w:r w:rsidRPr="00E40368">
        <w:rPr>
          <w:sz w:val="28"/>
          <w:szCs w:val="28"/>
        </w:rPr>
        <w:t xml:space="preserve">Vīza: Valsts sekretārs                                     </w:t>
      </w:r>
      <w:r w:rsidR="004575C5">
        <w:rPr>
          <w:sz w:val="28"/>
          <w:szCs w:val="28"/>
        </w:rPr>
        <w:t xml:space="preserve">                               </w:t>
      </w:r>
      <w:r w:rsidRPr="00E40368">
        <w:rPr>
          <w:sz w:val="28"/>
          <w:szCs w:val="28"/>
        </w:rPr>
        <w:t>J.Pūce</w:t>
      </w:r>
    </w:p>
    <w:p w:rsidR="001D1B66" w:rsidRPr="00E40368" w:rsidRDefault="001D1B66" w:rsidP="001D1B66">
      <w:pPr>
        <w:rPr>
          <w:sz w:val="28"/>
          <w:szCs w:val="28"/>
        </w:rPr>
      </w:pPr>
    </w:p>
    <w:p w:rsidR="001D1B66" w:rsidRPr="00E40368" w:rsidRDefault="006D485C" w:rsidP="001D1B66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542541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1D1B66" w:rsidRPr="00E40368">
        <w:rPr>
          <w:sz w:val="20"/>
          <w:szCs w:val="20"/>
        </w:rPr>
        <w:t xml:space="preserve">.2011. </w:t>
      </w:r>
      <w:r w:rsidR="000C624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EA7F53">
        <w:rPr>
          <w:sz w:val="20"/>
          <w:szCs w:val="20"/>
        </w:rPr>
        <w:t>:</w:t>
      </w:r>
      <w:r>
        <w:rPr>
          <w:sz w:val="20"/>
          <w:szCs w:val="20"/>
        </w:rPr>
        <w:t>42</w:t>
      </w:r>
    </w:p>
    <w:p w:rsidR="001D1B66" w:rsidRPr="00E40368" w:rsidRDefault="006D485C" w:rsidP="000C624C">
      <w:pPr>
        <w:tabs>
          <w:tab w:val="left" w:pos="5972"/>
        </w:tabs>
        <w:rPr>
          <w:sz w:val="20"/>
          <w:szCs w:val="20"/>
        </w:rPr>
      </w:pPr>
      <w:r>
        <w:rPr>
          <w:sz w:val="20"/>
          <w:szCs w:val="20"/>
        </w:rPr>
        <w:t>701</w:t>
      </w:r>
      <w:r w:rsidR="000C624C">
        <w:rPr>
          <w:sz w:val="20"/>
          <w:szCs w:val="20"/>
        </w:rPr>
        <w:tab/>
      </w:r>
    </w:p>
    <w:p w:rsidR="001D1B66" w:rsidRPr="00E40368" w:rsidRDefault="001D1B66" w:rsidP="001D1B66">
      <w:pPr>
        <w:rPr>
          <w:sz w:val="20"/>
          <w:szCs w:val="20"/>
        </w:rPr>
      </w:pPr>
      <w:r w:rsidRPr="00E40368">
        <w:rPr>
          <w:sz w:val="20"/>
          <w:szCs w:val="20"/>
        </w:rPr>
        <w:t>J.Bunkovskis</w:t>
      </w:r>
    </w:p>
    <w:p w:rsidR="001D1B66" w:rsidRPr="00E40368" w:rsidRDefault="001D1B66" w:rsidP="001D1B66">
      <w:pPr>
        <w:rPr>
          <w:sz w:val="20"/>
          <w:szCs w:val="20"/>
        </w:rPr>
      </w:pPr>
      <w:r w:rsidRPr="00E40368">
        <w:rPr>
          <w:sz w:val="20"/>
          <w:szCs w:val="20"/>
        </w:rPr>
        <w:t xml:space="preserve">67013170, </w:t>
      </w:r>
      <w:hyperlink r:id="rId6" w:history="1">
        <w:r w:rsidRPr="00E40368">
          <w:rPr>
            <w:rStyle w:val="Hyperlink"/>
            <w:sz w:val="20"/>
            <w:szCs w:val="20"/>
          </w:rPr>
          <w:t>janis.bunkovskis@em.gov.lv</w:t>
        </w:r>
      </w:hyperlink>
    </w:p>
    <w:p w:rsidR="00940AA0" w:rsidRDefault="00940AA0" w:rsidP="00D751B0"/>
    <w:p w:rsidR="00940AA0" w:rsidRPr="00940AA0" w:rsidRDefault="00940AA0" w:rsidP="00940AA0"/>
    <w:p w:rsidR="00940AA0" w:rsidRPr="00940AA0" w:rsidRDefault="00940AA0" w:rsidP="00940AA0"/>
    <w:p w:rsidR="00940AA0" w:rsidRPr="00940AA0" w:rsidRDefault="00940AA0" w:rsidP="00940AA0"/>
    <w:p w:rsidR="00940AA0" w:rsidRPr="00940AA0" w:rsidRDefault="00940AA0" w:rsidP="00940AA0"/>
    <w:p w:rsidR="00940AA0" w:rsidRDefault="00940AA0" w:rsidP="00940AA0"/>
    <w:p w:rsidR="00940AA0" w:rsidRDefault="00940AA0" w:rsidP="00940AA0"/>
    <w:p w:rsidR="00435C4E" w:rsidRPr="00940AA0" w:rsidRDefault="00435C4E" w:rsidP="00940AA0">
      <w:pPr>
        <w:jc w:val="center"/>
      </w:pPr>
    </w:p>
    <w:sectPr w:rsidR="00435C4E" w:rsidRPr="00940AA0" w:rsidSect="006D485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3B" w:rsidRDefault="00042A3B">
      <w:r>
        <w:separator/>
      </w:r>
    </w:p>
  </w:endnote>
  <w:endnote w:type="continuationSeparator" w:id="0">
    <w:p w:rsidR="00042A3B" w:rsidRDefault="0004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C5" w:rsidRPr="005D1F07" w:rsidRDefault="000414FE" w:rsidP="004575C5">
    <w:pPr>
      <w:jc w:val="both"/>
      <w:rPr>
        <w:bCs/>
        <w:sz w:val="20"/>
        <w:szCs w:val="20"/>
      </w:rPr>
    </w:pPr>
    <w:r>
      <w:rPr>
        <w:sz w:val="20"/>
        <w:szCs w:val="20"/>
      </w:rPr>
      <w:t>EMAnot_</w:t>
    </w:r>
    <w:r w:rsidR="004575C5">
      <w:rPr>
        <w:sz w:val="20"/>
        <w:szCs w:val="20"/>
      </w:rPr>
      <w:t>141211_rīk.635_</w:t>
    </w:r>
    <w:r w:rsidRPr="000E7C07">
      <w:rPr>
        <w:sz w:val="20"/>
        <w:szCs w:val="20"/>
      </w:rPr>
      <w:t xml:space="preserve">groz; </w:t>
    </w:r>
    <w:r w:rsidR="004575C5" w:rsidRPr="005D1F07">
      <w:rPr>
        <w:sz w:val="20"/>
        <w:szCs w:val="20"/>
      </w:rPr>
      <w:t>Ministru kabin</w:t>
    </w:r>
    <w:r w:rsidR="004575C5">
      <w:rPr>
        <w:sz w:val="20"/>
        <w:szCs w:val="20"/>
      </w:rPr>
      <w:t>eta rīkojuma projekta</w:t>
    </w:r>
    <w:r w:rsidR="004575C5" w:rsidRPr="005D1F07">
      <w:rPr>
        <w:sz w:val="20"/>
        <w:szCs w:val="20"/>
      </w:rPr>
      <w:t xml:space="preserve"> „Grozījums </w:t>
    </w:r>
    <w:r w:rsidR="004575C5" w:rsidRPr="005D1F07">
      <w:rPr>
        <w:bCs/>
        <w:sz w:val="20"/>
        <w:szCs w:val="20"/>
      </w:rPr>
      <w:t xml:space="preserve">Ministru kabineta 2011.gada 5.decembra rīkojumā Nr.635 </w:t>
    </w:r>
    <w:r w:rsidR="004575C5" w:rsidRPr="005D1F07">
      <w:rPr>
        <w:sz w:val="20"/>
        <w:szCs w:val="20"/>
      </w:rPr>
      <w:t>"</w:t>
    </w:r>
    <w:r w:rsidR="004575C5" w:rsidRPr="005D1F07">
      <w:rPr>
        <w:bCs/>
        <w:sz w:val="20"/>
        <w:szCs w:val="20"/>
      </w:rPr>
      <w:t xml:space="preserve"> Par akciju sabiedrības ”Augstsprieguma tīkls„ akciju pirkšanu un akciju turētāju</w:t>
    </w:r>
    <w:r w:rsidR="004575C5" w:rsidRPr="005D1F07">
      <w:rPr>
        <w:sz w:val="20"/>
        <w:szCs w:val="20"/>
      </w:rPr>
      <w:t>”</w:t>
    </w:r>
  </w:p>
  <w:p w:rsidR="000414FE" w:rsidRPr="00940AA0" w:rsidRDefault="000414FE" w:rsidP="00940AA0">
    <w:pPr>
      <w:jc w:val="both"/>
      <w:rPr>
        <w:bCs/>
        <w:sz w:val="20"/>
        <w:szCs w:val="20"/>
      </w:rPr>
    </w:pPr>
    <w:r w:rsidRPr="00607FC1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07FC1">
        <w:rPr>
          <w:sz w:val="20"/>
          <w:szCs w:val="20"/>
        </w:rPr>
        <w:t>ziņojums</w:t>
      </w:r>
    </w:smartTag>
    <w:r w:rsidRPr="00607FC1">
      <w:rPr>
        <w:sz w:val="20"/>
        <w:szCs w:val="20"/>
      </w:rPr>
      <w:t xml:space="preserve"> (anotācija)</w:t>
    </w:r>
  </w:p>
  <w:p w:rsidR="000414FE" w:rsidRPr="00607FC1" w:rsidRDefault="000414FE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A8" w:rsidRPr="005D1F07" w:rsidRDefault="000858A8" w:rsidP="000858A8">
    <w:pPr>
      <w:jc w:val="both"/>
      <w:rPr>
        <w:bCs/>
        <w:sz w:val="20"/>
        <w:szCs w:val="20"/>
      </w:rPr>
    </w:pPr>
    <w:r>
      <w:rPr>
        <w:sz w:val="20"/>
        <w:szCs w:val="20"/>
      </w:rPr>
      <w:t>EMAnot_141211_rīk.635_</w:t>
    </w:r>
    <w:r w:rsidRPr="000E7C07">
      <w:rPr>
        <w:sz w:val="20"/>
        <w:szCs w:val="20"/>
      </w:rPr>
      <w:t xml:space="preserve">groz; </w:t>
    </w:r>
    <w:r w:rsidRPr="005D1F07">
      <w:rPr>
        <w:sz w:val="20"/>
        <w:szCs w:val="20"/>
      </w:rPr>
      <w:t>Ministru kabin</w:t>
    </w:r>
    <w:r>
      <w:rPr>
        <w:sz w:val="20"/>
        <w:szCs w:val="20"/>
      </w:rPr>
      <w:t>eta rīkojuma projekta</w:t>
    </w:r>
    <w:r w:rsidRPr="005D1F07">
      <w:rPr>
        <w:sz w:val="20"/>
        <w:szCs w:val="20"/>
      </w:rPr>
      <w:t xml:space="preserve"> „Grozījums </w:t>
    </w:r>
    <w:r w:rsidRPr="005D1F07">
      <w:rPr>
        <w:bCs/>
        <w:sz w:val="20"/>
        <w:szCs w:val="20"/>
      </w:rPr>
      <w:t xml:space="preserve">Ministru kabineta 2011.gada 5.decembra rīkojumā Nr.635 </w:t>
    </w:r>
    <w:r w:rsidRPr="005D1F07">
      <w:rPr>
        <w:sz w:val="20"/>
        <w:szCs w:val="20"/>
      </w:rPr>
      <w:t>"</w:t>
    </w:r>
    <w:r w:rsidRPr="005D1F07">
      <w:rPr>
        <w:bCs/>
        <w:sz w:val="20"/>
        <w:szCs w:val="20"/>
      </w:rPr>
      <w:t xml:space="preserve"> Par akciju sabiedrības ”Augstsprieguma tīkls„ akciju pirkšanu un akciju turētāju</w:t>
    </w:r>
    <w:r w:rsidRPr="005D1F07">
      <w:rPr>
        <w:sz w:val="20"/>
        <w:szCs w:val="20"/>
      </w:rPr>
      <w:t>”</w:t>
    </w:r>
  </w:p>
  <w:p w:rsidR="000858A8" w:rsidRPr="00940AA0" w:rsidRDefault="000858A8" w:rsidP="000858A8">
    <w:pPr>
      <w:jc w:val="both"/>
      <w:rPr>
        <w:bCs/>
        <w:sz w:val="20"/>
        <w:szCs w:val="20"/>
      </w:rPr>
    </w:pPr>
    <w:r w:rsidRPr="00607FC1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07FC1">
        <w:rPr>
          <w:sz w:val="20"/>
          <w:szCs w:val="20"/>
        </w:rPr>
        <w:t>ziņojums</w:t>
      </w:r>
    </w:smartTag>
    <w:r w:rsidRPr="00607FC1">
      <w:rPr>
        <w:sz w:val="20"/>
        <w:szCs w:val="20"/>
      </w:rPr>
      <w:t xml:space="preserve"> (anotācija)</w:t>
    </w:r>
  </w:p>
  <w:p w:rsidR="000414FE" w:rsidRDefault="00041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3B" w:rsidRDefault="00042A3B">
      <w:r>
        <w:separator/>
      </w:r>
    </w:p>
  </w:footnote>
  <w:footnote w:type="continuationSeparator" w:id="0">
    <w:p w:rsidR="00042A3B" w:rsidRDefault="0004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391"/>
      <w:docPartObj>
        <w:docPartGallery w:val="Page Numbers (Top of Page)"/>
        <w:docPartUnique/>
      </w:docPartObj>
    </w:sdtPr>
    <w:sdtContent>
      <w:p w:rsidR="000414FE" w:rsidRDefault="00220EEA">
        <w:pPr>
          <w:pStyle w:val="Header"/>
          <w:jc w:val="center"/>
        </w:pPr>
        <w:fldSimple w:instr=" PAGE   \* MERGEFORMAT ">
          <w:r w:rsidR="000858A8">
            <w:rPr>
              <w:noProof/>
            </w:rPr>
            <w:t>4</w:t>
          </w:r>
        </w:fldSimple>
      </w:p>
    </w:sdtContent>
  </w:sdt>
  <w:p w:rsidR="000414FE" w:rsidRDefault="000414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380C"/>
    <w:rsid w:val="00005F79"/>
    <w:rsid w:val="00015274"/>
    <w:rsid w:val="00023BE0"/>
    <w:rsid w:val="000414FE"/>
    <w:rsid w:val="00042A3B"/>
    <w:rsid w:val="0008083E"/>
    <w:rsid w:val="00083D0E"/>
    <w:rsid w:val="000858A8"/>
    <w:rsid w:val="00085923"/>
    <w:rsid w:val="00092EC2"/>
    <w:rsid w:val="000A4398"/>
    <w:rsid w:val="000B2F14"/>
    <w:rsid w:val="000C3A7F"/>
    <w:rsid w:val="000C4F32"/>
    <w:rsid w:val="000C5C51"/>
    <w:rsid w:val="000C624C"/>
    <w:rsid w:val="000D7D82"/>
    <w:rsid w:val="000E6230"/>
    <w:rsid w:val="000F0035"/>
    <w:rsid w:val="0010592B"/>
    <w:rsid w:val="0012248A"/>
    <w:rsid w:val="00131719"/>
    <w:rsid w:val="00144309"/>
    <w:rsid w:val="00146184"/>
    <w:rsid w:val="00147B5F"/>
    <w:rsid w:val="0015761D"/>
    <w:rsid w:val="00171B35"/>
    <w:rsid w:val="001778A6"/>
    <w:rsid w:val="00183897"/>
    <w:rsid w:val="001A6C2B"/>
    <w:rsid w:val="001A6F58"/>
    <w:rsid w:val="001A72AA"/>
    <w:rsid w:val="001B4DC7"/>
    <w:rsid w:val="001D1B66"/>
    <w:rsid w:val="001F55B1"/>
    <w:rsid w:val="001F72E1"/>
    <w:rsid w:val="00212C50"/>
    <w:rsid w:val="00213A4F"/>
    <w:rsid w:val="00220EEA"/>
    <w:rsid w:val="00223470"/>
    <w:rsid w:val="00230712"/>
    <w:rsid w:val="00233BE1"/>
    <w:rsid w:val="002528F4"/>
    <w:rsid w:val="0028250F"/>
    <w:rsid w:val="002830FC"/>
    <w:rsid w:val="00292262"/>
    <w:rsid w:val="002B708A"/>
    <w:rsid w:val="002D200C"/>
    <w:rsid w:val="002D7C67"/>
    <w:rsid w:val="002E584A"/>
    <w:rsid w:val="002F2BDA"/>
    <w:rsid w:val="0030164A"/>
    <w:rsid w:val="00322ACC"/>
    <w:rsid w:val="00325030"/>
    <w:rsid w:val="003255EE"/>
    <w:rsid w:val="00332743"/>
    <w:rsid w:val="00332B3F"/>
    <w:rsid w:val="00355EED"/>
    <w:rsid w:val="00377D1F"/>
    <w:rsid w:val="003861BD"/>
    <w:rsid w:val="003938D5"/>
    <w:rsid w:val="003B65AE"/>
    <w:rsid w:val="003E2004"/>
    <w:rsid w:val="003E6E20"/>
    <w:rsid w:val="003F2BB9"/>
    <w:rsid w:val="003F7923"/>
    <w:rsid w:val="0043460D"/>
    <w:rsid w:val="00435C4E"/>
    <w:rsid w:val="004410C9"/>
    <w:rsid w:val="00444F36"/>
    <w:rsid w:val="00452728"/>
    <w:rsid w:val="004575C5"/>
    <w:rsid w:val="00457B66"/>
    <w:rsid w:val="00470AE5"/>
    <w:rsid w:val="00470C42"/>
    <w:rsid w:val="004A7C3C"/>
    <w:rsid w:val="004B34C5"/>
    <w:rsid w:val="004C27A3"/>
    <w:rsid w:val="00510E71"/>
    <w:rsid w:val="00515281"/>
    <w:rsid w:val="00516161"/>
    <w:rsid w:val="00525153"/>
    <w:rsid w:val="00542541"/>
    <w:rsid w:val="0054419F"/>
    <w:rsid w:val="005502A9"/>
    <w:rsid w:val="00552256"/>
    <w:rsid w:val="005905EA"/>
    <w:rsid w:val="005D52E5"/>
    <w:rsid w:val="005F499B"/>
    <w:rsid w:val="00606F0F"/>
    <w:rsid w:val="00607FC1"/>
    <w:rsid w:val="0061285C"/>
    <w:rsid w:val="006153C6"/>
    <w:rsid w:val="0063700E"/>
    <w:rsid w:val="00667AC4"/>
    <w:rsid w:val="00683362"/>
    <w:rsid w:val="00684126"/>
    <w:rsid w:val="00684C53"/>
    <w:rsid w:val="0069091D"/>
    <w:rsid w:val="00693AC9"/>
    <w:rsid w:val="006A06DE"/>
    <w:rsid w:val="006B5BA5"/>
    <w:rsid w:val="006B6539"/>
    <w:rsid w:val="006B7369"/>
    <w:rsid w:val="006C6203"/>
    <w:rsid w:val="006D485C"/>
    <w:rsid w:val="006E4BB6"/>
    <w:rsid w:val="006E5148"/>
    <w:rsid w:val="006E56FB"/>
    <w:rsid w:val="006F320B"/>
    <w:rsid w:val="00710F3A"/>
    <w:rsid w:val="007135F5"/>
    <w:rsid w:val="007213EE"/>
    <w:rsid w:val="00731681"/>
    <w:rsid w:val="00752EA8"/>
    <w:rsid w:val="00764D5D"/>
    <w:rsid w:val="00774214"/>
    <w:rsid w:val="007A2129"/>
    <w:rsid w:val="007A4CFE"/>
    <w:rsid w:val="007A7613"/>
    <w:rsid w:val="007D30CE"/>
    <w:rsid w:val="007F11D4"/>
    <w:rsid w:val="00814312"/>
    <w:rsid w:val="008323C5"/>
    <w:rsid w:val="00840817"/>
    <w:rsid w:val="00871475"/>
    <w:rsid w:val="0089380C"/>
    <w:rsid w:val="008A2240"/>
    <w:rsid w:val="008A3040"/>
    <w:rsid w:val="008A3446"/>
    <w:rsid w:val="008B24A5"/>
    <w:rsid w:val="008C222E"/>
    <w:rsid w:val="008D6852"/>
    <w:rsid w:val="008F7768"/>
    <w:rsid w:val="00911250"/>
    <w:rsid w:val="009352A5"/>
    <w:rsid w:val="00940AA0"/>
    <w:rsid w:val="00944E33"/>
    <w:rsid w:val="00946975"/>
    <w:rsid w:val="0095727B"/>
    <w:rsid w:val="009622AF"/>
    <w:rsid w:val="009B0D25"/>
    <w:rsid w:val="00A45F8E"/>
    <w:rsid w:val="00A7178D"/>
    <w:rsid w:val="00A75B93"/>
    <w:rsid w:val="00A90FA0"/>
    <w:rsid w:val="00A92665"/>
    <w:rsid w:val="00AA0A7A"/>
    <w:rsid w:val="00AA2F10"/>
    <w:rsid w:val="00AD12E3"/>
    <w:rsid w:val="00AD2C65"/>
    <w:rsid w:val="00AE2232"/>
    <w:rsid w:val="00B21B97"/>
    <w:rsid w:val="00B27AAD"/>
    <w:rsid w:val="00B31BC4"/>
    <w:rsid w:val="00B3519B"/>
    <w:rsid w:val="00B47539"/>
    <w:rsid w:val="00B56B89"/>
    <w:rsid w:val="00B8600D"/>
    <w:rsid w:val="00B90C13"/>
    <w:rsid w:val="00B91CA0"/>
    <w:rsid w:val="00BD4304"/>
    <w:rsid w:val="00C23DA2"/>
    <w:rsid w:val="00C52054"/>
    <w:rsid w:val="00C63108"/>
    <w:rsid w:val="00CA4C33"/>
    <w:rsid w:val="00CA6B76"/>
    <w:rsid w:val="00CB4654"/>
    <w:rsid w:val="00CE6B47"/>
    <w:rsid w:val="00CF616E"/>
    <w:rsid w:val="00D04B59"/>
    <w:rsid w:val="00D34BD0"/>
    <w:rsid w:val="00D35394"/>
    <w:rsid w:val="00D751B0"/>
    <w:rsid w:val="00D85761"/>
    <w:rsid w:val="00DB08E1"/>
    <w:rsid w:val="00DB116C"/>
    <w:rsid w:val="00DC7B61"/>
    <w:rsid w:val="00DD528A"/>
    <w:rsid w:val="00E40368"/>
    <w:rsid w:val="00E6657E"/>
    <w:rsid w:val="00E87E2D"/>
    <w:rsid w:val="00EA7F53"/>
    <w:rsid w:val="00EC4F25"/>
    <w:rsid w:val="00ED708F"/>
    <w:rsid w:val="00EE1FDB"/>
    <w:rsid w:val="00EE2530"/>
    <w:rsid w:val="00EE300A"/>
    <w:rsid w:val="00F17D87"/>
    <w:rsid w:val="00F20DA3"/>
    <w:rsid w:val="00F25D11"/>
    <w:rsid w:val="00F25D4D"/>
    <w:rsid w:val="00F3698F"/>
    <w:rsid w:val="00F40385"/>
    <w:rsid w:val="00F421D7"/>
    <w:rsid w:val="00F54A75"/>
    <w:rsid w:val="00F54CA1"/>
    <w:rsid w:val="00F813D1"/>
    <w:rsid w:val="00F87FA1"/>
    <w:rsid w:val="00FB4700"/>
    <w:rsid w:val="00F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F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F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9380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89380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9380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89380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938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4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0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08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F20D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2248A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semiHidden/>
    <w:rsid w:val="006A06DE"/>
    <w:rPr>
      <w:sz w:val="16"/>
      <w:szCs w:val="16"/>
    </w:rPr>
  </w:style>
  <w:style w:type="paragraph" w:styleId="CommentText">
    <w:name w:val="annotation text"/>
    <w:basedOn w:val="Normal"/>
    <w:semiHidden/>
    <w:rsid w:val="006A0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06DE"/>
    <w:rPr>
      <w:b/>
      <w:bCs/>
    </w:rPr>
  </w:style>
  <w:style w:type="character" w:styleId="Hyperlink">
    <w:name w:val="Hyperlink"/>
    <w:basedOn w:val="DefaultParagraphFont"/>
    <w:semiHidden/>
    <w:rsid w:val="00D751B0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751B0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68412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708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6F58"/>
    <w:rPr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5425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425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bunkovskis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3840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„Grozījums Ministru kabineta 2011.gada 12.janvāra rīkojumā Nr.12"Par Koncepciju par nepieciešamajām darbībām Eiropas Parlamenta un Padomes 2009.gada 13.jūlija Direktīvā 2009/72/EK par kopīgiem noteikumiem attiecībā uz e</vt:lpstr>
    </vt:vector>
  </TitlesOfParts>
  <Company>Ārlietu ministrija</Company>
  <LinksUpToDate>false</LinksUpToDate>
  <CharactersWithSpaces>6017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mailto:elina.ergle@mfa.gov.lv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2011.gada 5.decembra rīkojumā Nr.635 "Par akciju sabiedrības ”Augstsprieguma tīkls„ akciju pirkšanu un akciju turētāju”sākotnējās ietekmes novērtējuma ziņojums (anotācija)</dc:title>
  <dc:subject>Sākotnējās ietekmes novērtējuma ziņotājs (anotācija)</dc:subject>
  <dc:creator>Jānis Bunkovskis</dc:creator>
  <cp:keywords/>
  <dc:description>janis.bunkovskis@em.gov.lv
67013170</dc:description>
  <cp:lastModifiedBy>BunkovskisJ</cp:lastModifiedBy>
  <cp:revision>5</cp:revision>
  <cp:lastPrinted>2011-03-03T08:10:00Z</cp:lastPrinted>
  <dcterms:created xsi:type="dcterms:W3CDTF">2011-12-14T10:39:00Z</dcterms:created>
  <dcterms:modified xsi:type="dcterms:W3CDTF">2011-12-20T08:09:00Z</dcterms:modified>
</cp:coreProperties>
</file>