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7" w:rsidRPr="00C91D1E" w:rsidRDefault="00643B07" w:rsidP="001F3419">
      <w:pPr>
        <w:pStyle w:val="Footer"/>
        <w:jc w:val="center"/>
        <w:outlineLvl w:val="0"/>
        <w:rPr>
          <w:b/>
          <w:sz w:val="28"/>
          <w:szCs w:val="28"/>
        </w:rPr>
      </w:pPr>
      <w:bookmarkStart w:id="0" w:name="OLE_LINK6"/>
      <w:bookmarkStart w:id="1" w:name="OLE_LINK7"/>
      <w:r w:rsidRPr="00C91D1E">
        <w:rPr>
          <w:b/>
          <w:sz w:val="28"/>
          <w:szCs w:val="28"/>
        </w:rPr>
        <w:t>Ministru kabineta rīkojuma projekta „Par pretendentu un ierēdņu vērtēšanas komisiju”</w:t>
      </w:r>
      <w:r w:rsidRPr="00C91D1E">
        <w:rPr>
          <w:b/>
          <w:bCs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C91D1E">
          <w:rPr>
            <w:b/>
            <w:bCs/>
            <w:sz w:val="28"/>
            <w:szCs w:val="28"/>
          </w:rPr>
          <w:t>ziņojums</w:t>
        </w:r>
      </w:smartTag>
    </w:p>
    <w:p w:rsidR="00643B07" w:rsidRPr="00C91D1E" w:rsidRDefault="00643B07" w:rsidP="001F3419">
      <w:pPr>
        <w:pStyle w:val="naisc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C91D1E">
        <w:rPr>
          <w:b/>
          <w:bCs/>
          <w:sz w:val="28"/>
          <w:szCs w:val="28"/>
        </w:rPr>
        <w:t>(anotācija</w:t>
      </w:r>
      <w:bookmarkEnd w:id="0"/>
      <w:bookmarkEnd w:id="1"/>
      <w:r w:rsidRPr="00C91D1E">
        <w:rPr>
          <w:b/>
          <w:bCs/>
          <w:sz w:val="28"/>
          <w:szCs w:val="28"/>
        </w:rPr>
        <w:t>)</w:t>
      </w:r>
    </w:p>
    <w:p w:rsidR="00643B07" w:rsidRDefault="00643B07" w:rsidP="001F3419">
      <w:pPr>
        <w:pStyle w:val="naisc"/>
        <w:spacing w:before="0" w:beforeAutospacing="0" w:after="0" w:afterAutospacing="0"/>
        <w:jc w:val="center"/>
      </w:pPr>
    </w:p>
    <w:tbl>
      <w:tblPr>
        <w:tblW w:w="47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2607"/>
        <w:gridCol w:w="5624"/>
      </w:tblGrid>
      <w:tr w:rsidR="00643B07" w:rsidRPr="00414B7A" w:rsidTr="00342AAD">
        <w:tc>
          <w:tcPr>
            <w:tcW w:w="5000" w:type="pct"/>
            <w:gridSpan w:val="3"/>
          </w:tcPr>
          <w:p w:rsidR="00643B07" w:rsidRPr="00414B7A" w:rsidRDefault="00CD78A2" w:rsidP="00342AAD">
            <w:pPr>
              <w:pStyle w:val="naisno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78A2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643B07" w:rsidRPr="00414B7A" w:rsidTr="00414B7A">
        <w:tc>
          <w:tcPr>
            <w:tcW w:w="305" w:type="pct"/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87" w:type="pct"/>
          </w:tcPr>
          <w:p w:rsidR="00643B07" w:rsidRPr="00414B7A" w:rsidRDefault="00643B07" w:rsidP="00342AAD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</w:rPr>
              <w:t>Pamatojums</w:t>
            </w:r>
            <w:r w:rsidRPr="00414B7A" w:rsidDel="00C91D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8" w:type="pct"/>
          </w:tcPr>
          <w:p w:rsidR="00643B07" w:rsidRPr="00414B7A" w:rsidRDefault="00643B07" w:rsidP="00342AAD">
            <w:pPr>
              <w:jc w:val="both"/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</w:rPr>
              <w:t xml:space="preserve">Normatīvais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414B7A">
                <w:rPr>
                  <w:sz w:val="28"/>
                  <w:szCs w:val="28"/>
                </w:rPr>
                <w:t>akts</w:t>
              </w:r>
            </w:smartTag>
            <w:r w:rsidRPr="00414B7A">
              <w:rPr>
                <w:sz w:val="28"/>
                <w:szCs w:val="28"/>
              </w:rPr>
              <w:t xml:space="preserve"> nepieciešams, lai nodrošinātu Valsts civildienesta likuma 9.panta pirmās daļas 1.punkta un 35.panta otrās daļas prasību izpildi.</w:t>
            </w:r>
          </w:p>
        </w:tc>
      </w:tr>
      <w:tr w:rsidR="00643B07" w:rsidRPr="00414B7A" w:rsidTr="00414B7A">
        <w:tc>
          <w:tcPr>
            <w:tcW w:w="305" w:type="pct"/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87" w:type="pct"/>
          </w:tcPr>
          <w:p w:rsidR="00643B07" w:rsidRPr="00414B7A" w:rsidRDefault="00643B07" w:rsidP="00342AAD">
            <w:pPr>
              <w:pStyle w:val="BodyText"/>
              <w:widowControl w:val="0"/>
              <w:jc w:val="both"/>
              <w:rPr>
                <w:b w:val="0"/>
                <w:szCs w:val="28"/>
              </w:rPr>
            </w:pPr>
            <w:r w:rsidRPr="00414B7A">
              <w:rPr>
                <w:b w:val="0"/>
                <w:szCs w:val="28"/>
              </w:rPr>
              <w:t>Pašreizējā situācija un problēmas</w:t>
            </w:r>
          </w:p>
        </w:tc>
        <w:tc>
          <w:tcPr>
            <w:tcW w:w="3208" w:type="pct"/>
            <w:tcBorders>
              <w:bottom w:val="single" w:sz="4" w:space="0" w:color="auto"/>
            </w:tcBorders>
          </w:tcPr>
          <w:p w:rsidR="00EE3697" w:rsidRPr="00414B7A" w:rsidRDefault="00643B07" w:rsidP="00E42DD4">
            <w:pPr>
              <w:jc w:val="both"/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</w:rPr>
              <w:t xml:space="preserve">Rīkojuma projekts nepieciešams, jo Ministru kabineta </w:t>
            </w:r>
            <w:r w:rsidR="00637859" w:rsidRPr="00414B7A">
              <w:rPr>
                <w:sz w:val="28"/>
                <w:szCs w:val="28"/>
              </w:rPr>
              <w:t xml:space="preserve">2010.gada 1.aprīļa </w:t>
            </w:r>
            <w:r w:rsidRPr="00414B7A">
              <w:rPr>
                <w:sz w:val="28"/>
                <w:szCs w:val="28"/>
              </w:rPr>
              <w:t>rīkojumā Nr.</w:t>
            </w:r>
            <w:r w:rsidR="00637859" w:rsidRPr="00414B7A">
              <w:rPr>
                <w:sz w:val="28"/>
                <w:szCs w:val="28"/>
              </w:rPr>
              <w:t>185</w:t>
            </w:r>
            <w:r w:rsidRPr="00414B7A">
              <w:rPr>
                <w:sz w:val="28"/>
                <w:szCs w:val="28"/>
              </w:rPr>
              <w:t xml:space="preserve"> “Par pretendentu un ierēdņu vērtēšanas komisiju” apstiprināto amatpersonu dienesta gaitā notikušas būtiskas izmaiņas. </w:t>
            </w:r>
            <w:proofErr w:type="spellStart"/>
            <w:r w:rsidR="00EE3697" w:rsidRPr="00414B7A">
              <w:rPr>
                <w:sz w:val="28"/>
                <w:szCs w:val="28"/>
              </w:rPr>
              <w:t>R.</w:t>
            </w:r>
            <w:r w:rsidR="00CB6249" w:rsidRPr="00414B7A">
              <w:rPr>
                <w:sz w:val="28"/>
                <w:szCs w:val="28"/>
              </w:rPr>
              <w:t>Beinaroviču</w:t>
            </w:r>
            <w:proofErr w:type="spellEnd"/>
            <w:r w:rsidR="00EE3697" w:rsidRPr="00414B7A">
              <w:rPr>
                <w:sz w:val="28"/>
                <w:szCs w:val="28"/>
              </w:rPr>
              <w:t xml:space="preserve"> at</w:t>
            </w:r>
            <w:r w:rsidR="00CB6249" w:rsidRPr="00414B7A">
              <w:rPr>
                <w:sz w:val="28"/>
                <w:szCs w:val="28"/>
              </w:rPr>
              <w:t>brīvoja no</w:t>
            </w:r>
            <w:r w:rsidR="00EE3697" w:rsidRPr="00414B7A">
              <w:rPr>
                <w:sz w:val="28"/>
                <w:szCs w:val="28"/>
              </w:rPr>
              <w:t xml:space="preserve"> Labklājības ministrijas valsts sekretāra amat</w:t>
            </w:r>
            <w:r w:rsidR="00CB6249" w:rsidRPr="00414B7A">
              <w:rPr>
                <w:sz w:val="28"/>
                <w:szCs w:val="28"/>
              </w:rPr>
              <w:t>a</w:t>
            </w:r>
            <w:r w:rsidR="00EE3697" w:rsidRPr="00414B7A">
              <w:rPr>
                <w:sz w:val="28"/>
                <w:szCs w:val="28"/>
              </w:rPr>
              <w:t xml:space="preserve">, </w:t>
            </w:r>
            <w:proofErr w:type="spellStart"/>
            <w:r w:rsidR="00EE3697" w:rsidRPr="00414B7A">
              <w:rPr>
                <w:sz w:val="28"/>
                <w:szCs w:val="28"/>
              </w:rPr>
              <w:t>M.Bičevskis</w:t>
            </w:r>
            <w:proofErr w:type="spellEnd"/>
            <w:r w:rsidR="00EE3697" w:rsidRPr="00414B7A">
              <w:rPr>
                <w:sz w:val="28"/>
                <w:szCs w:val="28"/>
              </w:rPr>
              <w:t xml:space="preserve"> atstāja Finanšu ministrijas valsts sekretāra amatu, </w:t>
            </w:r>
            <w:proofErr w:type="spellStart"/>
            <w:r w:rsidR="00EE3697" w:rsidRPr="00414B7A">
              <w:rPr>
                <w:sz w:val="28"/>
                <w:szCs w:val="28"/>
              </w:rPr>
              <w:t>I.Jaunzeme</w:t>
            </w:r>
            <w:proofErr w:type="spellEnd"/>
            <w:r w:rsidR="00EE3697" w:rsidRPr="00414B7A">
              <w:rPr>
                <w:sz w:val="28"/>
                <w:szCs w:val="28"/>
              </w:rPr>
              <w:t xml:space="preserve"> atstāja Konkurences padomes priekšsēdētājas amatu, </w:t>
            </w:r>
            <w:r w:rsidR="00AA03D8" w:rsidRPr="00414B7A">
              <w:rPr>
                <w:sz w:val="28"/>
                <w:szCs w:val="28"/>
              </w:rPr>
              <w:t>A.Kampar</w:t>
            </w:r>
            <w:r w:rsidR="008D60FD" w:rsidRPr="00414B7A">
              <w:rPr>
                <w:sz w:val="28"/>
                <w:szCs w:val="28"/>
              </w:rPr>
              <w:t>s</w:t>
            </w:r>
            <w:r w:rsidR="00AA03D8" w:rsidRPr="00414B7A">
              <w:rPr>
                <w:sz w:val="28"/>
                <w:szCs w:val="28"/>
              </w:rPr>
              <w:t xml:space="preserve"> </w:t>
            </w:r>
            <w:r w:rsidR="00B66DEC" w:rsidRPr="00414B7A">
              <w:rPr>
                <w:sz w:val="28"/>
                <w:szCs w:val="28"/>
              </w:rPr>
              <w:t>ir nolicis</w:t>
            </w:r>
            <w:r w:rsidR="00AA03D8" w:rsidRPr="00414B7A">
              <w:rPr>
                <w:sz w:val="28"/>
                <w:szCs w:val="28"/>
              </w:rPr>
              <w:t xml:space="preserve"> </w:t>
            </w:r>
            <w:r w:rsidR="001B284E" w:rsidRPr="00414B7A">
              <w:rPr>
                <w:sz w:val="28"/>
                <w:szCs w:val="28"/>
              </w:rPr>
              <w:t>e</w:t>
            </w:r>
            <w:r w:rsidR="00AA03D8" w:rsidRPr="00414B7A">
              <w:rPr>
                <w:sz w:val="28"/>
                <w:szCs w:val="28"/>
              </w:rPr>
              <w:t xml:space="preserve">konomikas ministra </w:t>
            </w:r>
            <w:r w:rsidR="008D60FD" w:rsidRPr="00414B7A">
              <w:rPr>
                <w:sz w:val="28"/>
                <w:szCs w:val="28"/>
              </w:rPr>
              <w:t>pilnvaras</w:t>
            </w:r>
            <w:r w:rsidR="00AA03D8" w:rsidRPr="00414B7A">
              <w:rPr>
                <w:sz w:val="28"/>
                <w:szCs w:val="28"/>
              </w:rPr>
              <w:t xml:space="preserve">, </w:t>
            </w:r>
            <w:r w:rsidR="00306C99" w:rsidRPr="00414B7A">
              <w:rPr>
                <w:sz w:val="28"/>
                <w:szCs w:val="28"/>
              </w:rPr>
              <w:t>G.Veismane atstāja Valsts kancelejas direktora amatu.</w:t>
            </w:r>
          </w:p>
          <w:p w:rsidR="00306C99" w:rsidRPr="00414B7A" w:rsidRDefault="00EE3697" w:rsidP="00E42DD4">
            <w:pPr>
              <w:jc w:val="both"/>
              <w:rPr>
                <w:sz w:val="28"/>
                <w:szCs w:val="28"/>
              </w:rPr>
            </w:pPr>
            <w:proofErr w:type="spellStart"/>
            <w:r w:rsidRPr="00414B7A">
              <w:rPr>
                <w:sz w:val="28"/>
                <w:szCs w:val="28"/>
              </w:rPr>
              <w:t>E.Dreimane</w:t>
            </w:r>
            <w:proofErr w:type="spellEnd"/>
            <w:r w:rsidRPr="00414B7A">
              <w:rPr>
                <w:sz w:val="28"/>
                <w:szCs w:val="28"/>
              </w:rPr>
              <w:t xml:space="preserve"> iecelta Valsts kancelejas direktora amatā, Finanšu ministrijas valsts sekretāra</w:t>
            </w:r>
            <w:r w:rsidR="00643B07" w:rsidRPr="00414B7A">
              <w:rPr>
                <w:sz w:val="28"/>
                <w:szCs w:val="28"/>
              </w:rPr>
              <w:t xml:space="preserve"> amatā apstiprināta </w:t>
            </w:r>
            <w:proofErr w:type="spellStart"/>
            <w:r w:rsidRPr="00414B7A">
              <w:rPr>
                <w:sz w:val="28"/>
                <w:szCs w:val="28"/>
              </w:rPr>
              <w:t>S.Bajāre</w:t>
            </w:r>
            <w:proofErr w:type="spellEnd"/>
            <w:r w:rsidR="00913FEC" w:rsidRPr="00414B7A">
              <w:rPr>
                <w:sz w:val="28"/>
                <w:szCs w:val="28"/>
              </w:rPr>
              <w:t xml:space="preserve">, </w:t>
            </w:r>
            <w:r w:rsidR="0044622A" w:rsidRPr="00414B7A">
              <w:rPr>
                <w:sz w:val="28"/>
                <w:szCs w:val="28"/>
              </w:rPr>
              <w:t xml:space="preserve">Labklājības ministrijas valsts sekretāra amatā apstiprināta </w:t>
            </w:r>
            <w:proofErr w:type="spellStart"/>
            <w:r w:rsidR="0044622A" w:rsidRPr="00414B7A">
              <w:rPr>
                <w:sz w:val="28"/>
                <w:szCs w:val="28"/>
              </w:rPr>
              <w:t>I.Jaunzeme</w:t>
            </w:r>
            <w:proofErr w:type="spellEnd"/>
            <w:r w:rsidR="0044622A" w:rsidRPr="00414B7A">
              <w:rPr>
                <w:sz w:val="28"/>
                <w:szCs w:val="28"/>
              </w:rPr>
              <w:t xml:space="preserve">, </w:t>
            </w:r>
            <w:proofErr w:type="spellStart"/>
            <w:r w:rsidR="00913FEC" w:rsidRPr="00414B7A">
              <w:rPr>
                <w:sz w:val="28"/>
                <w:szCs w:val="28"/>
              </w:rPr>
              <w:t>M.Bičevskis</w:t>
            </w:r>
            <w:proofErr w:type="spellEnd"/>
            <w:r w:rsidR="00643B07" w:rsidRPr="00414B7A">
              <w:rPr>
                <w:sz w:val="28"/>
                <w:szCs w:val="28"/>
              </w:rPr>
              <w:t xml:space="preserve"> </w:t>
            </w:r>
            <w:r w:rsidR="00913FEC" w:rsidRPr="00414B7A">
              <w:rPr>
                <w:sz w:val="28"/>
                <w:szCs w:val="28"/>
              </w:rPr>
              <w:t xml:space="preserve">tika ievēlēts par Latvijas Komercbanku asociācijas prezidentu. </w:t>
            </w:r>
          </w:p>
          <w:p w:rsidR="00643B07" w:rsidRPr="00414B7A" w:rsidRDefault="001B284E" w:rsidP="0044622A">
            <w:pPr>
              <w:jc w:val="both"/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</w:rPr>
              <w:t>Dalībai komisijā tiek uzaicināti un piekrituši</w:t>
            </w:r>
            <w:r w:rsidR="00643B07" w:rsidRPr="00414B7A">
              <w:rPr>
                <w:sz w:val="28"/>
                <w:szCs w:val="28"/>
              </w:rPr>
              <w:t xml:space="preserve"> </w:t>
            </w:r>
            <w:r w:rsidR="0044622A" w:rsidRPr="00414B7A">
              <w:rPr>
                <w:sz w:val="28"/>
                <w:szCs w:val="28"/>
              </w:rPr>
              <w:t xml:space="preserve">ekonomikas ministrs </w:t>
            </w:r>
            <w:proofErr w:type="spellStart"/>
            <w:r w:rsidR="0044622A" w:rsidRPr="00414B7A">
              <w:rPr>
                <w:sz w:val="28"/>
                <w:szCs w:val="28"/>
              </w:rPr>
              <w:t>D.Pavļuts</w:t>
            </w:r>
            <w:proofErr w:type="spellEnd"/>
            <w:r w:rsidR="0044622A" w:rsidRPr="00414B7A">
              <w:rPr>
                <w:sz w:val="28"/>
                <w:szCs w:val="28"/>
              </w:rPr>
              <w:t xml:space="preserve">, </w:t>
            </w:r>
            <w:r w:rsidR="008E385A" w:rsidRPr="00414B7A">
              <w:rPr>
                <w:sz w:val="28"/>
                <w:szCs w:val="28"/>
              </w:rPr>
              <w:t xml:space="preserve">Finanšu ministrijas valsts sekretāra vietnieks </w:t>
            </w:r>
            <w:proofErr w:type="spellStart"/>
            <w:r w:rsidR="008E385A" w:rsidRPr="00414B7A">
              <w:rPr>
                <w:sz w:val="28"/>
                <w:szCs w:val="28"/>
              </w:rPr>
              <w:t>A.Eberhards</w:t>
            </w:r>
            <w:proofErr w:type="spellEnd"/>
            <w:r w:rsidR="008E385A" w:rsidRPr="00414B7A">
              <w:rPr>
                <w:sz w:val="28"/>
                <w:szCs w:val="28"/>
              </w:rPr>
              <w:t xml:space="preserve">, Ekonomikas ministrijas Enerģētikas departamenta direktors D.Merirands, Ārvalstu investoru padomes Latvijā izpilddirektors </w:t>
            </w:r>
            <w:proofErr w:type="spellStart"/>
            <w:r w:rsidR="008E385A" w:rsidRPr="00414B7A">
              <w:rPr>
                <w:sz w:val="28"/>
                <w:szCs w:val="28"/>
              </w:rPr>
              <w:t>Ģ.Greiškalns</w:t>
            </w:r>
            <w:proofErr w:type="spellEnd"/>
            <w:r w:rsidR="008E385A" w:rsidRPr="00414B7A">
              <w:rPr>
                <w:sz w:val="28"/>
                <w:szCs w:val="28"/>
              </w:rPr>
              <w:t xml:space="preserve">, Ekonomikas ministrijas Uzņēmējdarbības konkurētspējas departamenta direktore </w:t>
            </w:r>
            <w:proofErr w:type="spellStart"/>
            <w:r w:rsidR="008E385A" w:rsidRPr="00414B7A">
              <w:rPr>
                <w:sz w:val="28"/>
                <w:szCs w:val="28"/>
              </w:rPr>
              <w:t>I.Beināre</w:t>
            </w:r>
            <w:proofErr w:type="spellEnd"/>
            <w:r w:rsidR="008E385A" w:rsidRPr="00414B7A">
              <w:rPr>
                <w:sz w:val="28"/>
                <w:szCs w:val="28"/>
              </w:rPr>
              <w:t xml:space="preserve">, Ekonomikas ministrijas Būvniecības un mājokļu politikas departamenta direktore </w:t>
            </w:r>
            <w:r w:rsidR="00B53E4F" w:rsidRPr="00414B7A">
              <w:rPr>
                <w:sz w:val="28"/>
                <w:szCs w:val="28"/>
              </w:rPr>
              <w:t xml:space="preserve">I.Oša,  Ekonomikas ministra padomniece I.Druviete, Ekonomikas ministrijas Iekšējā tirgus departaments direktore I.Apsīte, Latvijas Tirdzniecības un rūpniecības kameras valdes priekšsēdētājs </w:t>
            </w:r>
            <w:proofErr w:type="spellStart"/>
            <w:r w:rsidR="00B53E4F" w:rsidRPr="00414B7A">
              <w:rPr>
                <w:sz w:val="28"/>
                <w:szCs w:val="28"/>
              </w:rPr>
              <w:t>J.Endziņš</w:t>
            </w:r>
            <w:proofErr w:type="spellEnd"/>
            <w:r w:rsidR="00B53E4F" w:rsidRPr="00414B7A">
              <w:rPr>
                <w:sz w:val="28"/>
                <w:szCs w:val="28"/>
              </w:rPr>
              <w:t xml:space="preserve">, Latvijas Darba devēju </w:t>
            </w:r>
            <w:r w:rsidR="00B53E4F" w:rsidRPr="00414B7A">
              <w:rPr>
                <w:sz w:val="28"/>
                <w:szCs w:val="28"/>
              </w:rPr>
              <w:lastRenderedPageBreak/>
              <w:t xml:space="preserve">konfederācijas ģenerāldirektore </w:t>
            </w:r>
            <w:proofErr w:type="spellStart"/>
            <w:r w:rsidR="00B53E4F" w:rsidRPr="00414B7A">
              <w:rPr>
                <w:sz w:val="28"/>
                <w:szCs w:val="28"/>
              </w:rPr>
              <w:t>L.Meņģelsone</w:t>
            </w:r>
            <w:proofErr w:type="spellEnd"/>
            <w:r w:rsidR="00B53E4F" w:rsidRPr="00414B7A">
              <w:rPr>
                <w:sz w:val="28"/>
                <w:szCs w:val="28"/>
              </w:rPr>
              <w:t xml:space="preserve">, </w:t>
            </w:r>
            <w:proofErr w:type="spellStart"/>
            <w:r w:rsidR="00B53E4F" w:rsidRPr="00414B7A">
              <w:rPr>
                <w:sz w:val="28"/>
                <w:szCs w:val="28"/>
              </w:rPr>
              <w:t>Pārresoru</w:t>
            </w:r>
            <w:proofErr w:type="spellEnd"/>
            <w:r w:rsidR="00B53E4F" w:rsidRPr="00414B7A">
              <w:rPr>
                <w:sz w:val="28"/>
                <w:szCs w:val="28"/>
              </w:rPr>
              <w:t xml:space="preserve"> koordinācijas centra vadītājs M.Krieviņš, Latvijas Elektrotehnikas un elektronikas rūpniecības asociācijas valdes loceklis N.Bergs</w:t>
            </w:r>
            <w:r w:rsidR="0044622A" w:rsidRPr="00414B7A">
              <w:rPr>
                <w:sz w:val="28"/>
                <w:szCs w:val="28"/>
              </w:rPr>
              <w:t>,</w:t>
            </w:r>
            <w:r w:rsidR="00B53E4F" w:rsidRPr="00414B7A">
              <w:rPr>
                <w:sz w:val="28"/>
                <w:szCs w:val="28"/>
              </w:rPr>
              <w:t xml:space="preserve"> </w:t>
            </w:r>
            <w:r w:rsidR="00913FEC" w:rsidRPr="00414B7A">
              <w:rPr>
                <w:sz w:val="28"/>
                <w:szCs w:val="28"/>
              </w:rPr>
              <w:t xml:space="preserve">Finanšu ministrijas valsts sekretāre </w:t>
            </w:r>
            <w:proofErr w:type="spellStart"/>
            <w:r w:rsidR="00913FEC" w:rsidRPr="00414B7A">
              <w:rPr>
                <w:sz w:val="28"/>
                <w:szCs w:val="28"/>
              </w:rPr>
              <w:t>S.Bajāre</w:t>
            </w:r>
            <w:proofErr w:type="spellEnd"/>
            <w:r w:rsidR="0044622A" w:rsidRPr="00414B7A">
              <w:rPr>
                <w:sz w:val="28"/>
                <w:szCs w:val="28"/>
              </w:rPr>
              <w:t xml:space="preserve"> un Centrālās statistikas pārvaldes priekšniece </w:t>
            </w:r>
            <w:proofErr w:type="spellStart"/>
            <w:r w:rsidR="0044622A" w:rsidRPr="00414B7A">
              <w:rPr>
                <w:sz w:val="28"/>
                <w:szCs w:val="28"/>
              </w:rPr>
              <w:t>A.Žīgure</w:t>
            </w:r>
            <w:proofErr w:type="spellEnd"/>
            <w:r w:rsidR="00643B07" w:rsidRPr="00414B7A">
              <w:rPr>
                <w:sz w:val="28"/>
                <w:szCs w:val="28"/>
              </w:rPr>
              <w:t>.</w:t>
            </w:r>
          </w:p>
        </w:tc>
      </w:tr>
      <w:tr w:rsidR="00643B07" w:rsidRPr="00414B7A" w:rsidTr="00414B7A">
        <w:tc>
          <w:tcPr>
            <w:tcW w:w="305" w:type="pct"/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87" w:type="pct"/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b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208" w:type="pct"/>
            <w:tcBorders>
              <w:bottom w:val="single" w:sz="4" w:space="0" w:color="auto"/>
            </w:tcBorders>
          </w:tcPr>
          <w:p w:rsidR="00643B07" w:rsidRPr="00414B7A" w:rsidRDefault="00643B07" w:rsidP="00342AAD">
            <w:pPr>
              <w:ind w:firstLine="59"/>
              <w:jc w:val="both"/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</w:rPr>
              <w:t>Projekts šo jomu neskar.</w:t>
            </w:r>
          </w:p>
        </w:tc>
      </w:tr>
      <w:tr w:rsidR="00643B07" w:rsidRPr="00414B7A" w:rsidTr="00414B7A">
        <w:tc>
          <w:tcPr>
            <w:tcW w:w="305" w:type="pct"/>
            <w:tcBorders>
              <w:right w:val="single" w:sz="4" w:space="0" w:color="auto"/>
            </w:tcBorders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87" w:type="pct"/>
            <w:tcBorders>
              <w:right w:val="single" w:sz="4" w:space="0" w:color="auto"/>
            </w:tcBorders>
          </w:tcPr>
          <w:p w:rsidR="00643B07" w:rsidRPr="00414B7A" w:rsidRDefault="00643B07" w:rsidP="00342AAD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</w:rPr>
              <w:t>Tiesiskā regulējuma mērķis un būtība</w:t>
            </w:r>
            <w:r w:rsidRPr="00414B7A" w:rsidDel="00C91D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7" w:rsidRPr="00414B7A" w:rsidRDefault="00643B07" w:rsidP="00E42DD4">
            <w:pPr>
              <w:jc w:val="both"/>
              <w:rPr>
                <w:sz w:val="28"/>
                <w:szCs w:val="28"/>
                <w:highlight w:val="yellow"/>
              </w:rPr>
            </w:pPr>
            <w:r w:rsidRPr="00414B7A">
              <w:rPr>
                <w:color w:val="000000"/>
                <w:sz w:val="28"/>
                <w:szCs w:val="28"/>
              </w:rPr>
              <w:t xml:space="preserve">Nodrošināt ierēdņu un pretendentu vērtēšanas komisiju, lai izvērtētu pretendentu atbilstību </w:t>
            </w:r>
            <w:r w:rsidR="00E42DD4" w:rsidRPr="00414B7A">
              <w:rPr>
                <w:color w:val="000000"/>
                <w:sz w:val="28"/>
                <w:szCs w:val="28"/>
              </w:rPr>
              <w:t>Ekonomikas</w:t>
            </w:r>
            <w:r w:rsidRPr="00414B7A">
              <w:rPr>
                <w:color w:val="000000"/>
                <w:sz w:val="28"/>
                <w:szCs w:val="28"/>
              </w:rPr>
              <w:t xml:space="preserve"> ministrijas valsts sekretāra amatam, kā arī </w:t>
            </w:r>
            <w:r w:rsidR="00E42DD4" w:rsidRPr="00414B7A">
              <w:rPr>
                <w:color w:val="000000"/>
                <w:sz w:val="28"/>
                <w:szCs w:val="28"/>
              </w:rPr>
              <w:t>Ekonomikas</w:t>
            </w:r>
            <w:r w:rsidRPr="00414B7A">
              <w:rPr>
                <w:color w:val="000000"/>
                <w:sz w:val="28"/>
                <w:szCs w:val="28"/>
              </w:rPr>
              <w:t xml:space="preserve"> ministrijas padotībā esošo iestāžu vadītāju amatiem un izvērtētu </w:t>
            </w:r>
            <w:r w:rsidR="00E42DD4" w:rsidRPr="00414B7A">
              <w:rPr>
                <w:color w:val="000000"/>
                <w:sz w:val="28"/>
                <w:szCs w:val="28"/>
              </w:rPr>
              <w:t>Ekonomikas</w:t>
            </w:r>
            <w:r w:rsidRPr="00414B7A">
              <w:rPr>
                <w:color w:val="000000"/>
                <w:sz w:val="28"/>
                <w:szCs w:val="28"/>
              </w:rPr>
              <w:t xml:space="preserve"> ministrijas valsts sekretāra un </w:t>
            </w:r>
            <w:r w:rsidR="00E42DD4" w:rsidRPr="00414B7A">
              <w:rPr>
                <w:color w:val="000000"/>
                <w:sz w:val="28"/>
                <w:szCs w:val="28"/>
              </w:rPr>
              <w:t>Ekonomikas</w:t>
            </w:r>
            <w:r w:rsidRPr="00414B7A">
              <w:rPr>
                <w:color w:val="000000"/>
                <w:sz w:val="28"/>
                <w:szCs w:val="28"/>
              </w:rPr>
              <w:t xml:space="preserve"> ministrijas padotībā esošo iestāžu vadītāju darbību un tās rezultātus.</w:t>
            </w:r>
          </w:p>
        </w:tc>
      </w:tr>
      <w:tr w:rsidR="00643B07" w:rsidRPr="00414B7A" w:rsidTr="00414B7A">
        <w:tc>
          <w:tcPr>
            <w:tcW w:w="305" w:type="pct"/>
            <w:tcBorders>
              <w:right w:val="single" w:sz="4" w:space="0" w:color="auto"/>
            </w:tcBorders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87" w:type="pct"/>
            <w:tcBorders>
              <w:right w:val="single" w:sz="4" w:space="0" w:color="auto"/>
            </w:tcBorders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7" w:rsidRPr="00414B7A" w:rsidRDefault="00C57A7E" w:rsidP="00ED48F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color w:val="000000"/>
                <w:sz w:val="28"/>
                <w:szCs w:val="28"/>
              </w:rPr>
              <w:t>Ekonomikas ministrija</w:t>
            </w:r>
            <w:r w:rsidR="001B284E" w:rsidRPr="00414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Finanšu ministrija, Zemkopības ministrija, Valsts kanceleja, Vides aizsardzības un reģionālās attīstības ministrija, Tieslietu ministrija, Tūrisma attīstības valsts aģentūra, </w:t>
            </w:r>
            <w:proofErr w:type="spellStart"/>
            <w:r w:rsidR="001B284E" w:rsidRPr="00414B7A">
              <w:rPr>
                <w:rFonts w:ascii="Times New Roman" w:hAnsi="Times New Roman"/>
                <w:color w:val="000000"/>
                <w:sz w:val="28"/>
                <w:szCs w:val="28"/>
              </w:rPr>
              <w:t>Pārresoru</w:t>
            </w:r>
            <w:proofErr w:type="spellEnd"/>
            <w:r w:rsidR="001B284E" w:rsidRPr="00414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koordinācijas centrs</w:t>
            </w:r>
            <w:r w:rsidR="0044622A" w:rsidRPr="00414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bookmarkStart w:id="2" w:name="_GoBack"/>
            <w:r w:rsidR="0044622A" w:rsidRPr="00414B7A">
              <w:rPr>
                <w:rFonts w:ascii="Times New Roman" w:hAnsi="Times New Roman"/>
                <w:color w:val="000000"/>
                <w:sz w:val="28"/>
                <w:szCs w:val="28"/>
              </w:rPr>
              <w:t>Centrālās statistikas pārvalde</w:t>
            </w:r>
            <w:bookmarkEnd w:id="2"/>
            <w:r w:rsidR="00FA7CCB" w:rsidRPr="00414B7A">
              <w:rPr>
                <w:rFonts w:ascii="Times New Roman" w:hAnsi="Times New Roman"/>
                <w:color w:val="000000"/>
                <w:sz w:val="28"/>
                <w:szCs w:val="28"/>
              </w:rPr>
              <w:t>, Labklājības ministrija</w:t>
            </w:r>
          </w:p>
        </w:tc>
      </w:tr>
      <w:tr w:rsidR="00643B07" w:rsidRPr="00414B7A" w:rsidTr="00414B7A">
        <w:tc>
          <w:tcPr>
            <w:tcW w:w="305" w:type="pct"/>
            <w:tcBorders>
              <w:right w:val="single" w:sz="4" w:space="0" w:color="auto"/>
            </w:tcBorders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87" w:type="pct"/>
            <w:tcBorders>
              <w:right w:val="single" w:sz="4" w:space="0" w:color="auto"/>
            </w:tcBorders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7" w:rsidRPr="00414B7A" w:rsidRDefault="001B284E" w:rsidP="00826FDE">
            <w:pPr>
              <w:jc w:val="both"/>
              <w:rPr>
                <w:color w:val="000000"/>
                <w:sz w:val="28"/>
                <w:szCs w:val="28"/>
              </w:rPr>
            </w:pPr>
            <w:r w:rsidRPr="00414B7A">
              <w:rPr>
                <w:color w:val="000000"/>
                <w:sz w:val="28"/>
                <w:szCs w:val="28"/>
              </w:rPr>
              <w:t>P</w:t>
            </w:r>
            <w:r w:rsidR="00C57A7E" w:rsidRPr="00414B7A">
              <w:rPr>
                <w:color w:val="000000"/>
                <w:sz w:val="28"/>
                <w:szCs w:val="28"/>
              </w:rPr>
              <w:t xml:space="preserve">rojekta izpildē tiks iesaistīti arī </w:t>
            </w:r>
            <w:r w:rsidR="00E567E6" w:rsidRPr="00414B7A">
              <w:rPr>
                <w:color w:val="000000"/>
                <w:sz w:val="28"/>
                <w:szCs w:val="28"/>
              </w:rPr>
              <w:t xml:space="preserve">Ārvalstu investoru padomes Latvijā, </w:t>
            </w:r>
            <w:r w:rsidR="00826FDE" w:rsidRPr="00414B7A">
              <w:rPr>
                <w:color w:val="000000"/>
                <w:sz w:val="28"/>
                <w:szCs w:val="28"/>
              </w:rPr>
              <w:t xml:space="preserve">Latvijas Tirdzniecības un rūpniecības kameras, Kokrūpniecības federācijas, Darba devēju konfederācijas, Komercbanku asociācijas, Komercbanku asociācijas Elektrotehnikas un elektronikas rūpniecības asociācijas, Mašīnbūves un metālapstrādes rūpniecības asociācijas </w:t>
            </w:r>
            <w:r w:rsidR="00C57A7E" w:rsidRPr="00414B7A">
              <w:rPr>
                <w:color w:val="000000"/>
                <w:sz w:val="28"/>
                <w:szCs w:val="28"/>
              </w:rPr>
              <w:t xml:space="preserve">un </w:t>
            </w:r>
            <w:r w:rsidR="00826FDE" w:rsidRPr="00414B7A">
              <w:rPr>
                <w:color w:val="000000"/>
                <w:sz w:val="28"/>
                <w:szCs w:val="28"/>
              </w:rPr>
              <w:t>Latvijas ķīmijas un farmācijas asociācijas</w:t>
            </w:r>
            <w:r w:rsidR="00C57A7E" w:rsidRPr="00414B7A">
              <w:rPr>
                <w:color w:val="000000"/>
                <w:sz w:val="28"/>
                <w:szCs w:val="28"/>
              </w:rPr>
              <w:t xml:space="preserve"> pārstāvji.</w:t>
            </w:r>
          </w:p>
        </w:tc>
      </w:tr>
      <w:tr w:rsidR="00643B07" w:rsidRPr="00414B7A" w:rsidTr="00414B7A">
        <w:trPr>
          <w:trHeight w:val="232"/>
        </w:trPr>
        <w:tc>
          <w:tcPr>
            <w:tcW w:w="305" w:type="pct"/>
          </w:tcPr>
          <w:p w:rsidR="00643B07" w:rsidRPr="00414B7A" w:rsidRDefault="00643B07" w:rsidP="00342AAD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</w:rPr>
              <w:t>7.</w:t>
            </w:r>
          </w:p>
        </w:tc>
        <w:tc>
          <w:tcPr>
            <w:tcW w:w="1487" w:type="pct"/>
          </w:tcPr>
          <w:p w:rsidR="00643B07" w:rsidRPr="00414B7A" w:rsidRDefault="00643B07" w:rsidP="00342AAD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</w:rPr>
              <w:t>Cita informācija</w:t>
            </w:r>
          </w:p>
        </w:tc>
        <w:tc>
          <w:tcPr>
            <w:tcW w:w="3208" w:type="pct"/>
            <w:tcBorders>
              <w:top w:val="single" w:sz="4" w:space="0" w:color="auto"/>
            </w:tcBorders>
          </w:tcPr>
          <w:p w:rsidR="00643B07" w:rsidRPr="00414B7A" w:rsidRDefault="00643B07" w:rsidP="00342AAD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</w:rPr>
              <w:t>Nav</w:t>
            </w:r>
            <w:r w:rsidR="00414B7A">
              <w:rPr>
                <w:sz w:val="28"/>
                <w:szCs w:val="28"/>
              </w:rPr>
              <w:t>.</w:t>
            </w:r>
          </w:p>
        </w:tc>
      </w:tr>
    </w:tbl>
    <w:p w:rsidR="00414B7A" w:rsidRDefault="00414B7A" w:rsidP="001F3419"/>
    <w:p w:rsidR="00414B7A" w:rsidRDefault="00414B7A" w:rsidP="001F3419">
      <w:pPr>
        <w:rPr>
          <w:b/>
          <w:sz w:val="28"/>
          <w:szCs w:val="28"/>
        </w:rPr>
      </w:pPr>
    </w:p>
    <w:p w:rsidR="00643B07" w:rsidRDefault="00643B07" w:rsidP="001F3419">
      <w:pPr>
        <w:rPr>
          <w:b/>
          <w:sz w:val="28"/>
          <w:szCs w:val="28"/>
        </w:rPr>
      </w:pPr>
      <w:r w:rsidRPr="00414B7A">
        <w:rPr>
          <w:b/>
          <w:sz w:val="28"/>
          <w:szCs w:val="28"/>
        </w:rPr>
        <w:t>II, III, IV, V un VI sadaļa – projekts šīs jomas neskar.</w:t>
      </w:r>
    </w:p>
    <w:p w:rsidR="00414B7A" w:rsidRDefault="00414B7A" w:rsidP="001F3419">
      <w:pPr>
        <w:rPr>
          <w:b/>
          <w:sz w:val="28"/>
          <w:szCs w:val="28"/>
        </w:rPr>
      </w:pPr>
    </w:p>
    <w:p w:rsidR="00414B7A" w:rsidRPr="00414B7A" w:rsidRDefault="00414B7A" w:rsidP="001F3419">
      <w:pPr>
        <w:rPr>
          <w:b/>
          <w:sz w:val="28"/>
          <w:szCs w:val="28"/>
        </w:rPr>
      </w:pPr>
    </w:p>
    <w:p w:rsidR="00414B7A" w:rsidRPr="00414B7A" w:rsidRDefault="00414B7A" w:rsidP="001F3419">
      <w:pPr>
        <w:rPr>
          <w:sz w:val="28"/>
          <w:szCs w:val="28"/>
        </w:rPr>
      </w:pPr>
    </w:p>
    <w:tbl>
      <w:tblPr>
        <w:tblW w:w="4757" w:type="pct"/>
        <w:tblCellSpacing w:w="15" w:type="dxa"/>
        <w:tblInd w:w="17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4434"/>
        <w:gridCol w:w="3896"/>
      </w:tblGrid>
      <w:tr w:rsidR="00643B07" w:rsidRPr="00414B7A" w:rsidTr="00342AA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</w:tcBorders>
          </w:tcPr>
          <w:p w:rsidR="00643B07" w:rsidRPr="00414B7A" w:rsidRDefault="00643B07" w:rsidP="00342AAD">
            <w:pPr>
              <w:pStyle w:val="tvhtmlmktab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VII. Tiesību akta projekta izpildes nodrošināšana un tās ietekme uz institūcijām</w:t>
            </w:r>
          </w:p>
        </w:tc>
      </w:tr>
      <w:tr w:rsidR="00643B07" w:rsidRPr="00414B7A" w:rsidTr="00414B7A">
        <w:trPr>
          <w:tblCellSpacing w:w="15" w:type="dxa"/>
        </w:trPr>
        <w:tc>
          <w:tcPr>
            <w:tcW w:w="227" w:type="pct"/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0" w:type="pct"/>
          </w:tcPr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2194" w:type="pct"/>
          </w:tcPr>
          <w:p w:rsidR="00643B07" w:rsidRPr="00414B7A" w:rsidRDefault="00C57A7E" w:rsidP="00342AAD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 xml:space="preserve">Finanšu ministrija, Zemkopības ministrija, Valsts kanceleja, Vides aizsardzības un reģionālās attīstības ministrija, Tieslietu ministrija, Tūrisma attīstības valsts aģentūra, </w:t>
            </w:r>
            <w:proofErr w:type="spellStart"/>
            <w:r w:rsidRPr="00414B7A">
              <w:rPr>
                <w:rFonts w:ascii="Times New Roman" w:hAnsi="Times New Roman"/>
                <w:sz w:val="28"/>
                <w:szCs w:val="28"/>
              </w:rPr>
              <w:t>Pārresoru</w:t>
            </w:r>
            <w:proofErr w:type="spellEnd"/>
            <w:r w:rsidRPr="00414B7A">
              <w:rPr>
                <w:rFonts w:ascii="Times New Roman" w:hAnsi="Times New Roman"/>
                <w:sz w:val="28"/>
                <w:szCs w:val="28"/>
              </w:rPr>
              <w:t xml:space="preserve"> koordinācijas centrs</w:t>
            </w:r>
            <w:r w:rsidR="00FA7CCB" w:rsidRPr="00414B7A">
              <w:rPr>
                <w:rFonts w:ascii="Times New Roman" w:hAnsi="Times New Roman"/>
                <w:sz w:val="28"/>
                <w:szCs w:val="28"/>
              </w:rPr>
              <w:t>, Centrālās statistikas pārvalde, Labklājības ministrija</w:t>
            </w:r>
          </w:p>
        </w:tc>
      </w:tr>
      <w:tr w:rsidR="00643B07" w:rsidRPr="00414B7A" w:rsidTr="00414B7A">
        <w:trPr>
          <w:tblCellSpacing w:w="15" w:type="dxa"/>
        </w:trPr>
        <w:tc>
          <w:tcPr>
            <w:tcW w:w="227" w:type="pct"/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10" w:type="pct"/>
          </w:tcPr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2194" w:type="pct"/>
          </w:tcPr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643B07" w:rsidRPr="00414B7A" w:rsidTr="00414B7A">
        <w:trPr>
          <w:tblCellSpacing w:w="15" w:type="dxa"/>
        </w:trPr>
        <w:tc>
          <w:tcPr>
            <w:tcW w:w="227" w:type="pct"/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10" w:type="pct"/>
          </w:tcPr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Projekta izpildes ietekme uz pārvaldes institucionālo struktūru.</w:t>
            </w:r>
          </w:p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Jaunu institūciju izveide</w:t>
            </w:r>
          </w:p>
        </w:tc>
        <w:tc>
          <w:tcPr>
            <w:tcW w:w="2194" w:type="pct"/>
          </w:tcPr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643B07" w:rsidRPr="00414B7A" w:rsidTr="00414B7A">
        <w:trPr>
          <w:tblCellSpacing w:w="15" w:type="dxa"/>
        </w:trPr>
        <w:tc>
          <w:tcPr>
            <w:tcW w:w="227" w:type="pct"/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10" w:type="pct"/>
          </w:tcPr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Projekta izpildes ietekme uz pārvaldes institucionālo struktūru.</w:t>
            </w:r>
          </w:p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Esošu institūciju likvidācija</w:t>
            </w:r>
          </w:p>
        </w:tc>
        <w:tc>
          <w:tcPr>
            <w:tcW w:w="2194" w:type="pct"/>
          </w:tcPr>
          <w:p w:rsidR="00C57A7E" w:rsidRPr="00414B7A" w:rsidRDefault="00643B07" w:rsidP="00C57A7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  <w:p w:rsidR="00C57A7E" w:rsidRPr="00414B7A" w:rsidRDefault="00C57A7E" w:rsidP="00C57A7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A7E" w:rsidRPr="00414B7A" w:rsidRDefault="00C57A7E" w:rsidP="00C57A7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A7E" w:rsidRPr="00414B7A" w:rsidRDefault="00C57A7E" w:rsidP="00C57A7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B07" w:rsidRPr="00414B7A" w:rsidTr="00414B7A">
        <w:trPr>
          <w:tblCellSpacing w:w="15" w:type="dxa"/>
        </w:trPr>
        <w:tc>
          <w:tcPr>
            <w:tcW w:w="227" w:type="pct"/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10" w:type="pct"/>
          </w:tcPr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Projekta izpildes ietekme uz pārvaldes institucionālo struktūru.</w:t>
            </w:r>
          </w:p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Esošu institūciju reorganizācija</w:t>
            </w:r>
          </w:p>
        </w:tc>
        <w:tc>
          <w:tcPr>
            <w:tcW w:w="2194" w:type="pct"/>
          </w:tcPr>
          <w:p w:rsidR="00643B07" w:rsidRPr="00414B7A" w:rsidRDefault="00643B07" w:rsidP="00342AAD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  <w:p w:rsidR="00C57A7E" w:rsidRPr="00414B7A" w:rsidRDefault="00C57A7E" w:rsidP="00C57A7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B07" w:rsidRPr="00414B7A" w:rsidTr="00414B7A">
        <w:trPr>
          <w:tblCellSpacing w:w="15" w:type="dxa"/>
        </w:trPr>
        <w:tc>
          <w:tcPr>
            <w:tcW w:w="227" w:type="pct"/>
            <w:tcBorders>
              <w:bottom w:val="inset" w:sz="6" w:space="0" w:color="auto"/>
            </w:tcBorders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10" w:type="pct"/>
            <w:tcBorders>
              <w:bottom w:val="inset" w:sz="6" w:space="0" w:color="auto"/>
            </w:tcBorders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2194" w:type="pct"/>
            <w:tcBorders>
              <w:bottom w:val="inset" w:sz="6" w:space="0" w:color="auto"/>
            </w:tcBorders>
          </w:tcPr>
          <w:p w:rsidR="00643B07" w:rsidRPr="00414B7A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414B7A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643B07" w:rsidRDefault="00643B07" w:rsidP="00FA7CCB">
      <w:pPr>
        <w:pStyle w:val="naisf"/>
        <w:spacing w:before="0" w:beforeAutospacing="0" w:after="0" w:afterAutospacing="0"/>
        <w:rPr>
          <w:sz w:val="28"/>
        </w:rPr>
      </w:pPr>
    </w:p>
    <w:p w:rsidR="00A43A1B" w:rsidRDefault="00A43A1B" w:rsidP="001F3419">
      <w:pPr>
        <w:pStyle w:val="naisf"/>
        <w:spacing w:before="0" w:beforeAutospacing="0" w:after="0" w:afterAutospacing="0"/>
        <w:ind w:firstLine="720"/>
        <w:rPr>
          <w:sz w:val="28"/>
        </w:rPr>
      </w:pPr>
    </w:p>
    <w:p w:rsidR="00643B07" w:rsidRPr="00D67270" w:rsidRDefault="00E42DD4" w:rsidP="00D67270">
      <w:pPr>
        <w:pStyle w:val="naisf"/>
        <w:spacing w:before="0" w:beforeAutospacing="0" w:after="0" w:afterAutospacing="0"/>
        <w:rPr>
          <w:b/>
          <w:sz w:val="28"/>
        </w:rPr>
      </w:pPr>
      <w:r w:rsidRPr="00D67270">
        <w:rPr>
          <w:b/>
          <w:sz w:val="28"/>
        </w:rPr>
        <w:t>Ekonomikas</w:t>
      </w:r>
      <w:r w:rsidR="00643B07" w:rsidRPr="00D67270">
        <w:rPr>
          <w:b/>
          <w:sz w:val="28"/>
        </w:rPr>
        <w:t xml:space="preserve"> ministr</w:t>
      </w:r>
      <w:r w:rsidRPr="00D67270">
        <w:rPr>
          <w:b/>
          <w:sz w:val="28"/>
        </w:rPr>
        <w:t>s</w:t>
      </w:r>
      <w:r w:rsidR="00643B07" w:rsidRPr="00D67270">
        <w:rPr>
          <w:b/>
          <w:sz w:val="28"/>
        </w:rPr>
        <w:tab/>
      </w:r>
      <w:r w:rsidR="00643B07" w:rsidRPr="00D67270">
        <w:rPr>
          <w:b/>
          <w:sz w:val="28"/>
        </w:rPr>
        <w:tab/>
      </w:r>
      <w:r w:rsidR="00643B07" w:rsidRPr="00D67270">
        <w:rPr>
          <w:b/>
          <w:sz w:val="28"/>
        </w:rPr>
        <w:tab/>
      </w:r>
      <w:r w:rsidR="00643B07" w:rsidRPr="00D67270">
        <w:rPr>
          <w:b/>
          <w:sz w:val="28"/>
        </w:rPr>
        <w:tab/>
      </w:r>
      <w:r w:rsidR="00643B07" w:rsidRPr="00D67270">
        <w:rPr>
          <w:b/>
          <w:sz w:val="28"/>
        </w:rPr>
        <w:tab/>
      </w:r>
      <w:r w:rsidR="00D67270">
        <w:rPr>
          <w:b/>
          <w:sz w:val="28"/>
        </w:rPr>
        <w:tab/>
      </w:r>
      <w:r w:rsidR="00D67270">
        <w:rPr>
          <w:b/>
          <w:sz w:val="28"/>
        </w:rPr>
        <w:tab/>
      </w:r>
      <w:proofErr w:type="spellStart"/>
      <w:r w:rsidRPr="00D67270">
        <w:rPr>
          <w:b/>
          <w:sz w:val="28"/>
        </w:rPr>
        <w:t>D.Pavļuts</w:t>
      </w:r>
      <w:proofErr w:type="spellEnd"/>
      <w:r w:rsidRPr="00D67270">
        <w:rPr>
          <w:b/>
          <w:sz w:val="28"/>
        </w:rPr>
        <w:t xml:space="preserve"> </w:t>
      </w:r>
    </w:p>
    <w:p w:rsidR="00643B07" w:rsidRPr="00D67270" w:rsidRDefault="00643B07" w:rsidP="001F3419">
      <w:pPr>
        <w:pStyle w:val="naisf"/>
        <w:spacing w:before="0" w:beforeAutospacing="0" w:after="0" w:afterAutospacing="0"/>
        <w:rPr>
          <w:b/>
          <w:sz w:val="28"/>
        </w:rPr>
      </w:pPr>
    </w:p>
    <w:p w:rsidR="00D67270" w:rsidRDefault="00D67270" w:rsidP="001F3419">
      <w:pPr>
        <w:pStyle w:val="naisf"/>
        <w:spacing w:before="0" w:beforeAutospacing="0" w:after="0" w:afterAutospacing="0"/>
        <w:rPr>
          <w:b/>
          <w:sz w:val="28"/>
        </w:rPr>
      </w:pPr>
    </w:p>
    <w:p w:rsidR="00A43A1B" w:rsidRPr="00D67270" w:rsidRDefault="001B284E" w:rsidP="001F3419">
      <w:pPr>
        <w:pStyle w:val="naisf"/>
        <w:spacing w:before="0" w:beforeAutospacing="0" w:after="0" w:afterAutospacing="0"/>
        <w:rPr>
          <w:b/>
          <w:sz w:val="28"/>
        </w:rPr>
      </w:pPr>
      <w:r w:rsidRPr="00D67270">
        <w:rPr>
          <w:b/>
          <w:sz w:val="28"/>
        </w:rPr>
        <w:t xml:space="preserve">Vīza:  Valsts sekretārs                                              </w:t>
      </w:r>
      <w:r w:rsidR="00D67270">
        <w:rPr>
          <w:b/>
          <w:sz w:val="28"/>
        </w:rPr>
        <w:tab/>
      </w:r>
      <w:r w:rsidR="00D67270">
        <w:rPr>
          <w:b/>
          <w:sz w:val="28"/>
        </w:rPr>
        <w:tab/>
      </w:r>
      <w:r w:rsidRPr="00D67270">
        <w:rPr>
          <w:b/>
          <w:sz w:val="28"/>
        </w:rPr>
        <w:t xml:space="preserve"> J.Pūce</w:t>
      </w:r>
    </w:p>
    <w:p w:rsidR="00A43A1B" w:rsidRDefault="00A43A1B" w:rsidP="001F3419">
      <w:pPr>
        <w:pStyle w:val="naisf"/>
        <w:spacing w:before="0" w:beforeAutospacing="0" w:after="0" w:afterAutospacing="0"/>
        <w:rPr>
          <w:sz w:val="28"/>
        </w:rPr>
      </w:pPr>
    </w:p>
    <w:p w:rsidR="00A43A1B" w:rsidRDefault="00A43A1B" w:rsidP="001F3419">
      <w:pPr>
        <w:pStyle w:val="naisf"/>
        <w:spacing w:before="0" w:beforeAutospacing="0" w:after="0" w:afterAutospacing="0"/>
        <w:rPr>
          <w:sz w:val="28"/>
        </w:rPr>
      </w:pPr>
    </w:p>
    <w:p w:rsidR="00643B07" w:rsidRDefault="00643B07" w:rsidP="001F3419">
      <w:pPr>
        <w:ind w:right="283"/>
        <w:jc w:val="both"/>
        <w:rPr>
          <w:sz w:val="18"/>
          <w:szCs w:val="18"/>
        </w:rPr>
      </w:pPr>
    </w:p>
    <w:p w:rsidR="00643B07" w:rsidRDefault="00643B07" w:rsidP="001F3419">
      <w:pPr>
        <w:ind w:right="283"/>
        <w:jc w:val="both"/>
        <w:rPr>
          <w:sz w:val="18"/>
          <w:szCs w:val="18"/>
        </w:rPr>
      </w:pPr>
    </w:p>
    <w:p w:rsidR="00A43A1B" w:rsidRPr="00414B7A" w:rsidRDefault="00414B7A" w:rsidP="001F3419">
      <w:pPr>
        <w:ind w:left="1680" w:hanging="1680"/>
        <w:jc w:val="both"/>
        <w:outlineLvl w:val="0"/>
      </w:pPr>
      <w:r w:rsidRPr="00414B7A">
        <w:t>16.04.2012. 1</w:t>
      </w:r>
      <w:r w:rsidR="00D67270">
        <w:t>4:35</w:t>
      </w:r>
    </w:p>
    <w:p w:rsidR="00414B7A" w:rsidRPr="00414B7A" w:rsidRDefault="00414B7A" w:rsidP="001F3419">
      <w:pPr>
        <w:ind w:left="1680" w:hanging="1680"/>
        <w:jc w:val="both"/>
      </w:pPr>
      <w:r w:rsidRPr="00414B7A">
        <w:t>491</w:t>
      </w:r>
    </w:p>
    <w:p w:rsidR="00A43A1B" w:rsidRPr="00414B7A" w:rsidRDefault="00826FDE" w:rsidP="001F3419">
      <w:pPr>
        <w:ind w:left="1680" w:hanging="1680"/>
        <w:jc w:val="both"/>
      </w:pPr>
      <w:r w:rsidRPr="00414B7A">
        <w:t>Stinkeviča</w:t>
      </w:r>
    </w:p>
    <w:p w:rsidR="00643B07" w:rsidRPr="00414B7A" w:rsidRDefault="00826FDE" w:rsidP="00A43A1B">
      <w:pPr>
        <w:ind w:left="1680" w:hanging="1680"/>
        <w:jc w:val="both"/>
      </w:pPr>
      <w:bookmarkStart w:id="3" w:name="OLE_LINK9"/>
      <w:bookmarkStart w:id="4" w:name="OLE_LINK10"/>
      <w:r w:rsidRPr="00414B7A">
        <w:t>67013125</w:t>
      </w:r>
      <w:r w:rsidR="00A43A1B" w:rsidRPr="00414B7A">
        <w:t xml:space="preserve">, </w:t>
      </w:r>
      <w:r w:rsidRPr="00414B7A">
        <w:t>Anna.Stinkevica</w:t>
      </w:r>
      <w:r w:rsidR="00643B07" w:rsidRPr="00414B7A">
        <w:t>@</w:t>
      </w:r>
      <w:r w:rsidRPr="00414B7A">
        <w:t>e</w:t>
      </w:r>
      <w:r w:rsidR="00643B07" w:rsidRPr="00414B7A">
        <w:t>m.gov.lv</w:t>
      </w:r>
    </w:p>
    <w:bookmarkEnd w:id="3"/>
    <w:bookmarkEnd w:id="4"/>
    <w:p w:rsidR="00643B07" w:rsidRDefault="00643B07"/>
    <w:sectPr w:rsidR="00643B07" w:rsidSect="00414B7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57" w:rsidRDefault="00BA0457" w:rsidP="001F3419">
      <w:r>
        <w:separator/>
      </w:r>
    </w:p>
  </w:endnote>
  <w:endnote w:type="continuationSeparator" w:id="0">
    <w:p w:rsidR="00BA0457" w:rsidRDefault="00BA0457" w:rsidP="001F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07" w:rsidRPr="00414B7A" w:rsidRDefault="00414B7A" w:rsidP="00414B7A">
    <w:pPr>
      <w:pStyle w:val="Footer"/>
      <w:jc w:val="both"/>
    </w:pPr>
    <w:r w:rsidRPr="00414B7A">
      <w:t>EMAnot_</w:t>
    </w:r>
    <w:r>
      <w:t>1604</w:t>
    </w:r>
    <w:r w:rsidRPr="00414B7A">
      <w:t>12</w:t>
    </w:r>
    <w:r>
      <w:t>_ieredni</w:t>
    </w:r>
    <w:r w:rsidRPr="00414B7A">
      <w:t xml:space="preserve">; </w:t>
    </w:r>
    <w:bookmarkStart w:id="5" w:name="OLE_LINK5"/>
    <w:bookmarkStart w:id="6" w:name="OLE_LINK8"/>
    <w:bookmarkStart w:id="7" w:name="_Hlk322339958"/>
    <w:r>
      <w:t xml:space="preserve">Ministru kabineta rīkojuma projekta anotācija </w:t>
    </w:r>
    <w:r w:rsidRPr="00414B7A">
      <w:t>„Par pretendentu un ierēdņu vērtēšanas komisiju”</w:t>
    </w:r>
    <w:bookmarkEnd w:id="5"/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07" w:rsidRPr="00414B7A" w:rsidRDefault="00826FDE" w:rsidP="005D583C">
    <w:pPr>
      <w:pStyle w:val="Footer"/>
      <w:jc w:val="both"/>
    </w:pPr>
    <w:r w:rsidRPr="00414B7A">
      <w:t>EM</w:t>
    </w:r>
    <w:r w:rsidR="00643B07" w:rsidRPr="00414B7A">
      <w:t>Anot_</w:t>
    </w:r>
    <w:r w:rsidR="00414B7A">
      <w:t>1604</w:t>
    </w:r>
    <w:r w:rsidR="00643B07" w:rsidRPr="00414B7A">
      <w:t>12</w:t>
    </w:r>
    <w:r w:rsidR="00414B7A">
      <w:t>_ieredni</w:t>
    </w:r>
    <w:r w:rsidR="00643B07" w:rsidRPr="00414B7A">
      <w:t xml:space="preserve">; </w:t>
    </w:r>
    <w:r w:rsidR="00414B7A">
      <w:t xml:space="preserve">Ministru kabineta rīkojuma projekta anotācija </w:t>
    </w:r>
    <w:r w:rsidR="00643B07" w:rsidRPr="00414B7A">
      <w:t>„Par pretendentu un ierēdņu vērtēšanas komisiju”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57" w:rsidRDefault="00BA0457" w:rsidP="001F3419">
      <w:r>
        <w:separator/>
      </w:r>
    </w:p>
  </w:footnote>
  <w:footnote w:type="continuationSeparator" w:id="0">
    <w:p w:rsidR="00BA0457" w:rsidRDefault="00BA0457" w:rsidP="001F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07" w:rsidRDefault="00050D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B07" w:rsidRDefault="00643B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07" w:rsidRDefault="00050D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270">
      <w:rPr>
        <w:rStyle w:val="PageNumber"/>
        <w:noProof/>
      </w:rPr>
      <w:t>3</w:t>
    </w:r>
    <w:r>
      <w:rPr>
        <w:rStyle w:val="PageNumber"/>
      </w:rPr>
      <w:fldChar w:fldCharType="end"/>
    </w:r>
  </w:p>
  <w:p w:rsidR="00643B07" w:rsidRDefault="00643B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19"/>
    <w:rsid w:val="0002499C"/>
    <w:rsid w:val="00050D06"/>
    <w:rsid w:val="000B5983"/>
    <w:rsid w:val="000F5E05"/>
    <w:rsid w:val="00101B76"/>
    <w:rsid w:val="00110DF0"/>
    <w:rsid w:val="00111E0E"/>
    <w:rsid w:val="001B284E"/>
    <w:rsid w:val="001B35E1"/>
    <w:rsid w:val="001F3419"/>
    <w:rsid w:val="00230EEC"/>
    <w:rsid w:val="00252CDC"/>
    <w:rsid w:val="002B3C6D"/>
    <w:rsid w:val="00306C99"/>
    <w:rsid w:val="00342AAD"/>
    <w:rsid w:val="003B2EAE"/>
    <w:rsid w:val="003F02EB"/>
    <w:rsid w:val="00414B7A"/>
    <w:rsid w:val="0044622A"/>
    <w:rsid w:val="00474D96"/>
    <w:rsid w:val="004A53A6"/>
    <w:rsid w:val="004A72D2"/>
    <w:rsid w:val="004F1BFF"/>
    <w:rsid w:val="005143D0"/>
    <w:rsid w:val="00580256"/>
    <w:rsid w:val="005D583C"/>
    <w:rsid w:val="0062227F"/>
    <w:rsid w:val="00637859"/>
    <w:rsid w:val="00643B07"/>
    <w:rsid w:val="006525FD"/>
    <w:rsid w:val="00660A93"/>
    <w:rsid w:val="006824B0"/>
    <w:rsid w:val="006D556F"/>
    <w:rsid w:val="00787D30"/>
    <w:rsid w:val="00791268"/>
    <w:rsid w:val="00820069"/>
    <w:rsid w:val="00826FDE"/>
    <w:rsid w:val="008D60FD"/>
    <w:rsid w:val="008E385A"/>
    <w:rsid w:val="008E7E59"/>
    <w:rsid w:val="00906B31"/>
    <w:rsid w:val="00913FEC"/>
    <w:rsid w:val="009510D9"/>
    <w:rsid w:val="00961E78"/>
    <w:rsid w:val="009A378E"/>
    <w:rsid w:val="00A05A64"/>
    <w:rsid w:val="00A43A1B"/>
    <w:rsid w:val="00A52066"/>
    <w:rsid w:val="00AA03D8"/>
    <w:rsid w:val="00B004CE"/>
    <w:rsid w:val="00B066E3"/>
    <w:rsid w:val="00B53E4F"/>
    <w:rsid w:val="00B66699"/>
    <w:rsid w:val="00B66DEC"/>
    <w:rsid w:val="00B92886"/>
    <w:rsid w:val="00BA0457"/>
    <w:rsid w:val="00BE1CF8"/>
    <w:rsid w:val="00C034CB"/>
    <w:rsid w:val="00C57A7E"/>
    <w:rsid w:val="00C71085"/>
    <w:rsid w:val="00C7176C"/>
    <w:rsid w:val="00C91D1E"/>
    <w:rsid w:val="00CB6249"/>
    <w:rsid w:val="00CD78A2"/>
    <w:rsid w:val="00D67270"/>
    <w:rsid w:val="00DC67EA"/>
    <w:rsid w:val="00DF2923"/>
    <w:rsid w:val="00DF3721"/>
    <w:rsid w:val="00E10022"/>
    <w:rsid w:val="00E232DE"/>
    <w:rsid w:val="00E42DD4"/>
    <w:rsid w:val="00E55E76"/>
    <w:rsid w:val="00E567E6"/>
    <w:rsid w:val="00E57390"/>
    <w:rsid w:val="00E6125A"/>
    <w:rsid w:val="00ED48FE"/>
    <w:rsid w:val="00EE3697"/>
    <w:rsid w:val="00F731D9"/>
    <w:rsid w:val="00FA7CCB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1F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19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4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3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BF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1F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19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4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3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Ekonomikas ministrija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anotācija „Par pretendentu un ierēdņu vērtēšanas komisiju”</dc:title>
  <dc:subject>Anotācija</dc:subject>
  <dc:creator>Anna Stinkeviča</dc:creator>
  <cp:keywords/>
  <dc:description>67013125, Anna.Stinkevica@em.gov.lv</dc:description>
  <cp:lastModifiedBy>Kristīne Volfa</cp:lastModifiedBy>
  <cp:revision>4</cp:revision>
  <dcterms:created xsi:type="dcterms:W3CDTF">2012-04-16T08:47:00Z</dcterms:created>
  <dcterms:modified xsi:type="dcterms:W3CDTF">2012-04-16T11:35:00Z</dcterms:modified>
</cp:coreProperties>
</file>