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84" w:rsidRPr="00C708B6" w:rsidRDefault="00FA7684" w:rsidP="00FA7684">
      <w:pPr>
        <w:tabs>
          <w:tab w:val="left" w:pos="4253"/>
          <w:tab w:val="left" w:pos="4536"/>
        </w:tabs>
        <w:ind w:right="74"/>
        <w:jc w:val="center"/>
        <w:rPr>
          <w:sz w:val="28"/>
          <w:lang w:val="lv-LV"/>
        </w:rPr>
      </w:pPr>
      <w:r w:rsidRPr="00C708B6">
        <w:rPr>
          <w:sz w:val="28"/>
          <w:lang w:val="lv-LV"/>
        </w:rPr>
        <w:t>Ministru kabineta rīkojuma projekta</w:t>
      </w:r>
    </w:p>
    <w:p w:rsidR="002363F9" w:rsidRDefault="00FA7684" w:rsidP="00A471F5">
      <w:pPr>
        <w:spacing w:after="120"/>
        <w:jc w:val="center"/>
        <w:rPr>
          <w:sz w:val="28"/>
          <w:lang w:val="lv-LV"/>
        </w:rPr>
      </w:pPr>
      <w:r w:rsidRPr="002363F9">
        <w:rPr>
          <w:b/>
          <w:sz w:val="28"/>
          <w:szCs w:val="28"/>
          <w:lang w:val="lv-LV"/>
        </w:rPr>
        <w:t>„Par</w:t>
      </w:r>
      <w:r w:rsidR="002363F9" w:rsidRPr="002363F9">
        <w:rPr>
          <w:b/>
          <w:sz w:val="28"/>
          <w:szCs w:val="28"/>
          <w:lang w:val="lv-LV"/>
        </w:rPr>
        <w:t xml:space="preserve"> </w:t>
      </w:r>
      <w:r w:rsidR="007F2B23">
        <w:rPr>
          <w:b/>
          <w:sz w:val="28"/>
          <w:szCs w:val="28"/>
          <w:lang w:val="lv-LV"/>
        </w:rPr>
        <w:t xml:space="preserve">valstij piekrītošā </w:t>
      </w:r>
      <w:r w:rsidR="002363F9" w:rsidRPr="002363F9">
        <w:rPr>
          <w:b/>
          <w:sz w:val="28"/>
          <w:szCs w:val="28"/>
          <w:lang w:val="lv-LV"/>
        </w:rPr>
        <w:t>dzīvokļa</w:t>
      </w:r>
      <w:r w:rsidRPr="002363F9">
        <w:rPr>
          <w:b/>
          <w:sz w:val="28"/>
          <w:szCs w:val="28"/>
          <w:lang w:val="lv-LV"/>
        </w:rPr>
        <w:t xml:space="preserve"> </w:t>
      </w:r>
      <w:r w:rsidR="002363F9" w:rsidRPr="002363F9">
        <w:rPr>
          <w:b/>
          <w:color w:val="000000"/>
          <w:sz w:val="28"/>
          <w:szCs w:val="28"/>
          <w:lang w:val="lv-LV"/>
        </w:rPr>
        <w:t>īpašuma Nr.</w:t>
      </w:r>
      <w:r w:rsidR="002363F9">
        <w:rPr>
          <w:b/>
          <w:bCs/>
          <w:sz w:val="28"/>
          <w:szCs w:val="28"/>
          <w:lang w:val="lv-LV"/>
        </w:rPr>
        <w:t xml:space="preserve">66 </w:t>
      </w:r>
      <w:proofErr w:type="spellStart"/>
      <w:r w:rsidR="002363F9" w:rsidRPr="002363F9">
        <w:rPr>
          <w:b/>
          <w:bCs/>
          <w:sz w:val="28"/>
          <w:szCs w:val="28"/>
          <w:lang w:val="lv-LV"/>
        </w:rPr>
        <w:t>Dammes</w:t>
      </w:r>
      <w:proofErr w:type="spellEnd"/>
      <w:r w:rsidR="002363F9" w:rsidRPr="002363F9">
        <w:rPr>
          <w:b/>
          <w:bCs/>
          <w:sz w:val="28"/>
          <w:szCs w:val="28"/>
          <w:lang w:val="lv-LV"/>
        </w:rPr>
        <w:t xml:space="preserve"> ielā 2, Rīgā, </w:t>
      </w:r>
      <w:r w:rsidR="002363F9" w:rsidRPr="002363F9">
        <w:rPr>
          <w:b/>
          <w:color w:val="000000"/>
          <w:sz w:val="28"/>
          <w:szCs w:val="28"/>
          <w:lang w:val="lv-LV"/>
        </w:rPr>
        <w:t>nodošanu Rīgas pilsētas pašvaldības īpašumā</w:t>
      </w:r>
      <w:r w:rsidRPr="002363F9">
        <w:rPr>
          <w:b/>
          <w:sz w:val="28"/>
          <w:szCs w:val="28"/>
          <w:lang w:val="lv-LV"/>
        </w:rPr>
        <w:t>”</w:t>
      </w:r>
      <w:r w:rsidRPr="00C708B6">
        <w:rPr>
          <w:sz w:val="28"/>
          <w:lang w:val="lv-LV"/>
        </w:rPr>
        <w:t xml:space="preserve"> </w:t>
      </w:r>
    </w:p>
    <w:p w:rsidR="001B0496" w:rsidRPr="00C708B6" w:rsidRDefault="00FA7684" w:rsidP="00A471F5">
      <w:pPr>
        <w:spacing w:after="120"/>
        <w:jc w:val="center"/>
        <w:rPr>
          <w:sz w:val="28"/>
          <w:lang w:val="lv-LV"/>
        </w:rPr>
      </w:pPr>
      <w:r w:rsidRPr="00C708B6">
        <w:rPr>
          <w:sz w:val="28"/>
          <w:lang w:val="lv-LV"/>
        </w:rPr>
        <w:t>sākotnējās ietekmes novērtējuma ziņojums (anotācija)</w:t>
      </w:r>
    </w:p>
    <w:tbl>
      <w:tblPr>
        <w:tblW w:w="91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15"/>
        <w:gridCol w:w="508"/>
        <w:gridCol w:w="16"/>
        <w:gridCol w:w="2453"/>
        <w:gridCol w:w="425"/>
        <w:gridCol w:w="5744"/>
      </w:tblGrid>
      <w:tr w:rsidR="00FA7684" w:rsidRPr="006C1ABB" w:rsidTr="00805086">
        <w:trPr>
          <w:gridBefore w:val="1"/>
          <w:wBefore w:w="15" w:type="dxa"/>
        </w:trPr>
        <w:tc>
          <w:tcPr>
            <w:tcW w:w="9146" w:type="dxa"/>
            <w:gridSpan w:val="5"/>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FA7684" w:rsidRPr="00C708B6" w:rsidRDefault="00FA7684" w:rsidP="00805086">
            <w:pPr>
              <w:spacing w:before="75" w:after="75"/>
              <w:jc w:val="center"/>
              <w:rPr>
                <w:sz w:val="28"/>
                <w:lang w:val="lv-LV"/>
              </w:rPr>
            </w:pPr>
            <w:r w:rsidRPr="00C708B6">
              <w:rPr>
                <w:b/>
                <w:sz w:val="28"/>
                <w:lang w:val="lv-LV"/>
              </w:rPr>
              <w:t>I. Tiesību akta projekta izstrādes nepieciešamība</w:t>
            </w:r>
          </w:p>
        </w:tc>
      </w:tr>
      <w:tr w:rsidR="00FA7684" w:rsidRPr="006C1ABB" w:rsidTr="00F04CAC">
        <w:trPr>
          <w:gridBefore w:val="1"/>
          <w:wBefore w:w="15" w:type="dxa"/>
          <w:trHeight w:val="502"/>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1.</w:t>
            </w:r>
          </w:p>
        </w:tc>
        <w:tc>
          <w:tcPr>
            <w:tcW w:w="24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pStyle w:val="Heading2"/>
              <w:spacing w:before="75" w:after="75" w:line="240" w:lineRule="auto"/>
              <w:rPr>
                <w:lang w:eastAsia="lv-LV"/>
              </w:rPr>
            </w:pPr>
            <w:r w:rsidRPr="00C708B6">
              <w:rPr>
                <w:lang w:eastAsia="lv-LV"/>
              </w:rPr>
              <w:t>Pamatojums</w:t>
            </w:r>
          </w:p>
        </w:tc>
        <w:tc>
          <w:tcPr>
            <w:tcW w:w="6169"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pStyle w:val="BodyText"/>
              <w:tabs>
                <w:tab w:val="left" w:pos="851"/>
              </w:tabs>
              <w:ind w:firstLine="835"/>
            </w:pPr>
            <w:r w:rsidRPr="00C708B6">
              <w:t>Civillikuma 416.pantā noteikts, ja pēc mantojuma atstājēja nāves viņam mantinieki nav palikuši vai šie mantinieki likumiskā termiņā pēc publikācijas par mantojuma atklāšanos nav ieradušies vai nav pierādījuši savas mantojuma tiesības, tad manta piekrīt valstij.</w:t>
            </w:r>
          </w:p>
          <w:p w:rsidR="007505E7" w:rsidRDefault="007505E7" w:rsidP="007505E7">
            <w:pPr>
              <w:tabs>
                <w:tab w:val="left" w:pos="850"/>
              </w:tabs>
              <w:ind w:firstLine="851"/>
              <w:jc w:val="both"/>
              <w:rPr>
                <w:sz w:val="28"/>
                <w:szCs w:val="28"/>
                <w:lang w:val="lv-LV"/>
              </w:rPr>
            </w:pPr>
            <w:r w:rsidRPr="00120876">
              <w:rPr>
                <w:sz w:val="28"/>
                <w:szCs w:val="28"/>
                <w:lang w:val="lv-LV"/>
              </w:rPr>
              <w:t>Saskaņā ar Ministru kabineta 2006.gada 25.aprīļa noteikumu Nr.315 „Kārtība, kādā veicama valstij piekritīgās mantas uzskaite, novērtēšana, realizācija, nodošana bez maksas, iznīcināšana, un realizācijas ieņēmumu ieskai</w:t>
            </w:r>
            <w:r>
              <w:rPr>
                <w:sz w:val="28"/>
                <w:szCs w:val="28"/>
                <w:lang w:val="lv-LV"/>
              </w:rPr>
              <w:t xml:space="preserve">tīšana valsts budžetā” (turpmāk – </w:t>
            </w:r>
            <w:r w:rsidRPr="00120876">
              <w:rPr>
                <w:sz w:val="28"/>
                <w:szCs w:val="28"/>
                <w:lang w:val="lv-LV"/>
              </w:rPr>
              <w:t xml:space="preserve">Noteikumi Nr.315) </w:t>
            </w:r>
            <w:r w:rsidRPr="00CF774C">
              <w:rPr>
                <w:sz w:val="28"/>
                <w:szCs w:val="28"/>
                <w:lang w:val="lv-LV"/>
              </w:rPr>
              <w:t>4.2.apakšpunktu pēc tam kad stājies spēkā iestādes lēmums vai tiesas spriedums par attiecīgās mantas konfiscēšanu, atzīšanu par bezīpašnieka, bezmantinieka, atrasto mantu, kas pāriet valsts kā atradēja īpašumā, atrasto apslēpto mantu, par politisko organizāciju (partiju) pretlikumīgi iegūto mantu, tai skaitā anonīmi un pretlikumīgi saņemto dāvinājumu (ziedojumu), mantu, no kuras persona atteikusies par labu valstij, kā arī pēc mantošanas tiesībām valsts īpašumā pārgājušo mantu un valsts amatpersonu ienākumus un mantiskos labumus, kas gūti, pārkāpjot likumā noteiktos ierobežojumus vai proporcionālu to pieaugumu, atbildīgā iestāde piecu darbdienu laikā: valstij piekritīgo mantu kopā ar dokumentu, kas apliecina mantas izņemšanu, un apliecinātu attiecīgā lēmuma vai sprieduma kopiju nodod Valsts ieņēmumu dienestam pēc mantas atrašanās vietas.</w:t>
            </w:r>
          </w:p>
          <w:p w:rsidR="001215DD" w:rsidRDefault="001215DD" w:rsidP="001215DD">
            <w:pPr>
              <w:tabs>
                <w:tab w:val="left" w:pos="850"/>
              </w:tabs>
              <w:ind w:firstLine="851"/>
              <w:jc w:val="both"/>
              <w:rPr>
                <w:sz w:val="28"/>
                <w:szCs w:val="28"/>
                <w:lang w:val="lv-LV"/>
              </w:rPr>
            </w:pPr>
            <w:r>
              <w:rPr>
                <w:sz w:val="28"/>
                <w:szCs w:val="28"/>
                <w:lang w:val="lv-LV"/>
              </w:rPr>
              <w:t>Noteikumu Nr.315 12.punktā noteikts, ka</w:t>
            </w:r>
            <w:r w:rsidRPr="00120876">
              <w:rPr>
                <w:sz w:val="28"/>
                <w:szCs w:val="28"/>
                <w:lang w:val="lv-LV"/>
              </w:rPr>
              <w:t xml:space="preserve"> Valsts ieņēmumu dienests pēc šo noteikumu 4. vai 5.punktā noteikto dokumentu saņemšanas piecu darbdienu laikā pieņem un uzskaita valstij piekritīgo mantu, sastādot valstij piekritīgās mantas</w:t>
            </w:r>
            <w:r>
              <w:rPr>
                <w:sz w:val="28"/>
                <w:szCs w:val="28"/>
                <w:lang w:val="lv-LV"/>
              </w:rPr>
              <w:t xml:space="preserve"> pieņemšanas un nodošanas aktu divos eksemplāros. </w:t>
            </w:r>
            <w:r w:rsidRPr="00A64555">
              <w:rPr>
                <w:sz w:val="28"/>
                <w:szCs w:val="28"/>
                <w:lang w:val="lv-LV"/>
              </w:rPr>
              <w:t xml:space="preserve">Vienu eksemplāru glabā Valsts ieņēmumu dienestā, </w:t>
            </w:r>
            <w:r w:rsidRPr="00A64555">
              <w:rPr>
                <w:sz w:val="28"/>
                <w:szCs w:val="28"/>
                <w:lang w:val="lv-LV"/>
              </w:rPr>
              <w:lastRenderedPageBreak/>
              <w:t>otru – iestādē vai aģentūrā, kas nodevusi valstij piekritīgo mantu</w:t>
            </w:r>
            <w:r>
              <w:rPr>
                <w:sz w:val="28"/>
                <w:szCs w:val="28"/>
                <w:lang w:val="lv-LV"/>
              </w:rPr>
              <w:t>. Savukārt, Noteikumu Nr.315 22.punktā noteikts, ka valstij piekritīgās mantas novērtēšanas komisija novērtējumu ieraksta valstij piekritīgās mantas aprakstes un novērtējuma aktā (turpmāk – Novērtējuma akts). Mantas Novērtējuma aktu sastāda divos eksemplāros. Vienu eksemplāru glabā Valsts ieņēmumu dienestā, otru nodod komersantam, kas pieņēmis valstij piekritīgo mantu realizācijai, vai iestādei, kas pieņēmusi valstij piekritīgo mantu bez maksas.</w:t>
            </w:r>
          </w:p>
          <w:p w:rsidR="00FA7684" w:rsidRPr="00C708B6" w:rsidRDefault="00FA7684" w:rsidP="00805086">
            <w:pPr>
              <w:tabs>
                <w:tab w:val="left" w:pos="850"/>
              </w:tabs>
              <w:ind w:firstLine="851"/>
              <w:jc w:val="both"/>
              <w:rPr>
                <w:sz w:val="28"/>
                <w:szCs w:val="28"/>
                <w:lang w:val="lv-LV"/>
              </w:rPr>
            </w:pPr>
            <w:r w:rsidRPr="00C708B6">
              <w:rPr>
                <w:sz w:val="28"/>
                <w:szCs w:val="28"/>
                <w:lang w:val="lv-LV"/>
              </w:rPr>
              <w:t xml:space="preserve">Valsts ieņēmumu dienests, kas pieņēmis valstij piekritīgo mantu, saskaņā ar Noteikumu Nr.315 9.punktu ir atbildīgs par mantas </w:t>
            </w:r>
            <w:proofErr w:type="spellStart"/>
            <w:r w:rsidRPr="00C708B6">
              <w:rPr>
                <w:sz w:val="28"/>
                <w:szCs w:val="28"/>
                <w:lang w:val="lv-LV"/>
              </w:rPr>
              <w:t>neskartību</w:t>
            </w:r>
            <w:proofErr w:type="spellEnd"/>
            <w:r w:rsidRPr="00C708B6">
              <w:rPr>
                <w:sz w:val="28"/>
                <w:szCs w:val="28"/>
                <w:lang w:val="lv-LV"/>
              </w:rPr>
              <w:t xml:space="preserve"> un saglabāšanu no tās pieņemšanas brīža līdz nodošanai realizācijai, nodošanai bez maksas vai iznīcināšanai.</w:t>
            </w:r>
          </w:p>
          <w:p w:rsidR="00FA7684" w:rsidRPr="00C708B6" w:rsidRDefault="00FA7684" w:rsidP="00805086">
            <w:pPr>
              <w:tabs>
                <w:tab w:val="left" w:pos="850"/>
              </w:tabs>
              <w:ind w:firstLine="851"/>
              <w:jc w:val="both"/>
              <w:rPr>
                <w:sz w:val="28"/>
                <w:szCs w:val="28"/>
                <w:lang w:val="lv-LV"/>
              </w:rPr>
            </w:pPr>
            <w:r w:rsidRPr="00C708B6">
              <w:rPr>
                <w:sz w:val="28"/>
                <w:szCs w:val="28"/>
                <w:lang w:val="lv-LV"/>
              </w:rPr>
              <w:t>Noteikumu Nr.315 26.4.apakšpunkts paredz, ka ar mantas Novērtējuma aktu saskaņā ar likumu „Par valsts un pašvaldību dzīvojamo māju privatizāciju” (turpmāk – Privatizācijas likums) vai Valsts un pašvaldību mantas atsavināšanas likumu (no 2011.gada 1.janvāra – Publiskas personas mantas atsavināšanas likums) (turpmāk – Atsavināšanas likums) bez maksas nodod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vai valsts akciju sabiedrībai „Privatizācijas aģentūra” (turpmāk – Privatizācijas aģentūra) valdījumā tālākai privatizācijai vai atsavināšanai, pamatojoties uz Ministru kabineta rīkojumu.</w:t>
            </w:r>
          </w:p>
          <w:p w:rsidR="00FA7684" w:rsidRPr="00C708B6" w:rsidRDefault="00FA7684" w:rsidP="00805086">
            <w:pPr>
              <w:ind w:firstLine="709"/>
              <w:jc w:val="both"/>
              <w:rPr>
                <w:sz w:val="28"/>
                <w:szCs w:val="28"/>
                <w:lang w:val="lv-LV"/>
              </w:rPr>
            </w:pPr>
            <w:r w:rsidRPr="00C708B6">
              <w:rPr>
                <w:sz w:val="28"/>
                <w:szCs w:val="28"/>
                <w:lang w:val="lv-LV"/>
              </w:rPr>
              <w:t>Privatizācijas likuma pārejas noteikumu 30.punktā noteikts, ka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likumu, izņemot šā likuma pārejas noteikumu 30.</w:t>
            </w:r>
            <w:r w:rsidRPr="00C708B6">
              <w:rPr>
                <w:sz w:val="28"/>
                <w:szCs w:val="28"/>
                <w:vertAlign w:val="superscript"/>
                <w:lang w:val="lv-LV"/>
              </w:rPr>
              <w:t>1</w:t>
            </w:r>
            <w:r w:rsidRPr="00C708B6">
              <w:rPr>
                <w:sz w:val="28"/>
                <w:szCs w:val="28"/>
                <w:lang w:val="lv-LV"/>
              </w:rPr>
              <w:t xml:space="preserve"> punktā paredzētos gadījumus. </w:t>
            </w:r>
          </w:p>
          <w:p w:rsidR="00FA7684" w:rsidRPr="00C708B6" w:rsidRDefault="00FA7684" w:rsidP="00805086">
            <w:pPr>
              <w:pStyle w:val="BodyText"/>
              <w:tabs>
                <w:tab w:val="left" w:pos="850"/>
              </w:tabs>
              <w:ind w:firstLine="835"/>
            </w:pPr>
            <w:r w:rsidRPr="00C708B6">
              <w:lastRenderedPageBreak/>
              <w:t>Atsavināšanas likuma 45.panta pirmajā daļā noteikts, ka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w:t>
            </w:r>
          </w:p>
          <w:p w:rsidR="00FA7684" w:rsidRPr="00C708B6" w:rsidRDefault="00FA7684" w:rsidP="00805086">
            <w:pPr>
              <w:pStyle w:val="BodyText"/>
              <w:tabs>
                <w:tab w:val="left" w:pos="850"/>
              </w:tabs>
              <w:ind w:firstLine="835"/>
            </w:pPr>
            <w:r w:rsidRPr="00C708B6">
              <w:t xml:space="preserve">Ņemot vērā minēto, Privatizācijas aģentūra ir izstrādājusi Ministru kabineta rīkojuma projektu </w:t>
            </w:r>
            <w:r w:rsidRPr="00E02E86">
              <w:t>„</w:t>
            </w:r>
            <w:r w:rsidR="002363F9" w:rsidRPr="00E02E86">
              <w:rPr>
                <w:szCs w:val="28"/>
              </w:rPr>
              <w:t xml:space="preserve">Par </w:t>
            </w:r>
            <w:r w:rsidR="007F2B23" w:rsidRPr="00E02E86">
              <w:rPr>
                <w:szCs w:val="28"/>
              </w:rPr>
              <w:t xml:space="preserve">valstij piekrītošā </w:t>
            </w:r>
            <w:r w:rsidR="002363F9" w:rsidRPr="00E02E86">
              <w:rPr>
                <w:szCs w:val="28"/>
              </w:rPr>
              <w:t xml:space="preserve">dzīvokļa </w:t>
            </w:r>
            <w:r w:rsidR="002363F9" w:rsidRPr="00E02E86">
              <w:rPr>
                <w:color w:val="000000"/>
                <w:szCs w:val="28"/>
              </w:rPr>
              <w:t>īpašuma Nr.</w:t>
            </w:r>
            <w:r w:rsidR="002363F9" w:rsidRPr="00E02E86">
              <w:rPr>
                <w:bCs/>
                <w:szCs w:val="28"/>
              </w:rPr>
              <w:t xml:space="preserve">66 </w:t>
            </w:r>
            <w:proofErr w:type="spellStart"/>
            <w:r w:rsidR="002363F9" w:rsidRPr="00E02E86">
              <w:rPr>
                <w:bCs/>
                <w:szCs w:val="28"/>
              </w:rPr>
              <w:t>Dammes</w:t>
            </w:r>
            <w:proofErr w:type="spellEnd"/>
            <w:r w:rsidR="002363F9" w:rsidRPr="00E02E86">
              <w:rPr>
                <w:bCs/>
                <w:szCs w:val="28"/>
              </w:rPr>
              <w:t xml:space="preserve"> ielā 2, Rīgā, </w:t>
            </w:r>
            <w:r w:rsidR="002363F9" w:rsidRPr="00E02E86">
              <w:rPr>
                <w:color w:val="000000"/>
                <w:szCs w:val="28"/>
              </w:rPr>
              <w:t>nodošanu Rīgas pilsētas pašvaldības īpašumā</w:t>
            </w:r>
            <w:r w:rsidRPr="00E02E86">
              <w:t>”</w:t>
            </w:r>
            <w:r w:rsidRPr="00C708B6">
              <w:t xml:space="preserve"> (turpmāk – Rīkojuma projekts).</w:t>
            </w:r>
          </w:p>
        </w:tc>
      </w:tr>
      <w:tr w:rsidR="00FA7684" w:rsidRPr="006C1ABB" w:rsidTr="00F04CAC">
        <w:trPr>
          <w:gridBefore w:val="1"/>
          <w:wBefore w:w="15" w:type="dxa"/>
          <w:trHeight w:val="838"/>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lastRenderedPageBreak/>
              <w:t> 2.</w:t>
            </w:r>
          </w:p>
        </w:tc>
        <w:tc>
          <w:tcPr>
            <w:tcW w:w="24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Pašreizējā situācija un problēmas</w:t>
            </w:r>
          </w:p>
        </w:tc>
        <w:tc>
          <w:tcPr>
            <w:tcW w:w="6169"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D74F25" w:rsidRDefault="00FA7684" w:rsidP="00D74F25">
            <w:pPr>
              <w:pStyle w:val="BodyText"/>
              <w:tabs>
                <w:tab w:val="left" w:pos="814"/>
                <w:tab w:val="left" w:pos="1129"/>
              </w:tabs>
              <w:ind w:firstLine="720"/>
              <w:rPr>
                <w:color w:val="000000"/>
              </w:rPr>
            </w:pPr>
            <w:r w:rsidRPr="00C708B6">
              <w:rPr>
                <w:color w:val="000000"/>
              </w:rPr>
              <w:t xml:space="preserve">1) </w:t>
            </w:r>
            <w:r w:rsidRPr="00C708B6">
              <w:t xml:space="preserve">Rīgas apgabaltiesas zvērināts notārs Rihards </w:t>
            </w:r>
            <w:proofErr w:type="spellStart"/>
            <w:r w:rsidRPr="00C708B6">
              <w:t>Mintāls</w:t>
            </w:r>
            <w:proofErr w:type="spellEnd"/>
            <w:r w:rsidRPr="00C708B6">
              <w:t xml:space="preserve"> 2008.gada 11.septembrī taisījis notariālo aktu „Par mantojuma lietas izbeigšanu”, kas iereģistrēts aktu un apliecinājumu reģistrā ar Nr.6524 (turpmāk – Notariālais akts), ar kuru par bezmantinieka mantu atzīts dzīvokļa īpašums </w:t>
            </w:r>
            <w:r w:rsidRPr="00C708B6">
              <w:rPr>
                <w:b/>
              </w:rPr>
              <w:t>Nr.66</w:t>
            </w:r>
            <w:r w:rsidRPr="00C708B6">
              <w:t xml:space="preserve">  </w:t>
            </w:r>
            <w:proofErr w:type="spellStart"/>
            <w:r w:rsidRPr="00C708B6">
              <w:rPr>
                <w:b/>
              </w:rPr>
              <w:t>Dammes</w:t>
            </w:r>
            <w:proofErr w:type="spellEnd"/>
            <w:r w:rsidRPr="00C708B6">
              <w:rPr>
                <w:b/>
              </w:rPr>
              <w:t xml:space="preserve"> ielā 2,</w:t>
            </w:r>
            <w:r w:rsidRPr="00C708B6">
              <w:t xml:space="preserve"> </w:t>
            </w:r>
            <w:r w:rsidRPr="00C708B6">
              <w:rPr>
                <w:b/>
              </w:rPr>
              <w:t>Rīgā.</w:t>
            </w:r>
          </w:p>
          <w:p w:rsidR="00FA7684" w:rsidRPr="00C708B6" w:rsidRDefault="00FA7684" w:rsidP="00805086">
            <w:pPr>
              <w:pStyle w:val="BodyText"/>
              <w:tabs>
                <w:tab w:val="left" w:pos="814"/>
                <w:tab w:val="left" w:pos="1129"/>
              </w:tabs>
              <w:ind w:firstLine="720"/>
            </w:pPr>
            <w:r w:rsidRPr="00C708B6">
              <w:t xml:space="preserve">Mantojuma atstājējs Nikolajs </w:t>
            </w:r>
            <w:proofErr w:type="spellStart"/>
            <w:r w:rsidRPr="00C708B6">
              <w:t>Kudrjavcevs</w:t>
            </w:r>
            <w:proofErr w:type="spellEnd"/>
            <w:r w:rsidRPr="00C708B6">
              <w:t xml:space="preserve"> īpašuma tiesības uz dzīvokli zemesgrāmatā nav nostiprinājis.</w:t>
            </w:r>
          </w:p>
          <w:p w:rsidR="00FA7684" w:rsidRPr="00C708B6" w:rsidRDefault="00FA7684" w:rsidP="00805086">
            <w:pPr>
              <w:pStyle w:val="BodyText"/>
              <w:tabs>
                <w:tab w:val="left" w:pos="814"/>
                <w:tab w:val="left" w:pos="1129"/>
              </w:tabs>
              <w:ind w:firstLine="720"/>
              <w:rPr>
                <w:color w:val="000000"/>
              </w:rPr>
            </w:pPr>
            <w:r w:rsidRPr="00C708B6">
              <w:rPr>
                <w:color w:val="000000"/>
              </w:rPr>
              <w:t>Mantojuma lietā iesniegta kreditora dzīvokļu īpašnieku biedrības „Celtnieks” pretenzija 1652,00 latu apmērā.</w:t>
            </w:r>
          </w:p>
          <w:p w:rsidR="00FA7684" w:rsidRDefault="00FA7684" w:rsidP="00805086">
            <w:pPr>
              <w:pStyle w:val="BodyText"/>
              <w:tabs>
                <w:tab w:val="left" w:pos="814"/>
                <w:tab w:val="left" w:pos="1129"/>
              </w:tabs>
              <w:ind w:firstLine="720"/>
            </w:pPr>
            <w:r w:rsidRPr="00C708B6">
              <w:t>Valsts ieņēmumu dienests ar 2008.gada 29.septembra valstij piekritīgās mantas aprakstes un novērtējuma aktu Nr.003910 par bezmantinieka mantu atzīto nekustamo īpašumu ir ņēmis valsts uzskaitē.</w:t>
            </w:r>
          </w:p>
          <w:p w:rsidR="00DF5D54" w:rsidRPr="00C708B6" w:rsidRDefault="00DF5D54" w:rsidP="00DF5D54">
            <w:pPr>
              <w:pStyle w:val="BodyText"/>
              <w:tabs>
                <w:tab w:val="left" w:pos="814"/>
                <w:tab w:val="left" w:pos="1129"/>
              </w:tabs>
              <w:ind w:firstLine="720"/>
            </w:pPr>
            <w:r>
              <w:t xml:space="preserve">Saskaņā ar Valsts zemes dienesta Kadastra informācijas sistēmas datiem dzīvokļa īpašums sastāv no dzīvokļa un </w:t>
            </w:r>
            <w:r>
              <w:rPr>
                <w:color w:val="000000"/>
                <w:szCs w:val="28"/>
              </w:rPr>
              <w:t>7/1000</w:t>
            </w:r>
            <w:r w:rsidRPr="003010A3">
              <w:rPr>
                <w:color w:val="000000"/>
                <w:szCs w:val="28"/>
              </w:rPr>
              <w:t xml:space="preserve"> </w:t>
            </w:r>
            <w:r w:rsidRPr="003010A3">
              <w:rPr>
                <w:szCs w:val="28"/>
              </w:rPr>
              <w:t>domājamā</w:t>
            </w:r>
            <w:r>
              <w:rPr>
                <w:szCs w:val="28"/>
              </w:rPr>
              <w:t>m daļām</w:t>
            </w:r>
            <w:r w:rsidRPr="003010A3">
              <w:rPr>
                <w:szCs w:val="28"/>
              </w:rPr>
              <w:t xml:space="preserve"> no </w:t>
            </w:r>
            <w:r w:rsidRPr="003010A3">
              <w:rPr>
                <w:color w:val="000000"/>
                <w:szCs w:val="28"/>
              </w:rPr>
              <w:t>dzīvojamās mājas (</w:t>
            </w:r>
            <w:r w:rsidRPr="00B44BD0">
              <w:rPr>
                <w:color w:val="000000"/>
                <w:szCs w:val="28"/>
              </w:rPr>
              <w:t>būves kadastra apzīmējums 0100 080  2013 016</w:t>
            </w:r>
            <w:r w:rsidRPr="003010A3">
              <w:rPr>
                <w:color w:val="000000"/>
                <w:szCs w:val="28"/>
              </w:rPr>
              <w:t>)</w:t>
            </w:r>
            <w:r>
              <w:rPr>
                <w:color w:val="000000"/>
                <w:szCs w:val="28"/>
              </w:rPr>
              <w:t>.</w:t>
            </w:r>
          </w:p>
          <w:p w:rsidR="00FA7684" w:rsidRDefault="00FA7684" w:rsidP="00805086">
            <w:pPr>
              <w:pStyle w:val="BodyText"/>
              <w:tabs>
                <w:tab w:val="left" w:pos="814"/>
                <w:tab w:val="left" w:pos="1129"/>
              </w:tabs>
              <w:ind w:firstLine="720"/>
            </w:pPr>
            <w:r w:rsidRPr="00C708B6">
              <w:t>Rīgas dome ar 2009.gada 12.maija lēmumu Nr.5135 (protokols Nr.126, 57.</w:t>
            </w:r>
            <w:r w:rsidRPr="00C708B6">
              <w:rPr>
                <w:color w:val="000000"/>
              </w:rPr>
              <w:t>§</w:t>
            </w:r>
            <w:r w:rsidRPr="00C708B6">
              <w:t>) un 2013.gada 19.marta lēmumu Nr.5976 (protokols Nr.109, 68.</w:t>
            </w:r>
            <w:r w:rsidRPr="00C708B6">
              <w:rPr>
                <w:color w:val="000000"/>
              </w:rPr>
              <w:t>§</w:t>
            </w:r>
            <w:r w:rsidRPr="00C708B6">
              <w:t xml:space="preserve">) „Par grozījumu Rīgas dome ar 2009.gada 12.maija lēmumā Nr.5135 „Par bezmantinieka mantas – </w:t>
            </w:r>
            <w:r w:rsidRPr="00C708B6">
              <w:lastRenderedPageBreak/>
              <w:t xml:space="preserve">dzīvokļa īpašuma Nr.66 </w:t>
            </w:r>
            <w:proofErr w:type="spellStart"/>
            <w:r w:rsidRPr="00C708B6">
              <w:t>Dammes</w:t>
            </w:r>
            <w:proofErr w:type="spellEnd"/>
            <w:r w:rsidRPr="00C708B6">
              <w:t xml:space="preserve"> ielā 2, Rīgā, pārņemšanu Rīgas pilsētas pašvaldības īpašumā” nolēma pārņemt pašvaldības īpašu</w:t>
            </w:r>
            <w:r w:rsidR="006C1ABB">
              <w:t>mā Rīkojuma projektā</w:t>
            </w:r>
            <w:r w:rsidR="00DA6DB1">
              <w:t xml:space="preserve"> </w:t>
            </w:r>
            <w:r w:rsidRPr="00C708B6">
              <w:t>minēto valstij piekrītošo nekustamo īpašumu, lai saskaņā ar likuma „Par pašvaldībām” 15.panta pirmās daļas 9.punktu sniegtu palīdzību iedzīvotājiem dzīvokļa jautājumu risināšanā.</w:t>
            </w:r>
          </w:p>
          <w:p w:rsidR="00DA6DB1" w:rsidRPr="00C708B6" w:rsidRDefault="00DA6DB1" w:rsidP="00805086">
            <w:pPr>
              <w:pStyle w:val="BodyText"/>
              <w:tabs>
                <w:tab w:val="left" w:pos="814"/>
                <w:tab w:val="left" w:pos="1129"/>
              </w:tabs>
              <w:ind w:firstLine="720"/>
            </w:pPr>
            <w:r>
              <w:t>Minētā lēmuma 3.1.apakšpunktā Rīgas domes Komunālajam departamentam ir uzdots risināt jautājumu</w:t>
            </w:r>
            <w:r w:rsidR="000D6C30">
              <w:t xml:space="preserve"> par mantojuma lietā iesniegto kreditoru prasījumu atbilstoši Rīgas domes 2008.gada 1.aprīļa lēmumam Nr.3534 „Par izdevumu, kas radušies apsaimniekotājam pašvaldības īpašumā, valdījumā vai lietojumā nodotās dzīvojamās telpas neizīrēšanas rezultātā, samaksas kārtību”</w:t>
            </w:r>
            <w:r w:rsidR="00160D0C">
              <w:t>, sedzot to no Rīgas domes Komunālā departamenta pamatbudžeta programmas „Pašvaldības īpašumā esošo dzīvokļu renovācijas un komunālie maksājumi” finanšu līdzekļiem.</w:t>
            </w:r>
          </w:p>
          <w:p w:rsidR="00DA6DB1" w:rsidRPr="00952948" w:rsidRDefault="00DA6DB1" w:rsidP="00DA6DB1">
            <w:pPr>
              <w:pStyle w:val="BodyText"/>
              <w:tabs>
                <w:tab w:val="left" w:pos="814"/>
                <w:tab w:val="left" w:pos="1129"/>
              </w:tabs>
              <w:ind w:firstLine="720"/>
              <w:rPr>
                <w:szCs w:val="28"/>
              </w:rPr>
            </w:pPr>
            <w:r w:rsidRPr="00952948">
              <w:rPr>
                <w:szCs w:val="28"/>
              </w:rPr>
              <w:t>Pamatojoties uz Atsavināšanas likuma 45.panta pirmo daļu,</w:t>
            </w:r>
            <w:r w:rsidR="004D1A27">
              <w:rPr>
                <w:szCs w:val="28"/>
              </w:rPr>
              <w:t xml:space="preserve"> Rīgas domei, </w:t>
            </w:r>
            <w:r w:rsidRPr="00952948">
              <w:rPr>
                <w:szCs w:val="28"/>
              </w:rPr>
              <w:t xml:space="preserve">lai izlemtu jautājumu par </w:t>
            </w:r>
            <w:r w:rsidR="004D1A27">
              <w:rPr>
                <w:szCs w:val="28"/>
              </w:rPr>
              <w:t>valstij piekrītošā</w:t>
            </w:r>
            <w:r w:rsidRPr="00952948">
              <w:rPr>
                <w:szCs w:val="28"/>
              </w:rPr>
              <w:t xml:space="preserve"> </w:t>
            </w:r>
            <w:r w:rsidR="004D1A27">
              <w:rPr>
                <w:szCs w:val="28"/>
              </w:rPr>
              <w:t>dzīvokļa īpašuma</w:t>
            </w:r>
            <w:r w:rsidRPr="00952948">
              <w:rPr>
                <w:szCs w:val="28"/>
              </w:rPr>
              <w:t xml:space="preserve"> </w:t>
            </w:r>
            <w:r w:rsidR="004D1A27" w:rsidRPr="00C708B6">
              <w:rPr>
                <w:b/>
              </w:rPr>
              <w:t>Nr.66</w:t>
            </w:r>
            <w:r w:rsidR="004D1A27" w:rsidRPr="00C708B6">
              <w:t xml:space="preserve">  </w:t>
            </w:r>
            <w:proofErr w:type="spellStart"/>
            <w:r w:rsidR="004D1A27" w:rsidRPr="00C708B6">
              <w:rPr>
                <w:b/>
              </w:rPr>
              <w:t>Dammes</w:t>
            </w:r>
            <w:proofErr w:type="spellEnd"/>
            <w:r w:rsidR="004D1A27" w:rsidRPr="00C708B6">
              <w:rPr>
                <w:b/>
              </w:rPr>
              <w:t xml:space="preserve"> ielā 2,</w:t>
            </w:r>
            <w:r w:rsidR="004D1A27" w:rsidRPr="00C708B6">
              <w:t xml:space="preserve"> </w:t>
            </w:r>
            <w:r w:rsidR="004D1A27" w:rsidRPr="00C708B6">
              <w:rPr>
                <w:b/>
              </w:rPr>
              <w:t>Rīgā</w:t>
            </w:r>
            <w:r w:rsidR="004D1A27">
              <w:rPr>
                <w:b/>
              </w:rPr>
              <w:t>,</w:t>
            </w:r>
            <w:r w:rsidR="004D1A27" w:rsidRPr="00952948">
              <w:rPr>
                <w:szCs w:val="28"/>
              </w:rPr>
              <w:t xml:space="preserve"> </w:t>
            </w:r>
            <w:r w:rsidRPr="00952948">
              <w:rPr>
                <w:szCs w:val="28"/>
              </w:rPr>
              <w:t>pārņemšanu savā īpašumā, tika nosūtīt</w:t>
            </w:r>
            <w:r>
              <w:rPr>
                <w:szCs w:val="28"/>
              </w:rPr>
              <w:t>s zvērināta notāra akts</w:t>
            </w:r>
            <w:r w:rsidR="004D1A27">
              <w:rPr>
                <w:szCs w:val="28"/>
              </w:rPr>
              <w:t xml:space="preserve"> </w:t>
            </w:r>
            <w:r w:rsidRPr="00952948">
              <w:rPr>
                <w:szCs w:val="28"/>
              </w:rPr>
              <w:t>un V</w:t>
            </w:r>
            <w:r w:rsidR="004D1A27">
              <w:rPr>
                <w:szCs w:val="28"/>
              </w:rPr>
              <w:t>alsts ieņēmumu dienesta vēstule</w:t>
            </w:r>
            <w:r w:rsidRPr="00952948">
              <w:rPr>
                <w:szCs w:val="28"/>
              </w:rPr>
              <w:t xml:space="preserve"> par bezmantinieka mantas ņemšanu valsts uzskaitē.</w:t>
            </w:r>
          </w:p>
          <w:p w:rsidR="00DA6DB1" w:rsidRPr="00952948" w:rsidRDefault="00DA6DB1" w:rsidP="00DA6DB1">
            <w:pPr>
              <w:pStyle w:val="BodyText"/>
              <w:tabs>
                <w:tab w:val="left" w:pos="850"/>
              </w:tabs>
              <w:ind w:firstLine="835"/>
            </w:pPr>
            <w:r w:rsidRPr="00952948">
              <w:t>Likuma „Par pašvaldībām” 21.panta pirmās daļas 17.punkts paredz, ka tikai dome var lemt  par pašvaldības nekustamā īpašuma atsavināšanu, ieķīlāšanu vai privatizēšanu, kā arī par nekustamās mantas iegūšanu pašvaldības īpašumā.</w:t>
            </w:r>
          </w:p>
          <w:p w:rsidR="00DA6DB1" w:rsidRPr="00952948" w:rsidRDefault="00DA6DB1" w:rsidP="00DA6DB1">
            <w:pPr>
              <w:pStyle w:val="BodyText"/>
              <w:tabs>
                <w:tab w:val="left" w:pos="814"/>
                <w:tab w:val="left" w:pos="1129"/>
              </w:tabs>
              <w:ind w:firstLine="720"/>
              <w:rPr>
                <w:szCs w:val="28"/>
              </w:rPr>
            </w:pPr>
            <w:r w:rsidRPr="00952948">
              <w:rPr>
                <w:szCs w:val="28"/>
              </w:rPr>
              <w:t>Pēc dokumentu, kas apliecina nekustam</w:t>
            </w:r>
            <w:r w:rsidR="004D1A27">
              <w:rPr>
                <w:szCs w:val="28"/>
              </w:rPr>
              <w:t>ā īpašuma</w:t>
            </w:r>
            <w:r w:rsidRPr="00952948">
              <w:rPr>
                <w:szCs w:val="28"/>
              </w:rPr>
              <w:t xml:space="preserve"> sastāvu, piekritību valstij un iesniegto kreditoru pretenziju izvērtēšanas, </w:t>
            </w:r>
            <w:r w:rsidR="004D1A27">
              <w:rPr>
                <w:szCs w:val="28"/>
              </w:rPr>
              <w:t>Rīgas dome pieņēma lēmumu pārņemt to</w:t>
            </w:r>
            <w:r w:rsidRPr="00952948">
              <w:rPr>
                <w:szCs w:val="28"/>
              </w:rPr>
              <w:t xml:space="preserve"> savā īpašumā. Līdz </w:t>
            </w:r>
            <w:r w:rsidR="00066FD0">
              <w:rPr>
                <w:szCs w:val="28"/>
              </w:rPr>
              <w:t xml:space="preserve">ar to </w:t>
            </w:r>
            <w:r w:rsidR="00EC0C50">
              <w:rPr>
                <w:szCs w:val="28"/>
              </w:rPr>
              <w:t>tas bez atlīdzības nododams</w:t>
            </w:r>
            <w:r w:rsidRPr="00952948">
              <w:rPr>
                <w:szCs w:val="28"/>
              </w:rPr>
              <w:t xml:space="preserve"> </w:t>
            </w:r>
            <w:r w:rsidR="00EC0C50">
              <w:rPr>
                <w:szCs w:val="28"/>
              </w:rPr>
              <w:t xml:space="preserve">minētās </w:t>
            </w:r>
            <w:r w:rsidRPr="00952948">
              <w:rPr>
                <w:szCs w:val="28"/>
              </w:rPr>
              <w:t>pašvaldīb</w:t>
            </w:r>
            <w:r w:rsidR="00EC0C50">
              <w:rPr>
                <w:szCs w:val="28"/>
              </w:rPr>
              <w:t>as</w:t>
            </w:r>
            <w:r w:rsidRPr="00952948">
              <w:rPr>
                <w:szCs w:val="28"/>
              </w:rPr>
              <w:t xml:space="preserve"> īpašumā.</w:t>
            </w:r>
          </w:p>
          <w:p w:rsidR="00DA6DB1" w:rsidRPr="00C708B6" w:rsidRDefault="004D1A27" w:rsidP="00DA6DB1">
            <w:pPr>
              <w:pStyle w:val="BodyText"/>
              <w:tabs>
                <w:tab w:val="left" w:pos="814"/>
                <w:tab w:val="left" w:pos="1129"/>
              </w:tabs>
              <w:ind w:firstLine="720"/>
            </w:pPr>
            <w:r>
              <w:rPr>
                <w:color w:val="000000"/>
                <w:szCs w:val="28"/>
              </w:rPr>
              <w:t>Pašvaldība īpašumu pārņem kopā ar iesniegto kreditora pretenziju</w:t>
            </w:r>
            <w:r w:rsidR="00DA6DB1" w:rsidRPr="00952948">
              <w:rPr>
                <w:color w:val="000000"/>
                <w:szCs w:val="28"/>
              </w:rPr>
              <w:t>.</w:t>
            </w:r>
          </w:p>
        </w:tc>
      </w:tr>
      <w:tr w:rsidR="00FA7684" w:rsidRPr="00C708B6" w:rsidTr="00F04CAC">
        <w:trPr>
          <w:gridBefore w:val="1"/>
          <w:wBefore w:w="15" w:type="dxa"/>
          <w:trHeight w:val="129"/>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lastRenderedPageBreak/>
              <w:t> 3.</w:t>
            </w:r>
          </w:p>
        </w:tc>
        <w:tc>
          <w:tcPr>
            <w:tcW w:w="24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xml:space="preserve"> Saistītie politikas ietekmes novērtējumi un </w:t>
            </w:r>
            <w:r w:rsidRPr="00C708B6">
              <w:rPr>
                <w:sz w:val="28"/>
                <w:lang w:val="lv-LV"/>
              </w:rPr>
              <w:lastRenderedPageBreak/>
              <w:t>pētījumi</w:t>
            </w:r>
          </w:p>
        </w:tc>
        <w:tc>
          <w:tcPr>
            <w:tcW w:w="6169"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jc w:val="both"/>
              <w:rPr>
                <w:sz w:val="28"/>
                <w:lang w:val="lv-LV"/>
              </w:rPr>
            </w:pPr>
            <w:r w:rsidRPr="00C708B6">
              <w:rPr>
                <w:sz w:val="28"/>
                <w:lang w:val="lv-LV"/>
              </w:rPr>
              <w:lastRenderedPageBreak/>
              <w:t>Projekts šo jomu neskar.</w:t>
            </w:r>
          </w:p>
        </w:tc>
      </w:tr>
      <w:tr w:rsidR="00FA7684" w:rsidRPr="006C1ABB" w:rsidTr="00F04CAC">
        <w:trPr>
          <w:gridBefore w:val="1"/>
          <w:wBefore w:w="15" w:type="dxa"/>
          <w:trHeight w:val="501"/>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lastRenderedPageBreak/>
              <w:t>4.</w:t>
            </w:r>
          </w:p>
        </w:tc>
        <w:tc>
          <w:tcPr>
            <w:tcW w:w="24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Tiesiskā regulējuma mērķis un būtība</w:t>
            </w:r>
          </w:p>
        </w:tc>
        <w:tc>
          <w:tcPr>
            <w:tcW w:w="6169"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EC0C50" w:rsidRDefault="009C6092" w:rsidP="00EC0C50">
            <w:pPr>
              <w:pStyle w:val="BodyText"/>
              <w:tabs>
                <w:tab w:val="left" w:pos="814"/>
                <w:tab w:val="left" w:pos="1129"/>
              </w:tabs>
              <w:ind w:firstLine="720"/>
            </w:pPr>
            <w:r w:rsidRPr="00952948">
              <w:t xml:space="preserve">Ņemot vērā, ka </w:t>
            </w:r>
            <w:r w:rsidR="004D1A27">
              <w:t>Rīgas dome ir</w:t>
            </w:r>
            <w:r w:rsidRPr="00952948">
              <w:t xml:space="preserve"> piekritu</w:t>
            </w:r>
            <w:r w:rsidR="002363F9">
              <w:t>si pārņemt savā īpašumā tai</w:t>
            </w:r>
            <w:r w:rsidR="00EC0C50">
              <w:t xml:space="preserve"> piedāvāto</w:t>
            </w:r>
            <w:r w:rsidRPr="00952948">
              <w:t xml:space="preserve"> valstij piekr</w:t>
            </w:r>
            <w:r w:rsidR="00EC0C50">
              <w:t>ītošo</w:t>
            </w:r>
            <w:r w:rsidRPr="00952948">
              <w:t xml:space="preserve"> </w:t>
            </w:r>
            <w:r w:rsidR="00EC0C50" w:rsidRPr="00C708B6">
              <w:t xml:space="preserve">dzīvokļa īpašumu </w:t>
            </w:r>
            <w:r w:rsidR="00EC0C50" w:rsidRPr="00C708B6">
              <w:rPr>
                <w:b/>
              </w:rPr>
              <w:t xml:space="preserve">Nr.66 </w:t>
            </w:r>
            <w:proofErr w:type="spellStart"/>
            <w:r w:rsidR="00EC0C50" w:rsidRPr="00C708B6">
              <w:rPr>
                <w:b/>
              </w:rPr>
              <w:t>Dammes</w:t>
            </w:r>
            <w:proofErr w:type="spellEnd"/>
            <w:r w:rsidR="00EC0C50" w:rsidRPr="00C708B6">
              <w:rPr>
                <w:b/>
              </w:rPr>
              <w:t xml:space="preserve"> ielā 2, Rīgā</w:t>
            </w:r>
            <w:r w:rsidR="00EC0C50">
              <w:t xml:space="preserve">, </w:t>
            </w:r>
            <w:r w:rsidRPr="00952948">
              <w:t xml:space="preserve">Rīkojuma projekts paredz, ka Valsts ieņēmumu dienests </w:t>
            </w:r>
            <w:r w:rsidR="00EC0C50">
              <w:t xml:space="preserve">to nodod </w:t>
            </w:r>
            <w:r w:rsidR="00FA7684" w:rsidRPr="00C708B6">
              <w:t>Rīgas pilsētas pašvaldībai</w:t>
            </w:r>
            <w:r w:rsidR="00EC0C50">
              <w:t>.</w:t>
            </w:r>
            <w:r w:rsidR="00FA7684" w:rsidRPr="00C708B6">
              <w:t xml:space="preserve"> </w:t>
            </w:r>
          </w:p>
          <w:p w:rsidR="00FA7684" w:rsidRDefault="00FA7684" w:rsidP="00805086">
            <w:pPr>
              <w:pStyle w:val="BodyText"/>
              <w:tabs>
                <w:tab w:val="left" w:pos="814"/>
                <w:tab w:val="left" w:pos="1129"/>
              </w:tabs>
              <w:ind w:firstLine="720"/>
              <w:rPr>
                <w:color w:val="000000"/>
              </w:rPr>
            </w:pPr>
            <w:r w:rsidRPr="00C708B6">
              <w:t xml:space="preserve">Saskaņā ar Rīgas apgabaltiesas zvērināta notāra Riharda </w:t>
            </w:r>
            <w:proofErr w:type="spellStart"/>
            <w:r w:rsidRPr="00C708B6">
              <w:t>Mintāla</w:t>
            </w:r>
            <w:proofErr w:type="spellEnd"/>
            <w:r w:rsidRPr="00C708B6">
              <w:t xml:space="preserve"> notariālo aktu „Par mantojuma lietas izbeigšanu” </w:t>
            </w:r>
            <w:r w:rsidRPr="00C708B6">
              <w:rPr>
                <w:color w:val="000000"/>
              </w:rPr>
              <w:t>mantojuma lietā iesniegta kreditora dzīvokļu īpašnieku biedrības „Celtnieks” pretenzija 1652,00 latu apmērā.</w:t>
            </w:r>
          </w:p>
          <w:p w:rsidR="009C6092" w:rsidRPr="00AE3369" w:rsidRDefault="00AE3369" w:rsidP="00AE3369">
            <w:pPr>
              <w:pStyle w:val="BodyText"/>
              <w:tabs>
                <w:tab w:val="left" w:pos="814"/>
                <w:tab w:val="left" w:pos="1129"/>
              </w:tabs>
              <w:ind w:firstLine="720"/>
            </w:pPr>
            <w:r w:rsidRPr="00C708B6">
              <w:t>Rīgas dome ar 2009.gada 12.maija lēmum</w:t>
            </w:r>
            <w:r>
              <w:t>a</w:t>
            </w:r>
            <w:r w:rsidRPr="00C708B6">
              <w:t xml:space="preserve"> Nr.5135 (protokols Nr.126, 57.</w:t>
            </w:r>
            <w:r w:rsidRPr="00C708B6">
              <w:rPr>
                <w:color w:val="000000"/>
              </w:rPr>
              <w:t>§</w:t>
            </w:r>
            <w:r w:rsidRPr="00C708B6">
              <w:t xml:space="preserve">) </w:t>
            </w:r>
            <w:r>
              <w:t xml:space="preserve">3.1.apakšpunktu </w:t>
            </w:r>
            <w:r w:rsidR="009C6092">
              <w:t xml:space="preserve">Rīgas domes Komunālajam departamentam ir </w:t>
            </w:r>
            <w:r>
              <w:t>uzdevusi</w:t>
            </w:r>
            <w:r w:rsidR="009C6092">
              <w:t xml:space="preserve"> risināt jautājumu par mantojuma lietā iesniegto kreditoru prasījumu atbilstoši Rīgas domes 2008.gada 1.aprīļa lēmumam Nr.3534 „Par izdevumu, kas radušies apsaimniekotājam pašvaldības īpašumā, valdījumā vai lietojumā nodotās dzīvojamās telpas neizīrēšanas rezultātā, samaksas kārtību”, sedzot to no Rīgas domes Komunālā departamenta pamatbudžeta programmas „Pašvaldības īpašumā esošo dzīvokļu renovācijas un komunālie maksājumi” finanšu līdzekļiem.</w:t>
            </w:r>
          </w:p>
          <w:p w:rsidR="00FA7684" w:rsidRPr="00C708B6" w:rsidRDefault="00FA7684" w:rsidP="00EC0C50">
            <w:pPr>
              <w:pStyle w:val="BodyText"/>
              <w:tabs>
                <w:tab w:val="left" w:pos="814"/>
                <w:tab w:val="left" w:pos="1129"/>
              </w:tabs>
              <w:ind w:firstLine="720"/>
            </w:pPr>
            <w:r w:rsidRPr="00C708B6">
              <w:rPr>
                <w:szCs w:val="28"/>
              </w:rPr>
              <w:t xml:space="preserve">Ievērojot Noteikumu Nr.315 26.4.apakšpunktu, Valsts ieņēmumu dienests </w:t>
            </w:r>
            <w:r w:rsidR="00EC0C50">
              <w:rPr>
                <w:szCs w:val="28"/>
              </w:rPr>
              <w:t xml:space="preserve">minēto valstij piekrītošo </w:t>
            </w:r>
            <w:r w:rsidR="00EC0C50" w:rsidRPr="00C708B6">
              <w:t xml:space="preserve">dzīvokļa īpašumu </w:t>
            </w:r>
            <w:r w:rsidR="00EC0C50" w:rsidRPr="00C708B6">
              <w:rPr>
                <w:b/>
              </w:rPr>
              <w:t xml:space="preserve">Nr.66 </w:t>
            </w:r>
            <w:proofErr w:type="spellStart"/>
            <w:r w:rsidR="00EC0C50" w:rsidRPr="00C708B6">
              <w:rPr>
                <w:b/>
              </w:rPr>
              <w:t>Dammes</w:t>
            </w:r>
            <w:proofErr w:type="spellEnd"/>
            <w:r w:rsidR="00EC0C50" w:rsidRPr="00C708B6">
              <w:rPr>
                <w:b/>
              </w:rPr>
              <w:t xml:space="preserve"> ielā 2, Rīgā</w:t>
            </w:r>
            <w:r w:rsidR="00EC0C50">
              <w:t>,</w:t>
            </w:r>
            <w:r w:rsidRPr="00C708B6">
              <w:rPr>
                <w:szCs w:val="28"/>
              </w:rPr>
              <w:t xml:space="preserve"> bez maksas nodos </w:t>
            </w:r>
            <w:r w:rsidR="00EC0C50">
              <w:rPr>
                <w:szCs w:val="28"/>
              </w:rPr>
              <w:t>Rīgas pilsētas pašvaldībai</w:t>
            </w:r>
            <w:r w:rsidRPr="00C708B6">
              <w:rPr>
                <w:szCs w:val="28"/>
              </w:rPr>
              <w:t>, pamatojoties uz Ministru kabineta rīkojumu.</w:t>
            </w:r>
          </w:p>
        </w:tc>
      </w:tr>
      <w:tr w:rsidR="00FA7684" w:rsidRPr="00C708B6" w:rsidTr="00F04CAC">
        <w:trPr>
          <w:gridBefore w:val="1"/>
          <w:wBefore w:w="15" w:type="dxa"/>
          <w:trHeight w:val="476"/>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5.</w:t>
            </w:r>
          </w:p>
        </w:tc>
        <w:tc>
          <w:tcPr>
            <w:tcW w:w="24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Projekta izstrādē iesaistītās institūcijas</w:t>
            </w:r>
          </w:p>
        </w:tc>
        <w:tc>
          <w:tcPr>
            <w:tcW w:w="6169"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jc w:val="both"/>
              <w:rPr>
                <w:sz w:val="28"/>
                <w:lang w:val="lv-LV"/>
              </w:rPr>
            </w:pPr>
            <w:r w:rsidRPr="00C708B6">
              <w:rPr>
                <w:sz w:val="28"/>
                <w:lang w:val="lv-LV"/>
              </w:rPr>
              <w:t> Privatizācijas aģentūra.</w:t>
            </w:r>
          </w:p>
        </w:tc>
      </w:tr>
      <w:tr w:rsidR="00FA7684" w:rsidRPr="00EC0C50" w:rsidTr="00F04CAC">
        <w:trPr>
          <w:gridBefore w:val="1"/>
          <w:wBefore w:w="15" w:type="dxa"/>
          <w:trHeight w:val="1588"/>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6.</w:t>
            </w:r>
          </w:p>
        </w:tc>
        <w:tc>
          <w:tcPr>
            <w:tcW w:w="24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Iemesli, kādēļ netika nodrošināta sabiedrības līdzdalība</w:t>
            </w:r>
          </w:p>
        </w:tc>
        <w:tc>
          <w:tcPr>
            <w:tcW w:w="6169"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EC0C50">
            <w:pPr>
              <w:spacing w:after="120"/>
              <w:ind w:firstLine="720"/>
              <w:jc w:val="both"/>
              <w:rPr>
                <w:sz w:val="28"/>
                <w:lang w:val="lv-LV"/>
              </w:rPr>
            </w:pPr>
            <w:r w:rsidRPr="00C708B6">
              <w:rPr>
                <w:sz w:val="28"/>
                <w:lang w:val="lv-LV"/>
              </w:rPr>
              <w:t>Jautājuma būtība skar Ministru kabineta tiesības pieņemt lēmumu par valstij piekrītoš</w:t>
            </w:r>
            <w:r w:rsidR="00EC0C50">
              <w:rPr>
                <w:sz w:val="28"/>
                <w:lang w:val="lv-LV"/>
              </w:rPr>
              <w:t>ā</w:t>
            </w:r>
            <w:r w:rsidRPr="00C708B6">
              <w:rPr>
                <w:sz w:val="28"/>
                <w:lang w:val="lv-LV"/>
              </w:rPr>
              <w:t xml:space="preserve"> </w:t>
            </w:r>
            <w:r w:rsidR="00EC0C50">
              <w:rPr>
                <w:sz w:val="28"/>
                <w:lang w:val="lv-LV"/>
              </w:rPr>
              <w:t>dzīvokļa īpašuma nodošanu pašvaldības</w:t>
            </w:r>
            <w:r w:rsidRPr="00C708B6">
              <w:rPr>
                <w:sz w:val="28"/>
                <w:lang w:val="lv-LV"/>
              </w:rPr>
              <w:t xml:space="preserve"> īpašumā. Līdz ar to, nav nepieciešams nodrošināt sabiedrības līdzdalību. </w:t>
            </w:r>
          </w:p>
        </w:tc>
      </w:tr>
      <w:tr w:rsidR="00FA7684" w:rsidRPr="00C708B6" w:rsidTr="00F04CAC">
        <w:trPr>
          <w:gridBefore w:val="1"/>
          <w:wBefore w:w="15" w:type="dxa"/>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7.</w:t>
            </w:r>
          </w:p>
        </w:tc>
        <w:tc>
          <w:tcPr>
            <w:tcW w:w="24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Cita informācija</w:t>
            </w:r>
          </w:p>
        </w:tc>
        <w:tc>
          <w:tcPr>
            <w:tcW w:w="6169"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Nav.</w:t>
            </w:r>
          </w:p>
        </w:tc>
      </w:tr>
      <w:tr w:rsidR="00FA7684" w:rsidRPr="00C708B6" w:rsidTr="00805086">
        <w:tc>
          <w:tcPr>
            <w:tcW w:w="9161" w:type="dxa"/>
            <w:gridSpan w:val="6"/>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FA7684" w:rsidRPr="00C708B6" w:rsidRDefault="00FA7684" w:rsidP="00805086">
            <w:pPr>
              <w:spacing w:before="150" w:after="150"/>
              <w:jc w:val="center"/>
              <w:rPr>
                <w:b/>
                <w:sz w:val="28"/>
                <w:lang w:val="lv-LV"/>
              </w:rPr>
            </w:pPr>
            <w:r w:rsidRPr="00C708B6">
              <w:rPr>
                <w:sz w:val="28"/>
                <w:lang w:val="lv-LV"/>
              </w:rPr>
              <w:t> </w:t>
            </w:r>
            <w:r w:rsidRPr="00C708B6">
              <w:rPr>
                <w:b/>
                <w:sz w:val="28"/>
                <w:lang w:val="lv-LV"/>
              </w:rPr>
              <w:t>II. Tiesību akta projekta ietekme uz sabiedrību</w:t>
            </w:r>
          </w:p>
        </w:tc>
      </w:tr>
      <w:tr w:rsidR="00FA7684" w:rsidRPr="006C1ABB" w:rsidTr="00805086">
        <w:trPr>
          <w:trHeight w:val="1890"/>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lastRenderedPageBreak/>
              <w:t> 1.</w:t>
            </w:r>
          </w:p>
        </w:tc>
        <w:tc>
          <w:tcPr>
            <w:tcW w:w="289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xml:space="preserve"> Sabiedrības </w:t>
            </w:r>
            <w:proofErr w:type="spellStart"/>
            <w:r w:rsidRPr="00C708B6">
              <w:rPr>
                <w:sz w:val="28"/>
                <w:lang w:val="lv-LV"/>
              </w:rPr>
              <w:t>mērķgrupa</w:t>
            </w:r>
            <w:proofErr w:type="spellEnd"/>
          </w:p>
        </w:tc>
        <w:tc>
          <w:tcPr>
            <w:tcW w:w="574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EC0C50">
            <w:pPr>
              <w:spacing w:after="120"/>
              <w:ind w:firstLine="720"/>
              <w:jc w:val="both"/>
              <w:rPr>
                <w:sz w:val="28"/>
                <w:lang w:val="lv-LV"/>
              </w:rPr>
            </w:pPr>
            <w:r w:rsidRPr="00C708B6">
              <w:rPr>
                <w:sz w:val="28"/>
                <w:lang w:val="lv-LV"/>
              </w:rPr>
              <w:t xml:space="preserve">Rīkojuma projekts attiecināms uz </w:t>
            </w:r>
            <w:r w:rsidR="00EC0C50">
              <w:rPr>
                <w:sz w:val="28"/>
                <w:lang w:val="lv-LV"/>
              </w:rPr>
              <w:t>Rīgas pilsētas pašvaldību</w:t>
            </w:r>
            <w:r w:rsidRPr="00C708B6">
              <w:rPr>
                <w:sz w:val="28"/>
                <w:lang w:val="lv-LV"/>
              </w:rPr>
              <w:t>, kā</w:t>
            </w:r>
            <w:r w:rsidR="00EC0C50">
              <w:rPr>
                <w:sz w:val="28"/>
                <w:lang w:val="lv-LV"/>
              </w:rPr>
              <w:t xml:space="preserve"> arī tās</w:t>
            </w:r>
            <w:r w:rsidRPr="00C708B6">
              <w:rPr>
                <w:sz w:val="28"/>
                <w:lang w:val="lv-LV"/>
              </w:rPr>
              <w:t xml:space="preserve"> administratīvajā</w:t>
            </w:r>
            <w:r w:rsidR="00EC0C50">
              <w:rPr>
                <w:sz w:val="28"/>
                <w:lang w:val="lv-LV"/>
              </w:rPr>
              <w:t xml:space="preserve"> teritorijā</w:t>
            </w:r>
            <w:r w:rsidRPr="00C708B6">
              <w:rPr>
                <w:sz w:val="28"/>
                <w:lang w:val="lv-LV"/>
              </w:rPr>
              <w:t xml:space="preserve"> esošajiem iedzīvotājiem, kuriem nepieciešama pašvaldīb</w:t>
            </w:r>
            <w:r w:rsidR="00EC0C50">
              <w:rPr>
                <w:sz w:val="28"/>
                <w:lang w:val="lv-LV"/>
              </w:rPr>
              <w:t>as</w:t>
            </w:r>
            <w:r w:rsidRPr="00C708B6">
              <w:rPr>
                <w:sz w:val="28"/>
                <w:lang w:val="lv-LV"/>
              </w:rPr>
              <w:t xml:space="preserve"> palīdzība dzīvokļa jautājumu risināšanā. </w:t>
            </w:r>
          </w:p>
        </w:tc>
      </w:tr>
      <w:tr w:rsidR="00FA7684" w:rsidRPr="00C708B6" w:rsidTr="00805086">
        <w:trPr>
          <w:trHeight w:val="523"/>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2.</w:t>
            </w:r>
          </w:p>
        </w:tc>
        <w:tc>
          <w:tcPr>
            <w:tcW w:w="289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xml:space="preserve"> Citas sabiedrības grupas (bez </w:t>
            </w:r>
            <w:proofErr w:type="spellStart"/>
            <w:r w:rsidRPr="00C708B6">
              <w:rPr>
                <w:sz w:val="28"/>
                <w:lang w:val="lv-LV"/>
              </w:rPr>
              <w:t>mērķgrupas</w:t>
            </w:r>
            <w:proofErr w:type="spellEnd"/>
            <w:r w:rsidRPr="00C708B6">
              <w:rPr>
                <w:sz w:val="28"/>
                <w:lang w:val="lv-LV"/>
              </w:rPr>
              <w:t>), kuras tiesiskais regulējums arī ietekmē vai varētu ietekmēt</w:t>
            </w:r>
          </w:p>
        </w:tc>
        <w:tc>
          <w:tcPr>
            <w:tcW w:w="574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jc w:val="both"/>
              <w:rPr>
                <w:sz w:val="28"/>
                <w:lang w:val="lv-LV"/>
              </w:rPr>
            </w:pPr>
            <w:r w:rsidRPr="00C708B6">
              <w:rPr>
                <w:sz w:val="28"/>
                <w:lang w:val="lv-LV"/>
              </w:rPr>
              <w:t>Projekts šo jomu neskar.</w:t>
            </w:r>
          </w:p>
        </w:tc>
      </w:tr>
      <w:tr w:rsidR="00FA7684" w:rsidRPr="00C708B6" w:rsidTr="00805086">
        <w:trPr>
          <w:trHeight w:val="517"/>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3.</w:t>
            </w:r>
          </w:p>
        </w:tc>
        <w:tc>
          <w:tcPr>
            <w:tcW w:w="289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Tiesiskā regulējuma finansiālā ietekme</w:t>
            </w:r>
          </w:p>
        </w:tc>
        <w:tc>
          <w:tcPr>
            <w:tcW w:w="574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jc w:val="both"/>
              <w:rPr>
                <w:sz w:val="28"/>
                <w:lang w:val="lv-LV"/>
              </w:rPr>
            </w:pPr>
            <w:r w:rsidRPr="00C708B6">
              <w:rPr>
                <w:sz w:val="28"/>
                <w:lang w:val="lv-LV"/>
              </w:rPr>
              <w:t>Projekts šo jomu neskar.</w:t>
            </w:r>
          </w:p>
        </w:tc>
      </w:tr>
      <w:tr w:rsidR="00FA7684" w:rsidRPr="00C708B6" w:rsidTr="00805086">
        <w:trPr>
          <w:trHeight w:val="517"/>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4.</w:t>
            </w:r>
          </w:p>
        </w:tc>
        <w:tc>
          <w:tcPr>
            <w:tcW w:w="289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Tiesiskā regulējuma nefinansiālā ietekme</w:t>
            </w:r>
          </w:p>
        </w:tc>
        <w:tc>
          <w:tcPr>
            <w:tcW w:w="574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jc w:val="both"/>
              <w:rPr>
                <w:sz w:val="28"/>
                <w:lang w:val="lv-LV"/>
              </w:rPr>
            </w:pPr>
            <w:r w:rsidRPr="00C708B6">
              <w:rPr>
                <w:sz w:val="28"/>
                <w:lang w:val="lv-LV"/>
              </w:rPr>
              <w:t>Projekts šo jomu neskar.</w:t>
            </w:r>
          </w:p>
        </w:tc>
      </w:tr>
      <w:tr w:rsidR="00FA7684" w:rsidRPr="00E02E86" w:rsidTr="00805086">
        <w:trPr>
          <w:trHeight w:val="531"/>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5.</w:t>
            </w:r>
          </w:p>
        </w:tc>
        <w:tc>
          <w:tcPr>
            <w:tcW w:w="289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Administratīvās procedūras raksturojums</w:t>
            </w:r>
          </w:p>
        </w:tc>
        <w:tc>
          <w:tcPr>
            <w:tcW w:w="574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EC0C50" w:rsidP="00EC0C50">
            <w:pPr>
              <w:jc w:val="both"/>
              <w:rPr>
                <w:sz w:val="28"/>
                <w:lang w:val="lv-LV"/>
              </w:rPr>
            </w:pPr>
            <w:r w:rsidRPr="00C708B6">
              <w:rPr>
                <w:sz w:val="28"/>
                <w:lang w:val="lv-LV"/>
              </w:rPr>
              <w:t>Projekts šo jomu neskar.</w:t>
            </w:r>
          </w:p>
        </w:tc>
      </w:tr>
      <w:tr w:rsidR="00FA7684" w:rsidRPr="00C708B6" w:rsidTr="00805086">
        <w:trPr>
          <w:trHeight w:val="357"/>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6.</w:t>
            </w:r>
          </w:p>
        </w:tc>
        <w:tc>
          <w:tcPr>
            <w:tcW w:w="289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Administratīvo izmaksu monetārs novērtējums</w:t>
            </w:r>
          </w:p>
        </w:tc>
        <w:tc>
          <w:tcPr>
            <w:tcW w:w="574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Projekts šo jomu neskar.</w:t>
            </w:r>
          </w:p>
        </w:tc>
      </w:tr>
      <w:tr w:rsidR="00FA7684" w:rsidRPr="00C708B6" w:rsidTr="00805086">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7.</w:t>
            </w:r>
          </w:p>
        </w:tc>
        <w:tc>
          <w:tcPr>
            <w:tcW w:w="289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Cita informācija</w:t>
            </w:r>
          </w:p>
        </w:tc>
        <w:tc>
          <w:tcPr>
            <w:tcW w:w="574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Nav.</w:t>
            </w:r>
          </w:p>
        </w:tc>
      </w:tr>
    </w:tbl>
    <w:p w:rsidR="00FA7684" w:rsidRPr="00C708B6" w:rsidRDefault="00FA7684" w:rsidP="00FA7684">
      <w:pPr>
        <w:spacing w:after="60"/>
        <w:rPr>
          <w:sz w:val="28"/>
          <w:lang w:val="lv-LV"/>
        </w:rPr>
      </w:pPr>
      <w:r w:rsidRPr="00C708B6">
        <w:rPr>
          <w:sz w:val="28"/>
          <w:lang w:val="lv-LV"/>
        </w:rPr>
        <w:t> </w:t>
      </w:r>
    </w:p>
    <w:tbl>
      <w:tblPr>
        <w:tblW w:w="910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15"/>
        <w:gridCol w:w="1618"/>
        <w:gridCol w:w="859"/>
        <w:gridCol w:w="362"/>
        <w:gridCol w:w="1408"/>
        <w:gridCol w:w="1858"/>
        <w:gridCol w:w="1704"/>
        <w:gridCol w:w="1277"/>
      </w:tblGrid>
      <w:tr w:rsidR="00FA7684" w:rsidRPr="006C1ABB" w:rsidTr="00805086">
        <w:trPr>
          <w:trHeight w:val="652"/>
        </w:trPr>
        <w:tc>
          <w:tcPr>
            <w:tcW w:w="9087" w:type="dxa"/>
            <w:gridSpan w:val="8"/>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jc w:val="center"/>
              <w:rPr>
                <w:b/>
                <w:sz w:val="28"/>
                <w:szCs w:val="28"/>
                <w:lang w:val="lv-LV"/>
              </w:rPr>
            </w:pPr>
            <w:r w:rsidRPr="00C708B6">
              <w:rPr>
                <w:b/>
                <w:sz w:val="28"/>
                <w:szCs w:val="28"/>
                <w:lang w:val="lv-LV"/>
              </w:rPr>
              <w:t>III. Tiesību akta projekta ietekme uz valsts budžetu un pašvaldību budžetiem</w:t>
            </w:r>
          </w:p>
        </w:tc>
      </w:tr>
      <w:tr w:rsidR="00FA7684" w:rsidRPr="006C1ABB"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vMerge w:val="restart"/>
            <w:tcBorders>
              <w:top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b/>
                <w:bCs/>
                <w:sz w:val="28"/>
                <w:szCs w:val="28"/>
                <w:lang w:val="lv-LV"/>
              </w:rPr>
            </w:pPr>
            <w:r w:rsidRPr="00C708B6">
              <w:rPr>
                <w:b/>
                <w:bCs/>
                <w:sz w:val="28"/>
                <w:szCs w:val="28"/>
                <w:lang w:val="lv-LV"/>
              </w:rPr>
              <w:t>Rādītāji</w:t>
            </w:r>
          </w:p>
        </w:tc>
        <w:tc>
          <w:tcPr>
            <w:tcW w:w="2625" w:type="dxa"/>
            <w:gridSpan w:val="3"/>
            <w:vMerge w:val="restart"/>
            <w:tcBorders>
              <w:top w:val="outset" w:sz="6" w:space="0" w:color="000000"/>
              <w:left w:val="outset" w:sz="6" w:space="0" w:color="000000"/>
              <w:bottom w:val="outset" w:sz="6" w:space="0" w:color="000000"/>
              <w:right w:val="outset" w:sz="6" w:space="0" w:color="000000"/>
            </w:tcBorders>
            <w:vAlign w:val="center"/>
          </w:tcPr>
          <w:p w:rsidR="00FA7684" w:rsidRPr="00C708B6" w:rsidRDefault="00AE3369" w:rsidP="00805086">
            <w:pPr>
              <w:spacing w:before="100" w:beforeAutospacing="1" w:after="100" w:afterAutospacing="1"/>
              <w:jc w:val="center"/>
              <w:rPr>
                <w:b/>
                <w:bCs/>
                <w:sz w:val="28"/>
                <w:szCs w:val="28"/>
                <w:lang w:val="lv-LV"/>
              </w:rPr>
            </w:pPr>
            <w:r>
              <w:rPr>
                <w:b/>
                <w:bCs/>
                <w:sz w:val="28"/>
                <w:szCs w:val="28"/>
                <w:lang w:val="lv-LV"/>
              </w:rPr>
              <w:t>2013</w:t>
            </w:r>
            <w:r w:rsidR="00FA7684" w:rsidRPr="00C708B6">
              <w:rPr>
                <w:b/>
                <w:bCs/>
                <w:sz w:val="28"/>
                <w:szCs w:val="28"/>
                <w:lang w:val="lv-LV"/>
              </w:rPr>
              <w:t>. gads</w:t>
            </w:r>
          </w:p>
        </w:tc>
        <w:tc>
          <w:tcPr>
            <w:tcW w:w="4831" w:type="dxa"/>
            <w:gridSpan w:val="3"/>
            <w:tcBorders>
              <w:top w:val="outset" w:sz="6" w:space="0" w:color="000000"/>
              <w:left w:val="outset" w:sz="6" w:space="0" w:color="000000"/>
              <w:bottom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Turpmākie trīs gadi (tūkst</w:t>
            </w:r>
            <w:smartTag w:uri="schemas-tilde-lv/tildestengine" w:element="currency2">
              <w:smartTagPr>
                <w:attr w:name="currency_id" w:val="48"/>
                <w:attr w:name="currency_key" w:val="LVL"/>
                <w:attr w:name="currency_value" w:val="."/>
                <w:attr w:name="currency_text" w:val="latu"/>
              </w:smartTagPr>
              <w:r w:rsidRPr="00C708B6">
                <w:rPr>
                  <w:sz w:val="28"/>
                  <w:szCs w:val="28"/>
                  <w:lang w:val="lv-LV"/>
                </w:rPr>
                <w:t>. latu</w:t>
              </w:r>
            </w:smartTag>
            <w:r w:rsidRPr="00C708B6">
              <w:rPr>
                <w:sz w:val="28"/>
                <w:szCs w:val="28"/>
                <w:lang w:val="lv-LV"/>
              </w:rPr>
              <w:t>)</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vMerge/>
            <w:tcBorders>
              <w:top w:val="outset" w:sz="6" w:space="0" w:color="000000"/>
              <w:bottom w:val="outset" w:sz="6" w:space="0" w:color="000000"/>
              <w:right w:val="outset" w:sz="6" w:space="0" w:color="000000"/>
            </w:tcBorders>
            <w:vAlign w:val="center"/>
          </w:tcPr>
          <w:p w:rsidR="00FA7684" w:rsidRPr="00C708B6" w:rsidRDefault="00FA7684" w:rsidP="00805086">
            <w:pPr>
              <w:rPr>
                <w:b/>
                <w:bCs/>
                <w:sz w:val="28"/>
                <w:szCs w:val="28"/>
                <w:lang w:val="lv-LV"/>
              </w:rPr>
            </w:pPr>
          </w:p>
        </w:tc>
        <w:tc>
          <w:tcPr>
            <w:tcW w:w="2625" w:type="dxa"/>
            <w:gridSpan w:val="3"/>
            <w:vMerge/>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rPr>
                <w:b/>
                <w:bCs/>
                <w:sz w:val="28"/>
                <w:szCs w:val="28"/>
                <w:lang w:val="lv-LV"/>
              </w:rPr>
            </w:pPr>
          </w:p>
        </w:tc>
        <w:tc>
          <w:tcPr>
            <w:tcW w:w="1855" w:type="dxa"/>
            <w:tcBorders>
              <w:top w:val="outset" w:sz="6" w:space="0" w:color="000000"/>
              <w:left w:val="outset" w:sz="6" w:space="0" w:color="000000"/>
              <w:bottom w:val="outset" w:sz="6" w:space="0" w:color="000000"/>
              <w:right w:val="outset" w:sz="6" w:space="0" w:color="000000"/>
            </w:tcBorders>
            <w:vAlign w:val="center"/>
          </w:tcPr>
          <w:p w:rsidR="00FA7684" w:rsidRPr="00C708B6" w:rsidRDefault="00AE3369" w:rsidP="00805086">
            <w:pPr>
              <w:spacing w:before="100" w:beforeAutospacing="1" w:after="100" w:afterAutospacing="1"/>
              <w:jc w:val="center"/>
              <w:rPr>
                <w:b/>
                <w:bCs/>
                <w:sz w:val="28"/>
                <w:szCs w:val="28"/>
                <w:lang w:val="lv-LV"/>
              </w:rPr>
            </w:pPr>
            <w:r>
              <w:rPr>
                <w:b/>
                <w:bCs/>
                <w:sz w:val="28"/>
                <w:szCs w:val="28"/>
                <w:lang w:val="lv-LV"/>
              </w:rPr>
              <w:t>2014</w:t>
            </w:r>
            <w:r w:rsidR="00FA7684" w:rsidRPr="00C708B6">
              <w:rPr>
                <w:b/>
                <w:bCs/>
                <w:sz w:val="28"/>
                <w:szCs w:val="28"/>
                <w:lang w:val="lv-LV"/>
              </w:rPr>
              <w:t>.</w:t>
            </w:r>
          </w:p>
        </w:tc>
        <w:tc>
          <w:tcPr>
            <w:tcW w:w="1701" w:type="dxa"/>
            <w:tcBorders>
              <w:top w:val="outset" w:sz="6" w:space="0" w:color="000000"/>
              <w:left w:val="outset" w:sz="6" w:space="0" w:color="000000"/>
              <w:bottom w:val="outset" w:sz="6" w:space="0" w:color="000000"/>
              <w:right w:val="outset" w:sz="6" w:space="0" w:color="000000"/>
            </w:tcBorders>
            <w:vAlign w:val="center"/>
          </w:tcPr>
          <w:p w:rsidR="00FA7684" w:rsidRPr="00C708B6" w:rsidRDefault="00AE3369" w:rsidP="00805086">
            <w:pPr>
              <w:spacing w:before="100" w:beforeAutospacing="1" w:after="100" w:afterAutospacing="1"/>
              <w:jc w:val="center"/>
              <w:rPr>
                <w:b/>
                <w:bCs/>
                <w:sz w:val="28"/>
                <w:szCs w:val="28"/>
                <w:lang w:val="lv-LV"/>
              </w:rPr>
            </w:pPr>
            <w:r>
              <w:rPr>
                <w:b/>
                <w:bCs/>
                <w:sz w:val="28"/>
                <w:szCs w:val="28"/>
                <w:lang w:val="lv-LV"/>
              </w:rPr>
              <w:t>2015</w:t>
            </w:r>
            <w:r w:rsidR="00FA7684" w:rsidRPr="00C708B6">
              <w:rPr>
                <w:b/>
                <w:bCs/>
                <w:sz w:val="28"/>
                <w:szCs w:val="28"/>
                <w:lang w:val="lv-LV"/>
              </w:rPr>
              <w:t>.</w:t>
            </w:r>
          </w:p>
        </w:tc>
        <w:tc>
          <w:tcPr>
            <w:tcW w:w="1275" w:type="dxa"/>
            <w:tcBorders>
              <w:top w:val="outset" w:sz="6" w:space="0" w:color="000000"/>
              <w:left w:val="outset" w:sz="6" w:space="0" w:color="000000"/>
              <w:bottom w:val="outset" w:sz="6" w:space="0" w:color="000000"/>
            </w:tcBorders>
            <w:vAlign w:val="center"/>
          </w:tcPr>
          <w:p w:rsidR="00FA7684" w:rsidRPr="00C708B6" w:rsidRDefault="00AE3369" w:rsidP="00805086">
            <w:pPr>
              <w:spacing w:before="100" w:beforeAutospacing="1" w:after="100" w:afterAutospacing="1"/>
              <w:jc w:val="center"/>
              <w:rPr>
                <w:b/>
                <w:bCs/>
                <w:sz w:val="28"/>
                <w:szCs w:val="28"/>
                <w:lang w:val="lv-LV"/>
              </w:rPr>
            </w:pPr>
            <w:r>
              <w:rPr>
                <w:b/>
                <w:bCs/>
                <w:sz w:val="28"/>
                <w:szCs w:val="28"/>
                <w:lang w:val="lv-LV"/>
              </w:rPr>
              <w:t>2016</w:t>
            </w:r>
            <w:r w:rsidR="00FA7684" w:rsidRPr="00C708B6">
              <w:rPr>
                <w:b/>
                <w:bCs/>
                <w:sz w:val="28"/>
                <w:szCs w:val="28"/>
                <w:lang w:val="lv-LV"/>
              </w:rPr>
              <w:t>.</w:t>
            </w:r>
          </w:p>
        </w:tc>
      </w:tr>
      <w:tr w:rsidR="00FA7684" w:rsidRPr="006C1ABB"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vMerge/>
            <w:tcBorders>
              <w:top w:val="outset" w:sz="6" w:space="0" w:color="000000"/>
              <w:bottom w:val="outset" w:sz="6" w:space="0" w:color="000000"/>
              <w:right w:val="outset" w:sz="6" w:space="0" w:color="000000"/>
            </w:tcBorders>
            <w:vAlign w:val="center"/>
          </w:tcPr>
          <w:p w:rsidR="00FA7684" w:rsidRPr="00C708B6" w:rsidRDefault="00FA7684" w:rsidP="00805086">
            <w:pPr>
              <w:rPr>
                <w:b/>
                <w:bCs/>
                <w:sz w:val="28"/>
                <w:szCs w:val="28"/>
                <w:lang w:val="lv-LV"/>
              </w:rPr>
            </w:pPr>
          </w:p>
        </w:tc>
        <w:tc>
          <w:tcPr>
            <w:tcW w:w="1219" w:type="dxa"/>
            <w:gridSpan w:val="2"/>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Saskaņā ar valsts budžetu kārtējam gadam</w:t>
            </w:r>
          </w:p>
        </w:tc>
        <w:tc>
          <w:tcPr>
            <w:tcW w:w="1406" w:type="dxa"/>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Izmaiņas kārtējā gadā, salīdzinot ar budžetu kārtējam gadam</w:t>
            </w:r>
          </w:p>
        </w:tc>
        <w:tc>
          <w:tcPr>
            <w:tcW w:w="1855" w:type="dxa"/>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Izmaiņas, salīdzinot ar kārtējo (n) gadu</w:t>
            </w:r>
          </w:p>
        </w:tc>
        <w:tc>
          <w:tcPr>
            <w:tcW w:w="1701" w:type="dxa"/>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Izmaiņas, salīdzinot ar kārtējo (n) gadu</w:t>
            </w:r>
          </w:p>
        </w:tc>
        <w:tc>
          <w:tcPr>
            <w:tcW w:w="1275" w:type="dxa"/>
            <w:tcBorders>
              <w:top w:val="outset" w:sz="6" w:space="0" w:color="000000"/>
              <w:left w:val="outset" w:sz="6" w:space="0" w:color="000000"/>
              <w:bottom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Izmaiņas, salīdzinot ar kārtējo (n) gadu</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1</w:t>
            </w:r>
          </w:p>
        </w:tc>
        <w:tc>
          <w:tcPr>
            <w:tcW w:w="1219" w:type="dxa"/>
            <w:gridSpan w:val="2"/>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2</w:t>
            </w:r>
          </w:p>
        </w:tc>
        <w:tc>
          <w:tcPr>
            <w:tcW w:w="1406" w:type="dxa"/>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3</w:t>
            </w:r>
          </w:p>
        </w:tc>
        <w:tc>
          <w:tcPr>
            <w:tcW w:w="1855" w:type="dxa"/>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5</w:t>
            </w:r>
          </w:p>
        </w:tc>
        <w:tc>
          <w:tcPr>
            <w:tcW w:w="1275" w:type="dxa"/>
            <w:tcBorders>
              <w:top w:val="outset" w:sz="6" w:space="0" w:color="000000"/>
              <w:left w:val="outset" w:sz="6" w:space="0" w:color="000000"/>
              <w:bottom w:val="outset" w:sz="6" w:space="0" w:color="000000"/>
            </w:tcBorders>
            <w:vAlign w:val="center"/>
          </w:tcPr>
          <w:p w:rsidR="00FA7684" w:rsidRPr="00C708B6" w:rsidRDefault="00FA7684" w:rsidP="00805086">
            <w:pPr>
              <w:spacing w:before="100" w:beforeAutospacing="1" w:after="100" w:afterAutospacing="1"/>
              <w:jc w:val="center"/>
              <w:rPr>
                <w:sz w:val="28"/>
                <w:szCs w:val="28"/>
                <w:lang w:val="lv-LV"/>
              </w:rPr>
            </w:pPr>
            <w:r w:rsidRPr="00C708B6">
              <w:rPr>
                <w:sz w:val="28"/>
                <w:szCs w:val="28"/>
                <w:lang w:val="lv-LV"/>
              </w:rPr>
              <w:t>6</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1. Budžeta ieņēmumi:</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82"/>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 xml:space="preserve">1.1. valsts </w:t>
            </w:r>
            <w:r w:rsidRPr="00C708B6">
              <w:rPr>
                <w:sz w:val="28"/>
                <w:szCs w:val="28"/>
                <w:lang w:val="lv-LV"/>
              </w:rPr>
              <w:lastRenderedPageBreak/>
              <w:t>pamatbudžets, tai skaitā ieņēmumi no maksas pakalpojumiem un citi pašu ieņēmumi</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82"/>
              <w:rPr>
                <w:sz w:val="28"/>
                <w:szCs w:val="28"/>
                <w:lang w:val="lv-LV"/>
              </w:rPr>
            </w:pPr>
            <w:r w:rsidRPr="00C708B6">
              <w:rPr>
                <w:sz w:val="28"/>
                <w:szCs w:val="28"/>
                <w:lang w:val="lv-LV"/>
              </w:rPr>
              <w:lastRenderedPageBreak/>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lastRenderedPageBreak/>
              <w:t>1.2. valsts speciālais budžets</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82"/>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1.3. pašvaldību budžets</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82"/>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2. Budžeta izdevumi:</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82"/>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2.1. valsts pamatbudžets</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82"/>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2.2. valsts speciālais budžets</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82"/>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2.3. pašvaldību budžets</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82"/>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3. Finansiālā ietekme:</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59"/>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3.1. valsts pamatbudžets</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59"/>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3.2. speciālais budžets</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59"/>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F04CAC" w:rsidRDefault="00FA7684" w:rsidP="00805086">
            <w:pPr>
              <w:rPr>
                <w:sz w:val="28"/>
                <w:szCs w:val="28"/>
                <w:lang w:val="lv-LV"/>
              </w:rPr>
            </w:pPr>
            <w:r w:rsidRPr="00F04CAC">
              <w:rPr>
                <w:sz w:val="28"/>
                <w:szCs w:val="28"/>
                <w:lang w:val="lv-LV"/>
              </w:rPr>
              <w:t>3.3. pašvaldību budžets</w:t>
            </w:r>
          </w:p>
        </w:tc>
        <w:tc>
          <w:tcPr>
            <w:tcW w:w="7456" w:type="dxa"/>
            <w:gridSpan w:val="6"/>
            <w:tcBorders>
              <w:top w:val="outset" w:sz="6" w:space="0" w:color="000000"/>
              <w:left w:val="outset" w:sz="6" w:space="0" w:color="000000"/>
              <w:bottom w:val="outset" w:sz="6" w:space="0" w:color="000000"/>
            </w:tcBorders>
          </w:tcPr>
          <w:p w:rsidR="00FA7684" w:rsidRPr="00C708B6" w:rsidRDefault="00FA7684" w:rsidP="00805086">
            <w:pPr>
              <w:ind w:firstLine="359"/>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rHeight w:val="1930"/>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lastRenderedPageBreak/>
              <w:t>4. Finanšu līdzekļi papildu izdevumu finansēšanai (kompensējošu izdevumu samazinājumu norāda ar "+" zīmi)</w:t>
            </w:r>
          </w:p>
        </w:tc>
        <w:tc>
          <w:tcPr>
            <w:tcW w:w="858" w:type="dxa"/>
            <w:tcBorders>
              <w:top w:val="outset" w:sz="6" w:space="0" w:color="000000"/>
              <w:left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X</w:t>
            </w:r>
          </w:p>
        </w:tc>
        <w:tc>
          <w:tcPr>
            <w:tcW w:w="6598" w:type="dxa"/>
            <w:gridSpan w:val="5"/>
            <w:tcBorders>
              <w:top w:val="outset" w:sz="6" w:space="0" w:color="000000"/>
              <w:left w:val="outset" w:sz="6" w:space="0" w:color="000000"/>
            </w:tcBorders>
          </w:tcPr>
          <w:p w:rsidR="00FA7684" w:rsidRPr="00C708B6" w:rsidRDefault="00FA7684" w:rsidP="00805086">
            <w:pPr>
              <w:ind w:firstLine="343"/>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5. Precizēta finansiālā ietekme:</w:t>
            </w:r>
          </w:p>
        </w:tc>
        <w:tc>
          <w:tcPr>
            <w:tcW w:w="858" w:type="dxa"/>
            <w:vMerge w:val="restart"/>
            <w:tcBorders>
              <w:top w:val="outset" w:sz="6" w:space="0" w:color="000000"/>
              <w:left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X</w:t>
            </w:r>
          </w:p>
        </w:tc>
        <w:tc>
          <w:tcPr>
            <w:tcW w:w="6598" w:type="dxa"/>
            <w:gridSpan w:val="5"/>
            <w:tcBorders>
              <w:top w:val="outset" w:sz="6" w:space="0" w:color="000000"/>
              <w:left w:val="outset" w:sz="6" w:space="0" w:color="000000"/>
              <w:bottom w:val="outset" w:sz="6" w:space="0" w:color="000000"/>
            </w:tcBorders>
          </w:tcPr>
          <w:p w:rsidR="00FA7684" w:rsidRPr="00C708B6" w:rsidRDefault="00FA7684" w:rsidP="00805086">
            <w:pPr>
              <w:ind w:firstLine="343"/>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5.1. valsts pamatbudžets</w:t>
            </w:r>
          </w:p>
        </w:tc>
        <w:tc>
          <w:tcPr>
            <w:tcW w:w="858" w:type="dxa"/>
            <w:vMerge/>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rPr>
                <w:sz w:val="28"/>
                <w:szCs w:val="28"/>
                <w:lang w:val="lv-LV"/>
              </w:rPr>
            </w:pPr>
          </w:p>
        </w:tc>
        <w:tc>
          <w:tcPr>
            <w:tcW w:w="6598" w:type="dxa"/>
            <w:gridSpan w:val="5"/>
            <w:tcBorders>
              <w:top w:val="outset" w:sz="6" w:space="0" w:color="000000"/>
              <w:left w:val="outset" w:sz="6" w:space="0" w:color="000000"/>
              <w:bottom w:val="outset" w:sz="6" w:space="0" w:color="000000"/>
            </w:tcBorders>
          </w:tcPr>
          <w:p w:rsidR="00FA7684" w:rsidRPr="00C708B6" w:rsidRDefault="00FA7684" w:rsidP="00805086">
            <w:pPr>
              <w:ind w:firstLine="343"/>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5.2. speciālais budžets</w:t>
            </w:r>
          </w:p>
        </w:tc>
        <w:tc>
          <w:tcPr>
            <w:tcW w:w="858" w:type="dxa"/>
            <w:vMerge/>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rPr>
                <w:sz w:val="28"/>
                <w:szCs w:val="28"/>
                <w:lang w:val="lv-LV"/>
              </w:rPr>
            </w:pPr>
          </w:p>
        </w:tc>
        <w:tc>
          <w:tcPr>
            <w:tcW w:w="6598" w:type="dxa"/>
            <w:gridSpan w:val="5"/>
            <w:tcBorders>
              <w:top w:val="outset" w:sz="6" w:space="0" w:color="000000"/>
              <w:left w:val="outset" w:sz="6" w:space="0" w:color="000000"/>
              <w:bottom w:val="outset" w:sz="6" w:space="0" w:color="000000"/>
            </w:tcBorders>
          </w:tcPr>
          <w:p w:rsidR="00FA7684" w:rsidRPr="00C708B6" w:rsidRDefault="00FA7684" w:rsidP="00805086">
            <w:pPr>
              <w:ind w:firstLine="343"/>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5.3. pašvaldību budžets</w:t>
            </w:r>
          </w:p>
        </w:tc>
        <w:tc>
          <w:tcPr>
            <w:tcW w:w="858" w:type="dxa"/>
            <w:vMerge/>
            <w:tcBorders>
              <w:top w:val="outset" w:sz="6" w:space="0" w:color="000000"/>
              <w:left w:val="outset" w:sz="6" w:space="0" w:color="000000"/>
              <w:bottom w:val="outset" w:sz="6" w:space="0" w:color="000000"/>
              <w:right w:val="outset" w:sz="6" w:space="0" w:color="000000"/>
            </w:tcBorders>
            <w:vAlign w:val="center"/>
          </w:tcPr>
          <w:p w:rsidR="00FA7684" w:rsidRPr="00C708B6" w:rsidRDefault="00FA7684" w:rsidP="00805086">
            <w:pPr>
              <w:rPr>
                <w:sz w:val="28"/>
                <w:szCs w:val="28"/>
                <w:lang w:val="lv-LV"/>
              </w:rPr>
            </w:pPr>
          </w:p>
        </w:tc>
        <w:tc>
          <w:tcPr>
            <w:tcW w:w="6598" w:type="dxa"/>
            <w:gridSpan w:val="5"/>
            <w:tcBorders>
              <w:top w:val="outset" w:sz="6" w:space="0" w:color="000000"/>
              <w:left w:val="outset" w:sz="6" w:space="0" w:color="000000"/>
              <w:bottom w:val="outset" w:sz="6" w:space="0" w:color="000000"/>
            </w:tcBorders>
          </w:tcPr>
          <w:p w:rsidR="00FA7684" w:rsidRPr="00C708B6" w:rsidRDefault="00FA7684" w:rsidP="00805086">
            <w:pPr>
              <w:ind w:firstLine="343"/>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rPr>
                <w:sz w:val="28"/>
                <w:szCs w:val="28"/>
                <w:lang w:val="lv-LV"/>
              </w:rPr>
            </w:pPr>
            <w:r w:rsidRPr="00C708B6">
              <w:rPr>
                <w:sz w:val="28"/>
                <w:szCs w:val="28"/>
                <w:lang w:val="lv-LV"/>
              </w:rPr>
              <w:t>6. Detalizēts ieņēmumu un izdevu</w:t>
            </w:r>
            <w:r w:rsidRPr="00C708B6">
              <w:rPr>
                <w:sz w:val="28"/>
                <w:szCs w:val="28"/>
                <w:lang w:val="lv-LV"/>
              </w:rPr>
              <w:softHyphen/>
              <w:t>mu aprēķins (ja nepieciešams, detalizētu ieņēmumu un izdevumu aprēķinu var pievienot anotācijas pielikumā):</w:t>
            </w:r>
          </w:p>
        </w:tc>
        <w:tc>
          <w:tcPr>
            <w:tcW w:w="7456" w:type="dxa"/>
            <w:gridSpan w:val="6"/>
            <w:vMerge w:val="restart"/>
            <w:tcBorders>
              <w:top w:val="outset" w:sz="6" w:space="0" w:color="000000"/>
              <w:left w:val="outset" w:sz="6" w:space="0" w:color="000000"/>
              <w:bottom w:val="outset" w:sz="6" w:space="0" w:color="000000"/>
            </w:tcBorders>
            <w:vAlign w:val="center"/>
          </w:tcPr>
          <w:p w:rsidR="00FA7684" w:rsidRPr="00C708B6" w:rsidRDefault="00FA7684" w:rsidP="00805086">
            <w:pPr>
              <w:ind w:firstLine="382"/>
              <w:rPr>
                <w:sz w:val="28"/>
                <w:szCs w:val="28"/>
                <w:lang w:val="lv-LV"/>
              </w:rPr>
            </w:pPr>
            <w:r w:rsidRPr="00C708B6">
              <w:rPr>
                <w:sz w:val="28"/>
                <w:szCs w:val="28"/>
                <w:lang w:val="lv-LV"/>
              </w:rPr>
              <w:t>Projekts šo jomu neskar.</w:t>
            </w: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spacing w:before="100" w:beforeAutospacing="1" w:after="100" w:afterAutospacing="1"/>
              <w:rPr>
                <w:sz w:val="28"/>
                <w:szCs w:val="28"/>
                <w:lang w:val="lv-LV"/>
              </w:rPr>
            </w:pPr>
            <w:r w:rsidRPr="00C708B6">
              <w:rPr>
                <w:sz w:val="28"/>
                <w:szCs w:val="28"/>
                <w:lang w:val="lv-LV"/>
              </w:rPr>
              <w:t xml:space="preserve">6.1. detalizēts ieņēmumu aprēķins </w:t>
            </w:r>
          </w:p>
        </w:tc>
        <w:tc>
          <w:tcPr>
            <w:tcW w:w="7456" w:type="dxa"/>
            <w:gridSpan w:val="6"/>
            <w:vMerge/>
            <w:tcBorders>
              <w:top w:val="outset" w:sz="6" w:space="0" w:color="000000"/>
              <w:left w:val="outset" w:sz="6" w:space="0" w:color="000000"/>
              <w:bottom w:val="outset" w:sz="6" w:space="0" w:color="000000"/>
            </w:tcBorders>
            <w:vAlign w:val="center"/>
          </w:tcPr>
          <w:p w:rsidR="00FA7684" w:rsidRPr="00C708B6" w:rsidRDefault="00FA7684" w:rsidP="00805086">
            <w:pPr>
              <w:rPr>
                <w:sz w:val="28"/>
                <w:szCs w:val="28"/>
                <w:lang w:val="lv-LV"/>
              </w:rPr>
            </w:pPr>
          </w:p>
        </w:tc>
      </w:tr>
      <w:tr w:rsidR="00FA7684" w:rsidRPr="00C708B6"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5" w:type="dxa"/>
          <w:tblCellSpacing w:w="15" w:type="dxa"/>
        </w:trPr>
        <w:tc>
          <w:tcPr>
            <w:tcW w:w="1616" w:type="dxa"/>
            <w:tcBorders>
              <w:top w:val="outset" w:sz="6" w:space="0" w:color="000000"/>
              <w:bottom w:val="outset" w:sz="6" w:space="0" w:color="000000"/>
              <w:right w:val="outset" w:sz="6" w:space="0" w:color="000000"/>
            </w:tcBorders>
          </w:tcPr>
          <w:p w:rsidR="00FA7684" w:rsidRPr="00C708B6" w:rsidRDefault="00FA7684" w:rsidP="00805086">
            <w:pPr>
              <w:spacing w:before="100" w:beforeAutospacing="1" w:after="100" w:afterAutospacing="1"/>
              <w:rPr>
                <w:sz w:val="28"/>
                <w:szCs w:val="28"/>
                <w:lang w:val="lv-LV"/>
              </w:rPr>
            </w:pPr>
            <w:r w:rsidRPr="00C708B6">
              <w:rPr>
                <w:sz w:val="28"/>
                <w:szCs w:val="28"/>
                <w:lang w:val="lv-LV"/>
              </w:rPr>
              <w:t xml:space="preserve">6.2. detalizēts </w:t>
            </w:r>
            <w:r w:rsidRPr="00C708B6">
              <w:rPr>
                <w:sz w:val="28"/>
                <w:szCs w:val="28"/>
                <w:lang w:val="lv-LV"/>
              </w:rPr>
              <w:lastRenderedPageBreak/>
              <w:t>izdevumu aprēķins</w:t>
            </w:r>
          </w:p>
        </w:tc>
        <w:tc>
          <w:tcPr>
            <w:tcW w:w="7456" w:type="dxa"/>
            <w:gridSpan w:val="6"/>
            <w:vMerge/>
            <w:tcBorders>
              <w:top w:val="outset" w:sz="6" w:space="0" w:color="000000"/>
              <w:left w:val="outset" w:sz="6" w:space="0" w:color="000000"/>
              <w:bottom w:val="outset" w:sz="6" w:space="0" w:color="000000"/>
            </w:tcBorders>
            <w:vAlign w:val="center"/>
          </w:tcPr>
          <w:p w:rsidR="00FA7684" w:rsidRPr="00C708B6" w:rsidRDefault="00FA7684" w:rsidP="00805086">
            <w:pPr>
              <w:rPr>
                <w:sz w:val="28"/>
                <w:szCs w:val="28"/>
                <w:lang w:val="lv-LV"/>
              </w:rPr>
            </w:pPr>
          </w:p>
        </w:tc>
      </w:tr>
      <w:tr w:rsidR="00FA7684" w:rsidRPr="006C1ABB" w:rsidTr="0080508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15" w:type="dxa"/>
          <w:tblCellSpacing w:w="15" w:type="dxa"/>
        </w:trPr>
        <w:tc>
          <w:tcPr>
            <w:tcW w:w="1616" w:type="dxa"/>
            <w:tcBorders>
              <w:top w:val="outset" w:sz="6" w:space="0" w:color="000000"/>
              <w:left w:val="outset" w:sz="6" w:space="0" w:color="000000"/>
              <w:bottom w:val="outset" w:sz="6" w:space="0" w:color="000000"/>
              <w:right w:val="outset" w:sz="6" w:space="0" w:color="000000"/>
            </w:tcBorders>
            <w:hideMark/>
          </w:tcPr>
          <w:p w:rsidR="00FA7684" w:rsidRPr="00C708B6" w:rsidRDefault="00FA7684" w:rsidP="00805086">
            <w:pPr>
              <w:spacing w:before="100" w:beforeAutospacing="1" w:after="100" w:afterAutospacing="1"/>
              <w:rPr>
                <w:sz w:val="28"/>
                <w:szCs w:val="28"/>
                <w:lang w:val="lv-LV"/>
              </w:rPr>
            </w:pPr>
            <w:r w:rsidRPr="00C708B6">
              <w:rPr>
                <w:sz w:val="28"/>
                <w:szCs w:val="28"/>
                <w:lang w:val="lv-LV"/>
              </w:rPr>
              <w:lastRenderedPageBreak/>
              <w:t>7. Cita informācija</w:t>
            </w:r>
          </w:p>
        </w:tc>
        <w:tc>
          <w:tcPr>
            <w:tcW w:w="7456" w:type="dxa"/>
            <w:gridSpan w:val="6"/>
            <w:tcBorders>
              <w:top w:val="outset" w:sz="6" w:space="0" w:color="000000"/>
              <w:left w:val="outset" w:sz="6" w:space="0" w:color="000000"/>
              <w:bottom w:val="outset" w:sz="6" w:space="0" w:color="000000"/>
              <w:right w:val="outset" w:sz="6" w:space="0" w:color="000000"/>
            </w:tcBorders>
            <w:hideMark/>
          </w:tcPr>
          <w:p w:rsidR="00FA7684" w:rsidRPr="00C708B6" w:rsidRDefault="00F04CAC" w:rsidP="00F04CAC">
            <w:pPr>
              <w:ind w:firstLine="391"/>
              <w:jc w:val="both"/>
              <w:rPr>
                <w:sz w:val="28"/>
                <w:szCs w:val="28"/>
                <w:lang w:val="lv-LV"/>
              </w:rPr>
            </w:pPr>
            <w:r>
              <w:rPr>
                <w:sz w:val="28"/>
                <w:szCs w:val="28"/>
                <w:lang w:val="lv-LV"/>
              </w:rPr>
              <w:t>Rīkojuma projektā</w:t>
            </w:r>
            <w:r w:rsidR="00FA7684" w:rsidRPr="00C708B6">
              <w:rPr>
                <w:sz w:val="28"/>
                <w:szCs w:val="28"/>
                <w:lang w:val="lv-LV"/>
              </w:rPr>
              <w:t xml:space="preserve"> </w:t>
            </w:r>
            <w:r>
              <w:rPr>
                <w:sz w:val="28"/>
                <w:szCs w:val="28"/>
                <w:lang w:val="lv-LV"/>
              </w:rPr>
              <w:t>minēto valstij piekrītošo</w:t>
            </w:r>
            <w:r w:rsidR="00FA7684" w:rsidRPr="00C708B6">
              <w:rPr>
                <w:sz w:val="28"/>
                <w:szCs w:val="28"/>
                <w:lang w:val="lv-LV"/>
              </w:rPr>
              <w:t xml:space="preserve"> </w:t>
            </w:r>
            <w:r>
              <w:rPr>
                <w:sz w:val="28"/>
                <w:szCs w:val="28"/>
                <w:lang w:val="lv-LV"/>
              </w:rPr>
              <w:t>dzīvokļa īpašumu</w:t>
            </w:r>
            <w:r w:rsidR="00FA7684" w:rsidRPr="00C708B6">
              <w:rPr>
                <w:sz w:val="28"/>
                <w:szCs w:val="28"/>
                <w:lang w:val="lv-LV"/>
              </w:rPr>
              <w:t xml:space="preserve"> valsts </w:t>
            </w:r>
            <w:r>
              <w:rPr>
                <w:sz w:val="28"/>
                <w:szCs w:val="28"/>
                <w:lang w:val="lv-LV"/>
              </w:rPr>
              <w:t>Rīgas pilsētas pašvaldībai</w:t>
            </w:r>
            <w:r w:rsidR="00FA7684" w:rsidRPr="00C708B6">
              <w:rPr>
                <w:sz w:val="28"/>
                <w:szCs w:val="28"/>
                <w:lang w:val="lv-LV"/>
              </w:rPr>
              <w:t xml:space="preserve"> nodos bez maksas.</w:t>
            </w:r>
          </w:p>
        </w:tc>
      </w:tr>
    </w:tbl>
    <w:p w:rsidR="00FA7684" w:rsidRPr="00C708B6" w:rsidRDefault="00FA7684" w:rsidP="00FA7684">
      <w:pPr>
        <w:tabs>
          <w:tab w:val="left" w:pos="1065"/>
        </w:tabs>
        <w:spacing w:after="60"/>
        <w:rPr>
          <w:sz w:val="28"/>
          <w:lang w:val="lv-LV"/>
        </w:rPr>
      </w:pPr>
      <w:r w:rsidRPr="00C708B6">
        <w:rPr>
          <w:sz w:val="28"/>
          <w:lang w:val="lv-LV"/>
        </w:rPr>
        <w:tab/>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507"/>
        <w:gridCol w:w="3194"/>
        <w:gridCol w:w="5400"/>
      </w:tblGrid>
      <w:tr w:rsidR="00FA7684" w:rsidRPr="006C1ABB" w:rsidTr="00805086">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jc w:val="center"/>
              <w:rPr>
                <w:sz w:val="28"/>
                <w:lang w:val="lv-LV"/>
              </w:rPr>
            </w:pPr>
            <w:r w:rsidRPr="00C708B6">
              <w:rPr>
                <w:b/>
                <w:sz w:val="28"/>
                <w:lang w:val="lv-LV"/>
              </w:rPr>
              <w:t>VII. Tiesību akta projekta izpildes nodrošināšana un tās ietekme uz institūcijām</w:t>
            </w:r>
          </w:p>
        </w:tc>
      </w:tr>
      <w:tr w:rsidR="00FA7684" w:rsidRPr="006C1ABB" w:rsidTr="00805086">
        <w:trPr>
          <w:trHeight w:val="427"/>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1.</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Projekta izpildē iesaistītās institūcijas</w:t>
            </w:r>
          </w:p>
        </w:tc>
        <w:tc>
          <w:tcPr>
            <w:tcW w:w="5400"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F04CAC">
            <w:pPr>
              <w:spacing w:after="120"/>
              <w:ind w:left="57" w:right="57" w:firstLine="793"/>
              <w:jc w:val="both"/>
              <w:rPr>
                <w:sz w:val="28"/>
                <w:lang w:val="lv-LV"/>
              </w:rPr>
            </w:pPr>
            <w:r w:rsidRPr="00C708B6">
              <w:rPr>
                <w:sz w:val="28"/>
                <w:lang w:val="lv-LV"/>
              </w:rPr>
              <w:t xml:space="preserve">Valsts ieņēmumu dienests un </w:t>
            </w:r>
            <w:r w:rsidR="00F04CAC">
              <w:rPr>
                <w:sz w:val="28"/>
                <w:lang w:val="lv-LV"/>
              </w:rPr>
              <w:t>Rīgas pilsētas pašvaldība</w:t>
            </w:r>
            <w:r w:rsidRPr="00C708B6">
              <w:rPr>
                <w:sz w:val="28"/>
                <w:lang w:val="lv-LV"/>
              </w:rPr>
              <w:t>.</w:t>
            </w:r>
          </w:p>
        </w:tc>
      </w:tr>
      <w:tr w:rsidR="00FA7684" w:rsidRPr="006C1ABB" w:rsidTr="00805086">
        <w:trPr>
          <w:trHeight w:val="46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2.</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Projekta izpildes ietekme uz pārvaldes funkcijām</w:t>
            </w:r>
          </w:p>
        </w:tc>
        <w:tc>
          <w:tcPr>
            <w:tcW w:w="5400"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04CAC" w:rsidP="00805086">
            <w:pPr>
              <w:tabs>
                <w:tab w:val="left" w:pos="850"/>
              </w:tabs>
              <w:spacing w:after="120"/>
              <w:ind w:left="57" w:right="57" w:firstLine="793"/>
              <w:jc w:val="both"/>
              <w:rPr>
                <w:sz w:val="28"/>
                <w:lang w:val="lv-LV"/>
              </w:rPr>
            </w:pPr>
            <w:r>
              <w:rPr>
                <w:sz w:val="28"/>
                <w:lang w:val="lv-LV"/>
              </w:rPr>
              <w:t>Rīgas pilsētas pašvaldība</w:t>
            </w:r>
            <w:r w:rsidRPr="00C708B6">
              <w:rPr>
                <w:sz w:val="28"/>
                <w:lang w:val="lv-LV"/>
              </w:rPr>
              <w:t xml:space="preserve"> </w:t>
            </w:r>
            <w:r w:rsidR="00FA7684" w:rsidRPr="00C708B6">
              <w:rPr>
                <w:sz w:val="28"/>
                <w:lang w:val="lv-LV"/>
              </w:rPr>
              <w:t xml:space="preserve">veiks savas funkcijas, kas noteiktas normatīvajos aktos. </w:t>
            </w:r>
          </w:p>
        </w:tc>
      </w:tr>
      <w:tr w:rsidR="00FA7684" w:rsidRPr="006C1ABB" w:rsidTr="00805086">
        <w:trPr>
          <w:trHeight w:val="725"/>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3.</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Projekta izpildes ietekme uz pārvaldes institucionālo struktūru.</w:t>
            </w:r>
          </w:p>
          <w:p w:rsidR="00FA7684" w:rsidRPr="00C708B6" w:rsidRDefault="00FA7684" w:rsidP="00805086">
            <w:pPr>
              <w:spacing w:before="75" w:after="75"/>
              <w:rPr>
                <w:sz w:val="28"/>
                <w:lang w:val="lv-LV"/>
              </w:rPr>
            </w:pPr>
            <w:r w:rsidRPr="00C708B6">
              <w:rPr>
                <w:sz w:val="28"/>
                <w:lang w:val="lv-LV"/>
              </w:rPr>
              <w:t>Jaunu institūciju izveide</w:t>
            </w:r>
          </w:p>
        </w:tc>
        <w:tc>
          <w:tcPr>
            <w:tcW w:w="5400"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tabs>
                <w:tab w:val="left" w:pos="850"/>
              </w:tabs>
              <w:spacing w:after="120"/>
              <w:ind w:firstLine="850"/>
              <w:jc w:val="both"/>
              <w:rPr>
                <w:sz w:val="28"/>
                <w:lang w:val="lv-LV"/>
              </w:rPr>
            </w:pPr>
            <w:r w:rsidRPr="00C708B6">
              <w:rPr>
                <w:sz w:val="28"/>
                <w:lang w:val="lv-LV"/>
              </w:rPr>
              <w:t>Saistībā ar Rīkojuma projekta izpildi nav plānots radīt jaunas valsts pārvaldes institūcijas.</w:t>
            </w:r>
          </w:p>
        </w:tc>
      </w:tr>
      <w:tr w:rsidR="00FA7684" w:rsidRPr="006C1ABB" w:rsidTr="00805086">
        <w:trPr>
          <w:trHeight w:val="780"/>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4.</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Projekta izpildes ietekme uz pārvaldes institucionālo struktūru.</w:t>
            </w:r>
          </w:p>
          <w:p w:rsidR="00FA7684" w:rsidRPr="00C708B6" w:rsidRDefault="00FA7684" w:rsidP="00805086">
            <w:pPr>
              <w:spacing w:before="75" w:after="75"/>
              <w:rPr>
                <w:sz w:val="28"/>
                <w:lang w:val="lv-LV"/>
              </w:rPr>
            </w:pPr>
            <w:r w:rsidRPr="00C708B6">
              <w:rPr>
                <w:sz w:val="28"/>
                <w:lang w:val="lv-LV"/>
              </w:rPr>
              <w:t>Esošu institūciju likvidācija</w:t>
            </w:r>
          </w:p>
        </w:tc>
        <w:tc>
          <w:tcPr>
            <w:tcW w:w="5400"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pStyle w:val="BodyTextIndent2"/>
            </w:pPr>
            <w:r w:rsidRPr="00C708B6">
              <w:t>Saistībā ar Rīkojuma projekta izpildi nav plānots likvidēt esošās valsts pārvaldes institūcijas.</w:t>
            </w:r>
          </w:p>
          <w:p w:rsidR="00FA7684" w:rsidRPr="00C708B6" w:rsidRDefault="00FA7684" w:rsidP="00805086">
            <w:pPr>
              <w:spacing w:after="120"/>
              <w:ind w:left="57" w:right="57"/>
              <w:jc w:val="both"/>
              <w:rPr>
                <w:sz w:val="28"/>
                <w:lang w:val="lv-LV"/>
              </w:rPr>
            </w:pPr>
          </w:p>
        </w:tc>
      </w:tr>
      <w:tr w:rsidR="00FA7684" w:rsidRPr="006C1ABB" w:rsidTr="00805086">
        <w:trPr>
          <w:trHeight w:val="70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5.</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Projekta izpildes ietekme uz pārvaldes institucionālo struktūru.</w:t>
            </w:r>
          </w:p>
          <w:p w:rsidR="00FA7684" w:rsidRPr="00C708B6" w:rsidRDefault="00FA7684" w:rsidP="00805086">
            <w:pPr>
              <w:spacing w:before="75" w:after="75"/>
              <w:rPr>
                <w:sz w:val="28"/>
                <w:lang w:val="lv-LV"/>
              </w:rPr>
            </w:pPr>
            <w:r w:rsidRPr="00C708B6">
              <w:rPr>
                <w:sz w:val="28"/>
                <w:lang w:val="lv-LV"/>
              </w:rPr>
              <w:t>Esošu institūciju reorganizācija</w:t>
            </w:r>
          </w:p>
        </w:tc>
        <w:tc>
          <w:tcPr>
            <w:tcW w:w="5400"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after="120"/>
              <w:ind w:firstLine="850"/>
              <w:jc w:val="both"/>
              <w:rPr>
                <w:sz w:val="28"/>
                <w:lang w:val="lv-LV"/>
              </w:rPr>
            </w:pPr>
            <w:r w:rsidRPr="00C708B6">
              <w:rPr>
                <w:sz w:val="28"/>
                <w:lang w:val="lv-LV"/>
              </w:rPr>
              <w:t>Saistībā ar Rīkojuma projekta izpildi nav plānots reorganizēt esošās valsts pārvaldes institūcijas.</w:t>
            </w:r>
          </w:p>
        </w:tc>
      </w:tr>
      <w:tr w:rsidR="00FA7684" w:rsidRPr="00C708B6" w:rsidTr="00805086">
        <w:trPr>
          <w:trHeight w:val="476"/>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6.</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spacing w:before="75" w:after="75"/>
              <w:rPr>
                <w:sz w:val="28"/>
                <w:lang w:val="lv-LV"/>
              </w:rPr>
            </w:pPr>
            <w:r w:rsidRPr="00C708B6">
              <w:rPr>
                <w:sz w:val="28"/>
                <w:lang w:val="lv-LV"/>
              </w:rPr>
              <w:t> Cita informācija</w:t>
            </w:r>
          </w:p>
        </w:tc>
        <w:tc>
          <w:tcPr>
            <w:tcW w:w="5400"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684" w:rsidRPr="00C708B6" w:rsidRDefault="00FA7684" w:rsidP="00805086">
            <w:pPr>
              <w:jc w:val="both"/>
              <w:rPr>
                <w:sz w:val="28"/>
                <w:lang w:val="lv-LV"/>
              </w:rPr>
            </w:pPr>
            <w:r w:rsidRPr="00C708B6">
              <w:rPr>
                <w:sz w:val="28"/>
                <w:lang w:val="lv-LV"/>
              </w:rPr>
              <w:t> Nav.</w:t>
            </w:r>
          </w:p>
        </w:tc>
      </w:tr>
    </w:tbl>
    <w:p w:rsidR="00FA7684" w:rsidRPr="00C708B6" w:rsidRDefault="00FA7684" w:rsidP="00FA7684">
      <w:pPr>
        <w:pStyle w:val="naisf"/>
        <w:tabs>
          <w:tab w:val="left" w:pos="6710"/>
        </w:tabs>
        <w:rPr>
          <w:sz w:val="28"/>
        </w:rPr>
      </w:pPr>
      <w:r w:rsidRPr="00C708B6">
        <w:rPr>
          <w:sz w:val="28"/>
        </w:rPr>
        <w:t xml:space="preserve">Anotācijas  IV., V. un VI. sadaļa – projekts šīs jomas neskar. </w:t>
      </w:r>
    </w:p>
    <w:p w:rsidR="00FA7684" w:rsidRPr="00C708B6" w:rsidRDefault="00FA7684" w:rsidP="00FA7684">
      <w:pPr>
        <w:pStyle w:val="naisf"/>
        <w:tabs>
          <w:tab w:val="left" w:pos="6710"/>
        </w:tabs>
        <w:spacing w:before="0" w:after="120"/>
        <w:rPr>
          <w:sz w:val="28"/>
        </w:rPr>
      </w:pPr>
      <w:r w:rsidRPr="00C708B6">
        <w:rPr>
          <w:sz w:val="28"/>
        </w:rPr>
        <w:t>Ekonomikas ministrs</w:t>
      </w:r>
      <w:r w:rsidRPr="00C708B6">
        <w:rPr>
          <w:sz w:val="28"/>
        </w:rPr>
        <w:tab/>
      </w:r>
      <w:r w:rsidRPr="00C708B6">
        <w:rPr>
          <w:sz w:val="28"/>
        </w:rPr>
        <w:tab/>
      </w:r>
      <w:r w:rsidRPr="00C708B6">
        <w:rPr>
          <w:sz w:val="28"/>
        </w:rPr>
        <w:tab/>
      </w:r>
      <w:proofErr w:type="spellStart"/>
      <w:r w:rsidRPr="00C708B6">
        <w:rPr>
          <w:sz w:val="28"/>
        </w:rPr>
        <w:t>D.Pavļuts</w:t>
      </w:r>
      <w:proofErr w:type="spellEnd"/>
    </w:p>
    <w:p w:rsidR="00FA7684" w:rsidRPr="00C708B6" w:rsidRDefault="00FA7684" w:rsidP="00FA7684">
      <w:pPr>
        <w:pStyle w:val="EnvelopeReturn"/>
        <w:spacing w:before="0"/>
        <w:rPr>
          <w:sz w:val="28"/>
          <w:lang w:val="lv-LV"/>
        </w:rPr>
      </w:pPr>
    </w:p>
    <w:p w:rsidR="00FA7684" w:rsidRPr="00C708B6" w:rsidRDefault="00FA7684" w:rsidP="00FA7684">
      <w:pPr>
        <w:pStyle w:val="EnvelopeReturn"/>
        <w:spacing w:before="0"/>
        <w:rPr>
          <w:sz w:val="28"/>
          <w:lang w:val="lv-LV"/>
        </w:rPr>
      </w:pPr>
      <w:r w:rsidRPr="00C708B6">
        <w:rPr>
          <w:sz w:val="28"/>
          <w:lang w:val="lv-LV"/>
        </w:rPr>
        <w:t>Vīza: Valsts sekretārs</w:t>
      </w:r>
      <w:r w:rsidRPr="00C708B6">
        <w:rPr>
          <w:sz w:val="28"/>
          <w:lang w:val="lv-LV"/>
        </w:rPr>
        <w:tab/>
      </w:r>
      <w:r w:rsidRPr="00C708B6">
        <w:rPr>
          <w:sz w:val="28"/>
          <w:lang w:val="lv-LV"/>
        </w:rPr>
        <w:tab/>
      </w:r>
      <w:r w:rsidRPr="00C708B6">
        <w:rPr>
          <w:sz w:val="28"/>
          <w:lang w:val="lv-LV"/>
        </w:rPr>
        <w:tab/>
      </w:r>
      <w:r w:rsidRPr="00C708B6">
        <w:rPr>
          <w:sz w:val="28"/>
          <w:lang w:val="lv-LV"/>
        </w:rPr>
        <w:tab/>
      </w:r>
      <w:r w:rsidRPr="00C708B6">
        <w:rPr>
          <w:sz w:val="28"/>
          <w:lang w:val="lv-LV"/>
        </w:rPr>
        <w:tab/>
      </w:r>
      <w:r w:rsidRPr="00C708B6">
        <w:rPr>
          <w:sz w:val="28"/>
          <w:lang w:val="lv-LV"/>
        </w:rPr>
        <w:tab/>
      </w:r>
      <w:r w:rsidRPr="00C708B6">
        <w:rPr>
          <w:sz w:val="28"/>
          <w:lang w:val="lv-LV"/>
        </w:rPr>
        <w:tab/>
      </w:r>
      <w:r w:rsidRPr="00C708B6">
        <w:rPr>
          <w:sz w:val="28"/>
          <w:lang w:val="lv-LV"/>
        </w:rPr>
        <w:tab/>
        <w:t>J.Pūce</w:t>
      </w:r>
    </w:p>
    <w:p w:rsidR="00FA7684" w:rsidRPr="00C708B6" w:rsidRDefault="00FA7684" w:rsidP="00FA7684">
      <w:pPr>
        <w:pStyle w:val="EnvelopeReturn"/>
        <w:spacing w:before="0"/>
        <w:rPr>
          <w:sz w:val="16"/>
          <w:szCs w:val="16"/>
          <w:lang w:val="lv-LV"/>
        </w:rPr>
      </w:pPr>
    </w:p>
    <w:p w:rsidR="00FA7684" w:rsidRDefault="00FA7684" w:rsidP="00FA7684">
      <w:pPr>
        <w:pStyle w:val="EnvelopeReturn"/>
        <w:spacing w:before="0"/>
        <w:rPr>
          <w:sz w:val="18"/>
          <w:szCs w:val="18"/>
          <w:lang w:val="lv-LV"/>
        </w:rPr>
      </w:pPr>
    </w:p>
    <w:p w:rsidR="00F04CAC" w:rsidRPr="00AE3369" w:rsidRDefault="002558EC" w:rsidP="00F04CAC">
      <w:pPr>
        <w:pStyle w:val="EnvelopeReturn"/>
        <w:spacing w:before="0"/>
        <w:rPr>
          <w:sz w:val="20"/>
          <w:lang w:val="lv-LV"/>
        </w:rPr>
      </w:pPr>
      <w:r>
        <w:rPr>
          <w:sz w:val="20"/>
          <w:lang w:val="lv-LV"/>
        </w:rPr>
        <w:t>18.07.2013. 17</w:t>
      </w:r>
      <w:r w:rsidR="00066FD0">
        <w:rPr>
          <w:sz w:val="20"/>
          <w:lang w:val="lv-LV"/>
        </w:rPr>
        <w:t>:</w:t>
      </w:r>
      <w:r>
        <w:rPr>
          <w:sz w:val="20"/>
          <w:lang w:val="lv-LV"/>
        </w:rPr>
        <w:t>00</w:t>
      </w:r>
    </w:p>
    <w:p w:rsidR="00F04CAC" w:rsidRPr="00AE3369" w:rsidRDefault="00F04CAC" w:rsidP="00F04CAC">
      <w:pPr>
        <w:pStyle w:val="CharChar1CharRakstzRakstz"/>
        <w:spacing w:after="0" w:line="240" w:lineRule="auto"/>
        <w:rPr>
          <w:rFonts w:ascii="Times New Roman" w:hAnsi="Times New Roman"/>
          <w:lang w:val="lv-LV"/>
        </w:rPr>
      </w:pPr>
      <w:r>
        <w:rPr>
          <w:rFonts w:ascii="Times New Roman" w:hAnsi="Times New Roman"/>
          <w:lang w:val="lv-LV"/>
        </w:rPr>
        <w:t>1627</w:t>
      </w:r>
    </w:p>
    <w:p w:rsidR="00F04CAC" w:rsidRPr="00AE3369" w:rsidRDefault="00F04CAC" w:rsidP="00F04CAC">
      <w:pPr>
        <w:pStyle w:val="CharChar1CharRakstzRakstz"/>
        <w:spacing w:after="0" w:line="240" w:lineRule="auto"/>
        <w:rPr>
          <w:rFonts w:ascii="Times New Roman" w:hAnsi="Times New Roman"/>
          <w:lang w:val="lv-LV"/>
        </w:rPr>
      </w:pPr>
      <w:r w:rsidRPr="00AE3369">
        <w:rPr>
          <w:rFonts w:ascii="Times New Roman" w:hAnsi="Times New Roman"/>
          <w:lang w:val="lv-LV"/>
        </w:rPr>
        <w:t>Ozoliņa, 67021390</w:t>
      </w:r>
    </w:p>
    <w:p w:rsidR="00F04CAC" w:rsidRPr="00AE3369" w:rsidRDefault="009D41C9" w:rsidP="00F04CAC">
      <w:pPr>
        <w:pStyle w:val="BodyText"/>
        <w:tabs>
          <w:tab w:val="left" w:pos="814"/>
          <w:tab w:val="left" w:pos="1129"/>
        </w:tabs>
        <w:rPr>
          <w:sz w:val="20"/>
        </w:rPr>
      </w:pPr>
      <w:hyperlink r:id="rId7" w:history="1">
        <w:r w:rsidR="00F04CAC" w:rsidRPr="00AE3369">
          <w:rPr>
            <w:rStyle w:val="Hyperlink"/>
            <w:rFonts w:eastAsia="Calibri"/>
            <w:color w:val="000000"/>
            <w:sz w:val="20"/>
          </w:rPr>
          <w:t>Ludmila.Ozolina@pa.gov.lv</w:t>
        </w:r>
      </w:hyperlink>
      <w:r w:rsidR="00F04CAC" w:rsidRPr="00AE3369">
        <w:rPr>
          <w:sz w:val="20"/>
        </w:rPr>
        <w:t xml:space="preserve"> </w:t>
      </w:r>
    </w:p>
    <w:p w:rsidR="00F04CAC" w:rsidRPr="00AE3369" w:rsidRDefault="00F04CAC" w:rsidP="00F04CAC">
      <w:pPr>
        <w:rPr>
          <w:sz w:val="20"/>
          <w:lang w:val="lv-LV"/>
        </w:rPr>
      </w:pPr>
    </w:p>
    <w:p w:rsidR="00F04CAC" w:rsidRPr="00AE3369" w:rsidRDefault="00F04CAC" w:rsidP="00F04CAC">
      <w:pPr>
        <w:rPr>
          <w:color w:val="000000"/>
          <w:sz w:val="20"/>
          <w:lang w:val="lv-LV"/>
        </w:rPr>
      </w:pPr>
      <w:r w:rsidRPr="00AE3369">
        <w:rPr>
          <w:color w:val="000000"/>
          <w:sz w:val="20"/>
          <w:lang w:val="lv-LV"/>
        </w:rPr>
        <w:t>Deņisova</w:t>
      </w:r>
    </w:p>
    <w:p w:rsidR="00F04CAC" w:rsidRPr="00F04CAC" w:rsidRDefault="00F04CAC" w:rsidP="00F04CAC">
      <w:pPr>
        <w:pStyle w:val="List"/>
        <w:ind w:left="0" w:firstLine="0"/>
        <w:rPr>
          <w:sz w:val="18"/>
          <w:szCs w:val="18"/>
          <w:lang w:val="lv-LV"/>
        </w:rPr>
      </w:pPr>
      <w:r w:rsidRPr="00AE3369">
        <w:rPr>
          <w:color w:val="000000"/>
          <w:sz w:val="20"/>
          <w:lang w:val="lv-LV"/>
        </w:rPr>
        <w:t xml:space="preserve">67013242, </w:t>
      </w:r>
      <w:hyperlink r:id="rId8" w:history="1">
        <w:r w:rsidRPr="00AE3369">
          <w:rPr>
            <w:rStyle w:val="Hyperlink"/>
            <w:rFonts w:eastAsia="Calibri"/>
            <w:sz w:val="20"/>
            <w:lang w:val="lv-LV"/>
          </w:rPr>
          <w:t>mara.denisova@em.gov.lv</w:t>
        </w:r>
      </w:hyperlink>
    </w:p>
    <w:sectPr w:rsidR="00F04CAC" w:rsidRPr="00F04CAC" w:rsidSect="00A471F5">
      <w:headerReference w:type="default" r:id="rId9"/>
      <w:footerReference w:type="default" r:id="rId10"/>
      <w:footerReference w:type="first" r:id="rId11"/>
      <w:pgSz w:w="11906" w:h="16838"/>
      <w:pgMar w:top="1418" w:right="1134" w:bottom="1134" w:left="1701" w:header="720"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BB" w:rsidRDefault="006C1ABB" w:rsidP="00F35AA1">
      <w:r>
        <w:separator/>
      </w:r>
    </w:p>
  </w:endnote>
  <w:endnote w:type="continuationSeparator" w:id="0">
    <w:p w:rsidR="006C1ABB" w:rsidRDefault="006C1ABB" w:rsidP="00F35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ABB" w:rsidRPr="008B35ED" w:rsidRDefault="006C1ABB" w:rsidP="00E02E86">
    <w:pPr>
      <w:ind w:right="74"/>
      <w:jc w:val="both"/>
      <w:rPr>
        <w:szCs w:val="24"/>
        <w:lang w:val="lv-LV"/>
      </w:rPr>
    </w:pPr>
    <w:r w:rsidRPr="008B35ED">
      <w:rPr>
        <w:szCs w:val="24"/>
      </w:rPr>
      <w:t xml:space="preserve">EMAnot_180713_nod; </w:t>
    </w:r>
    <w:bookmarkStart w:id="0" w:name="OLE_LINK3"/>
    <w:bookmarkStart w:id="1" w:name="OLE_LINK4"/>
    <w:r w:rsidRPr="008B35ED">
      <w:rPr>
        <w:szCs w:val="24"/>
        <w:lang w:val="lv-LV"/>
      </w:rPr>
      <w:t xml:space="preserve">Ministru kabineta rīkojuma </w:t>
    </w:r>
    <w:r w:rsidRPr="00E02E86">
      <w:rPr>
        <w:szCs w:val="24"/>
        <w:lang w:val="lv-LV"/>
      </w:rPr>
      <w:t xml:space="preserve">projekta „Par </w:t>
    </w:r>
    <w:r w:rsidRPr="00E02E86">
      <w:rPr>
        <w:szCs w:val="28"/>
        <w:lang w:val="lv-LV"/>
      </w:rPr>
      <w:t>valstij piekrītošā</w:t>
    </w:r>
    <w:r w:rsidRPr="00E02E86">
      <w:rPr>
        <w:b/>
        <w:szCs w:val="28"/>
        <w:lang w:val="lv-LV"/>
      </w:rPr>
      <w:t xml:space="preserve"> </w:t>
    </w:r>
    <w:r w:rsidRPr="00E02E86">
      <w:rPr>
        <w:szCs w:val="24"/>
        <w:lang w:val="lv-LV"/>
      </w:rPr>
      <w:t xml:space="preserve">dzīvokļa </w:t>
    </w:r>
    <w:r w:rsidRPr="00E02E86">
      <w:rPr>
        <w:color w:val="000000"/>
        <w:szCs w:val="24"/>
        <w:lang w:val="lv-LV"/>
      </w:rPr>
      <w:t>īpašuma Nr.</w:t>
    </w:r>
    <w:r w:rsidRPr="00E02E86">
      <w:rPr>
        <w:bCs/>
        <w:szCs w:val="24"/>
        <w:lang w:val="lv-LV"/>
      </w:rPr>
      <w:t xml:space="preserve">66 </w:t>
    </w:r>
    <w:proofErr w:type="spellStart"/>
    <w:r w:rsidRPr="00E02E86">
      <w:rPr>
        <w:bCs/>
        <w:szCs w:val="24"/>
        <w:lang w:val="lv-LV"/>
      </w:rPr>
      <w:t>Dammes</w:t>
    </w:r>
    <w:proofErr w:type="spellEnd"/>
    <w:r w:rsidRPr="00E02E86">
      <w:rPr>
        <w:bCs/>
        <w:szCs w:val="24"/>
        <w:lang w:val="lv-LV"/>
      </w:rPr>
      <w:t xml:space="preserve"> ielā 2, Rīgā, </w:t>
    </w:r>
    <w:r w:rsidRPr="00E02E86">
      <w:rPr>
        <w:color w:val="000000"/>
        <w:szCs w:val="24"/>
        <w:lang w:val="lv-LV"/>
      </w:rPr>
      <w:t>nodošanu Rīgas pilsētas pašvaldības īpašumā</w:t>
    </w:r>
    <w:r w:rsidRPr="00E02E86">
      <w:rPr>
        <w:szCs w:val="24"/>
        <w:lang w:val="lv-LV"/>
      </w:rPr>
      <w:t>” sākotnējās ietekmes novērtējuma ziņojums (anotācija)</w:t>
    </w:r>
    <w:bookmarkEnd w:id="0"/>
    <w:bookmarkEnd w:id="1"/>
  </w:p>
  <w:p w:rsidR="006C1ABB" w:rsidRPr="00E26E7E" w:rsidRDefault="006C1ABB">
    <w:pPr>
      <w:pStyle w:val="NormalWeb"/>
      <w:spacing w:before="0" w:after="0"/>
      <w:jc w:val="both"/>
      <w:rPr>
        <w:rFonts w:ascii="Times New Roman" w:hAnsi="Times New Roman"/>
        <w:sz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ABB" w:rsidRPr="008B35ED" w:rsidRDefault="006C1ABB" w:rsidP="008B35ED">
    <w:pPr>
      <w:ind w:right="74"/>
      <w:jc w:val="both"/>
      <w:rPr>
        <w:szCs w:val="24"/>
        <w:lang w:val="lv-LV"/>
      </w:rPr>
    </w:pPr>
    <w:r w:rsidRPr="008B35ED">
      <w:rPr>
        <w:szCs w:val="24"/>
      </w:rPr>
      <w:t xml:space="preserve">EMAnot_180713_nod; </w:t>
    </w:r>
    <w:r w:rsidRPr="008B35ED">
      <w:rPr>
        <w:szCs w:val="24"/>
        <w:lang w:val="lv-LV"/>
      </w:rPr>
      <w:t xml:space="preserve">Ministru kabineta rīkojuma </w:t>
    </w:r>
    <w:r w:rsidRPr="00E02E86">
      <w:rPr>
        <w:szCs w:val="24"/>
        <w:lang w:val="lv-LV"/>
      </w:rPr>
      <w:t xml:space="preserve">projekta „Par </w:t>
    </w:r>
    <w:r w:rsidRPr="00E02E86">
      <w:rPr>
        <w:szCs w:val="28"/>
        <w:lang w:val="lv-LV"/>
      </w:rPr>
      <w:t>valstij piekrītošā</w:t>
    </w:r>
    <w:r w:rsidRPr="00E02E86">
      <w:rPr>
        <w:b/>
        <w:szCs w:val="28"/>
        <w:lang w:val="lv-LV"/>
      </w:rPr>
      <w:t xml:space="preserve"> </w:t>
    </w:r>
    <w:r w:rsidRPr="00E02E86">
      <w:rPr>
        <w:szCs w:val="24"/>
        <w:lang w:val="lv-LV"/>
      </w:rPr>
      <w:t xml:space="preserve">dzīvokļa </w:t>
    </w:r>
    <w:r w:rsidRPr="00E02E86">
      <w:rPr>
        <w:color w:val="000000"/>
        <w:szCs w:val="24"/>
        <w:lang w:val="lv-LV"/>
      </w:rPr>
      <w:t>īpašuma Nr.</w:t>
    </w:r>
    <w:r w:rsidRPr="00E02E86">
      <w:rPr>
        <w:bCs/>
        <w:szCs w:val="24"/>
        <w:lang w:val="lv-LV"/>
      </w:rPr>
      <w:t xml:space="preserve">66 </w:t>
    </w:r>
    <w:proofErr w:type="spellStart"/>
    <w:r w:rsidRPr="00E02E86">
      <w:rPr>
        <w:bCs/>
        <w:szCs w:val="24"/>
        <w:lang w:val="lv-LV"/>
      </w:rPr>
      <w:t>Dammes</w:t>
    </w:r>
    <w:proofErr w:type="spellEnd"/>
    <w:r w:rsidRPr="00E02E86">
      <w:rPr>
        <w:bCs/>
        <w:szCs w:val="24"/>
        <w:lang w:val="lv-LV"/>
      </w:rPr>
      <w:t xml:space="preserve"> ielā 2, Rīgā, </w:t>
    </w:r>
    <w:r w:rsidRPr="00E02E86">
      <w:rPr>
        <w:color w:val="000000"/>
        <w:szCs w:val="24"/>
        <w:lang w:val="lv-LV"/>
      </w:rPr>
      <w:t>nodošanu Rīgas pilsētas pašvaldības īpašumā</w:t>
    </w:r>
    <w:r w:rsidRPr="00E02E86">
      <w:rPr>
        <w:szCs w:val="24"/>
        <w:lang w:val="lv-LV"/>
      </w:rPr>
      <w:t>” sākotnējās ietekmes novērtējuma ziņojums (anotācija)</w:t>
    </w:r>
  </w:p>
  <w:p w:rsidR="006C1ABB" w:rsidRDefault="006C1ABB">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BB" w:rsidRDefault="006C1ABB" w:rsidP="00F35AA1">
      <w:r>
        <w:separator/>
      </w:r>
    </w:p>
  </w:footnote>
  <w:footnote w:type="continuationSeparator" w:id="0">
    <w:p w:rsidR="006C1ABB" w:rsidRDefault="006C1ABB" w:rsidP="00F35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ABB" w:rsidRDefault="006C1ABB">
    <w:pPr>
      <w:pStyle w:val="Head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2558EC">
      <w:rPr>
        <w:rFonts w:ascii="Times New Roman" w:hAnsi="Times New Roman"/>
        <w:noProof/>
        <w:sz w:val="24"/>
      </w:rPr>
      <w:t>9</w:t>
    </w:r>
    <w:r>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3CA"/>
    <w:multiLevelType w:val="hybridMultilevel"/>
    <w:tmpl w:val="F7226360"/>
    <w:lvl w:ilvl="0" w:tplc="8AC08140">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684"/>
    <w:rsid w:val="00066FD0"/>
    <w:rsid w:val="000D671C"/>
    <w:rsid w:val="000D6C30"/>
    <w:rsid w:val="001215DD"/>
    <w:rsid w:val="00160D0C"/>
    <w:rsid w:val="00183C04"/>
    <w:rsid w:val="001B0496"/>
    <w:rsid w:val="001C200D"/>
    <w:rsid w:val="002363F9"/>
    <w:rsid w:val="002558EC"/>
    <w:rsid w:val="00317E78"/>
    <w:rsid w:val="003E7BB0"/>
    <w:rsid w:val="004D1A27"/>
    <w:rsid w:val="006C1ABB"/>
    <w:rsid w:val="007307B9"/>
    <w:rsid w:val="007505E7"/>
    <w:rsid w:val="007F2B23"/>
    <w:rsid w:val="00805086"/>
    <w:rsid w:val="008B35ED"/>
    <w:rsid w:val="0091121A"/>
    <w:rsid w:val="009619F5"/>
    <w:rsid w:val="009C6092"/>
    <w:rsid w:val="009D41C9"/>
    <w:rsid w:val="009D734D"/>
    <w:rsid w:val="00A471F5"/>
    <w:rsid w:val="00AE3369"/>
    <w:rsid w:val="00AF6313"/>
    <w:rsid w:val="00D74F25"/>
    <w:rsid w:val="00DA6DB1"/>
    <w:rsid w:val="00DE35B2"/>
    <w:rsid w:val="00DF11AE"/>
    <w:rsid w:val="00DF5D54"/>
    <w:rsid w:val="00E02E86"/>
    <w:rsid w:val="00E761B5"/>
    <w:rsid w:val="00EC0C50"/>
    <w:rsid w:val="00F04CAC"/>
    <w:rsid w:val="00F35AA1"/>
    <w:rsid w:val="00F8095D"/>
    <w:rsid w:val="00F9362E"/>
    <w:rsid w:val="00FA7684"/>
    <w:rsid w:val="00FB7F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84"/>
    <w:pPr>
      <w:spacing w:after="0" w:line="240" w:lineRule="auto"/>
    </w:pPr>
    <w:rPr>
      <w:rFonts w:ascii="Times New Roman" w:eastAsia="Times New Roman" w:hAnsi="Times New Roman" w:cs="Times New Roman"/>
      <w:sz w:val="24"/>
      <w:szCs w:val="20"/>
      <w:lang w:val="en-AU" w:eastAsia="lv-LV"/>
    </w:rPr>
  </w:style>
  <w:style w:type="paragraph" w:styleId="Heading2">
    <w:name w:val="heading 2"/>
    <w:basedOn w:val="Normal"/>
    <w:next w:val="Normal"/>
    <w:link w:val="Heading2Char"/>
    <w:qFormat/>
    <w:rsid w:val="00FA7684"/>
    <w:pPr>
      <w:keepNext/>
      <w:spacing w:before="120" w:line="240" w:lineRule="exact"/>
      <w:outlineLvl w:val="1"/>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7684"/>
    <w:rPr>
      <w:rFonts w:ascii="Times New Roman" w:eastAsia="Times New Roman" w:hAnsi="Times New Roman" w:cs="Times New Roman"/>
      <w:sz w:val="28"/>
      <w:szCs w:val="20"/>
    </w:rPr>
  </w:style>
  <w:style w:type="paragraph" w:customStyle="1" w:styleId="naisf">
    <w:name w:val="naisf"/>
    <w:basedOn w:val="Normal"/>
    <w:rsid w:val="00FA7684"/>
    <w:pPr>
      <w:spacing w:before="100" w:after="100"/>
    </w:pPr>
    <w:rPr>
      <w:lang w:val="lv-LV"/>
    </w:rPr>
  </w:style>
  <w:style w:type="paragraph" w:styleId="Header">
    <w:name w:val="header"/>
    <w:basedOn w:val="Normal"/>
    <w:link w:val="HeaderChar"/>
    <w:semiHidden/>
    <w:rsid w:val="00FA7684"/>
    <w:pPr>
      <w:tabs>
        <w:tab w:val="center" w:pos="4153"/>
        <w:tab w:val="right" w:pos="8306"/>
      </w:tabs>
      <w:spacing w:after="200" w:line="276" w:lineRule="auto"/>
    </w:pPr>
    <w:rPr>
      <w:rFonts w:ascii="Calibri" w:eastAsia="Calibri" w:hAnsi="Calibri"/>
      <w:sz w:val="22"/>
      <w:lang w:val="lv-LV"/>
    </w:rPr>
  </w:style>
  <w:style w:type="character" w:customStyle="1" w:styleId="HeaderChar">
    <w:name w:val="Header Char"/>
    <w:basedOn w:val="DefaultParagraphFont"/>
    <w:link w:val="Header"/>
    <w:semiHidden/>
    <w:rsid w:val="00FA7684"/>
    <w:rPr>
      <w:rFonts w:ascii="Calibri" w:eastAsia="Calibri" w:hAnsi="Calibri" w:cs="Times New Roman"/>
      <w:szCs w:val="20"/>
      <w:lang w:eastAsia="lv-LV"/>
    </w:rPr>
  </w:style>
  <w:style w:type="paragraph" w:styleId="Footer">
    <w:name w:val="footer"/>
    <w:basedOn w:val="Normal"/>
    <w:link w:val="FooterChar"/>
    <w:semiHidden/>
    <w:rsid w:val="00FA7684"/>
    <w:pPr>
      <w:tabs>
        <w:tab w:val="center" w:pos="4153"/>
        <w:tab w:val="right" w:pos="8306"/>
      </w:tabs>
      <w:spacing w:after="200" w:line="276" w:lineRule="auto"/>
    </w:pPr>
    <w:rPr>
      <w:rFonts w:ascii="Calibri" w:eastAsia="Calibri" w:hAnsi="Calibri"/>
      <w:sz w:val="22"/>
      <w:lang w:val="lv-LV"/>
    </w:rPr>
  </w:style>
  <w:style w:type="character" w:customStyle="1" w:styleId="FooterChar">
    <w:name w:val="Footer Char"/>
    <w:basedOn w:val="DefaultParagraphFont"/>
    <w:link w:val="Footer"/>
    <w:semiHidden/>
    <w:rsid w:val="00FA7684"/>
    <w:rPr>
      <w:rFonts w:ascii="Calibri" w:eastAsia="Calibri" w:hAnsi="Calibri" w:cs="Times New Roman"/>
      <w:szCs w:val="20"/>
      <w:lang w:eastAsia="lv-LV"/>
    </w:rPr>
  </w:style>
  <w:style w:type="character" w:styleId="Hyperlink">
    <w:name w:val="Hyperlink"/>
    <w:semiHidden/>
    <w:rsid w:val="00FA7684"/>
    <w:rPr>
      <w:color w:val="0000FF"/>
      <w:u w:val="single"/>
    </w:rPr>
  </w:style>
  <w:style w:type="paragraph" w:styleId="NormalWeb">
    <w:name w:val="Normal (Web)"/>
    <w:basedOn w:val="Normal"/>
    <w:uiPriority w:val="99"/>
    <w:unhideWhenUsed/>
    <w:rsid w:val="00FA7684"/>
    <w:pPr>
      <w:spacing w:before="100" w:after="100"/>
    </w:pPr>
    <w:rPr>
      <w:rFonts w:ascii="Verdana" w:hAnsi="Verdana"/>
      <w:sz w:val="18"/>
      <w:lang w:val="en-US"/>
    </w:rPr>
  </w:style>
  <w:style w:type="paragraph" w:styleId="EnvelopeReturn">
    <w:name w:val="envelope return"/>
    <w:basedOn w:val="Normal"/>
    <w:semiHidden/>
    <w:rsid w:val="00FA7684"/>
    <w:pPr>
      <w:keepLines/>
      <w:widowControl w:val="0"/>
      <w:spacing w:before="600"/>
    </w:pPr>
    <w:rPr>
      <w:sz w:val="26"/>
    </w:rPr>
  </w:style>
  <w:style w:type="paragraph" w:styleId="BodyText">
    <w:name w:val="Body Text"/>
    <w:basedOn w:val="Normal"/>
    <w:link w:val="BodyTextChar"/>
    <w:semiHidden/>
    <w:rsid w:val="00FA7684"/>
    <w:pPr>
      <w:jc w:val="both"/>
    </w:pPr>
    <w:rPr>
      <w:sz w:val="28"/>
      <w:lang w:val="lv-LV"/>
    </w:rPr>
  </w:style>
  <w:style w:type="character" w:customStyle="1" w:styleId="BodyTextChar">
    <w:name w:val="Body Text Char"/>
    <w:basedOn w:val="DefaultParagraphFont"/>
    <w:link w:val="BodyText"/>
    <w:semiHidden/>
    <w:rsid w:val="00FA7684"/>
    <w:rPr>
      <w:rFonts w:ascii="Times New Roman" w:eastAsia="Times New Roman" w:hAnsi="Times New Roman" w:cs="Times New Roman"/>
      <w:sz w:val="28"/>
      <w:szCs w:val="20"/>
      <w:lang w:eastAsia="lv-LV"/>
    </w:rPr>
  </w:style>
  <w:style w:type="paragraph" w:customStyle="1" w:styleId="CharChar1CharRakstzRakstz">
    <w:name w:val="Char Char1 Char Rakstz. Rakstz."/>
    <w:basedOn w:val="Normal"/>
    <w:rsid w:val="00FA7684"/>
    <w:pPr>
      <w:spacing w:after="160" w:line="240" w:lineRule="exact"/>
    </w:pPr>
    <w:rPr>
      <w:rFonts w:ascii="Tahoma" w:hAnsi="Tahoma"/>
      <w:sz w:val="20"/>
      <w:lang w:val="en-US"/>
    </w:rPr>
  </w:style>
  <w:style w:type="paragraph" w:styleId="BodyTextIndent">
    <w:name w:val="Body Text Indent"/>
    <w:basedOn w:val="Normal"/>
    <w:link w:val="BodyTextIndentChar"/>
    <w:semiHidden/>
    <w:rsid w:val="00FA7684"/>
    <w:pPr>
      <w:ind w:firstLine="720"/>
      <w:jc w:val="both"/>
    </w:pPr>
    <w:rPr>
      <w:sz w:val="28"/>
    </w:rPr>
  </w:style>
  <w:style w:type="character" w:customStyle="1" w:styleId="BodyTextIndentChar">
    <w:name w:val="Body Text Indent Char"/>
    <w:basedOn w:val="DefaultParagraphFont"/>
    <w:link w:val="BodyTextIndent"/>
    <w:semiHidden/>
    <w:rsid w:val="00FA7684"/>
    <w:rPr>
      <w:rFonts w:ascii="Times New Roman" w:eastAsia="Times New Roman" w:hAnsi="Times New Roman" w:cs="Times New Roman"/>
      <w:sz w:val="28"/>
      <w:szCs w:val="20"/>
      <w:lang w:val="en-AU" w:eastAsia="lv-LV"/>
    </w:rPr>
  </w:style>
  <w:style w:type="paragraph" w:styleId="BodyTextIndent2">
    <w:name w:val="Body Text Indent 2"/>
    <w:basedOn w:val="Normal"/>
    <w:link w:val="BodyTextIndent2Char"/>
    <w:semiHidden/>
    <w:rsid w:val="00FA7684"/>
    <w:pPr>
      <w:spacing w:after="120"/>
      <w:ind w:right="57" w:firstLine="850"/>
      <w:jc w:val="both"/>
    </w:pPr>
    <w:rPr>
      <w:sz w:val="28"/>
      <w:lang w:val="lv-LV"/>
    </w:rPr>
  </w:style>
  <w:style w:type="character" w:customStyle="1" w:styleId="BodyTextIndent2Char">
    <w:name w:val="Body Text Indent 2 Char"/>
    <w:basedOn w:val="DefaultParagraphFont"/>
    <w:link w:val="BodyTextIndent2"/>
    <w:semiHidden/>
    <w:rsid w:val="00FA7684"/>
    <w:rPr>
      <w:rFonts w:ascii="Times New Roman" w:eastAsia="Times New Roman" w:hAnsi="Times New Roman" w:cs="Times New Roman"/>
      <w:sz w:val="28"/>
      <w:szCs w:val="20"/>
      <w:lang w:eastAsia="lv-LV"/>
    </w:rPr>
  </w:style>
  <w:style w:type="paragraph" w:styleId="List">
    <w:name w:val="List"/>
    <w:basedOn w:val="Normal"/>
    <w:semiHidden/>
    <w:rsid w:val="00AE3369"/>
    <w:pPr>
      <w:ind w:left="283" w:hanging="283"/>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a.denisov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dmila.Ozolina@p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8365</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valstij piekrītošā dzīvokļa īpašuma Nr.66 Dammes ielā 2, Rīgā, nodošanu Rīgas pilsētas pašvaldības īpašumā” sākotnējās ietekmes novērtējuma ziņojums (anotācija)</vt:lpstr>
    </vt:vector>
  </TitlesOfParts>
  <Company>LR Ekonomikas ministrija</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piekrītošā dzīvokļa īpašuma Nr.66 Dammes ielā 2, Rīgā, nodošanu Rīgas pilsētas pašvaldības īpašumā” sākotnējās ietekmes novērtējuma ziņojums (anotācija)</dc:title>
  <dc:subject>sākotnējās ietekmes novērtējuma ziņojums (anotācija)</dc:subject>
  <dc:creator>Ludmila Ozoliņa, Dzīvokļu privatizācijas un atsavināšanas sektora juriskonsulte</dc:creator>
  <cp:keywords/>
  <dc:description>Ozoliņa, 67021390
Ludmila.Ozolina@pa.gov.lv </dc:description>
  <cp:lastModifiedBy>Māra Bunka</cp:lastModifiedBy>
  <cp:revision>4</cp:revision>
  <dcterms:created xsi:type="dcterms:W3CDTF">2013-07-18T09:21:00Z</dcterms:created>
  <dcterms:modified xsi:type="dcterms:W3CDTF">2013-07-18T14:00:00Z</dcterms:modified>
  <cp:category>55.saraksts</cp:category>
</cp:coreProperties>
</file>