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61" w:rsidRPr="00F5155B" w:rsidRDefault="005E5C61" w:rsidP="005E5C61">
      <w:pPr>
        <w:jc w:val="center"/>
        <w:rPr>
          <w:rFonts w:eastAsia="Times New Roman" w:cs="Times New Roman"/>
          <w:b/>
          <w:bCs/>
          <w:szCs w:val="28"/>
          <w:lang w:eastAsia="lv-LV"/>
        </w:rPr>
      </w:pPr>
      <w:bookmarkStart w:id="0" w:name="OLE_LINK3"/>
      <w:bookmarkStart w:id="1" w:name="OLE_LINK4"/>
      <w:bookmarkStart w:id="2" w:name="OLE_LINK1"/>
      <w:bookmarkStart w:id="3" w:name="OLE_LINK2"/>
      <w:r w:rsidRPr="00F5155B">
        <w:rPr>
          <w:rFonts w:eastAsia="Times New Roman" w:cs="Times New Roman"/>
          <w:b/>
          <w:szCs w:val="28"/>
          <w:lang w:eastAsia="lv-LV"/>
        </w:rPr>
        <w:t>Noteikumu projekta „</w:t>
      </w:r>
      <w:bookmarkEnd w:id="0"/>
      <w:bookmarkEnd w:id="1"/>
      <w:r w:rsidR="002A5D97" w:rsidRPr="002A5D97">
        <w:rPr>
          <w:rFonts w:eastAsia="Times New Roman" w:cs="Times New Roman"/>
          <w:b/>
          <w:bCs/>
          <w:szCs w:val="28"/>
          <w:lang w:eastAsia="lv-LV"/>
        </w:rPr>
        <w:t>Grozījumi Ministru kabineta 2013.gada 29.janvāra noteikumos Nr.64 „Parāda atgūšanas pakalpojuma sniedzēju licencēšanas kārtība”</w:t>
      </w:r>
      <w:r w:rsidRPr="00F5155B">
        <w:rPr>
          <w:rFonts w:eastAsia="Times New Roman" w:cs="Times New Roman"/>
          <w:b/>
          <w:bCs/>
          <w:szCs w:val="28"/>
          <w:lang w:eastAsia="lv-LV"/>
        </w:rPr>
        <w:t xml:space="preserve">” </w:t>
      </w:r>
      <w:r w:rsidRPr="00F5155B">
        <w:rPr>
          <w:rFonts w:eastAsia="Times New Roman" w:cs="Times New Roman"/>
          <w:b/>
          <w:szCs w:val="28"/>
          <w:lang w:eastAsia="lv-LV"/>
        </w:rPr>
        <w:t>sākotnējās ietekmes novērtējuma ziņojums</w:t>
      </w:r>
      <w:bookmarkEnd w:id="2"/>
      <w:bookmarkEnd w:id="3"/>
    </w:p>
    <w:p w:rsidR="005E5C61" w:rsidRPr="00F5155B" w:rsidRDefault="005E5C61" w:rsidP="005E5C61">
      <w:pPr>
        <w:jc w:val="center"/>
        <w:outlineLvl w:val="0"/>
        <w:rPr>
          <w:rFonts w:eastAsia="Times New Roman" w:cs="Times New Roman"/>
          <w:b/>
          <w:szCs w:val="28"/>
          <w:lang w:eastAsia="lv-LV"/>
        </w:rPr>
      </w:pPr>
      <w:r w:rsidRPr="00F5155B">
        <w:rPr>
          <w:rFonts w:eastAsia="Times New Roman" w:cs="Times New Roman"/>
          <w:b/>
          <w:szCs w:val="28"/>
          <w:lang w:eastAsia="lv-LV"/>
        </w:rPr>
        <w:t>(anotācija)</w:t>
      </w:r>
    </w:p>
    <w:p w:rsidR="004567CC" w:rsidRPr="00F5155B" w:rsidRDefault="004567CC" w:rsidP="005E5C61">
      <w:pPr>
        <w:jc w:val="center"/>
        <w:outlineLvl w:val="0"/>
        <w:rPr>
          <w:rFonts w:eastAsia="Times New Roman" w:cs="Times New Roman"/>
          <w:b/>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06"/>
        <w:gridCol w:w="2043"/>
        <w:gridCol w:w="7575"/>
      </w:tblGrid>
      <w:tr w:rsidR="004567CC" w:rsidRPr="00F5155B" w:rsidTr="00614C25">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4567CC" w:rsidRPr="00F5155B" w:rsidRDefault="004567CC" w:rsidP="004567CC">
            <w:pPr>
              <w:jc w:val="center"/>
              <w:rPr>
                <w:rFonts w:eastAsia="Times New Roman" w:cs="Times New Roman"/>
                <w:b/>
                <w:bCs/>
                <w:szCs w:val="28"/>
                <w:lang w:eastAsia="lv-LV"/>
              </w:rPr>
            </w:pPr>
            <w:r w:rsidRPr="00F5155B">
              <w:rPr>
                <w:rFonts w:eastAsia="Times New Roman" w:cs="Times New Roman"/>
                <w:b/>
                <w:bCs/>
                <w:szCs w:val="28"/>
                <w:lang w:eastAsia="lv-LV"/>
              </w:rPr>
              <w:t>I. Tiesību akta projekta izstrādes nepieciešamība</w:t>
            </w:r>
          </w:p>
        </w:tc>
      </w:tr>
      <w:tr w:rsidR="004567CC" w:rsidRPr="00F5155B" w:rsidTr="00614C25">
        <w:trPr>
          <w:trHeight w:val="324"/>
        </w:trPr>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1.</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Pamatojums</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0764A8">
            <w:pPr>
              <w:jc w:val="both"/>
              <w:rPr>
                <w:rFonts w:eastAsia="Times New Roman" w:cs="Times New Roman"/>
                <w:szCs w:val="28"/>
                <w:lang w:eastAsia="lv-LV"/>
              </w:rPr>
            </w:pPr>
            <w:proofErr w:type="spellStart"/>
            <w:r w:rsidRPr="00F5155B">
              <w:rPr>
                <w:rFonts w:eastAsia="Calibri" w:cs="Times New Roman"/>
                <w:i/>
                <w:color w:val="000000"/>
                <w:szCs w:val="28"/>
              </w:rPr>
              <w:t>Euro</w:t>
            </w:r>
            <w:proofErr w:type="spellEnd"/>
            <w:r w:rsidRPr="00F5155B">
              <w:rPr>
                <w:rFonts w:eastAsia="Calibri" w:cs="Times New Roman"/>
                <w:i/>
                <w:color w:val="000000"/>
                <w:szCs w:val="28"/>
              </w:rPr>
              <w:t xml:space="preserve"> </w:t>
            </w:r>
            <w:r w:rsidRPr="00F5155B">
              <w:rPr>
                <w:rFonts w:eastAsia="Calibri" w:cs="Times New Roman"/>
                <w:color w:val="000000"/>
                <w:szCs w:val="28"/>
              </w:rPr>
              <w:t>ieviešanas kārtības likuma 30.panta pirmā daļa.</w:t>
            </w: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2.</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Pašreizējā situācija un problēmas</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Saeima 2013.gada 31.janvārī pieņēma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ieviešanas kārtības likumu. Likuma 6.panta otrā daļa paredz, ka naudas summas un vērtības naudas izteiksmē pēc latu konvertācijas uz </w:t>
            </w:r>
            <w:proofErr w:type="spellStart"/>
            <w:r w:rsidRPr="00F5155B">
              <w:rPr>
                <w:rFonts w:eastAsia="Times New Roman" w:cs="Times New Roman"/>
                <w:i/>
                <w:szCs w:val="28"/>
                <w:lang w:eastAsia="lv-LV"/>
              </w:rPr>
              <w:t>euro</w:t>
            </w:r>
            <w:proofErr w:type="spellEnd"/>
            <w:r w:rsidRPr="00F5155B">
              <w:rPr>
                <w:rFonts w:eastAsia="Times New Roman" w:cs="Times New Roman"/>
                <w:i/>
                <w:szCs w:val="28"/>
                <w:lang w:eastAsia="lv-LV"/>
              </w:rPr>
              <w:t xml:space="preserve"> </w:t>
            </w:r>
            <w:r w:rsidRPr="00F5155B">
              <w:rPr>
                <w:rFonts w:eastAsia="Times New Roman" w:cs="Times New Roman"/>
                <w:szCs w:val="28"/>
                <w:lang w:eastAsia="lv-LV"/>
              </w:rPr>
              <w:t xml:space="preserve">noapaļo līdz tuvākajam centam, ņemot vērā trešo zīmi aiz komata. Ja trešā zīme aiz komata ir no 0 līdz 4, tad centa vērtība nemainās. Ja trešā zīme aiz komata ir no 5 līdz 9, tad cents tiek noapaļots par vienu vienību uz augšu. </w:t>
            </w:r>
          </w:p>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Minētā likuma 32.panta otrās daļas 2.punkts paredz, ka tiesību aktos ietverto tiesību normu grozījumi, kas ir minēti šā panta pirmajā daļā (saistīti tikai ar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ieviešanu), šā likuma izpratnē ir arī tiesību normā skaitliskā vērtība latos, kas ir noteikta ar noapaļotu skaitli (noapaļota ar precizitāti līdz 0,1; 1; 10; 100 un tamlīdzīgi), tiek aizstāta ar skaitlisko vērtību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to konvertējot saskaņā ar Padomes noteikto maiņas kursu un noapaļojot uz augšu vai uz leju ar precizitāti, kas nav mazāka par noapaļošanas precizitāti skaitliskajai vērtībai latos, un ir ievēroti abi šādi nosacījumi: </w:t>
            </w:r>
          </w:p>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a) tiesību norma, kurā skaitliskā vērtība tiek izteikta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w:t>
            </w:r>
            <w:proofErr w:type="spellStart"/>
            <w:r w:rsidRPr="00F5155B">
              <w:rPr>
                <w:rFonts w:eastAsia="Times New Roman" w:cs="Times New Roman"/>
                <w:szCs w:val="28"/>
                <w:lang w:eastAsia="lv-LV"/>
              </w:rPr>
              <w:t>euro</w:t>
            </w:r>
            <w:proofErr w:type="spellEnd"/>
            <w:r w:rsidRPr="00F5155B">
              <w:rPr>
                <w:rFonts w:eastAsia="Times New Roman" w:cs="Times New Roman"/>
                <w:szCs w:val="28"/>
                <w:lang w:eastAsia="lv-LV"/>
              </w:rPr>
              <w:t xml:space="preserve">, </w:t>
            </w:r>
          </w:p>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b) tiesību normā skaitliskās vērtības latos aizstāšana ar skaitlisko vērtību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nerada vērā ņemamu negatīvu ietekmi uz valsts budžetu. </w:t>
            </w:r>
          </w:p>
          <w:p w:rsidR="004567CC" w:rsidRPr="00F5155B" w:rsidRDefault="004567CC" w:rsidP="004567CC">
            <w:pPr>
              <w:ind w:firstLine="395"/>
              <w:jc w:val="both"/>
              <w:rPr>
                <w:rFonts w:eastAsia="Times New Roman" w:cs="Times New Roman"/>
                <w:szCs w:val="28"/>
                <w:lang w:eastAsia="lv-LV"/>
              </w:rPr>
            </w:pP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ieviešanas kārtības likums stājās spēkā 2013.gada 1.martā.</w:t>
            </w:r>
          </w:p>
          <w:p w:rsidR="004567CC" w:rsidRPr="00F5155B" w:rsidRDefault="004567CC" w:rsidP="004567CC">
            <w:pPr>
              <w:ind w:firstLine="395"/>
              <w:jc w:val="both"/>
              <w:rPr>
                <w:rFonts w:eastAsia="Times New Roman" w:cs="Times New Roman"/>
                <w:szCs w:val="28"/>
                <w:lang w:eastAsia="lv-LV"/>
              </w:rPr>
            </w:pPr>
            <w:r w:rsidRPr="00F5155B">
              <w:rPr>
                <w:rFonts w:eastAsia="Calibri" w:cs="Times New Roman"/>
                <w:szCs w:val="28"/>
              </w:rPr>
              <w:t xml:space="preserve">Ņemot vērā, ka ar 2014.gada 1.janvāri Latvijā plānots ieviest </w:t>
            </w:r>
            <w:proofErr w:type="spellStart"/>
            <w:r w:rsidRPr="00F5155B">
              <w:rPr>
                <w:rFonts w:eastAsia="Calibri" w:cs="Times New Roman"/>
                <w:i/>
                <w:szCs w:val="28"/>
              </w:rPr>
              <w:t>euro</w:t>
            </w:r>
            <w:proofErr w:type="spellEnd"/>
            <w:r w:rsidRPr="00F5155B">
              <w:rPr>
                <w:rFonts w:eastAsia="Calibri" w:cs="Times New Roman"/>
                <w:szCs w:val="28"/>
              </w:rPr>
              <w:t xml:space="preserve">, ir nepieciešams veikt grozījumus </w:t>
            </w:r>
            <w:r w:rsidRPr="00F5155B">
              <w:rPr>
                <w:rFonts w:eastAsia="Times New Roman" w:cs="Times New Roman"/>
                <w:szCs w:val="28"/>
                <w:lang w:eastAsia="lv-LV"/>
              </w:rPr>
              <w:t xml:space="preserve">Ministru kabineta </w:t>
            </w:r>
            <w:r w:rsidR="002A5D97" w:rsidRPr="002A5D97">
              <w:rPr>
                <w:rFonts w:eastAsia="Times New Roman" w:cs="Times New Roman"/>
                <w:bCs/>
                <w:szCs w:val="28"/>
                <w:lang w:eastAsia="lv-LV"/>
              </w:rPr>
              <w:t xml:space="preserve">2013.gada 29.janvāra noteikumos Nr.64 „Parāda atgūšanas pakalpojuma sniedzēju licencēšanas kārtība” </w:t>
            </w:r>
            <w:r w:rsidRPr="00F5155B">
              <w:rPr>
                <w:rFonts w:eastAsia="Calibri" w:cs="Times New Roman"/>
                <w:szCs w:val="28"/>
              </w:rPr>
              <w:t xml:space="preserve">(tālāk tekstā – Noteikumi) </w:t>
            </w:r>
            <w:r w:rsidR="002A5D97">
              <w:rPr>
                <w:rFonts w:eastAsia="Calibri" w:cs="Times New Roman"/>
                <w:szCs w:val="28"/>
              </w:rPr>
              <w:t>39</w:t>
            </w:r>
            <w:r w:rsidRPr="00F5155B">
              <w:rPr>
                <w:rFonts w:eastAsia="Calibri" w:cs="Times New Roman"/>
                <w:szCs w:val="28"/>
              </w:rPr>
              <w:t xml:space="preserve">. </w:t>
            </w:r>
            <w:r w:rsidR="00A6207A" w:rsidRPr="00F5155B">
              <w:rPr>
                <w:rFonts w:eastAsia="Calibri" w:cs="Times New Roman"/>
                <w:szCs w:val="28"/>
              </w:rPr>
              <w:t>u</w:t>
            </w:r>
            <w:r w:rsidRPr="00F5155B">
              <w:rPr>
                <w:rFonts w:eastAsia="Calibri" w:cs="Times New Roman"/>
                <w:szCs w:val="28"/>
              </w:rPr>
              <w:t xml:space="preserve">n </w:t>
            </w:r>
            <w:r w:rsidR="002A5D97">
              <w:rPr>
                <w:rFonts w:eastAsia="Calibri" w:cs="Times New Roman"/>
                <w:szCs w:val="28"/>
              </w:rPr>
              <w:t>40</w:t>
            </w:r>
            <w:r w:rsidRPr="00F5155B">
              <w:rPr>
                <w:rFonts w:eastAsia="Calibri" w:cs="Times New Roman"/>
                <w:szCs w:val="28"/>
              </w:rPr>
              <w:t>.</w:t>
            </w:r>
            <w:r w:rsidRPr="00F5155B">
              <w:rPr>
                <w:rFonts w:eastAsia="Times New Roman" w:cs="Times New Roman"/>
                <w:szCs w:val="28"/>
                <w:lang w:eastAsia="lv-LV"/>
              </w:rPr>
              <w:t>punktā</w:t>
            </w:r>
            <w:r w:rsidRPr="00F5155B">
              <w:rPr>
                <w:rFonts w:eastAsia="Calibri" w:cs="Times New Roman"/>
                <w:szCs w:val="28"/>
              </w:rPr>
              <w:t xml:space="preserve">, aizstājot tajā latus ar </w:t>
            </w:r>
            <w:proofErr w:type="spellStart"/>
            <w:r w:rsidRPr="00F5155B">
              <w:rPr>
                <w:rFonts w:eastAsia="Calibri" w:cs="Times New Roman"/>
                <w:i/>
                <w:szCs w:val="28"/>
              </w:rPr>
              <w:t>euro</w:t>
            </w:r>
            <w:proofErr w:type="spellEnd"/>
            <w:r w:rsidRPr="00F5155B">
              <w:rPr>
                <w:rFonts w:eastAsia="Calibri" w:cs="Times New Roman"/>
                <w:szCs w:val="28"/>
              </w:rPr>
              <w:t>.</w:t>
            </w:r>
          </w:p>
          <w:p w:rsidR="004567CC" w:rsidRPr="00F5155B" w:rsidRDefault="004567CC" w:rsidP="00430669">
            <w:pPr>
              <w:ind w:firstLine="395"/>
              <w:jc w:val="both"/>
              <w:rPr>
                <w:rFonts w:eastAsia="Calibri" w:cs="Times New Roman"/>
                <w:color w:val="000000"/>
                <w:szCs w:val="28"/>
              </w:rPr>
            </w:pP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3.</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 xml:space="preserve">Saistītie politikas ietekmes </w:t>
            </w:r>
            <w:r w:rsidRPr="00F5155B">
              <w:rPr>
                <w:rFonts w:eastAsia="Times New Roman" w:cs="Times New Roman"/>
                <w:szCs w:val="28"/>
                <w:lang w:eastAsia="lv-LV"/>
              </w:rPr>
              <w:lastRenderedPageBreak/>
              <w:t>novērtējumi un pētījumi</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lastRenderedPageBreak/>
              <w:t>Projekts šo jomu neskar.</w:t>
            </w: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lastRenderedPageBreak/>
              <w:t>4.</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Tiesiskā regulējuma mērķis un būtība</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Noteikumu projekta mērķis ir pielāgot Noteikumus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ieviešanai, aizstājot tajā latus ar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w:t>
            </w:r>
          </w:p>
          <w:p w:rsidR="004567CC" w:rsidRPr="00F5155B" w:rsidRDefault="00EE65EF" w:rsidP="004567CC">
            <w:pPr>
              <w:ind w:firstLine="395"/>
              <w:jc w:val="both"/>
              <w:rPr>
                <w:rFonts w:eastAsia="Times New Roman" w:cs="Times New Roman"/>
                <w:szCs w:val="28"/>
                <w:lang w:eastAsia="lv-LV"/>
              </w:rPr>
            </w:pPr>
            <w:r w:rsidRPr="00F5155B">
              <w:rPr>
                <w:rFonts w:cs="Times New Roman"/>
                <w:szCs w:val="28"/>
              </w:rPr>
              <w:t>Noteikumu projektā skaitliskās vērtības ir noapaļotas,</w:t>
            </w:r>
            <w:r w:rsidRPr="00F5155B">
              <w:rPr>
                <w:rFonts w:eastAsia="Times New Roman" w:cs="Times New Roman"/>
                <w:szCs w:val="28"/>
              </w:rPr>
              <w:t xml:space="preserve"> ņemot vērā Latvijas Bankas noteikto oficiālo </w:t>
            </w:r>
            <w:proofErr w:type="spellStart"/>
            <w:r w:rsidRPr="00F5155B">
              <w:rPr>
                <w:rFonts w:eastAsia="Times New Roman" w:cs="Times New Roman"/>
                <w:i/>
                <w:szCs w:val="28"/>
              </w:rPr>
              <w:t>euro</w:t>
            </w:r>
            <w:proofErr w:type="spellEnd"/>
            <w:r w:rsidRPr="00F5155B">
              <w:rPr>
                <w:rFonts w:eastAsia="Times New Roman" w:cs="Times New Roman"/>
                <w:szCs w:val="28"/>
              </w:rPr>
              <w:t xml:space="preserve"> maiņas kursu (1 EUR ir </w:t>
            </w:r>
            <w:r w:rsidRPr="00F5155B">
              <w:rPr>
                <w:rFonts w:cs="Times New Roman"/>
                <w:szCs w:val="28"/>
              </w:rPr>
              <w:t>0.702804</w:t>
            </w:r>
            <w:r w:rsidRPr="00F5155B">
              <w:rPr>
                <w:rFonts w:eastAsia="Times New Roman" w:cs="Times New Roman"/>
                <w:szCs w:val="28"/>
              </w:rPr>
              <w:t xml:space="preserve"> LVL)</w:t>
            </w:r>
            <w:r w:rsidRPr="00F5155B">
              <w:rPr>
                <w:rFonts w:cs="Times New Roman"/>
                <w:szCs w:val="28"/>
              </w:rPr>
              <w:t xml:space="preserve"> un to, lai izteiktās summas </w:t>
            </w:r>
            <w:proofErr w:type="spellStart"/>
            <w:r w:rsidRPr="00F5155B">
              <w:rPr>
                <w:rFonts w:cs="Times New Roman"/>
                <w:i/>
                <w:szCs w:val="28"/>
              </w:rPr>
              <w:t>euro</w:t>
            </w:r>
            <w:proofErr w:type="spellEnd"/>
            <w:r w:rsidRPr="00F5155B">
              <w:rPr>
                <w:rFonts w:cs="Times New Roman"/>
                <w:szCs w:val="28"/>
              </w:rPr>
              <w:t xml:space="preserve"> būtu viegli uztveramas un piemērojamas.</w:t>
            </w:r>
          </w:p>
          <w:p w:rsidR="002A5D97" w:rsidRDefault="002A5D97" w:rsidP="002A5D97">
            <w:pPr>
              <w:ind w:firstLine="395"/>
              <w:jc w:val="both"/>
              <w:rPr>
                <w:rFonts w:cs="Times New Roman"/>
                <w:color w:val="000000"/>
                <w:szCs w:val="28"/>
              </w:rPr>
            </w:pPr>
            <w:r w:rsidRPr="00F5155B">
              <w:rPr>
                <w:rFonts w:eastAsia="Times New Roman" w:cs="Times New Roman"/>
                <w:szCs w:val="28"/>
                <w:lang w:eastAsia="lv-LV"/>
              </w:rPr>
              <w:t xml:space="preserve">Noteikumu </w:t>
            </w:r>
            <w:r>
              <w:rPr>
                <w:rFonts w:eastAsia="Calibri" w:cs="Times New Roman"/>
                <w:szCs w:val="28"/>
              </w:rPr>
              <w:t>39</w:t>
            </w:r>
            <w:r w:rsidRPr="00F5155B">
              <w:rPr>
                <w:rFonts w:eastAsia="Calibri" w:cs="Times New Roman"/>
                <w:szCs w:val="28"/>
              </w:rPr>
              <w:t>.punktā</w:t>
            </w:r>
            <w:r w:rsidRPr="00F5155B">
              <w:rPr>
                <w:rFonts w:eastAsia="Times New Roman" w:cs="Times New Roman"/>
                <w:szCs w:val="28"/>
                <w:lang w:eastAsia="lv-LV"/>
              </w:rPr>
              <w:t xml:space="preserve"> noteiktā summa </w:t>
            </w:r>
            <w:r>
              <w:rPr>
                <w:rFonts w:eastAsia="Times New Roman" w:cs="Times New Roman"/>
                <w:szCs w:val="28"/>
                <w:lang w:eastAsia="lv-LV"/>
              </w:rPr>
              <w:t>25</w:t>
            </w:r>
            <w:r w:rsidRPr="00F5155B">
              <w:rPr>
                <w:rFonts w:eastAsia="Times New Roman" w:cs="Times New Roman"/>
                <w:szCs w:val="28"/>
                <w:lang w:eastAsia="lv-LV"/>
              </w:rPr>
              <w:t xml:space="preserve">00 latu </w:t>
            </w:r>
            <w:r w:rsidRPr="00F5155B">
              <w:rPr>
                <w:rFonts w:cs="Times New Roman"/>
                <w:color w:val="000000"/>
                <w:szCs w:val="28"/>
              </w:rPr>
              <w:t>izteikta kā</w:t>
            </w:r>
            <w:r>
              <w:rPr>
                <w:rFonts w:cs="Times New Roman"/>
                <w:color w:val="000000"/>
                <w:szCs w:val="28"/>
              </w:rPr>
              <w:t xml:space="preserve"> 35</w:t>
            </w:r>
            <w:r w:rsidR="003534A3">
              <w:rPr>
                <w:rFonts w:cs="Times New Roman"/>
                <w:color w:val="000000"/>
                <w:szCs w:val="28"/>
              </w:rPr>
              <w:t>55</w:t>
            </w:r>
            <w:r>
              <w:rPr>
                <w:rFonts w:cs="Times New Roman"/>
                <w:color w:val="000000"/>
                <w:szCs w:val="28"/>
              </w:rPr>
              <w:t xml:space="preserve"> (</w:t>
            </w:r>
            <w:r w:rsidRPr="002A5D97">
              <w:rPr>
                <w:rFonts w:cs="Times New Roman"/>
                <w:color w:val="000000"/>
                <w:szCs w:val="28"/>
              </w:rPr>
              <w:t>3557,179527</w:t>
            </w:r>
            <w:r>
              <w:rPr>
                <w:rFonts w:cs="Times New Roman"/>
                <w:color w:val="000000"/>
                <w:szCs w:val="28"/>
              </w:rPr>
              <w:t xml:space="preserve">) </w:t>
            </w:r>
            <w:proofErr w:type="spellStart"/>
            <w:r w:rsidRPr="00F5155B">
              <w:rPr>
                <w:rFonts w:eastAsia="Times New Roman" w:cs="Times New Roman"/>
                <w:i/>
                <w:szCs w:val="28"/>
                <w:lang w:eastAsia="lv-LV"/>
              </w:rPr>
              <w:t>euro</w:t>
            </w:r>
            <w:proofErr w:type="spellEnd"/>
            <w:r w:rsidRPr="00F5155B">
              <w:rPr>
                <w:rFonts w:eastAsia="Times New Roman" w:cs="Times New Roman"/>
                <w:i/>
                <w:szCs w:val="28"/>
                <w:lang w:eastAsia="lv-LV"/>
              </w:rPr>
              <w:t>.</w:t>
            </w:r>
            <w:r w:rsidRPr="00F5155B">
              <w:rPr>
                <w:rFonts w:cs="Times New Roman"/>
                <w:szCs w:val="28"/>
              </w:rPr>
              <w:t xml:space="preserve"> A</w:t>
            </w:r>
            <w:r w:rsidRPr="00F5155B">
              <w:rPr>
                <w:rFonts w:cs="Times New Roman"/>
                <w:color w:val="000000"/>
                <w:szCs w:val="28"/>
              </w:rPr>
              <w:t xml:space="preserve">tbilstoši </w:t>
            </w:r>
            <w:proofErr w:type="spellStart"/>
            <w:r w:rsidRPr="00F5155B">
              <w:rPr>
                <w:rFonts w:cs="Times New Roman"/>
                <w:i/>
                <w:color w:val="000000"/>
                <w:szCs w:val="28"/>
              </w:rPr>
              <w:t>Euro</w:t>
            </w:r>
            <w:proofErr w:type="spellEnd"/>
            <w:r w:rsidRPr="00F5155B">
              <w:rPr>
                <w:rFonts w:cs="Times New Roman"/>
                <w:color w:val="000000"/>
                <w:szCs w:val="28"/>
              </w:rPr>
              <w:t xml:space="preserve"> ieviešanas kārtības likuma 32.panta otrās daļas 2.punktam konvertācijas rezultātā iegūtā summa </w:t>
            </w:r>
            <w:r w:rsidRPr="002A5D97">
              <w:rPr>
                <w:rFonts w:cs="Times New Roman"/>
                <w:color w:val="000000"/>
                <w:szCs w:val="28"/>
              </w:rPr>
              <w:t>3557,179527</w:t>
            </w:r>
            <w:r>
              <w:rPr>
                <w:rFonts w:cs="Times New Roman"/>
                <w:color w:val="000000"/>
                <w:szCs w:val="28"/>
              </w:rPr>
              <w:t xml:space="preserve"> </w:t>
            </w:r>
            <w:proofErr w:type="spellStart"/>
            <w:r w:rsidRPr="00F5155B">
              <w:rPr>
                <w:rFonts w:cs="Times New Roman"/>
                <w:i/>
                <w:color w:val="000000"/>
                <w:szCs w:val="28"/>
              </w:rPr>
              <w:t>euro</w:t>
            </w:r>
            <w:proofErr w:type="spellEnd"/>
            <w:r w:rsidRPr="00F5155B">
              <w:rPr>
                <w:rFonts w:cs="Times New Roman"/>
                <w:color w:val="000000"/>
                <w:szCs w:val="28"/>
              </w:rPr>
              <w:t xml:space="preserve"> ir noapaļota uz </w:t>
            </w:r>
            <w:r w:rsidR="003534A3">
              <w:rPr>
                <w:rFonts w:cs="Times New Roman"/>
                <w:color w:val="000000"/>
                <w:szCs w:val="28"/>
              </w:rPr>
              <w:t>leju</w:t>
            </w:r>
            <w:r w:rsidRPr="00F5155B">
              <w:rPr>
                <w:rFonts w:cs="Times New Roman"/>
                <w:color w:val="000000"/>
                <w:szCs w:val="28"/>
              </w:rPr>
              <w:t xml:space="preserve"> līdz </w:t>
            </w:r>
            <w:r>
              <w:rPr>
                <w:rFonts w:cs="Times New Roman"/>
                <w:color w:val="000000"/>
                <w:szCs w:val="28"/>
              </w:rPr>
              <w:t>35</w:t>
            </w:r>
            <w:r w:rsidR="003534A3">
              <w:rPr>
                <w:rFonts w:cs="Times New Roman"/>
                <w:color w:val="000000"/>
                <w:szCs w:val="28"/>
              </w:rPr>
              <w:t xml:space="preserve">55 </w:t>
            </w:r>
            <w:proofErr w:type="spellStart"/>
            <w:r w:rsidRPr="00F5155B">
              <w:rPr>
                <w:rFonts w:cs="Times New Roman"/>
                <w:i/>
                <w:color w:val="000000"/>
                <w:szCs w:val="28"/>
              </w:rPr>
              <w:t>euro</w:t>
            </w:r>
            <w:proofErr w:type="spellEnd"/>
            <w:r w:rsidRPr="00F5155B">
              <w:rPr>
                <w:rFonts w:cs="Times New Roman"/>
                <w:color w:val="000000"/>
                <w:szCs w:val="28"/>
              </w:rPr>
              <w:t>.</w:t>
            </w:r>
            <w:r w:rsidRPr="00F5155B">
              <w:rPr>
                <w:rFonts w:cs="Times New Roman"/>
                <w:szCs w:val="28"/>
              </w:rPr>
              <w:t xml:space="preserve"> Summa tiek </w:t>
            </w:r>
            <w:r w:rsidR="003534A3">
              <w:rPr>
                <w:rFonts w:cs="Times New Roman"/>
                <w:szCs w:val="28"/>
              </w:rPr>
              <w:t>samazināta</w:t>
            </w:r>
            <w:r>
              <w:rPr>
                <w:rFonts w:cs="Times New Roman"/>
                <w:szCs w:val="28"/>
              </w:rPr>
              <w:t xml:space="preserve"> par 2,</w:t>
            </w:r>
            <w:r w:rsidR="003534A3">
              <w:rPr>
                <w:rFonts w:cs="Times New Roman"/>
                <w:szCs w:val="28"/>
              </w:rPr>
              <w:t>17</w:t>
            </w:r>
            <w:r>
              <w:rPr>
                <w:rFonts w:cs="Times New Roman"/>
                <w:szCs w:val="28"/>
              </w:rPr>
              <w:t xml:space="preserve"> </w:t>
            </w:r>
            <w:proofErr w:type="spellStart"/>
            <w:r w:rsidRPr="002A5D97">
              <w:rPr>
                <w:rFonts w:cs="Times New Roman"/>
                <w:i/>
                <w:szCs w:val="28"/>
              </w:rPr>
              <w:t>euro</w:t>
            </w:r>
            <w:proofErr w:type="spellEnd"/>
            <w:r w:rsidRPr="00F5155B">
              <w:rPr>
                <w:rFonts w:cs="Times New Roman"/>
                <w:szCs w:val="28"/>
              </w:rPr>
              <w:t xml:space="preserve">, lai tā būtu vieglāk uztverama. </w:t>
            </w:r>
            <w:r w:rsidR="003534A3">
              <w:rPr>
                <w:rFonts w:cs="Times New Roman"/>
                <w:szCs w:val="28"/>
              </w:rPr>
              <w:t>Samazinātā</w:t>
            </w:r>
            <w:r w:rsidRPr="00F5155B">
              <w:rPr>
                <w:rFonts w:cs="Times New Roman"/>
                <w:szCs w:val="28"/>
              </w:rPr>
              <w:t xml:space="preserve"> summu </w:t>
            </w:r>
            <w:r w:rsidRPr="00F5155B">
              <w:rPr>
                <w:rFonts w:cs="Times New Roman"/>
                <w:color w:val="000000"/>
                <w:szCs w:val="28"/>
              </w:rPr>
              <w:t xml:space="preserve">nerada negatīvu ietekmi </w:t>
            </w:r>
            <w:r>
              <w:rPr>
                <w:rFonts w:cs="Times New Roman"/>
                <w:color w:val="000000"/>
                <w:szCs w:val="28"/>
              </w:rPr>
              <w:t>parāda atgūšanas pakalpojuma sniedzējiem</w:t>
            </w:r>
            <w:r w:rsidRPr="00F5155B">
              <w:rPr>
                <w:rFonts w:cs="Times New Roman"/>
                <w:color w:val="000000"/>
                <w:szCs w:val="28"/>
              </w:rPr>
              <w:t xml:space="preserve">, kā arī nerada </w:t>
            </w:r>
            <w:r w:rsidR="003534A3">
              <w:rPr>
                <w:rFonts w:cs="Times New Roman"/>
                <w:color w:val="000000"/>
                <w:szCs w:val="28"/>
              </w:rPr>
              <w:t xml:space="preserve">būtisku </w:t>
            </w:r>
            <w:r w:rsidRPr="00F5155B">
              <w:rPr>
                <w:rFonts w:cs="Times New Roman"/>
                <w:color w:val="000000"/>
                <w:szCs w:val="28"/>
              </w:rPr>
              <w:t>ietekmi budžetam.</w:t>
            </w:r>
          </w:p>
          <w:p w:rsidR="000734CB" w:rsidRPr="00F5155B" w:rsidRDefault="00566CE7" w:rsidP="00EE65EF">
            <w:pPr>
              <w:tabs>
                <w:tab w:val="left" w:pos="268"/>
              </w:tabs>
              <w:ind w:firstLine="395"/>
              <w:jc w:val="both"/>
              <w:rPr>
                <w:rFonts w:eastAsia="Times New Roman" w:cs="Times New Roman"/>
                <w:szCs w:val="28"/>
                <w:lang w:eastAsia="lv-LV"/>
              </w:rPr>
            </w:pPr>
            <w:r w:rsidRPr="00F5155B">
              <w:rPr>
                <w:rFonts w:eastAsia="Times New Roman" w:cs="Times New Roman"/>
                <w:szCs w:val="28"/>
                <w:lang w:eastAsia="lv-LV"/>
              </w:rPr>
              <w:t xml:space="preserve">Noteikumu </w:t>
            </w:r>
            <w:r w:rsidR="002A5D97">
              <w:rPr>
                <w:rFonts w:eastAsia="Calibri" w:cs="Times New Roman"/>
                <w:szCs w:val="28"/>
              </w:rPr>
              <w:t>40</w:t>
            </w:r>
            <w:r w:rsidRPr="00F5155B">
              <w:rPr>
                <w:rFonts w:eastAsia="Times New Roman" w:cs="Times New Roman"/>
                <w:szCs w:val="28"/>
                <w:lang w:eastAsia="lv-LV"/>
              </w:rPr>
              <w:t xml:space="preserve">.punktā </w:t>
            </w:r>
            <w:r w:rsidR="00105205" w:rsidRPr="00F5155B">
              <w:rPr>
                <w:rFonts w:eastAsia="Times New Roman" w:cs="Times New Roman"/>
                <w:szCs w:val="28"/>
                <w:lang w:eastAsia="lv-LV"/>
              </w:rPr>
              <w:t>noteiktā</w:t>
            </w:r>
            <w:r w:rsidRPr="00F5155B">
              <w:rPr>
                <w:rFonts w:eastAsia="Times New Roman" w:cs="Times New Roman"/>
                <w:szCs w:val="28"/>
                <w:lang w:eastAsia="lv-LV"/>
              </w:rPr>
              <w:t xml:space="preserve"> summa 1000 </w:t>
            </w:r>
            <w:r w:rsidR="00105205" w:rsidRPr="00F5155B">
              <w:rPr>
                <w:rFonts w:eastAsia="Times New Roman" w:cs="Times New Roman"/>
                <w:szCs w:val="28"/>
                <w:lang w:eastAsia="lv-LV"/>
              </w:rPr>
              <w:t>latu</w:t>
            </w:r>
            <w:r w:rsidRPr="00F5155B">
              <w:rPr>
                <w:rFonts w:eastAsia="Times New Roman" w:cs="Times New Roman"/>
                <w:szCs w:val="28"/>
                <w:lang w:eastAsia="lv-LV"/>
              </w:rPr>
              <w:t xml:space="preserve"> </w:t>
            </w:r>
            <w:r w:rsidR="00105205" w:rsidRPr="00F5155B">
              <w:rPr>
                <w:rFonts w:cs="Times New Roman"/>
                <w:color w:val="000000"/>
                <w:szCs w:val="28"/>
              </w:rPr>
              <w:t xml:space="preserve">izteikta kā 1420 </w:t>
            </w:r>
            <w:r w:rsidR="00105205" w:rsidRPr="00F5155B">
              <w:rPr>
                <w:rFonts w:cs="Times New Roman"/>
                <w:szCs w:val="28"/>
              </w:rPr>
              <w:t>(</w:t>
            </w:r>
            <w:r w:rsidRPr="00F5155B">
              <w:rPr>
                <w:rFonts w:cs="Times New Roman"/>
                <w:color w:val="000000"/>
                <w:szCs w:val="28"/>
              </w:rPr>
              <w:t>1422,871810</w:t>
            </w:r>
            <w:r w:rsidR="00105205" w:rsidRPr="00F5155B">
              <w:rPr>
                <w:rFonts w:cs="Times New Roman"/>
                <w:color w:val="000000"/>
                <w:szCs w:val="28"/>
              </w:rPr>
              <w:t>)</w:t>
            </w:r>
            <w:r w:rsidRPr="00F5155B">
              <w:rPr>
                <w:rFonts w:cs="Times New Roman"/>
                <w:color w:val="000000"/>
                <w:szCs w:val="28"/>
              </w:rPr>
              <w:t xml:space="preserve"> </w:t>
            </w:r>
            <w:proofErr w:type="spellStart"/>
            <w:r w:rsidRPr="00F5155B">
              <w:rPr>
                <w:rFonts w:eastAsia="Times New Roman" w:cs="Times New Roman"/>
                <w:i/>
                <w:szCs w:val="28"/>
                <w:lang w:eastAsia="lv-LV"/>
              </w:rPr>
              <w:t>euro</w:t>
            </w:r>
            <w:proofErr w:type="spellEnd"/>
            <w:r w:rsidRPr="00F5155B">
              <w:rPr>
                <w:rFonts w:eastAsia="Times New Roman" w:cs="Times New Roman"/>
                <w:i/>
                <w:szCs w:val="28"/>
                <w:lang w:eastAsia="lv-LV"/>
              </w:rPr>
              <w:t>.</w:t>
            </w:r>
            <w:r w:rsidRPr="00F5155B">
              <w:rPr>
                <w:rFonts w:eastAsia="Times New Roman" w:cs="Times New Roman"/>
                <w:szCs w:val="28"/>
                <w:lang w:eastAsia="lv-LV"/>
              </w:rPr>
              <w:t xml:space="preserve">  </w:t>
            </w:r>
            <w:r w:rsidR="00574F35" w:rsidRPr="00F5155B">
              <w:rPr>
                <w:rFonts w:cs="Times New Roman"/>
                <w:szCs w:val="28"/>
              </w:rPr>
              <w:t>A</w:t>
            </w:r>
            <w:r w:rsidR="00574F35" w:rsidRPr="00F5155B">
              <w:rPr>
                <w:rFonts w:cs="Times New Roman"/>
                <w:color w:val="000000"/>
                <w:szCs w:val="28"/>
              </w:rPr>
              <w:t xml:space="preserve">tbilstoši </w:t>
            </w:r>
            <w:proofErr w:type="spellStart"/>
            <w:r w:rsidR="00574F35" w:rsidRPr="00F5155B">
              <w:rPr>
                <w:rFonts w:cs="Times New Roman"/>
                <w:i/>
                <w:color w:val="000000"/>
                <w:szCs w:val="28"/>
              </w:rPr>
              <w:t>Euro</w:t>
            </w:r>
            <w:proofErr w:type="spellEnd"/>
            <w:r w:rsidR="00574F35" w:rsidRPr="00F5155B">
              <w:rPr>
                <w:rFonts w:cs="Times New Roman"/>
                <w:color w:val="000000"/>
                <w:szCs w:val="28"/>
              </w:rPr>
              <w:t xml:space="preserve"> ieviešanas kārtības likuma 32.panta otrās daļas 2.punktam konvertācijas rezultātā iegūtā summa </w:t>
            </w:r>
            <w:r w:rsidR="00574F35" w:rsidRPr="002A009F">
              <w:rPr>
                <w:rFonts w:cs="Times New Roman"/>
                <w:szCs w:val="28"/>
              </w:rPr>
              <w:t xml:space="preserve">1422,871810 </w:t>
            </w:r>
            <w:proofErr w:type="spellStart"/>
            <w:r w:rsidR="00574F35" w:rsidRPr="002A009F">
              <w:rPr>
                <w:rFonts w:cs="Times New Roman"/>
                <w:i/>
                <w:color w:val="000000"/>
                <w:szCs w:val="28"/>
              </w:rPr>
              <w:t>euro</w:t>
            </w:r>
            <w:proofErr w:type="spellEnd"/>
            <w:r w:rsidR="00574F35" w:rsidRPr="002A009F">
              <w:rPr>
                <w:rFonts w:cs="Times New Roman"/>
                <w:color w:val="000000"/>
                <w:szCs w:val="28"/>
              </w:rPr>
              <w:t xml:space="preserve"> ir noapaļota uz leju līdz 142</w:t>
            </w:r>
            <w:r w:rsidR="003534A3">
              <w:rPr>
                <w:rFonts w:cs="Times New Roman"/>
                <w:color w:val="000000"/>
                <w:szCs w:val="28"/>
              </w:rPr>
              <w:t>0</w:t>
            </w:r>
            <w:r w:rsidR="00574F35" w:rsidRPr="002A009F">
              <w:rPr>
                <w:rFonts w:cs="Times New Roman"/>
                <w:color w:val="000000"/>
                <w:szCs w:val="28"/>
              </w:rPr>
              <w:t xml:space="preserve"> </w:t>
            </w:r>
            <w:proofErr w:type="spellStart"/>
            <w:r w:rsidR="00574F35" w:rsidRPr="002A009F">
              <w:rPr>
                <w:rFonts w:cs="Times New Roman"/>
                <w:i/>
                <w:color w:val="000000"/>
                <w:szCs w:val="28"/>
              </w:rPr>
              <w:t>euro</w:t>
            </w:r>
            <w:proofErr w:type="spellEnd"/>
            <w:r w:rsidR="00574F35" w:rsidRPr="002A009F">
              <w:rPr>
                <w:rFonts w:cs="Times New Roman"/>
                <w:i/>
                <w:color w:val="000000"/>
                <w:szCs w:val="28"/>
              </w:rPr>
              <w:t>.</w:t>
            </w:r>
            <w:r w:rsidR="00574F35" w:rsidRPr="002A009F">
              <w:rPr>
                <w:rFonts w:cs="Times New Roman"/>
                <w:szCs w:val="28"/>
              </w:rPr>
              <w:t xml:space="preserve"> </w:t>
            </w:r>
            <w:r w:rsidR="00EE65EF" w:rsidRPr="002A009F">
              <w:rPr>
                <w:rFonts w:cs="Times New Roman"/>
                <w:szCs w:val="28"/>
              </w:rPr>
              <w:t>Summa tiek s</w:t>
            </w:r>
            <w:r w:rsidR="00EE65EF" w:rsidRPr="00F5155B">
              <w:rPr>
                <w:rFonts w:cs="Times New Roman"/>
                <w:szCs w:val="28"/>
              </w:rPr>
              <w:t xml:space="preserve">amazināta par 2,87 </w:t>
            </w:r>
            <w:proofErr w:type="spellStart"/>
            <w:r w:rsidR="00EE65EF" w:rsidRPr="00F5155B">
              <w:rPr>
                <w:rFonts w:cs="Times New Roman"/>
                <w:szCs w:val="28"/>
              </w:rPr>
              <w:t>euro</w:t>
            </w:r>
            <w:proofErr w:type="spellEnd"/>
            <w:r w:rsidR="00EE65EF" w:rsidRPr="00F5155B">
              <w:rPr>
                <w:rFonts w:cs="Times New Roman"/>
                <w:szCs w:val="28"/>
              </w:rPr>
              <w:t>, lai tā būtu vieglāk uztverama</w:t>
            </w:r>
            <w:r w:rsidR="000764A8" w:rsidRPr="00F5155B">
              <w:rPr>
                <w:rFonts w:cs="Times New Roman"/>
                <w:szCs w:val="28"/>
              </w:rPr>
              <w:t xml:space="preserve">. Samazinātā summu </w:t>
            </w:r>
            <w:r w:rsidR="000764A8" w:rsidRPr="00F5155B">
              <w:rPr>
                <w:rFonts w:cs="Times New Roman"/>
                <w:color w:val="000000"/>
                <w:szCs w:val="28"/>
              </w:rPr>
              <w:t xml:space="preserve">nerada negatīvu ietekmi </w:t>
            </w:r>
            <w:r w:rsidR="002A5D97" w:rsidRPr="002A5D97">
              <w:rPr>
                <w:rFonts w:cs="Times New Roman"/>
                <w:color w:val="000000"/>
                <w:szCs w:val="28"/>
              </w:rPr>
              <w:t>parāda atgūšanas pakalpojuma sniedzējiem</w:t>
            </w:r>
            <w:r w:rsidR="002A5D97">
              <w:rPr>
                <w:rFonts w:cs="Times New Roman"/>
                <w:color w:val="000000"/>
                <w:szCs w:val="28"/>
              </w:rPr>
              <w:t>,</w:t>
            </w:r>
            <w:r w:rsidR="000764A8" w:rsidRPr="00F5155B">
              <w:rPr>
                <w:rFonts w:cs="Times New Roman"/>
                <w:color w:val="000000"/>
                <w:szCs w:val="28"/>
              </w:rPr>
              <w:t xml:space="preserve"> kā arī nerada ietekmi budžetam.</w:t>
            </w:r>
          </w:p>
          <w:p w:rsidR="002E336A" w:rsidRDefault="003534A3" w:rsidP="002E336A">
            <w:pPr>
              <w:ind w:firstLine="395"/>
              <w:jc w:val="both"/>
              <w:rPr>
                <w:rFonts w:cs="Times New Roman"/>
                <w:color w:val="000000"/>
                <w:szCs w:val="28"/>
              </w:rPr>
            </w:pPr>
            <w:r>
              <w:rPr>
                <w:rFonts w:cs="Times New Roman"/>
                <w:color w:val="000000"/>
                <w:szCs w:val="28"/>
              </w:rPr>
              <w:t>Jāuzsver, ka</w:t>
            </w:r>
            <w:r w:rsidR="002A5D97">
              <w:rPr>
                <w:rFonts w:cs="Times New Roman"/>
                <w:color w:val="000000"/>
                <w:szCs w:val="28"/>
              </w:rPr>
              <w:t xml:space="preserve"> summas noapaļo</w:t>
            </w:r>
            <w:r>
              <w:rPr>
                <w:rFonts w:cs="Times New Roman"/>
                <w:color w:val="000000"/>
                <w:szCs w:val="28"/>
              </w:rPr>
              <w:t>tas</w:t>
            </w:r>
            <w:r w:rsidR="002A5D97">
              <w:rPr>
                <w:rFonts w:cs="Times New Roman"/>
                <w:color w:val="000000"/>
                <w:szCs w:val="28"/>
              </w:rPr>
              <w:t xml:space="preserve"> uz leju, lai radītu pēc iespējas mazāku ietekmi uz budžetu un </w:t>
            </w:r>
            <w:r>
              <w:rPr>
                <w:rFonts w:cs="Times New Roman"/>
                <w:color w:val="000000"/>
                <w:szCs w:val="28"/>
              </w:rPr>
              <w:t>būtu labvēlīgākas ietekmētajai sabiedrības grupai – parādu atgūšanas pakalpojumu sniedzējiem</w:t>
            </w:r>
            <w:r w:rsidR="002A5D97">
              <w:rPr>
                <w:rFonts w:cs="Times New Roman"/>
                <w:color w:val="000000"/>
                <w:szCs w:val="28"/>
              </w:rPr>
              <w:t xml:space="preserve">. </w:t>
            </w:r>
          </w:p>
          <w:p w:rsidR="002E336A" w:rsidRPr="002A5D97" w:rsidRDefault="002E336A" w:rsidP="002E336A">
            <w:pPr>
              <w:ind w:firstLine="395"/>
              <w:jc w:val="both"/>
              <w:rPr>
                <w:rFonts w:cs="Times New Roman"/>
                <w:color w:val="000000"/>
                <w:szCs w:val="28"/>
              </w:rPr>
            </w:pPr>
            <w:r>
              <w:rPr>
                <w:rFonts w:cs="Times New Roman"/>
                <w:color w:val="000000"/>
                <w:szCs w:val="28"/>
              </w:rPr>
              <w:t xml:space="preserve">Nodevas samazināšana nerada </w:t>
            </w:r>
            <w:r w:rsidRPr="002E336A">
              <w:rPr>
                <w:rFonts w:cs="Times New Roman"/>
                <w:b/>
                <w:color w:val="000000"/>
                <w:szCs w:val="28"/>
              </w:rPr>
              <w:t>būtisku</w:t>
            </w:r>
            <w:r>
              <w:rPr>
                <w:rFonts w:cs="Times New Roman"/>
                <w:color w:val="000000"/>
                <w:szCs w:val="28"/>
              </w:rPr>
              <w:t xml:space="preserve"> ietekmi uz budžetu – 2014.gadā un 2015.gadā tie ir -4,03 LVL, savukārt 2016.gadā – 28,44 LVL. </w:t>
            </w:r>
          </w:p>
          <w:p w:rsidR="00761D31" w:rsidRPr="00F5155B" w:rsidRDefault="004567CC" w:rsidP="00C05240">
            <w:pPr>
              <w:ind w:firstLine="395"/>
              <w:jc w:val="both"/>
              <w:rPr>
                <w:rFonts w:eastAsia="Calibri" w:cs="Times New Roman"/>
                <w:szCs w:val="28"/>
              </w:rPr>
            </w:pPr>
            <w:r w:rsidRPr="00F5155B">
              <w:rPr>
                <w:rFonts w:eastAsia="Calibri" w:cs="Times New Roman"/>
                <w:szCs w:val="28"/>
              </w:rPr>
              <w:t>Paredzēts, ka Noteikumu proje</w:t>
            </w:r>
            <w:r w:rsidRPr="002A5D97">
              <w:rPr>
                <w:rFonts w:eastAsia="Calibri" w:cs="Times New Roman"/>
                <w:szCs w:val="28"/>
              </w:rPr>
              <w:t>k</w:t>
            </w:r>
            <w:r w:rsidRPr="00F5155B">
              <w:rPr>
                <w:rFonts w:eastAsia="Calibri" w:cs="Times New Roman"/>
                <w:szCs w:val="28"/>
              </w:rPr>
              <w:t xml:space="preserve">tā ietvertās normas par lata aizstāšanu ar </w:t>
            </w:r>
            <w:proofErr w:type="spellStart"/>
            <w:r w:rsidRPr="00F5155B">
              <w:rPr>
                <w:rFonts w:eastAsia="Calibri" w:cs="Times New Roman"/>
                <w:i/>
                <w:szCs w:val="28"/>
              </w:rPr>
              <w:t>euro</w:t>
            </w:r>
            <w:proofErr w:type="spellEnd"/>
            <w:r w:rsidRPr="00F5155B">
              <w:rPr>
                <w:rFonts w:eastAsia="Calibri" w:cs="Times New Roman"/>
                <w:szCs w:val="28"/>
              </w:rPr>
              <w:t xml:space="preserve"> stāsies spēkā </w:t>
            </w:r>
            <w:proofErr w:type="spellStart"/>
            <w:r w:rsidRPr="00F5155B">
              <w:rPr>
                <w:rFonts w:eastAsia="Calibri" w:cs="Times New Roman"/>
                <w:i/>
                <w:szCs w:val="28"/>
              </w:rPr>
              <w:t>euro</w:t>
            </w:r>
            <w:proofErr w:type="spellEnd"/>
            <w:r w:rsidRPr="00F5155B">
              <w:rPr>
                <w:rFonts w:eastAsia="Calibri" w:cs="Times New Roman"/>
                <w:szCs w:val="28"/>
              </w:rPr>
              <w:t xml:space="preserve"> ieviešanas dienā, </w:t>
            </w:r>
            <w:proofErr w:type="spellStart"/>
            <w:r w:rsidRPr="00F5155B">
              <w:rPr>
                <w:rFonts w:eastAsia="Calibri" w:cs="Times New Roman"/>
                <w:szCs w:val="28"/>
              </w:rPr>
              <w:t>t.i</w:t>
            </w:r>
            <w:proofErr w:type="spellEnd"/>
            <w:r w:rsidRPr="00F5155B">
              <w:rPr>
                <w:rFonts w:eastAsia="Calibri" w:cs="Times New Roman"/>
                <w:szCs w:val="28"/>
              </w:rPr>
              <w:t>., 2014.gada 1.janvārī.</w:t>
            </w:r>
          </w:p>
          <w:p w:rsidR="00761D31" w:rsidRPr="00F5155B" w:rsidRDefault="00761D31" w:rsidP="004567CC">
            <w:pPr>
              <w:ind w:firstLine="395"/>
              <w:jc w:val="both"/>
              <w:rPr>
                <w:rFonts w:eastAsia="Calibri" w:cs="Times New Roman"/>
                <w:b/>
                <w:szCs w:val="28"/>
              </w:rPr>
            </w:pP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5.</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Projekta izstrādē iesaistītās institūcijas</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B86395" w:rsidP="002A5D97">
            <w:pPr>
              <w:jc w:val="both"/>
              <w:rPr>
                <w:rFonts w:eastAsia="Times New Roman" w:cs="Times New Roman"/>
                <w:szCs w:val="28"/>
                <w:lang w:eastAsia="lv-LV"/>
              </w:rPr>
            </w:pPr>
            <w:r w:rsidRPr="00F5155B">
              <w:rPr>
                <w:rFonts w:eastAsia="Times New Roman" w:cs="Times New Roman"/>
                <w:szCs w:val="28"/>
                <w:lang w:eastAsia="lv-LV"/>
              </w:rPr>
              <w:t>Ekonomikas ministrija</w:t>
            </w: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6.</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Iemesli, kādēļ netika nodrošināta sabiedrības līdzdalība</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jc w:val="both"/>
              <w:rPr>
                <w:rFonts w:eastAsia="Times New Roman" w:cs="Times New Roman"/>
                <w:szCs w:val="28"/>
                <w:lang w:eastAsia="lv-LV"/>
              </w:rPr>
            </w:pPr>
            <w:r w:rsidRPr="00F5155B">
              <w:rPr>
                <w:rFonts w:eastAsia="Calibri" w:cs="Times New Roman"/>
                <w:szCs w:val="28"/>
              </w:rPr>
              <w:t xml:space="preserve">Sabiedrības līdzdalība projekta izstrādē netika nodrošināta, jo projekts nemaina pastāvošo tiesisko regulējumu pēc būtības, bet tikai aizstāj latus ar </w:t>
            </w:r>
            <w:proofErr w:type="spellStart"/>
            <w:r w:rsidRPr="00F5155B">
              <w:rPr>
                <w:rFonts w:eastAsia="Calibri" w:cs="Times New Roman"/>
                <w:i/>
                <w:szCs w:val="28"/>
              </w:rPr>
              <w:t>euro</w:t>
            </w:r>
            <w:proofErr w:type="spellEnd"/>
            <w:r w:rsidRPr="00F5155B">
              <w:rPr>
                <w:rFonts w:eastAsia="Calibri" w:cs="Times New Roman"/>
                <w:szCs w:val="28"/>
              </w:rPr>
              <w:t>.</w:t>
            </w: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7.</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Cita informācija</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jc w:val="both"/>
              <w:rPr>
                <w:rFonts w:eastAsia="Times New Roman" w:cs="Times New Roman"/>
                <w:szCs w:val="28"/>
                <w:lang w:eastAsia="lv-LV"/>
              </w:rPr>
            </w:pPr>
            <w:r w:rsidRPr="00F5155B">
              <w:rPr>
                <w:rFonts w:eastAsia="Calibri" w:cs="Times New Roman"/>
                <w:szCs w:val="28"/>
              </w:rPr>
              <w:t xml:space="preserve">Noteikumu projektam ir jābūt apstiprinātam un publicētam </w:t>
            </w:r>
            <w:r w:rsidRPr="00F5155B">
              <w:rPr>
                <w:rFonts w:eastAsia="Calibri" w:cs="Times New Roman"/>
                <w:szCs w:val="28"/>
              </w:rPr>
              <w:lastRenderedPageBreak/>
              <w:t xml:space="preserve">oficiālajā izdevumā „Latvijas Vēstnesis” līdz </w:t>
            </w:r>
            <w:proofErr w:type="spellStart"/>
            <w:r w:rsidRPr="00F5155B">
              <w:rPr>
                <w:rFonts w:eastAsia="Calibri" w:cs="Times New Roman"/>
                <w:i/>
                <w:szCs w:val="28"/>
              </w:rPr>
              <w:t>euro</w:t>
            </w:r>
            <w:proofErr w:type="spellEnd"/>
            <w:r w:rsidRPr="00F5155B">
              <w:rPr>
                <w:rFonts w:eastAsia="Calibri" w:cs="Times New Roman"/>
                <w:szCs w:val="28"/>
              </w:rPr>
              <w:t xml:space="preserve"> ieviešanas dienai.</w:t>
            </w:r>
          </w:p>
        </w:tc>
      </w:tr>
    </w:tbl>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lastRenderedPageBreak/>
        <w:t> </w:t>
      </w:r>
    </w:p>
    <w:p w:rsidR="004567CC" w:rsidRPr="00F5155B" w:rsidRDefault="004567CC" w:rsidP="004567CC">
      <w:pPr>
        <w:rPr>
          <w:rFonts w:eastAsia="Times New Roman" w:cs="Times New Roman"/>
          <w:szCs w:val="28"/>
          <w:lang w:eastAsia="lv-LV"/>
        </w:rPr>
      </w:pPr>
    </w:p>
    <w:tbl>
      <w:tblPr>
        <w:tblW w:w="499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50"/>
        <w:gridCol w:w="2672"/>
        <w:gridCol w:w="7100"/>
      </w:tblGrid>
      <w:tr w:rsidR="004567CC" w:rsidRPr="00F5155B" w:rsidTr="00614C25">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567CC" w:rsidRPr="00F5155B" w:rsidRDefault="004567CC" w:rsidP="004567CC">
            <w:pPr>
              <w:jc w:val="center"/>
              <w:rPr>
                <w:rFonts w:eastAsia="Times New Roman" w:cs="Times New Roman"/>
                <w:b/>
                <w:bCs/>
                <w:szCs w:val="28"/>
                <w:lang w:eastAsia="lv-LV"/>
              </w:rPr>
            </w:pPr>
            <w:r w:rsidRPr="00F5155B">
              <w:rPr>
                <w:rFonts w:eastAsia="Times New Roman" w:cs="Times New Roman"/>
                <w:b/>
                <w:bCs/>
                <w:szCs w:val="28"/>
                <w:lang w:eastAsia="lv-LV"/>
              </w:rPr>
              <w:t>II. Tiesību akta projekta ietekme uz sabiedrību</w:t>
            </w: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1.</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 xml:space="preserve">Sabiedrības </w:t>
            </w:r>
            <w:proofErr w:type="spellStart"/>
            <w:r w:rsidRPr="00F5155B">
              <w:rPr>
                <w:rFonts w:eastAsia="Times New Roman" w:cs="Times New Roman"/>
                <w:szCs w:val="28"/>
                <w:lang w:eastAsia="lv-LV"/>
              </w:rPr>
              <w:t>mērķgrupa</w:t>
            </w:r>
            <w:proofErr w:type="spellEnd"/>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2A5D97" w:rsidP="004567CC">
            <w:pPr>
              <w:jc w:val="both"/>
              <w:rPr>
                <w:rFonts w:eastAsia="Times New Roman" w:cs="Times New Roman"/>
                <w:szCs w:val="28"/>
                <w:lang w:eastAsia="lv-LV"/>
              </w:rPr>
            </w:pPr>
            <w:r>
              <w:rPr>
                <w:rFonts w:eastAsia="Times New Roman" w:cs="Times New Roman"/>
                <w:szCs w:val="28"/>
                <w:lang w:eastAsia="lv-LV"/>
              </w:rPr>
              <w:t xml:space="preserve">Fiziskas personas un juridiskas personas, kas sniedz parādu atgūšanas pakalpojumus. </w:t>
            </w:r>
          </w:p>
          <w:p w:rsidR="004567CC" w:rsidRPr="00F5155B" w:rsidRDefault="004567CC" w:rsidP="004567CC">
            <w:pPr>
              <w:jc w:val="both"/>
              <w:rPr>
                <w:rFonts w:eastAsia="Times New Roman" w:cs="Times New Roman"/>
                <w:szCs w:val="28"/>
                <w:lang w:eastAsia="lv-LV"/>
              </w:rPr>
            </w:pP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2.</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 xml:space="preserve">Citas sabiedrības grupas (bez </w:t>
            </w:r>
            <w:proofErr w:type="spellStart"/>
            <w:r w:rsidRPr="00F5155B">
              <w:rPr>
                <w:rFonts w:eastAsia="Times New Roman" w:cs="Times New Roman"/>
                <w:szCs w:val="28"/>
                <w:lang w:eastAsia="lv-LV"/>
              </w:rPr>
              <w:t>mērķgrupas</w:t>
            </w:r>
            <w:proofErr w:type="spellEnd"/>
            <w:r w:rsidRPr="00F5155B">
              <w:rPr>
                <w:rFonts w:eastAsia="Times New Roman" w:cs="Times New Roman"/>
                <w:szCs w:val="28"/>
                <w:lang w:eastAsia="lv-LV"/>
              </w:rPr>
              <w:t>), kuras tiesiskais regulējums arī ietekmē vai varētu ietekmēt</w:t>
            </w:r>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C05240" w:rsidP="004567CC">
            <w:pPr>
              <w:jc w:val="both"/>
              <w:rPr>
                <w:rFonts w:eastAsia="Times New Roman" w:cs="Times New Roman"/>
                <w:szCs w:val="28"/>
                <w:lang w:eastAsia="lv-LV"/>
              </w:rPr>
            </w:pPr>
            <w:r w:rsidRPr="00F5155B">
              <w:rPr>
                <w:rFonts w:eastAsia="Times New Roman" w:cs="Times New Roman"/>
                <w:szCs w:val="28"/>
                <w:lang w:eastAsia="lv-LV"/>
              </w:rPr>
              <w:t>Projekts šo jomu neskar.</w:t>
            </w: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3.</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Tiesiskā regulējuma finansiālā ietekme</w:t>
            </w:r>
          </w:p>
        </w:tc>
        <w:tc>
          <w:tcPr>
            <w:tcW w:w="3507" w:type="pct"/>
            <w:tcBorders>
              <w:top w:val="outset" w:sz="6" w:space="0" w:color="000000"/>
              <w:left w:val="outset" w:sz="6" w:space="0" w:color="000000"/>
              <w:bottom w:val="outset" w:sz="6" w:space="0" w:color="000000"/>
              <w:right w:val="outset" w:sz="6" w:space="0" w:color="000000"/>
            </w:tcBorders>
            <w:hideMark/>
          </w:tcPr>
          <w:p w:rsidR="008B7A6B" w:rsidRPr="00F5155B" w:rsidRDefault="008B7A6B" w:rsidP="008B7A6B">
            <w:pPr>
              <w:jc w:val="both"/>
              <w:rPr>
                <w:rFonts w:eastAsia="Times New Roman" w:cs="Times New Roman"/>
                <w:szCs w:val="28"/>
                <w:lang w:eastAsia="lv-LV"/>
              </w:rPr>
            </w:pPr>
            <w:r w:rsidRPr="00F5155B">
              <w:rPr>
                <w:rFonts w:eastAsia="Times New Roman" w:cs="Times New Roman"/>
                <w:szCs w:val="28"/>
                <w:lang w:eastAsia="lv-LV"/>
              </w:rPr>
              <w:t xml:space="preserve">Par </w:t>
            </w:r>
            <w:r w:rsidR="002A5D97">
              <w:rPr>
                <w:rFonts w:cs="Times New Roman"/>
                <w:szCs w:val="28"/>
              </w:rPr>
              <w:t xml:space="preserve">2,87 </w:t>
            </w:r>
            <w:proofErr w:type="spellStart"/>
            <w:r w:rsidR="002A5D97" w:rsidRPr="002A5D97">
              <w:rPr>
                <w:rFonts w:cs="Times New Roman"/>
                <w:i/>
                <w:szCs w:val="28"/>
              </w:rPr>
              <w:t>euro</w:t>
            </w:r>
            <w:proofErr w:type="spellEnd"/>
            <w:r w:rsidR="002A5D97" w:rsidRPr="00F5155B">
              <w:rPr>
                <w:rFonts w:eastAsia="Times New Roman" w:cs="Times New Roman"/>
                <w:i/>
                <w:szCs w:val="28"/>
                <w:lang w:eastAsia="lv-LV"/>
              </w:rPr>
              <w:t xml:space="preserve"> </w:t>
            </w:r>
            <w:r w:rsidRPr="00F5155B">
              <w:rPr>
                <w:rFonts w:eastAsia="Times New Roman" w:cs="Times New Roman"/>
                <w:szCs w:val="28"/>
                <w:lang w:eastAsia="lv-LV"/>
              </w:rPr>
              <w:t>samazināsies valsts nodeva speciālās atļaujas (licences) saņemšanai.</w:t>
            </w:r>
          </w:p>
          <w:p w:rsidR="008B7A6B" w:rsidRPr="00F5155B" w:rsidRDefault="008B7A6B" w:rsidP="008B7A6B">
            <w:pPr>
              <w:jc w:val="both"/>
              <w:rPr>
                <w:rFonts w:eastAsia="Times New Roman" w:cs="Times New Roman"/>
                <w:szCs w:val="28"/>
                <w:lang w:eastAsia="lv-LV"/>
              </w:rPr>
            </w:pPr>
            <w:r w:rsidRPr="00F5155B">
              <w:rPr>
                <w:rFonts w:eastAsia="Times New Roman" w:cs="Times New Roman"/>
                <w:szCs w:val="28"/>
                <w:lang w:eastAsia="lv-LV"/>
              </w:rPr>
              <w:t xml:space="preserve">Par </w:t>
            </w:r>
            <w:r w:rsidR="002A5D97">
              <w:rPr>
                <w:rFonts w:cs="Times New Roman"/>
                <w:szCs w:val="28"/>
              </w:rPr>
              <w:t>2,</w:t>
            </w:r>
            <w:r w:rsidR="003534A3">
              <w:rPr>
                <w:rFonts w:cs="Times New Roman"/>
                <w:szCs w:val="28"/>
              </w:rPr>
              <w:t>17</w:t>
            </w:r>
            <w:r w:rsidR="002A5D97">
              <w:rPr>
                <w:rFonts w:cs="Times New Roman"/>
                <w:szCs w:val="28"/>
              </w:rPr>
              <w:t xml:space="preserve"> </w:t>
            </w:r>
            <w:proofErr w:type="spellStart"/>
            <w:r w:rsidR="002A5D97" w:rsidRPr="002A5D97">
              <w:rPr>
                <w:rFonts w:cs="Times New Roman"/>
                <w:i/>
                <w:szCs w:val="28"/>
              </w:rPr>
              <w:t>euro</w:t>
            </w:r>
            <w:proofErr w:type="spellEnd"/>
            <w:r w:rsidR="002A5D97" w:rsidRPr="00F5155B">
              <w:rPr>
                <w:rFonts w:eastAsia="Times New Roman" w:cs="Times New Roman"/>
                <w:i/>
                <w:szCs w:val="28"/>
                <w:lang w:eastAsia="lv-LV"/>
              </w:rPr>
              <w:t xml:space="preserve"> </w:t>
            </w:r>
            <w:r w:rsidR="003534A3">
              <w:rPr>
                <w:rFonts w:eastAsia="Times New Roman" w:cs="Times New Roman"/>
                <w:szCs w:val="28"/>
                <w:lang w:eastAsia="lv-LV"/>
              </w:rPr>
              <w:t>samazināsies</w:t>
            </w:r>
            <w:r w:rsidRPr="00F5155B">
              <w:rPr>
                <w:rFonts w:eastAsia="Times New Roman" w:cs="Times New Roman"/>
                <w:szCs w:val="28"/>
                <w:lang w:eastAsia="lv-LV"/>
              </w:rPr>
              <w:t xml:space="preserve"> valsts nodeva speciālās atļaujas (licences) </w:t>
            </w:r>
            <w:r w:rsidR="005D6F0C" w:rsidRPr="00F5155B">
              <w:rPr>
                <w:rFonts w:eastAsia="Times New Roman" w:cs="Times New Roman"/>
                <w:szCs w:val="28"/>
                <w:lang w:eastAsia="lv-LV"/>
              </w:rPr>
              <w:t>pārreģistrācijai</w:t>
            </w:r>
            <w:r w:rsidRPr="00F5155B">
              <w:rPr>
                <w:rFonts w:eastAsia="Times New Roman" w:cs="Times New Roman"/>
                <w:szCs w:val="28"/>
                <w:lang w:eastAsia="lv-LV"/>
              </w:rPr>
              <w:t>.</w:t>
            </w:r>
          </w:p>
          <w:p w:rsidR="008B7A6B" w:rsidRPr="00F5155B" w:rsidRDefault="008B7A6B" w:rsidP="008B7A6B">
            <w:pPr>
              <w:jc w:val="both"/>
              <w:rPr>
                <w:rFonts w:eastAsia="Times New Roman" w:cs="Times New Roman"/>
                <w:szCs w:val="28"/>
                <w:lang w:eastAsia="lv-LV"/>
              </w:rPr>
            </w:pP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4.</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Tiesiskā regulējuma nefinansiālā ietekme</w:t>
            </w:r>
          </w:p>
        </w:tc>
        <w:tc>
          <w:tcPr>
            <w:tcW w:w="3507" w:type="pct"/>
            <w:tcBorders>
              <w:top w:val="outset" w:sz="6" w:space="0" w:color="000000"/>
              <w:left w:val="outset" w:sz="6" w:space="0" w:color="000000"/>
              <w:bottom w:val="outset" w:sz="6" w:space="0" w:color="000000"/>
              <w:right w:val="outset" w:sz="6" w:space="0" w:color="000000"/>
            </w:tcBorders>
            <w:hideMark/>
          </w:tcPr>
          <w:p w:rsidR="008B7A6B" w:rsidRPr="00F5155B" w:rsidRDefault="004D3C93" w:rsidP="008B7A6B">
            <w:pPr>
              <w:jc w:val="both"/>
              <w:rPr>
                <w:rFonts w:cs="Times New Roman"/>
                <w:color w:val="000000"/>
                <w:szCs w:val="28"/>
              </w:rPr>
            </w:pPr>
            <w:r>
              <w:rPr>
                <w:rFonts w:cs="Times New Roman"/>
                <w:color w:val="000000"/>
                <w:szCs w:val="28"/>
              </w:rPr>
              <w:t xml:space="preserve">Projekts šo jomu neskar. </w:t>
            </w:r>
          </w:p>
          <w:p w:rsidR="004567CC" w:rsidRPr="00F5155B" w:rsidRDefault="004567CC" w:rsidP="004567CC">
            <w:pPr>
              <w:jc w:val="both"/>
              <w:rPr>
                <w:rFonts w:eastAsia="Times New Roman" w:cs="Times New Roman"/>
                <w:szCs w:val="28"/>
                <w:lang w:eastAsia="lv-LV"/>
              </w:rPr>
            </w:pP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5.</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Administratīvās procedūras raksturojums</w:t>
            </w:r>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jc w:val="both"/>
              <w:rPr>
                <w:rFonts w:eastAsia="Times New Roman" w:cs="Times New Roman"/>
                <w:szCs w:val="28"/>
                <w:u w:val="single"/>
                <w:lang w:eastAsia="lv-LV"/>
              </w:rPr>
            </w:pPr>
            <w:r w:rsidRPr="00F5155B">
              <w:rPr>
                <w:rFonts w:eastAsia="Times New Roman" w:cs="Times New Roman"/>
                <w:szCs w:val="28"/>
                <w:lang w:eastAsia="lv-LV"/>
              </w:rPr>
              <w:t>Projekts šo jomu neskar.</w:t>
            </w: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6.</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Administratīvo izmaksu monetārs novērtējums</w:t>
            </w:r>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Projekts šo jomu neskar.</w:t>
            </w: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7.</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Cita informācija</w:t>
            </w:r>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jc w:val="both"/>
              <w:rPr>
                <w:rFonts w:eastAsia="Times New Roman" w:cs="Times New Roman"/>
                <w:szCs w:val="28"/>
                <w:lang w:eastAsia="lv-LV"/>
              </w:rPr>
            </w:pPr>
            <w:r w:rsidRPr="00F5155B">
              <w:rPr>
                <w:rFonts w:eastAsia="Times New Roman" w:cs="Times New Roman"/>
                <w:szCs w:val="28"/>
                <w:lang w:eastAsia="lv-LV"/>
              </w:rPr>
              <w:t>Projekts šo jomu neskar.</w:t>
            </w:r>
          </w:p>
        </w:tc>
      </w:tr>
    </w:tbl>
    <w:p w:rsidR="004567CC" w:rsidRPr="00F5155B" w:rsidRDefault="004567CC" w:rsidP="004567CC">
      <w:pPr>
        <w:rPr>
          <w:rFonts w:eastAsia="Times New Roman" w:cs="Times New Roman"/>
          <w:szCs w:val="28"/>
          <w:lang w:eastAsia="lv-LV"/>
        </w:rPr>
      </w:pPr>
    </w:p>
    <w:tbl>
      <w:tblPr>
        <w:tblpPr w:leftFromText="180" w:rightFromText="180" w:vertAnchor="text" w:tblpX="60" w:tblpY="1"/>
        <w:tblOverlap w:val="neve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01"/>
        <w:gridCol w:w="1702"/>
        <w:gridCol w:w="2430"/>
        <w:gridCol w:w="1360"/>
        <w:gridCol w:w="1360"/>
        <w:gridCol w:w="1360"/>
      </w:tblGrid>
      <w:tr w:rsidR="00E045D9" w:rsidRPr="00E045D9" w:rsidTr="00724568">
        <w:tc>
          <w:tcPr>
            <w:tcW w:w="5000" w:type="pct"/>
            <w:gridSpan w:val="6"/>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III. Tiesību akta projekta ietekme uz valsts budžetu un pašvaldību budžetiem</w:t>
            </w:r>
          </w:p>
        </w:tc>
      </w:tr>
      <w:tr w:rsidR="00BB00C4" w:rsidRPr="00E045D9" w:rsidTr="00724568">
        <w:tc>
          <w:tcPr>
            <w:tcW w:w="979" w:type="pct"/>
            <w:vMerge w:val="restart"/>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2013.</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Turpmākie trīs gadi (</w:t>
            </w:r>
            <w:proofErr w:type="spellStart"/>
            <w:r w:rsidRPr="00E045D9">
              <w:rPr>
                <w:rFonts w:eastAsia="Times New Roman" w:cs="Times New Roman"/>
                <w:szCs w:val="28"/>
                <w:lang w:eastAsia="lv-LV"/>
              </w:rPr>
              <w:t>tūkst</w:t>
            </w:r>
            <w:proofErr w:type="spellEnd"/>
            <w:r w:rsidRPr="00E045D9">
              <w:rPr>
                <w:rFonts w:eastAsia="Times New Roman" w:cs="Times New Roman"/>
                <w:szCs w:val="28"/>
                <w:lang w:eastAsia="lv-LV"/>
              </w:rPr>
              <w:t>. latu)</w:t>
            </w:r>
          </w:p>
        </w:tc>
      </w:tr>
      <w:tr w:rsidR="00F5155B" w:rsidRPr="00F5155B" w:rsidTr="00724568">
        <w:tc>
          <w:tcPr>
            <w:tcW w:w="979" w:type="pct"/>
            <w:vMerge/>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rPr>
                <w:rFonts w:eastAsia="Times New Roman" w:cs="Times New Roman"/>
                <w:b/>
                <w:bCs/>
                <w:szCs w:val="28"/>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rPr>
                <w:rFonts w:eastAsia="Times New Roman" w:cs="Times New Roman"/>
                <w:b/>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2016.</w:t>
            </w:r>
          </w:p>
        </w:tc>
      </w:tr>
      <w:tr w:rsidR="00F5155B" w:rsidRPr="00F5155B" w:rsidTr="00724568">
        <w:tc>
          <w:tcPr>
            <w:tcW w:w="979" w:type="pct"/>
            <w:vMerge/>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rPr>
                <w:rFonts w:eastAsia="Times New Roman" w:cs="Times New Roman"/>
                <w:b/>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Izmaiņas, salīdzinot ar 2013.gadu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Izmaiņas, salīdzinot ar 2013.gadu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Izmaiņas, salīdzinot ar 2013.gadu</w:t>
            </w: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6</w:t>
            </w: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1. Budžeta ieņēmumi:</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2E336A" w:rsidP="00724568">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E045D9" w:rsidRDefault="00F5155B" w:rsidP="00724568">
            <w:pPr>
              <w:jc w:val="center"/>
              <w:rPr>
                <w:rFonts w:eastAsia="Times New Roman" w:cs="Times New Roman"/>
                <w:szCs w:val="28"/>
                <w:lang w:eastAsia="lv-LV"/>
              </w:rPr>
            </w:pPr>
            <w:r w:rsidRPr="00F5155B">
              <w:rPr>
                <w:rFonts w:eastAsia="Times New Roman" w:cs="Times New Roman"/>
                <w:szCs w:val="28"/>
                <w:lang w:eastAsia="lv-LV"/>
              </w:rPr>
              <w:t>Nav precīzi aprēķināms</w:t>
            </w:r>
            <w:r w:rsidR="00BB00C4">
              <w:rPr>
                <w:rFonts w:eastAsia="Times New Roman" w:cs="Times New Roman"/>
                <w:szCs w:val="28"/>
                <w:lang w:eastAsia="lv-LV"/>
              </w:rPr>
              <w:t xml:space="preserve"> </w:t>
            </w:r>
          </w:p>
          <w:p w:rsidR="00BB00C4" w:rsidRPr="00F5155B" w:rsidRDefault="00BB00C4"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BB00C4" w:rsidRDefault="00F5155B" w:rsidP="00724568">
            <w:pPr>
              <w:jc w:val="center"/>
              <w:rPr>
                <w:rFonts w:eastAsia="Times New Roman" w:cs="Times New Roman"/>
                <w:szCs w:val="28"/>
                <w:lang w:eastAsia="lv-LV"/>
              </w:rPr>
            </w:pPr>
            <w:r w:rsidRPr="00F5155B">
              <w:rPr>
                <w:rFonts w:eastAsia="Times New Roman" w:cs="Times New Roman"/>
                <w:szCs w:val="28"/>
                <w:lang w:eastAsia="lv-LV"/>
              </w:rPr>
              <w:t>Nav precīzi aprēķināms</w:t>
            </w:r>
          </w:p>
          <w:p w:rsidR="00E045D9" w:rsidRPr="00BB00C4"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BB00C4" w:rsidRDefault="00F5155B" w:rsidP="00724568">
            <w:pPr>
              <w:jc w:val="center"/>
              <w:rPr>
                <w:rFonts w:eastAsia="Times New Roman" w:cs="Times New Roman"/>
                <w:szCs w:val="28"/>
                <w:lang w:eastAsia="lv-LV"/>
              </w:rPr>
            </w:pPr>
            <w:r w:rsidRPr="00F5155B">
              <w:rPr>
                <w:rFonts w:eastAsia="Times New Roman" w:cs="Times New Roman"/>
                <w:szCs w:val="28"/>
                <w:lang w:eastAsia="lv-LV"/>
              </w:rPr>
              <w:t>Nav precīzi aprēķināms</w:t>
            </w:r>
          </w:p>
          <w:p w:rsidR="00E045D9" w:rsidRPr="00BB00C4" w:rsidRDefault="00E045D9" w:rsidP="00724568">
            <w:pPr>
              <w:jc w:val="center"/>
              <w:rPr>
                <w:rFonts w:eastAsia="Times New Roman" w:cs="Times New Roman"/>
                <w:szCs w:val="28"/>
                <w:lang w:eastAsia="lv-LV"/>
              </w:rPr>
            </w:pPr>
          </w:p>
        </w:tc>
      </w:tr>
      <w:tr w:rsidR="002E336A" w:rsidRPr="00F5155B" w:rsidTr="00724568">
        <w:trPr>
          <w:trHeight w:val="1138"/>
        </w:trPr>
        <w:tc>
          <w:tcPr>
            <w:tcW w:w="979" w:type="pct"/>
            <w:tcBorders>
              <w:top w:val="outset" w:sz="6" w:space="0" w:color="000000"/>
              <w:left w:val="outset" w:sz="6" w:space="0" w:color="000000"/>
              <w:bottom w:val="outset" w:sz="6" w:space="0" w:color="000000"/>
              <w:right w:val="outset" w:sz="6" w:space="0" w:color="000000"/>
            </w:tcBorders>
            <w:hideMark/>
          </w:tcPr>
          <w:p w:rsidR="002E336A" w:rsidRPr="00E045D9" w:rsidRDefault="002E336A" w:rsidP="00724568">
            <w:pPr>
              <w:rPr>
                <w:rFonts w:eastAsia="Times New Roman" w:cs="Times New Roman"/>
                <w:szCs w:val="28"/>
                <w:lang w:eastAsia="lv-LV"/>
              </w:rPr>
            </w:pPr>
            <w:r w:rsidRPr="00E045D9">
              <w:rPr>
                <w:rFonts w:eastAsia="Times New Roman" w:cs="Times New Roman"/>
                <w:szCs w:val="28"/>
                <w:lang w:eastAsia="lv-LV"/>
              </w:rPr>
              <w:lastRenderedPageBreak/>
              <w:t>1.1. valsts pamatbudžets, tai skaitā ieņēmumi no maksas pakalpojumiem un citi pašu ieņēmumi</w:t>
            </w:r>
          </w:p>
        </w:tc>
        <w:tc>
          <w:tcPr>
            <w:tcW w:w="0" w:type="auto"/>
            <w:tcBorders>
              <w:top w:val="outset" w:sz="6" w:space="0" w:color="000000"/>
              <w:left w:val="outset" w:sz="6" w:space="0" w:color="000000"/>
              <w:bottom w:val="outset" w:sz="6" w:space="0" w:color="000000"/>
              <w:right w:val="outset" w:sz="6" w:space="0" w:color="000000"/>
            </w:tcBorders>
          </w:tcPr>
          <w:p w:rsidR="002E336A" w:rsidRPr="00E045D9" w:rsidRDefault="002E336A" w:rsidP="00724568">
            <w:pPr>
              <w:jc w:val="center"/>
              <w:rPr>
                <w:rFonts w:eastAsia="Times New Roman" w:cs="Times New Roman"/>
                <w:szCs w:val="28"/>
                <w:lang w:eastAsia="lv-LV"/>
              </w:rPr>
            </w:pPr>
            <w:r>
              <w:rPr>
                <w:rFonts w:eastAsia="Times New Roman" w:cs="Times New Roman"/>
                <w:szCs w:val="28"/>
                <w:lang w:eastAsia="lv-LV"/>
              </w:rPr>
              <w:t>40 000</w:t>
            </w:r>
          </w:p>
        </w:tc>
        <w:tc>
          <w:tcPr>
            <w:tcW w:w="0" w:type="auto"/>
            <w:tcBorders>
              <w:top w:val="outset" w:sz="6" w:space="0" w:color="000000"/>
              <w:left w:val="outset" w:sz="6" w:space="0" w:color="000000"/>
              <w:bottom w:val="outset" w:sz="6" w:space="0" w:color="000000"/>
              <w:right w:val="outset" w:sz="6" w:space="0" w:color="000000"/>
            </w:tcBorders>
          </w:tcPr>
          <w:p w:rsidR="002E336A" w:rsidRPr="00E045D9" w:rsidRDefault="002E336A" w:rsidP="00724568">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2E336A" w:rsidRPr="002A009F" w:rsidRDefault="002E336A" w:rsidP="00724568">
            <w:pPr>
              <w:jc w:val="center"/>
              <w:rPr>
                <w:rFonts w:eastAsia="Times New Roman" w:cs="Times New Roman"/>
                <w:szCs w:val="28"/>
                <w:lang w:eastAsia="lv-LV"/>
              </w:rPr>
            </w:pPr>
            <w:r w:rsidRPr="002A009F">
              <w:rPr>
                <w:rFonts w:eastAsia="Times New Roman" w:cs="Times New Roman"/>
                <w:szCs w:val="28"/>
                <w:lang w:eastAsia="lv-LV"/>
              </w:rPr>
              <w:t>~</w:t>
            </w:r>
            <w:r>
              <w:rPr>
                <w:rFonts w:eastAsia="Times New Roman" w:cs="Times New Roman"/>
                <w:szCs w:val="28"/>
                <w:lang w:eastAsia="lv-LV"/>
              </w:rPr>
              <w:t xml:space="preserve"> -0,0040</w:t>
            </w:r>
          </w:p>
        </w:tc>
        <w:tc>
          <w:tcPr>
            <w:tcW w:w="0" w:type="auto"/>
            <w:tcBorders>
              <w:top w:val="outset" w:sz="6" w:space="0" w:color="000000"/>
              <w:left w:val="outset" w:sz="6" w:space="0" w:color="000000"/>
              <w:bottom w:val="outset" w:sz="6" w:space="0" w:color="000000"/>
              <w:right w:val="outset" w:sz="6" w:space="0" w:color="000000"/>
            </w:tcBorders>
          </w:tcPr>
          <w:p w:rsidR="002E336A" w:rsidRPr="002A009F" w:rsidRDefault="002E336A" w:rsidP="00724568">
            <w:pPr>
              <w:jc w:val="center"/>
              <w:rPr>
                <w:rFonts w:eastAsia="Times New Roman" w:cs="Times New Roman"/>
                <w:szCs w:val="28"/>
                <w:lang w:eastAsia="lv-LV"/>
              </w:rPr>
            </w:pPr>
            <w:r w:rsidRPr="002A009F">
              <w:rPr>
                <w:rFonts w:eastAsia="Times New Roman" w:cs="Times New Roman"/>
                <w:szCs w:val="28"/>
                <w:lang w:eastAsia="lv-LV"/>
              </w:rPr>
              <w:t>~</w:t>
            </w:r>
            <w:r>
              <w:rPr>
                <w:rFonts w:eastAsia="Times New Roman" w:cs="Times New Roman"/>
                <w:szCs w:val="28"/>
                <w:lang w:eastAsia="lv-LV"/>
              </w:rPr>
              <w:t xml:space="preserve"> -0,0040</w:t>
            </w:r>
          </w:p>
        </w:tc>
        <w:tc>
          <w:tcPr>
            <w:tcW w:w="0" w:type="auto"/>
            <w:tcBorders>
              <w:top w:val="outset" w:sz="6" w:space="0" w:color="000000"/>
              <w:left w:val="outset" w:sz="6" w:space="0" w:color="000000"/>
              <w:bottom w:val="outset" w:sz="6" w:space="0" w:color="000000"/>
              <w:right w:val="outset" w:sz="6" w:space="0" w:color="000000"/>
            </w:tcBorders>
          </w:tcPr>
          <w:p w:rsidR="002E336A" w:rsidRPr="002A009F" w:rsidRDefault="002E336A" w:rsidP="00724568">
            <w:pPr>
              <w:jc w:val="center"/>
              <w:rPr>
                <w:rFonts w:eastAsia="Times New Roman" w:cs="Times New Roman"/>
                <w:szCs w:val="28"/>
                <w:lang w:eastAsia="lv-LV"/>
              </w:rPr>
            </w:pPr>
            <w:r w:rsidRPr="002A009F">
              <w:rPr>
                <w:rFonts w:eastAsia="Times New Roman" w:cs="Times New Roman"/>
                <w:szCs w:val="28"/>
                <w:lang w:eastAsia="lv-LV"/>
              </w:rPr>
              <w:t>~ -0,</w:t>
            </w:r>
            <w:r>
              <w:rPr>
                <w:rFonts w:eastAsia="Times New Roman" w:cs="Times New Roman"/>
                <w:szCs w:val="28"/>
                <w:lang w:eastAsia="lv-LV"/>
              </w:rPr>
              <w:t>028</w:t>
            </w: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1.3. pašvaldību 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2. Budžeta izdevumi:</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2.1. valsts pamatbudžets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2.2. valsts speciālais 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2.3. pašvaldību 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r>
      <w:tr w:rsidR="00F5155B" w:rsidRPr="00F5155B" w:rsidTr="00724568">
        <w:trPr>
          <w:trHeight w:val="363"/>
        </w:trPr>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3. Finansiālā ietekme:</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BB00C4" w:rsidRDefault="00BB00C4" w:rsidP="00724568">
            <w:pPr>
              <w:jc w:val="center"/>
              <w:rPr>
                <w:rFonts w:eastAsia="Times New Roman" w:cs="Times New Roman"/>
                <w:szCs w:val="28"/>
                <w:lang w:eastAsia="lv-LV"/>
              </w:rPr>
            </w:pPr>
            <w:r w:rsidRPr="00F5155B">
              <w:rPr>
                <w:rFonts w:eastAsia="Times New Roman" w:cs="Times New Roman"/>
                <w:szCs w:val="28"/>
                <w:lang w:eastAsia="lv-LV"/>
              </w:rPr>
              <w:t>Nav precīzi aprēķināms</w:t>
            </w:r>
            <w:r>
              <w:rPr>
                <w:rFonts w:eastAsia="Times New Roman" w:cs="Times New Roman"/>
                <w:szCs w:val="28"/>
                <w:lang w:eastAsia="lv-LV"/>
              </w:rPr>
              <w:t xml:space="preserve"> </w:t>
            </w:r>
          </w:p>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BB00C4" w:rsidRDefault="00BB00C4" w:rsidP="00724568">
            <w:pPr>
              <w:jc w:val="center"/>
              <w:rPr>
                <w:rFonts w:eastAsia="Times New Roman" w:cs="Times New Roman"/>
                <w:szCs w:val="28"/>
                <w:lang w:eastAsia="lv-LV"/>
              </w:rPr>
            </w:pPr>
            <w:r w:rsidRPr="00F5155B">
              <w:rPr>
                <w:rFonts w:eastAsia="Times New Roman" w:cs="Times New Roman"/>
                <w:szCs w:val="28"/>
                <w:lang w:eastAsia="lv-LV"/>
              </w:rPr>
              <w:t>Nav precīzi aprēķināms</w:t>
            </w:r>
            <w:r>
              <w:rPr>
                <w:rFonts w:eastAsia="Times New Roman" w:cs="Times New Roman"/>
                <w:szCs w:val="28"/>
                <w:lang w:eastAsia="lv-LV"/>
              </w:rPr>
              <w:t xml:space="preserve"> </w:t>
            </w:r>
          </w:p>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BB00C4" w:rsidRDefault="00BB00C4" w:rsidP="00724568">
            <w:pPr>
              <w:jc w:val="center"/>
              <w:rPr>
                <w:rFonts w:eastAsia="Times New Roman" w:cs="Times New Roman"/>
                <w:szCs w:val="28"/>
                <w:lang w:eastAsia="lv-LV"/>
              </w:rPr>
            </w:pPr>
            <w:r w:rsidRPr="00F5155B">
              <w:rPr>
                <w:rFonts w:eastAsia="Times New Roman" w:cs="Times New Roman"/>
                <w:szCs w:val="28"/>
                <w:lang w:eastAsia="lv-LV"/>
              </w:rPr>
              <w:t>Nav precīzi aprēķināms</w:t>
            </w:r>
            <w:r>
              <w:rPr>
                <w:rFonts w:eastAsia="Times New Roman" w:cs="Times New Roman"/>
                <w:szCs w:val="28"/>
                <w:lang w:eastAsia="lv-LV"/>
              </w:rPr>
              <w:t xml:space="preserve"> </w:t>
            </w:r>
          </w:p>
          <w:p w:rsidR="00E045D9" w:rsidRPr="00E045D9" w:rsidRDefault="00E045D9" w:rsidP="00724568">
            <w:pPr>
              <w:jc w:val="center"/>
              <w:rPr>
                <w:rFonts w:eastAsia="Times New Roman" w:cs="Times New Roman"/>
                <w:szCs w:val="28"/>
                <w:lang w:eastAsia="lv-LV"/>
              </w:rPr>
            </w:pPr>
          </w:p>
        </w:tc>
      </w:tr>
      <w:tr w:rsidR="00ED58D5" w:rsidRPr="00F5155B" w:rsidTr="00724568">
        <w:tc>
          <w:tcPr>
            <w:tcW w:w="979" w:type="pct"/>
            <w:tcBorders>
              <w:top w:val="outset" w:sz="6" w:space="0" w:color="000000"/>
              <w:left w:val="outset" w:sz="6" w:space="0" w:color="000000"/>
              <w:bottom w:val="single" w:sz="4" w:space="0" w:color="auto"/>
              <w:right w:val="outset" w:sz="6" w:space="0" w:color="000000"/>
            </w:tcBorders>
            <w:hideMark/>
          </w:tcPr>
          <w:p w:rsidR="00ED58D5" w:rsidRPr="00E045D9" w:rsidRDefault="00ED58D5" w:rsidP="00724568">
            <w:pPr>
              <w:rPr>
                <w:rFonts w:eastAsia="Times New Roman" w:cs="Times New Roman"/>
                <w:szCs w:val="28"/>
                <w:lang w:eastAsia="lv-LV"/>
              </w:rPr>
            </w:pPr>
            <w:r w:rsidRPr="00E045D9">
              <w:rPr>
                <w:rFonts w:eastAsia="Times New Roman" w:cs="Times New Roman"/>
                <w:szCs w:val="28"/>
                <w:lang w:eastAsia="lv-LV"/>
              </w:rPr>
              <w:t>3.1. valsts pamatbudžets</w:t>
            </w:r>
          </w:p>
        </w:tc>
        <w:tc>
          <w:tcPr>
            <w:tcW w:w="0" w:type="auto"/>
            <w:tcBorders>
              <w:top w:val="outset" w:sz="6" w:space="0" w:color="000000"/>
              <w:left w:val="outset" w:sz="6" w:space="0" w:color="000000"/>
              <w:bottom w:val="single" w:sz="4" w:space="0" w:color="auto"/>
              <w:right w:val="outset" w:sz="6" w:space="0" w:color="000000"/>
            </w:tcBorders>
          </w:tcPr>
          <w:p w:rsidR="00ED58D5" w:rsidRPr="00E045D9" w:rsidRDefault="002E336A" w:rsidP="00724568">
            <w:pPr>
              <w:jc w:val="center"/>
              <w:rPr>
                <w:rFonts w:eastAsia="Times New Roman" w:cs="Times New Roman"/>
                <w:szCs w:val="28"/>
                <w:lang w:eastAsia="lv-LV"/>
              </w:rPr>
            </w:pPr>
            <w:r>
              <w:rPr>
                <w:rFonts w:eastAsia="Times New Roman" w:cs="Times New Roman"/>
                <w:szCs w:val="28"/>
                <w:lang w:eastAsia="lv-LV"/>
              </w:rPr>
              <w:t>40 000</w:t>
            </w:r>
          </w:p>
        </w:tc>
        <w:tc>
          <w:tcPr>
            <w:tcW w:w="0" w:type="auto"/>
            <w:tcBorders>
              <w:top w:val="outset" w:sz="6" w:space="0" w:color="000000"/>
              <w:left w:val="outset" w:sz="6" w:space="0" w:color="000000"/>
              <w:bottom w:val="single" w:sz="4" w:space="0" w:color="auto"/>
              <w:right w:val="outset" w:sz="6" w:space="0" w:color="000000"/>
            </w:tcBorders>
          </w:tcPr>
          <w:p w:rsidR="00ED58D5" w:rsidRPr="00E045D9" w:rsidRDefault="00ED58D5" w:rsidP="00724568">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single" w:sz="4" w:space="0" w:color="auto"/>
              <w:right w:val="outset" w:sz="6" w:space="0" w:color="000000"/>
            </w:tcBorders>
          </w:tcPr>
          <w:p w:rsidR="00ED58D5" w:rsidRPr="002A009F" w:rsidRDefault="00ED58D5" w:rsidP="00724568">
            <w:pPr>
              <w:jc w:val="center"/>
              <w:rPr>
                <w:rFonts w:eastAsia="Times New Roman" w:cs="Times New Roman"/>
                <w:szCs w:val="28"/>
                <w:lang w:eastAsia="lv-LV"/>
              </w:rPr>
            </w:pPr>
            <w:r w:rsidRPr="002A009F">
              <w:rPr>
                <w:rFonts w:eastAsia="Times New Roman" w:cs="Times New Roman"/>
                <w:szCs w:val="28"/>
                <w:lang w:eastAsia="lv-LV"/>
              </w:rPr>
              <w:t>~</w:t>
            </w:r>
            <w:r>
              <w:rPr>
                <w:rFonts w:eastAsia="Times New Roman" w:cs="Times New Roman"/>
                <w:szCs w:val="28"/>
                <w:lang w:eastAsia="lv-LV"/>
              </w:rPr>
              <w:t xml:space="preserve"> -0,00</w:t>
            </w:r>
            <w:r w:rsidR="002E336A">
              <w:rPr>
                <w:rFonts w:eastAsia="Times New Roman" w:cs="Times New Roman"/>
                <w:szCs w:val="28"/>
                <w:lang w:eastAsia="lv-LV"/>
              </w:rPr>
              <w:t>40</w:t>
            </w:r>
          </w:p>
        </w:tc>
        <w:tc>
          <w:tcPr>
            <w:tcW w:w="0" w:type="auto"/>
            <w:tcBorders>
              <w:top w:val="outset" w:sz="6" w:space="0" w:color="000000"/>
              <w:left w:val="outset" w:sz="6" w:space="0" w:color="000000"/>
              <w:bottom w:val="single" w:sz="4" w:space="0" w:color="auto"/>
              <w:right w:val="outset" w:sz="6" w:space="0" w:color="000000"/>
            </w:tcBorders>
          </w:tcPr>
          <w:p w:rsidR="00ED58D5" w:rsidRPr="002A009F" w:rsidRDefault="00ED58D5" w:rsidP="00724568">
            <w:pPr>
              <w:jc w:val="center"/>
              <w:rPr>
                <w:rFonts w:eastAsia="Times New Roman" w:cs="Times New Roman"/>
                <w:szCs w:val="28"/>
                <w:lang w:eastAsia="lv-LV"/>
              </w:rPr>
            </w:pPr>
            <w:r w:rsidRPr="002A009F">
              <w:rPr>
                <w:rFonts w:eastAsia="Times New Roman" w:cs="Times New Roman"/>
                <w:szCs w:val="28"/>
                <w:lang w:eastAsia="lv-LV"/>
              </w:rPr>
              <w:t>~</w:t>
            </w:r>
            <w:r>
              <w:rPr>
                <w:rFonts w:eastAsia="Times New Roman" w:cs="Times New Roman"/>
                <w:szCs w:val="28"/>
                <w:lang w:eastAsia="lv-LV"/>
              </w:rPr>
              <w:t xml:space="preserve"> -0,00</w:t>
            </w:r>
            <w:r w:rsidR="002E336A">
              <w:rPr>
                <w:rFonts w:eastAsia="Times New Roman" w:cs="Times New Roman"/>
                <w:szCs w:val="28"/>
                <w:lang w:eastAsia="lv-LV"/>
              </w:rPr>
              <w:t>40</w:t>
            </w:r>
          </w:p>
        </w:tc>
        <w:tc>
          <w:tcPr>
            <w:tcW w:w="0" w:type="auto"/>
            <w:tcBorders>
              <w:top w:val="outset" w:sz="6" w:space="0" w:color="000000"/>
              <w:left w:val="outset" w:sz="6" w:space="0" w:color="000000"/>
              <w:bottom w:val="single" w:sz="4" w:space="0" w:color="auto"/>
              <w:right w:val="outset" w:sz="6" w:space="0" w:color="000000"/>
            </w:tcBorders>
          </w:tcPr>
          <w:p w:rsidR="00ED58D5" w:rsidRPr="002A009F" w:rsidRDefault="00ED58D5" w:rsidP="00724568">
            <w:pPr>
              <w:jc w:val="center"/>
              <w:rPr>
                <w:rFonts w:eastAsia="Times New Roman" w:cs="Times New Roman"/>
                <w:szCs w:val="28"/>
                <w:lang w:eastAsia="lv-LV"/>
              </w:rPr>
            </w:pPr>
            <w:r w:rsidRPr="002A009F">
              <w:rPr>
                <w:rFonts w:eastAsia="Times New Roman" w:cs="Times New Roman"/>
                <w:szCs w:val="28"/>
                <w:lang w:eastAsia="lv-LV"/>
              </w:rPr>
              <w:t>~ -0,</w:t>
            </w:r>
            <w:r w:rsidR="002E336A">
              <w:rPr>
                <w:rFonts w:eastAsia="Times New Roman" w:cs="Times New Roman"/>
                <w:szCs w:val="28"/>
                <w:lang w:eastAsia="lv-LV"/>
              </w:rPr>
              <w:t>028</w:t>
            </w:r>
          </w:p>
        </w:tc>
      </w:tr>
      <w:tr w:rsidR="00F5155B" w:rsidRPr="00F5155B" w:rsidTr="00724568">
        <w:tc>
          <w:tcPr>
            <w:tcW w:w="979" w:type="pct"/>
            <w:tcBorders>
              <w:top w:val="single" w:sz="4" w:space="0" w:color="auto"/>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3.2. speciālais budžets</w:t>
            </w: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3.3. pašvaldību 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4. Finanšu līdzekļi papildu izdevumu finansēšanai</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Calibri" w:cs="Times New Roman"/>
                <w:szCs w:val="28"/>
              </w:rPr>
            </w:pPr>
            <w:r w:rsidRPr="00E045D9">
              <w:rPr>
                <w:rFonts w:eastAsia="Calibri" w:cs="Times New Roman"/>
                <w:szCs w:val="28"/>
              </w:rPr>
              <w:t>0</w:t>
            </w: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5. Precizēta finansiālā ietekme:</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r w:rsidRPr="00E045D9">
              <w:rPr>
                <w:rFonts w:eastAsia="Times New Roman" w:cs="Times New Roman"/>
                <w:szCs w:val="28"/>
                <w:lang w:eastAsia="lv-LV"/>
              </w:rPr>
              <w:t>0</w:t>
            </w: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5.1.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E045D9" w:rsidRPr="00E045D9" w:rsidRDefault="00E045D9" w:rsidP="00724568">
            <w:pP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5.2. speciālais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E045D9" w:rsidRPr="00E045D9" w:rsidRDefault="00E045D9" w:rsidP="00724568">
            <w:pP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r>
      <w:tr w:rsidR="00F5155B" w:rsidRPr="00F5155B"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5.3.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E045D9" w:rsidRPr="00E045D9" w:rsidRDefault="00E045D9" w:rsidP="00724568">
            <w:pP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724568">
            <w:pPr>
              <w:jc w:val="center"/>
              <w:rPr>
                <w:rFonts w:eastAsia="Times New Roman" w:cs="Times New Roman"/>
                <w:szCs w:val="28"/>
                <w:lang w:eastAsia="lv-LV"/>
              </w:rPr>
            </w:pPr>
          </w:p>
        </w:tc>
      </w:tr>
      <w:tr w:rsidR="00E045D9" w:rsidRPr="00E045D9"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lastRenderedPageBreak/>
              <w:t>6. Detalizēts ieņēmumu un izdevu</w:t>
            </w:r>
            <w:r w:rsidRPr="00E045D9">
              <w:rPr>
                <w:rFonts w:eastAsia="Times New Roman" w:cs="Times New Roman"/>
                <w:szCs w:val="28"/>
                <w:lang w:eastAsia="lv-LV"/>
              </w:rPr>
              <w:softHyphen/>
              <w:t>mu aprēķins:</w:t>
            </w:r>
          </w:p>
        </w:tc>
        <w:tc>
          <w:tcPr>
            <w:tcW w:w="0" w:type="auto"/>
            <w:gridSpan w:val="5"/>
            <w:vMerge w:val="restart"/>
            <w:tcBorders>
              <w:top w:val="outset" w:sz="6" w:space="0" w:color="000000"/>
              <w:left w:val="outset" w:sz="6" w:space="0" w:color="000000"/>
              <w:bottom w:val="outset" w:sz="6" w:space="0" w:color="000000"/>
              <w:right w:val="outset" w:sz="6" w:space="0" w:color="000000"/>
            </w:tcBorders>
            <w:hideMark/>
          </w:tcPr>
          <w:p w:rsidR="00E045D9" w:rsidRDefault="00FD1371" w:rsidP="00724568">
            <w:pPr>
              <w:rPr>
                <w:rFonts w:eastAsia="Calibri" w:cs="Times New Roman"/>
                <w:szCs w:val="28"/>
              </w:rPr>
            </w:pPr>
            <w:r>
              <w:rPr>
                <w:rFonts w:eastAsia="Calibri" w:cs="Times New Roman"/>
                <w:szCs w:val="28"/>
              </w:rPr>
              <w:t xml:space="preserve">Ietekme uz budžetu aprēķināta, pieņemot, ka 2013.gadā licences izsniedza </w:t>
            </w:r>
            <w:r w:rsidR="00C87B3A">
              <w:rPr>
                <w:rFonts w:eastAsia="Calibri" w:cs="Times New Roman"/>
                <w:szCs w:val="28"/>
              </w:rPr>
              <w:t>16</w:t>
            </w:r>
            <w:r>
              <w:rPr>
                <w:rFonts w:eastAsia="Calibri" w:cs="Times New Roman"/>
                <w:szCs w:val="28"/>
              </w:rPr>
              <w:t xml:space="preserve"> parāda atgūšanas pakalpojuma sniedzējiem</w:t>
            </w:r>
            <w:r w:rsidR="002E336A">
              <w:rPr>
                <w:rFonts w:eastAsia="Calibri" w:cs="Times New Roman"/>
                <w:szCs w:val="28"/>
              </w:rPr>
              <w:t xml:space="preserve"> (16  x 2500 LVL = </w:t>
            </w:r>
            <w:r w:rsidR="002E336A" w:rsidRPr="002E336A">
              <w:rPr>
                <w:rFonts w:eastAsia="Calibri" w:cs="Times New Roman"/>
                <w:b/>
                <w:szCs w:val="28"/>
              </w:rPr>
              <w:t>40 000 LVL</w:t>
            </w:r>
            <w:r w:rsidR="002E336A">
              <w:rPr>
                <w:rFonts w:eastAsia="Calibri" w:cs="Times New Roman"/>
                <w:szCs w:val="28"/>
              </w:rPr>
              <w:t>)</w:t>
            </w:r>
            <w:r>
              <w:rPr>
                <w:rFonts w:eastAsia="Calibri" w:cs="Times New Roman"/>
                <w:szCs w:val="28"/>
              </w:rPr>
              <w:t xml:space="preserve"> un ka katru nākamo gadu jauna licence tiek izsniegta 2 parāda atgūšanas pakalpojuma sniedzējiem, savukārt tiem, kuriem licences izsniegtas 2013.gadā, tās jāpārreģistrē 2016.gadā (licence tiek izsniegta uz 3 gadiem). </w:t>
            </w:r>
          </w:p>
          <w:p w:rsidR="00C4603F" w:rsidRDefault="00C4603F" w:rsidP="00724568">
            <w:pPr>
              <w:rPr>
                <w:rFonts w:eastAsia="Calibri" w:cs="Times New Roman"/>
                <w:szCs w:val="28"/>
              </w:rPr>
            </w:pPr>
            <w:r>
              <w:rPr>
                <w:rFonts w:eastAsia="Calibri" w:cs="Times New Roman"/>
                <w:szCs w:val="28"/>
              </w:rPr>
              <w:t>Ietekme uz valsts budžetu</w:t>
            </w:r>
            <w:r w:rsidR="002E336A">
              <w:rPr>
                <w:rFonts w:eastAsia="Calibri" w:cs="Times New Roman"/>
                <w:szCs w:val="28"/>
              </w:rPr>
              <w:t xml:space="preserve"> (</w:t>
            </w:r>
            <w:r w:rsidR="002E336A">
              <w:rPr>
                <w:rFonts w:eastAsia="Times New Roman" w:cs="Times New Roman"/>
                <w:szCs w:val="28"/>
                <w:lang w:eastAsia="lv-LV"/>
              </w:rPr>
              <w:t>i</w:t>
            </w:r>
            <w:r w:rsidR="002E336A" w:rsidRPr="00E045D9">
              <w:rPr>
                <w:rFonts w:eastAsia="Times New Roman" w:cs="Times New Roman"/>
                <w:szCs w:val="28"/>
                <w:lang w:eastAsia="lv-LV"/>
              </w:rPr>
              <w:t>zmaiņas, salīdzinot ar 2013.gadu</w:t>
            </w:r>
            <w:r w:rsidR="002E336A">
              <w:rPr>
                <w:rFonts w:eastAsia="Times New Roman" w:cs="Times New Roman"/>
                <w:szCs w:val="28"/>
                <w:lang w:eastAsia="lv-LV"/>
              </w:rPr>
              <w:t>)</w:t>
            </w:r>
            <w:r>
              <w:rPr>
                <w:rFonts w:eastAsia="Calibri" w:cs="Times New Roman"/>
                <w:szCs w:val="28"/>
              </w:rPr>
              <w:t>:</w:t>
            </w:r>
          </w:p>
          <w:p w:rsidR="00C4603F" w:rsidRPr="002E336A" w:rsidRDefault="00C4603F" w:rsidP="00724568">
            <w:pPr>
              <w:rPr>
                <w:rFonts w:eastAsia="Calibri" w:cs="Times New Roman"/>
                <w:szCs w:val="28"/>
              </w:rPr>
            </w:pPr>
            <w:r>
              <w:rPr>
                <w:rFonts w:eastAsia="Calibri" w:cs="Times New Roman"/>
                <w:szCs w:val="28"/>
              </w:rPr>
              <w:t xml:space="preserve">2014.gadā = 2 x </w:t>
            </w:r>
            <w:r w:rsidR="0054254B">
              <w:rPr>
                <w:rFonts w:eastAsia="Calibri" w:cs="Times New Roman"/>
                <w:szCs w:val="28"/>
              </w:rPr>
              <w:t>(-2.87)</w:t>
            </w:r>
            <w:r>
              <w:rPr>
                <w:rFonts w:eastAsia="Calibri" w:cs="Times New Roman"/>
                <w:szCs w:val="28"/>
              </w:rPr>
              <w:t xml:space="preserve"> = </w:t>
            </w:r>
            <w:r w:rsidR="0054254B">
              <w:rPr>
                <w:rFonts w:eastAsia="Calibri" w:cs="Times New Roman"/>
                <w:szCs w:val="28"/>
              </w:rPr>
              <w:t xml:space="preserve">-5.74 </w:t>
            </w:r>
            <w:proofErr w:type="spellStart"/>
            <w:r w:rsidRPr="00406E74">
              <w:rPr>
                <w:rFonts w:eastAsia="Calibri" w:cs="Times New Roman"/>
                <w:i/>
                <w:szCs w:val="28"/>
              </w:rPr>
              <w:t>euro</w:t>
            </w:r>
            <w:proofErr w:type="spellEnd"/>
            <w:r w:rsidR="002E336A">
              <w:rPr>
                <w:rFonts w:eastAsia="Calibri" w:cs="Times New Roman"/>
                <w:i/>
                <w:szCs w:val="28"/>
              </w:rPr>
              <w:t xml:space="preserve"> </w:t>
            </w:r>
            <w:r w:rsidR="002E336A">
              <w:rPr>
                <w:rFonts w:eastAsia="Calibri" w:cs="Times New Roman"/>
                <w:szCs w:val="28"/>
              </w:rPr>
              <w:t xml:space="preserve">jeb </w:t>
            </w:r>
            <w:r w:rsidR="002E336A" w:rsidRPr="002E336A">
              <w:rPr>
                <w:rFonts w:eastAsia="Calibri" w:cs="Times New Roman"/>
                <w:b/>
                <w:szCs w:val="28"/>
              </w:rPr>
              <w:t>-4,03 LVL</w:t>
            </w:r>
          </w:p>
          <w:p w:rsidR="00C4603F" w:rsidRDefault="00C4603F" w:rsidP="00724568">
            <w:pPr>
              <w:rPr>
                <w:rFonts w:eastAsia="Calibri" w:cs="Times New Roman"/>
                <w:i/>
                <w:szCs w:val="28"/>
              </w:rPr>
            </w:pPr>
            <w:r>
              <w:rPr>
                <w:rFonts w:eastAsia="Calibri" w:cs="Times New Roman"/>
                <w:szCs w:val="28"/>
              </w:rPr>
              <w:t xml:space="preserve">2015.gadā = 2 x </w:t>
            </w:r>
            <w:r w:rsidR="0054254B">
              <w:rPr>
                <w:rFonts w:eastAsia="Calibri" w:cs="Times New Roman"/>
                <w:szCs w:val="28"/>
              </w:rPr>
              <w:t xml:space="preserve">(-2.87) </w:t>
            </w:r>
            <w:r>
              <w:rPr>
                <w:rFonts w:eastAsia="Calibri" w:cs="Times New Roman"/>
                <w:szCs w:val="28"/>
              </w:rPr>
              <w:t xml:space="preserve">= </w:t>
            </w:r>
            <w:r w:rsidR="0054254B">
              <w:rPr>
                <w:rFonts w:eastAsia="Calibri" w:cs="Times New Roman"/>
                <w:szCs w:val="28"/>
              </w:rPr>
              <w:t xml:space="preserve">-5.74 </w:t>
            </w:r>
            <w:proofErr w:type="spellStart"/>
            <w:r w:rsidRPr="00406E74">
              <w:rPr>
                <w:rFonts w:eastAsia="Calibri" w:cs="Times New Roman"/>
                <w:i/>
                <w:szCs w:val="28"/>
              </w:rPr>
              <w:t>euro</w:t>
            </w:r>
            <w:proofErr w:type="spellEnd"/>
            <w:r w:rsidR="002E336A">
              <w:rPr>
                <w:rFonts w:eastAsia="Calibri" w:cs="Times New Roman"/>
                <w:szCs w:val="28"/>
              </w:rPr>
              <w:t xml:space="preserve"> jeb </w:t>
            </w:r>
            <w:r w:rsidR="002E336A" w:rsidRPr="002E336A">
              <w:rPr>
                <w:rFonts w:eastAsia="Calibri" w:cs="Times New Roman"/>
                <w:b/>
                <w:szCs w:val="28"/>
              </w:rPr>
              <w:t>-4,03 LVL</w:t>
            </w:r>
          </w:p>
          <w:p w:rsidR="00C4603F" w:rsidRDefault="00C4603F" w:rsidP="00724568">
            <w:pPr>
              <w:rPr>
                <w:rFonts w:eastAsia="Calibri" w:cs="Times New Roman"/>
                <w:i/>
                <w:szCs w:val="28"/>
              </w:rPr>
            </w:pPr>
            <w:r>
              <w:rPr>
                <w:rFonts w:eastAsia="Calibri" w:cs="Times New Roman"/>
                <w:szCs w:val="28"/>
              </w:rPr>
              <w:t xml:space="preserve">2014.gadā = (2 x </w:t>
            </w:r>
            <w:r w:rsidR="0054254B">
              <w:rPr>
                <w:rFonts w:eastAsia="Calibri" w:cs="Times New Roman"/>
                <w:szCs w:val="28"/>
              </w:rPr>
              <w:t>(-</w:t>
            </w:r>
            <w:r>
              <w:rPr>
                <w:rFonts w:eastAsia="Calibri" w:cs="Times New Roman"/>
                <w:szCs w:val="28"/>
              </w:rPr>
              <w:t>2</w:t>
            </w:r>
            <w:r w:rsidR="0054254B">
              <w:rPr>
                <w:rFonts w:eastAsia="Calibri" w:cs="Times New Roman"/>
                <w:szCs w:val="28"/>
              </w:rPr>
              <w:t>.87</w:t>
            </w:r>
            <w:r>
              <w:rPr>
                <w:rFonts w:eastAsia="Calibri" w:cs="Times New Roman"/>
                <w:szCs w:val="28"/>
              </w:rPr>
              <w:t>)</w:t>
            </w:r>
            <w:r w:rsidR="0054254B">
              <w:rPr>
                <w:rFonts w:eastAsia="Calibri" w:cs="Times New Roman"/>
                <w:szCs w:val="28"/>
              </w:rPr>
              <w:t>)</w:t>
            </w:r>
            <w:r>
              <w:rPr>
                <w:rFonts w:eastAsia="Calibri" w:cs="Times New Roman"/>
                <w:szCs w:val="28"/>
              </w:rPr>
              <w:t>+(</w:t>
            </w:r>
            <w:r w:rsidR="00C87B3A">
              <w:rPr>
                <w:rFonts w:eastAsia="Calibri" w:cs="Times New Roman"/>
                <w:szCs w:val="28"/>
              </w:rPr>
              <w:t>16</w:t>
            </w:r>
            <w:r>
              <w:rPr>
                <w:rFonts w:eastAsia="Calibri" w:cs="Times New Roman"/>
                <w:szCs w:val="28"/>
              </w:rPr>
              <w:t>* (-2</w:t>
            </w:r>
            <w:r w:rsidR="0054254B">
              <w:rPr>
                <w:rFonts w:eastAsia="Calibri" w:cs="Times New Roman"/>
                <w:szCs w:val="28"/>
              </w:rPr>
              <w:t>.17</w:t>
            </w:r>
            <w:r>
              <w:rPr>
                <w:rFonts w:eastAsia="Calibri" w:cs="Times New Roman"/>
                <w:szCs w:val="28"/>
              </w:rPr>
              <w:t>)</w:t>
            </w:r>
            <w:r w:rsidR="0054254B">
              <w:rPr>
                <w:rFonts w:eastAsia="Calibri" w:cs="Times New Roman"/>
                <w:szCs w:val="28"/>
              </w:rPr>
              <w:t>)</w:t>
            </w:r>
            <w:r>
              <w:rPr>
                <w:rFonts w:eastAsia="Calibri" w:cs="Times New Roman"/>
                <w:szCs w:val="28"/>
              </w:rPr>
              <w:t xml:space="preserve">= </w:t>
            </w:r>
            <w:r w:rsidR="00C87B3A">
              <w:rPr>
                <w:rFonts w:eastAsia="Calibri" w:cs="Times New Roman"/>
                <w:szCs w:val="28"/>
              </w:rPr>
              <w:t>-</w:t>
            </w:r>
            <w:r w:rsidR="002E336A">
              <w:rPr>
                <w:rFonts w:eastAsia="Calibri" w:cs="Times New Roman"/>
                <w:szCs w:val="28"/>
              </w:rPr>
              <w:t xml:space="preserve">40.46 </w:t>
            </w:r>
            <w:proofErr w:type="spellStart"/>
            <w:r w:rsidRPr="00406E74">
              <w:rPr>
                <w:rFonts w:eastAsia="Calibri" w:cs="Times New Roman"/>
                <w:i/>
                <w:szCs w:val="28"/>
              </w:rPr>
              <w:t>euro</w:t>
            </w:r>
            <w:proofErr w:type="spellEnd"/>
            <w:r w:rsidR="002E336A">
              <w:rPr>
                <w:rFonts w:eastAsia="Calibri" w:cs="Times New Roman"/>
                <w:szCs w:val="28"/>
              </w:rPr>
              <w:t xml:space="preserve"> jeb </w:t>
            </w:r>
            <w:r w:rsidR="002E336A" w:rsidRPr="002E336A">
              <w:rPr>
                <w:rFonts w:eastAsia="Calibri" w:cs="Times New Roman"/>
                <w:b/>
                <w:szCs w:val="28"/>
              </w:rPr>
              <w:t>-28.44 LVL</w:t>
            </w:r>
          </w:p>
          <w:p w:rsidR="00C4603F" w:rsidRPr="00E045D9" w:rsidRDefault="00C4603F" w:rsidP="00724568">
            <w:pPr>
              <w:rPr>
                <w:rFonts w:eastAsia="Calibri" w:cs="Times New Roman"/>
                <w:szCs w:val="28"/>
              </w:rPr>
            </w:pPr>
          </w:p>
        </w:tc>
      </w:tr>
      <w:tr w:rsidR="00E045D9" w:rsidRPr="00E045D9"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rPr>
                <w:rFonts w:eastAsia="Times New Roman" w:cs="Times New Roman"/>
                <w:szCs w:val="28"/>
                <w:lang w:eastAsia="lv-LV"/>
              </w:rPr>
            </w:pPr>
          </w:p>
        </w:tc>
      </w:tr>
      <w:tr w:rsidR="00E045D9" w:rsidRPr="00E045D9"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724568">
            <w:pPr>
              <w:rPr>
                <w:rFonts w:eastAsia="Times New Roman" w:cs="Times New Roman"/>
                <w:szCs w:val="28"/>
                <w:lang w:eastAsia="lv-LV"/>
              </w:rPr>
            </w:pPr>
          </w:p>
        </w:tc>
      </w:tr>
      <w:tr w:rsidR="00E045D9" w:rsidRPr="00E045D9" w:rsidTr="00724568">
        <w:tc>
          <w:tcPr>
            <w:tcW w:w="979"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724568">
            <w:pPr>
              <w:rPr>
                <w:rFonts w:eastAsia="Times New Roman" w:cs="Times New Roman"/>
                <w:szCs w:val="28"/>
                <w:lang w:eastAsia="lv-LV"/>
              </w:rPr>
            </w:pPr>
            <w:r w:rsidRPr="00E045D9">
              <w:rPr>
                <w:rFonts w:eastAsia="Times New Roman" w:cs="Times New Roman"/>
                <w:szCs w:val="28"/>
                <w:lang w:eastAsia="lv-LV"/>
              </w:rPr>
              <w:t>7. Cita informācija</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E045D9" w:rsidRPr="00E045D9" w:rsidRDefault="00FD1371" w:rsidP="00724568">
            <w:pPr>
              <w:jc w:val="both"/>
              <w:rPr>
                <w:rFonts w:eastAsia="Times New Roman" w:cs="Times New Roman"/>
                <w:szCs w:val="28"/>
                <w:lang w:eastAsia="lv-LV"/>
              </w:rPr>
            </w:pPr>
            <w:r w:rsidRPr="00F5155B">
              <w:rPr>
                <w:rFonts w:eastAsia="Times New Roman" w:cs="Times New Roman"/>
                <w:szCs w:val="28"/>
                <w:lang w:eastAsia="lv-LV"/>
              </w:rPr>
              <w:t>Projekts šo jomu neskar.</w:t>
            </w:r>
          </w:p>
        </w:tc>
      </w:tr>
    </w:tbl>
    <w:p w:rsidR="00E045D9" w:rsidRPr="00F5155B" w:rsidRDefault="00E045D9" w:rsidP="004567CC">
      <w:pPr>
        <w:jc w:val="both"/>
        <w:rPr>
          <w:rFonts w:eastAsia="Arial Unicode MS" w:cs="Times New Roman"/>
          <w:szCs w:val="28"/>
        </w:rPr>
      </w:pPr>
    </w:p>
    <w:p w:rsidR="00E045D9" w:rsidRPr="00F5155B" w:rsidRDefault="00E045D9" w:rsidP="004567CC">
      <w:pPr>
        <w:jc w:val="both"/>
        <w:rPr>
          <w:rFonts w:eastAsia="Arial Unicode MS" w:cs="Times New Roman"/>
          <w:szCs w:val="28"/>
        </w:rPr>
      </w:pPr>
    </w:p>
    <w:p w:rsidR="004567CC" w:rsidRPr="00F5155B" w:rsidRDefault="004567CC" w:rsidP="004567CC">
      <w:pPr>
        <w:jc w:val="both"/>
        <w:rPr>
          <w:rFonts w:eastAsia="Arial Unicode MS" w:cs="Times New Roman"/>
          <w:szCs w:val="28"/>
        </w:rPr>
      </w:pPr>
      <w:r w:rsidRPr="00F5155B">
        <w:rPr>
          <w:rFonts w:eastAsia="Arial Unicode MS" w:cs="Times New Roman"/>
          <w:szCs w:val="28"/>
        </w:rPr>
        <w:t>Anotācijas IV.</w:t>
      </w:r>
      <w:r w:rsidR="00BB00C4">
        <w:rPr>
          <w:rFonts w:eastAsia="Arial Unicode MS" w:cs="Times New Roman"/>
          <w:szCs w:val="28"/>
        </w:rPr>
        <w:t xml:space="preserve">, V., VI. </w:t>
      </w:r>
      <w:r w:rsidRPr="00F5155B">
        <w:rPr>
          <w:rFonts w:eastAsia="Arial Unicode MS" w:cs="Times New Roman"/>
          <w:szCs w:val="28"/>
        </w:rPr>
        <w:t xml:space="preserve"> </w:t>
      </w:r>
      <w:r w:rsidR="00BB00C4" w:rsidRPr="00F5155B">
        <w:rPr>
          <w:rFonts w:eastAsia="Arial Unicode MS" w:cs="Times New Roman"/>
          <w:szCs w:val="28"/>
        </w:rPr>
        <w:t xml:space="preserve">un VII. </w:t>
      </w:r>
      <w:r w:rsidRPr="00F5155B">
        <w:rPr>
          <w:rFonts w:eastAsia="Arial Unicode MS" w:cs="Times New Roman"/>
          <w:szCs w:val="28"/>
        </w:rPr>
        <w:t>sadaļas - projekts šīs jomas neskar.</w:t>
      </w:r>
    </w:p>
    <w:p w:rsidR="004567CC" w:rsidRPr="00F5155B" w:rsidRDefault="004567CC" w:rsidP="004567CC">
      <w:pPr>
        <w:rPr>
          <w:rFonts w:eastAsia="Calibri" w:cs="Times New Roman"/>
          <w:szCs w:val="28"/>
        </w:rPr>
      </w:pPr>
    </w:p>
    <w:p w:rsidR="004567CC" w:rsidRDefault="004567CC" w:rsidP="004567CC">
      <w:pPr>
        <w:tabs>
          <w:tab w:val="left" w:pos="7200"/>
        </w:tabs>
        <w:suppressAutoHyphens/>
        <w:outlineLvl w:val="4"/>
        <w:rPr>
          <w:rFonts w:eastAsia="Times New Roman" w:cs="Times New Roman"/>
          <w:bCs/>
          <w:iCs/>
          <w:kern w:val="1"/>
          <w:szCs w:val="28"/>
          <w:lang w:eastAsia="ar-SA"/>
        </w:rPr>
      </w:pPr>
      <w:r w:rsidRPr="00F5155B">
        <w:rPr>
          <w:rFonts w:eastAsia="Times New Roman" w:cs="Times New Roman"/>
          <w:bCs/>
          <w:iCs/>
          <w:kern w:val="1"/>
          <w:szCs w:val="28"/>
          <w:lang w:eastAsia="ar-SA"/>
        </w:rPr>
        <w:t xml:space="preserve">Pielikumā: Noteikumu projektā ietverto skaitļu pārrēķins no latiem uz </w:t>
      </w:r>
      <w:proofErr w:type="spellStart"/>
      <w:r w:rsidRPr="00F5155B">
        <w:rPr>
          <w:rFonts w:eastAsia="Times New Roman" w:cs="Times New Roman"/>
          <w:bCs/>
          <w:i/>
          <w:iCs/>
          <w:kern w:val="1"/>
          <w:szCs w:val="28"/>
          <w:lang w:eastAsia="ar-SA"/>
        </w:rPr>
        <w:t>euro</w:t>
      </w:r>
      <w:proofErr w:type="spellEnd"/>
      <w:r w:rsidRPr="00F5155B">
        <w:rPr>
          <w:rFonts w:eastAsia="Times New Roman" w:cs="Times New Roman"/>
          <w:bCs/>
          <w:iCs/>
          <w:kern w:val="1"/>
          <w:szCs w:val="28"/>
          <w:lang w:eastAsia="ar-SA"/>
        </w:rPr>
        <w:t xml:space="preserve"> uz 1 lp.</w:t>
      </w:r>
    </w:p>
    <w:p w:rsidR="00201079" w:rsidRPr="00F5155B" w:rsidRDefault="00201079" w:rsidP="004567CC">
      <w:pPr>
        <w:tabs>
          <w:tab w:val="left" w:pos="7200"/>
        </w:tabs>
        <w:suppressAutoHyphens/>
        <w:outlineLvl w:val="4"/>
        <w:rPr>
          <w:rFonts w:eastAsia="Times New Roman" w:cs="Times New Roman"/>
          <w:bCs/>
          <w:iCs/>
          <w:kern w:val="1"/>
          <w:szCs w:val="28"/>
          <w:lang w:eastAsia="ar-SA"/>
        </w:rPr>
      </w:pPr>
    </w:p>
    <w:p w:rsidR="005E5C61" w:rsidRPr="00F5155B" w:rsidRDefault="005E5C61" w:rsidP="005E5C61">
      <w:pPr>
        <w:tabs>
          <w:tab w:val="left" w:pos="7371"/>
        </w:tabs>
        <w:spacing w:before="240" w:after="120"/>
        <w:jc w:val="both"/>
        <w:rPr>
          <w:rFonts w:eastAsia="Times New Roman" w:cs="Times New Roman"/>
          <w:szCs w:val="28"/>
          <w:lang w:eastAsia="lv-LV"/>
        </w:rPr>
      </w:pPr>
      <w:r w:rsidRPr="00F5155B">
        <w:rPr>
          <w:rFonts w:eastAsia="Times New Roman" w:cs="Times New Roman"/>
          <w:szCs w:val="28"/>
          <w:lang w:eastAsia="lv-LV"/>
        </w:rPr>
        <w:t>Ekonomikas ministrs</w:t>
      </w:r>
      <w:r w:rsidRPr="00F5155B">
        <w:rPr>
          <w:rFonts w:eastAsia="Times New Roman" w:cs="Times New Roman"/>
          <w:szCs w:val="28"/>
          <w:lang w:eastAsia="lv-LV"/>
        </w:rPr>
        <w:tab/>
      </w:r>
      <w:proofErr w:type="spellStart"/>
      <w:r w:rsidRPr="00F5155B">
        <w:rPr>
          <w:rFonts w:eastAsia="Times New Roman" w:cs="Times New Roman"/>
          <w:szCs w:val="28"/>
          <w:lang w:eastAsia="lv-LV"/>
        </w:rPr>
        <w:t>D.Pavļuts</w:t>
      </w:r>
      <w:proofErr w:type="spellEnd"/>
    </w:p>
    <w:p w:rsidR="005E5C61" w:rsidRPr="00F5155B" w:rsidRDefault="005E5C61" w:rsidP="005E5C61">
      <w:pPr>
        <w:rPr>
          <w:rFonts w:eastAsia="Times New Roman" w:cs="Times New Roman"/>
          <w:b/>
          <w:bCs/>
          <w:szCs w:val="28"/>
          <w:lang w:eastAsia="lv-LV"/>
        </w:rPr>
      </w:pPr>
    </w:p>
    <w:p w:rsidR="005E5C61" w:rsidRPr="00F5155B" w:rsidRDefault="005E5C61" w:rsidP="005E5C61">
      <w:pPr>
        <w:rPr>
          <w:rFonts w:eastAsia="Times New Roman" w:cs="Times New Roman"/>
          <w:b/>
          <w:bCs/>
          <w:szCs w:val="28"/>
          <w:lang w:eastAsia="lv-LV"/>
        </w:rPr>
      </w:pPr>
      <w:r w:rsidRPr="00F5155B">
        <w:rPr>
          <w:rFonts w:eastAsia="Times New Roman" w:cs="Times New Roman"/>
          <w:b/>
          <w:bCs/>
          <w:szCs w:val="28"/>
          <w:lang w:eastAsia="lv-LV"/>
        </w:rPr>
        <w:t>Iesniedzējs:</w:t>
      </w:r>
    </w:p>
    <w:p w:rsidR="005E5C61" w:rsidRPr="00F5155B" w:rsidRDefault="005E5C61" w:rsidP="005E5C61">
      <w:pPr>
        <w:keepNext/>
        <w:tabs>
          <w:tab w:val="left" w:pos="6096"/>
        </w:tabs>
        <w:jc w:val="both"/>
        <w:outlineLvl w:val="0"/>
        <w:rPr>
          <w:rFonts w:eastAsia="Times New Roman" w:cs="Times New Roman"/>
          <w:szCs w:val="28"/>
          <w:lang w:eastAsia="lv-LV"/>
        </w:rPr>
      </w:pPr>
    </w:p>
    <w:p w:rsidR="005E5C61" w:rsidRPr="00F5155B" w:rsidRDefault="005E5C61" w:rsidP="005E5C61">
      <w:pPr>
        <w:keepNext/>
        <w:tabs>
          <w:tab w:val="left" w:pos="7371"/>
        </w:tabs>
        <w:jc w:val="both"/>
        <w:outlineLvl w:val="0"/>
        <w:rPr>
          <w:rFonts w:eastAsia="Times New Roman" w:cs="Times New Roman"/>
          <w:szCs w:val="28"/>
          <w:lang w:eastAsia="lv-LV"/>
        </w:rPr>
      </w:pPr>
      <w:r w:rsidRPr="00F5155B">
        <w:rPr>
          <w:rFonts w:eastAsia="Times New Roman" w:cs="Times New Roman"/>
          <w:szCs w:val="28"/>
          <w:lang w:eastAsia="lv-LV"/>
        </w:rPr>
        <w:t>Ekonomikas ministrs</w:t>
      </w:r>
      <w:r w:rsidRPr="00F5155B">
        <w:rPr>
          <w:rFonts w:eastAsia="Times New Roman" w:cs="Times New Roman"/>
          <w:szCs w:val="28"/>
          <w:lang w:eastAsia="lv-LV"/>
        </w:rPr>
        <w:tab/>
      </w:r>
      <w:proofErr w:type="spellStart"/>
      <w:r w:rsidRPr="00F5155B">
        <w:rPr>
          <w:rFonts w:eastAsia="Times New Roman" w:cs="Times New Roman"/>
          <w:szCs w:val="28"/>
          <w:lang w:eastAsia="lv-LV"/>
        </w:rPr>
        <w:t>D.Pavļuts</w:t>
      </w:r>
      <w:proofErr w:type="spellEnd"/>
    </w:p>
    <w:p w:rsidR="005E5C61" w:rsidRPr="00F5155B" w:rsidRDefault="005E5C61" w:rsidP="005E5C61">
      <w:pPr>
        <w:tabs>
          <w:tab w:val="left" w:pos="6096"/>
        </w:tabs>
        <w:rPr>
          <w:rFonts w:eastAsia="Times New Roman" w:cs="Times New Roman"/>
          <w:bCs/>
          <w:szCs w:val="28"/>
          <w:lang w:eastAsia="lv-LV"/>
        </w:rPr>
      </w:pPr>
    </w:p>
    <w:p w:rsidR="00333373" w:rsidRDefault="00333373" w:rsidP="00333373">
      <w:pPr>
        <w:tabs>
          <w:tab w:val="left" w:pos="7371"/>
        </w:tabs>
        <w:jc w:val="both"/>
        <w:rPr>
          <w:bCs/>
          <w:szCs w:val="28"/>
        </w:rPr>
      </w:pPr>
      <w:r>
        <w:rPr>
          <w:bCs/>
          <w:szCs w:val="28"/>
        </w:rPr>
        <w:t>Vīza: Valsts sekretāra pienākumu izpildītājs,</w:t>
      </w:r>
    </w:p>
    <w:p w:rsidR="005E5C61" w:rsidRPr="00F5155B" w:rsidRDefault="00333373" w:rsidP="00333373">
      <w:pPr>
        <w:tabs>
          <w:tab w:val="left" w:pos="6096"/>
        </w:tabs>
        <w:rPr>
          <w:rFonts w:eastAsia="Times New Roman" w:cs="Times New Roman"/>
          <w:szCs w:val="28"/>
          <w:lang w:eastAsia="lv-LV"/>
        </w:rPr>
      </w:pPr>
      <w:r>
        <w:rPr>
          <w:bCs/>
          <w:szCs w:val="28"/>
        </w:rPr>
        <w:t>valsts sekretāra vietnieks</w:t>
      </w:r>
      <w:r>
        <w:rPr>
          <w:bCs/>
          <w:szCs w:val="28"/>
        </w:rPr>
        <w:tab/>
      </w:r>
      <w:r>
        <w:rPr>
          <w:bCs/>
          <w:szCs w:val="28"/>
        </w:rPr>
        <w:tab/>
      </w:r>
      <w:r>
        <w:rPr>
          <w:bCs/>
          <w:szCs w:val="28"/>
        </w:rPr>
        <w:tab/>
        <w:t xml:space="preserve">  A.Liepiņš</w:t>
      </w:r>
    </w:p>
    <w:p w:rsidR="005E5C61" w:rsidRPr="00F5155B" w:rsidRDefault="005E5C61" w:rsidP="005E5C61">
      <w:pPr>
        <w:rPr>
          <w:rFonts w:eastAsia="Times New Roman" w:cs="Times New Roman"/>
          <w:szCs w:val="28"/>
          <w:lang w:eastAsia="lv-LV"/>
        </w:rPr>
      </w:pPr>
    </w:p>
    <w:p w:rsidR="00B906B1" w:rsidRDefault="00B906B1" w:rsidP="004D3C93">
      <w:pPr>
        <w:pStyle w:val="BodyTextIndent"/>
        <w:spacing w:after="0"/>
        <w:ind w:left="0"/>
        <w:jc w:val="both"/>
        <w:rPr>
          <w:rFonts w:ascii="Times New Roman" w:hAnsi="Times New Roman" w:cs="Times New Roman"/>
          <w:sz w:val="20"/>
          <w:szCs w:val="28"/>
        </w:rPr>
      </w:pPr>
    </w:p>
    <w:p w:rsidR="00B906B1" w:rsidRDefault="00B906B1" w:rsidP="004D3C93">
      <w:pPr>
        <w:pStyle w:val="BodyTextIndent"/>
        <w:spacing w:after="0"/>
        <w:ind w:left="0"/>
        <w:jc w:val="both"/>
        <w:rPr>
          <w:rFonts w:ascii="Times New Roman" w:hAnsi="Times New Roman" w:cs="Times New Roman"/>
          <w:sz w:val="20"/>
          <w:szCs w:val="28"/>
        </w:rPr>
      </w:pPr>
    </w:p>
    <w:p w:rsidR="004D3C93" w:rsidRPr="00FD3D0D" w:rsidRDefault="00333373" w:rsidP="004D3C93">
      <w:pPr>
        <w:pStyle w:val="BodyTextIndent"/>
        <w:spacing w:after="0"/>
        <w:ind w:left="0"/>
        <w:jc w:val="both"/>
        <w:rPr>
          <w:rFonts w:ascii="Times New Roman" w:hAnsi="Times New Roman" w:cs="Times New Roman"/>
          <w:sz w:val="20"/>
          <w:szCs w:val="28"/>
        </w:rPr>
      </w:pPr>
      <w:r>
        <w:rPr>
          <w:rFonts w:ascii="Times New Roman" w:hAnsi="Times New Roman" w:cs="Times New Roman"/>
          <w:sz w:val="20"/>
          <w:szCs w:val="28"/>
        </w:rPr>
        <w:t>18</w:t>
      </w:r>
      <w:r w:rsidR="002E336A">
        <w:rPr>
          <w:rFonts w:ascii="Times New Roman" w:hAnsi="Times New Roman" w:cs="Times New Roman"/>
          <w:sz w:val="20"/>
          <w:szCs w:val="28"/>
        </w:rPr>
        <w:t>.09</w:t>
      </w:r>
      <w:r w:rsidR="004D3C93">
        <w:rPr>
          <w:rFonts w:ascii="Times New Roman" w:hAnsi="Times New Roman" w:cs="Times New Roman"/>
          <w:sz w:val="20"/>
          <w:szCs w:val="28"/>
        </w:rPr>
        <w:t>.2013</w:t>
      </w:r>
    </w:p>
    <w:p w:rsidR="004D3C93" w:rsidRPr="00FD3D0D" w:rsidRDefault="004D3C93" w:rsidP="004D3C93">
      <w:pPr>
        <w:pStyle w:val="BodyTextIndent"/>
        <w:spacing w:after="0"/>
        <w:ind w:left="0"/>
        <w:jc w:val="both"/>
        <w:rPr>
          <w:rFonts w:ascii="Times New Roman" w:hAnsi="Times New Roman" w:cs="Times New Roman"/>
          <w:sz w:val="20"/>
          <w:szCs w:val="28"/>
        </w:rPr>
      </w:pPr>
      <w:r w:rsidRPr="00FD3D0D">
        <w:rPr>
          <w:rFonts w:ascii="Times New Roman" w:hAnsi="Times New Roman" w:cs="Times New Roman"/>
        </w:rPr>
        <w:fldChar w:fldCharType="begin"/>
      </w:r>
      <w:r w:rsidRPr="00FD3D0D">
        <w:rPr>
          <w:rFonts w:ascii="Times New Roman" w:hAnsi="Times New Roman" w:cs="Times New Roman"/>
        </w:rPr>
        <w:instrText xml:space="preserve"> NUMWORDS   \* MERGEFORMAT </w:instrText>
      </w:r>
      <w:r w:rsidRPr="00FD3D0D">
        <w:rPr>
          <w:rFonts w:ascii="Times New Roman" w:hAnsi="Times New Roman" w:cs="Times New Roman"/>
        </w:rPr>
        <w:fldChar w:fldCharType="separate"/>
      </w:r>
      <w:r w:rsidR="0078215D" w:rsidRPr="0078215D">
        <w:rPr>
          <w:rFonts w:ascii="Times New Roman" w:hAnsi="Times New Roman" w:cs="Times New Roman"/>
          <w:noProof/>
          <w:sz w:val="20"/>
          <w:szCs w:val="28"/>
        </w:rPr>
        <w:t>1035</w:t>
      </w:r>
      <w:r w:rsidRPr="00FD3D0D">
        <w:rPr>
          <w:rFonts w:ascii="Times New Roman" w:hAnsi="Times New Roman" w:cs="Times New Roman"/>
          <w:noProof/>
          <w:sz w:val="20"/>
          <w:szCs w:val="28"/>
        </w:rPr>
        <w:fldChar w:fldCharType="end"/>
      </w:r>
    </w:p>
    <w:p w:rsidR="004D3C93" w:rsidRPr="00FD3D0D" w:rsidRDefault="004D3C93" w:rsidP="004D3C93">
      <w:pPr>
        <w:rPr>
          <w:sz w:val="20"/>
        </w:rPr>
      </w:pPr>
      <w:r w:rsidRPr="00FD3D0D">
        <w:rPr>
          <w:sz w:val="20"/>
        </w:rPr>
        <w:t>I.Peipiņa, 67013146</w:t>
      </w:r>
    </w:p>
    <w:p w:rsidR="004D3C93" w:rsidRPr="008F47B4" w:rsidRDefault="004D3C93" w:rsidP="004D3C93">
      <w:r w:rsidRPr="00FD3D0D">
        <w:rPr>
          <w:sz w:val="20"/>
        </w:rPr>
        <w:t>Ilze.Peipina@em.gov.lv</w:t>
      </w:r>
    </w:p>
    <w:p w:rsidR="007E7922" w:rsidRPr="00F5155B" w:rsidRDefault="007E7922">
      <w:pPr>
        <w:rPr>
          <w:rFonts w:cs="Times New Roman"/>
          <w:szCs w:val="28"/>
        </w:rPr>
      </w:pPr>
      <w:bookmarkStart w:id="4" w:name="_GoBack"/>
      <w:bookmarkEnd w:id="4"/>
    </w:p>
    <w:sectPr w:rsidR="007E7922" w:rsidRPr="00F5155B" w:rsidSect="00724568">
      <w:headerReference w:type="even" r:id="rId8"/>
      <w:headerReference w:type="default" r:id="rId9"/>
      <w:footerReference w:type="even" r:id="rId10"/>
      <w:footerReference w:type="default" r:id="rId11"/>
      <w:headerReference w:type="first" r:id="rId12"/>
      <w:footerReference w:type="first" r:id="rId13"/>
      <w:pgSz w:w="11906" w:h="16838" w:code="9"/>
      <w:pgMar w:top="1260" w:right="99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A4" w:rsidRDefault="00DC1CA4" w:rsidP="00601141">
      <w:r>
        <w:separator/>
      </w:r>
    </w:p>
  </w:endnote>
  <w:endnote w:type="continuationSeparator" w:id="0">
    <w:p w:rsidR="00DC1CA4" w:rsidRDefault="00DC1CA4" w:rsidP="0060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0A" w:rsidRDefault="000D3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13" w:rsidRDefault="004F6D77" w:rsidP="00912990">
    <w:pPr>
      <w:jc w:val="both"/>
    </w:pPr>
    <w:r>
      <w:rPr>
        <w:sz w:val="20"/>
        <w:szCs w:val="20"/>
      </w:rPr>
      <w:fldChar w:fldCharType="begin"/>
    </w:r>
    <w:r>
      <w:rPr>
        <w:sz w:val="20"/>
        <w:szCs w:val="20"/>
      </w:rPr>
      <w:instrText xml:space="preserve"> FILENAME   \* MERGEFORMAT </w:instrText>
    </w:r>
    <w:r>
      <w:rPr>
        <w:sz w:val="20"/>
        <w:szCs w:val="20"/>
      </w:rPr>
      <w:fldChar w:fldCharType="separate"/>
    </w:r>
    <w:r w:rsidR="0078215D">
      <w:rPr>
        <w:noProof/>
        <w:sz w:val="20"/>
        <w:szCs w:val="20"/>
      </w:rPr>
      <w:t>EMAnot_180913_grozMKnot_64</w:t>
    </w:r>
    <w:r>
      <w:rPr>
        <w:sz w:val="20"/>
        <w:szCs w:val="20"/>
      </w:rPr>
      <w:fldChar w:fldCharType="end"/>
    </w:r>
    <w:r w:rsidRPr="007D7292">
      <w:rPr>
        <w:sz w:val="20"/>
        <w:szCs w:val="20"/>
      </w:rPr>
      <w:t xml:space="preserve">; </w:t>
    </w:r>
    <w:r w:rsidR="002A5D97" w:rsidRPr="002A5D97">
      <w:rPr>
        <w:sz w:val="20"/>
        <w:szCs w:val="20"/>
      </w:rPr>
      <w:t>Grozījumi Ministru kabineta 2013.gada 29.janvāra noteikumos Nr.64 „Parāda atgūšanas pakalpojuma sniedzēju licencēšanas kārtība”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Pr="005C3C6D" w:rsidRDefault="004F6D77" w:rsidP="005C3C6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8215D">
      <w:rPr>
        <w:noProof/>
        <w:sz w:val="20"/>
        <w:szCs w:val="20"/>
      </w:rPr>
      <w:t>EMAnot_180913_grozMKnot_64</w:t>
    </w:r>
    <w:r>
      <w:rPr>
        <w:sz w:val="20"/>
        <w:szCs w:val="20"/>
      </w:rPr>
      <w:fldChar w:fldCharType="end"/>
    </w:r>
    <w:r w:rsidRPr="007D7292">
      <w:rPr>
        <w:sz w:val="20"/>
        <w:szCs w:val="20"/>
      </w:rPr>
      <w:t xml:space="preserve">; </w:t>
    </w:r>
    <w:r w:rsidR="002A5D97" w:rsidRPr="002A5D97">
      <w:rPr>
        <w:sz w:val="20"/>
        <w:szCs w:val="20"/>
      </w:rPr>
      <w:t>Grozījumi Ministru kabineta 2013.gada 29.janvāra noteikumos Nr.64 „Parāda atgūšanas pakalpojuma sniedzēju licencēšanas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A4" w:rsidRDefault="00DC1CA4" w:rsidP="00601141">
      <w:r>
        <w:separator/>
      </w:r>
    </w:p>
  </w:footnote>
  <w:footnote w:type="continuationSeparator" w:id="0">
    <w:p w:rsidR="00DC1CA4" w:rsidRDefault="00DC1CA4" w:rsidP="0060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Default="004F6D77" w:rsidP="001A0A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84A" w:rsidRDefault="00DC1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Default="004F6D77" w:rsidP="001A0A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215D">
      <w:rPr>
        <w:rStyle w:val="PageNumber"/>
        <w:noProof/>
      </w:rPr>
      <w:t>5</w:t>
    </w:r>
    <w:r>
      <w:rPr>
        <w:rStyle w:val="PageNumber"/>
      </w:rPr>
      <w:fldChar w:fldCharType="end"/>
    </w:r>
  </w:p>
  <w:p w:rsidR="0026084A" w:rsidRDefault="00DC1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0A" w:rsidRDefault="000D3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C7437"/>
    <w:multiLevelType w:val="hybridMultilevel"/>
    <w:tmpl w:val="C10C6802"/>
    <w:lvl w:ilvl="0" w:tplc="D6228E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61"/>
    <w:rsid w:val="000734CB"/>
    <w:rsid w:val="000764A8"/>
    <w:rsid w:val="000A44C5"/>
    <w:rsid w:val="000D3E0A"/>
    <w:rsid w:val="00105205"/>
    <w:rsid w:val="00201079"/>
    <w:rsid w:val="002879A6"/>
    <w:rsid w:val="002A009F"/>
    <w:rsid w:val="002A5D97"/>
    <w:rsid w:val="002A6315"/>
    <w:rsid w:val="002E336A"/>
    <w:rsid w:val="003263D4"/>
    <w:rsid w:val="00333373"/>
    <w:rsid w:val="003534A3"/>
    <w:rsid w:val="003603AF"/>
    <w:rsid w:val="004048D7"/>
    <w:rsid w:val="00430669"/>
    <w:rsid w:val="004567CC"/>
    <w:rsid w:val="004D3C93"/>
    <w:rsid w:val="004F43F4"/>
    <w:rsid w:val="004F6D77"/>
    <w:rsid w:val="00520E4F"/>
    <w:rsid w:val="0054254B"/>
    <w:rsid w:val="00545FE5"/>
    <w:rsid w:val="00566CE7"/>
    <w:rsid w:val="00574F35"/>
    <w:rsid w:val="005A3DCD"/>
    <w:rsid w:val="005D6F0C"/>
    <w:rsid w:val="005E5C61"/>
    <w:rsid w:val="005E64A6"/>
    <w:rsid w:val="00601141"/>
    <w:rsid w:val="0062202A"/>
    <w:rsid w:val="00686EEA"/>
    <w:rsid w:val="006E0995"/>
    <w:rsid w:val="00724568"/>
    <w:rsid w:val="00761D31"/>
    <w:rsid w:val="00780026"/>
    <w:rsid w:val="0078215D"/>
    <w:rsid w:val="00791DD3"/>
    <w:rsid w:val="007E7922"/>
    <w:rsid w:val="008147DB"/>
    <w:rsid w:val="008B5688"/>
    <w:rsid w:val="008B7A6B"/>
    <w:rsid w:val="009A28CE"/>
    <w:rsid w:val="009D7D57"/>
    <w:rsid w:val="00A411E2"/>
    <w:rsid w:val="00A51FC3"/>
    <w:rsid w:val="00A6207A"/>
    <w:rsid w:val="00B15D32"/>
    <w:rsid w:val="00B86395"/>
    <w:rsid w:val="00B906B1"/>
    <w:rsid w:val="00BB00C4"/>
    <w:rsid w:val="00BF6C46"/>
    <w:rsid w:val="00C05240"/>
    <w:rsid w:val="00C05A53"/>
    <w:rsid w:val="00C20C6E"/>
    <w:rsid w:val="00C26AB6"/>
    <w:rsid w:val="00C4603F"/>
    <w:rsid w:val="00C87B3A"/>
    <w:rsid w:val="00CA6DF1"/>
    <w:rsid w:val="00D652F2"/>
    <w:rsid w:val="00D76694"/>
    <w:rsid w:val="00DC1CA4"/>
    <w:rsid w:val="00E045D9"/>
    <w:rsid w:val="00E30B46"/>
    <w:rsid w:val="00E846C2"/>
    <w:rsid w:val="00EB1194"/>
    <w:rsid w:val="00ED56F7"/>
    <w:rsid w:val="00ED58D5"/>
    <w:rsid w:val="00EE65EF"/>
    <w:rsid w:val="00F05E75"/>
    <w:rsid w:val="00F07B76"/>
    <w:rsid w:val="00F23D45"/>
    <w:rsid w:val="00F32011"/>
    <w:rsid w:val="00F5155B"/>
    <w:rsid w:val="00FD1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C61"/>
    <w:pPr>
      <w:tabs>
        <w:tab w:val="center" w:pos="4153"/>
        <w:tab w:val="right" w:pos="8306"/>
      </w:tabs>
    </w:pPr>
    <w:rPr>
      <w:rFonts w:eastAsia="Times New Roman" w:cs="Times New Roman"/>
      <w:sz w:val="24"/>
      <w:szCs w:val="24"/>
      <w:lang w:eastAsia="lv-LV"/>
    </w:rPr>
  </w:style>
  <w:style w:type="character" w:customStyle="1" w:styleId="HeaderChar">
    <w:name w:val="Header Char"/>
    <w:basedOn w:val="DefaultParagraphFont"/>
    <w:link w:val="Header"/>
    <w:rsid w:val="005E5C61"/>
    <w:rPr>
      <w:rFonts w:eastAsia="Times New Roman" w:cs="Times New Roman"/>
      <w:sz w:val="24"/>
      <w:szCs w:val="24"/>
      <w:lang w:eastAsia="lv-LV"/>
    </w:rPr>
  </w:style>
  <w:style w:type="character" w:styleId="PageNumber">
    <w:name w:val="page number"/>
    <w:basedOn w:val="DefaultParagraphFont"/>
    <w:rsid w:val="005E5C61"/>
  </w:style>
  <w:style w:type="paragraph" w:styleId="Footer">
    <w:name w:val="footer"/>
    <w:basedOn w:val="Normal"/>
    <w:link w:val="FooterChar"/>
    <w:uiPriority w:val="99"/>
    <w:unhideWhenUsed/>
    <w:rsid w:val="00601141"/>
    <w:pPr>
      <w:tabs>
        <w:tab w:val="center" w:pos="4153"/>
        <w:tab w:val="right" w:pos="8306"/>
      </w:tabs>
    </w:pPr>
  </w:style>
  <w:style w:type="character" w:customStyle="1" w:styleId="FooterChar">
    <w:name w:val="Footer Char"/>
    <w:basedOn w:val="DefaultParagraphFont"/>
    <w:link w:val="Footer"/>
    <w:uiPriority w:val="99"/>
    <w:rsid w:val="00601141"/>
  </w:style>
  <w:style w:type="paragraph" w:styleId="ListParagraph">
    <w:name w:val="List Paragraph"/>
    <w:basedOn w:val="Normal"/>
    <w:uiPriority w:val="34"/>
    <w:qFormat/>
    <w:rsid w:val="00F5155B"/>
    <w:pPr>
      <w:ind w:left="720"/>
      <w:contextualSpacing/>
    </w:pPr>
  </w:style>
  <w:style w:type="paragraph" w:styleId="BalloonText">
    <w:name w:val="Balloon Text"/>
    <w:basedOn w:val="Normal"/>
    <w:link w:val="BalloonTextChar"/>
    <w:uiPriority w:val="99"/>
    <w:semiHidden/>
    <w:unhideWhenUsed/>
    <w:rsid w:val="00780026"/>
    <w:rPr>
      <w:rFonts w:ascii="Tahoma" w:hAnsi="Tahoma" w:cs="Tahoma"/>
      <w:sz w:val="16"/>
      <w:szCs w:val="16"/>
    </w:rPr>
  </w:style>
  <w:style w:type="character" w:customStyle="1" w:styleId="BalloonTextChar">
    <w:name w:val="Balloon Text Char"/>
    <w:basedOn w:val="DefaultParagraphFont"/>
    <w:link w:val="BalloonText"/>
    <w:uiPriority w:val="99"/>
    <w:semiHidden/>
    <w:rsid w:val="00780026"/>
    <w:rPr>
      <w:rFonts w:ascii="Tahoma" w:hAnsi="Tahoma" w:cs="Tahoma"/>
      <w:sz w:val="16"/>
      <w:szCs w:val="16"/>
    </w:rPr>
  </w:style>
  <w:style w:type="paragraph" w:styleId="BodyTextIndent">
    <w:name w:val="Body Text Indent"/>
    <w:basedOn w:val="Normal"/>
    <w:link w:val="BodyTextIndentChar"/>
    <w:uiPriority w:val="99"/>
    <w:semiHidden/>
    <w:unhideWhenUsed/>
    <w:rsid w:val="004D3C93"/>
    <w:pPr>
      <w:spacing w:after="120" w:line="276" w:lineRule="auto"/>
      <w:ind w:left="283"/>
    </w:pPr>
    <w:rPr>
      <w:rFonts w:asciiTheme="minorHAnsi" w:hAnsiTheme="minorHAnsi"/>
      <w:sz w:val="22"/>
      <w:lang w:val="en-US"/>
    </w:rPr>
  </w:style>
  <w:style w:type="character" w:customStyle="1" w:styleId="BodyTextIndentChar">
    <w:name w:val="Body Text Indent Char"/>
    <w:basedOn w:val="DefaultParagraphFont"/>
    <w:link w:val="BodyTextIndent"/>
    <w:uiPriority w:val="99"/>
    <w:semiHidden/>
    <w:rsid w:val="004D3C93"/>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C61"/>
    <w:pPr>
      <w:tabs>
        <w:tab w:val="center" w:pos="4153"/>
        <w:tab w:val="right" w:pos="8306"/>
      </w:tabs>
    </w:pPr>
    <w:rPr>
      <w:rFonts w:eastAsia="Times New Roman" w:cs="Times New Roman"/>
      <w:sz w:val="24"/>
      <w:szCs w:val="24"/>
      <w:lang w:eastAsia="lv-LV"/>
    </w:rPr>
  </w:style>
  <w:style w:type="character" w:customStyle="1" w:styleId="HeaderChar">
    <w:name w:val="Header Char"/>
    <w:basedOn w:val="DefaultParagraphFont"/>
    <w:link w:val="Header"/>
    <w:rsid w:val="005E5C61"/>
    <w:rPr>
      <w:rFonts w:eastAsia="Times New Roman" w:cs="Times New Roman"/>
      <w:sz w:val="24"/>
      <w:szCs w:val="24"/>
      <w:lang w:eastAsia="lv-LV"/>
    </w:rPr>
  </w:style>
  <w:style w:type="character" w:styleId="PageNumber">
    <w:name w:val="page number"/>
    <w:basedOn w:val="DefaultParagraphFont"/>
    <w:rsid w:val="005E5C61"/>
  </w:style>
  <w:style w:type="paragraph" w:styleId="Footer">
    <w:name w:val="footer"/>
    <w:basedOn w:val="Normal"/>
    <w:link w:val="FooterChar"/>
    <w:uiPriority w:val="99"/>
    <w:unhideWhenUsed/>
    <w:rsid w:val="00601141"/>
    <w:pPr>
      <w:tabs>
        <w:tab w:val="center" w:pos="4153"/>
        <w:tab w:val="right" w:pos="8306"/>
      </w:tabs>
    </w:pPr>
  </w:style>
  <w:style w:type="character" w:customStyle="1" w:styleId="FooterChar">
    <w:name w:val="Footer Char"/>
    <w:basedOn w:val="DefaultParagraphFont"/>
    <w:link w:val="Footer"/>
    <w:uiPriority w:val="99"/>
    <w:rsid w:val="00601141"/>
  </w:style>
  <w:style w:type="paragraph" w:styleId="ListParagraph">
    <w:name w:val="List Paragraph"/>
    <w:basedOn w:val="Normal"/>
    <w:uiPriority w:val="34"/>
    <w:qFormat/>
    <w:rsid w:val="00F5155B"/>
    <w:pPr>
      <w:ind w:left="720"/>
      <w:contextualSpacing/>
    </w:pPr>
  </w:style>
  <w:style w:type="paragraph" w:styleId="BalloonText">
    <w:name w:val="Balloon Text"/>
    <w:basedOn w:val="Normal"/>
    <w:link w:val="BalloonTextChar"/>
    <w:uiPriority w:val="99"/>
    <w:semiHidden/>
    <w:unhideWhenUsed/>
    <w:rsid w:val="00780026"/>
    <w:rPr>
      <w:rFonts w:ascii="Tahoma" w:hAnsi="Tahoma" w:cs="Tahoma"/>
      <w:sz w:val="16"/>
      <w:szCs w:val="16"/>
    </w:rPr>
  </w:style>
  <w:style w:type="character" w:customStyle="1" w:styleId="BalloonTextChar">
    <w:name w:val="Balloon Text Char"/>
    <w:basedOn w:val="DefaultParagraphFont"/>
    <w:link w:val="BalloonText"/>
    <w:uiPriority w:val="99"/>
    <w:semiHidden/>
    <w:rsid w:val="00780026"/>
    <w:rPr>
      <w:rFonts w:ascii="Tahoma" w:hAnsi="Tahoma" w:cs="Tahoma"/>
      <w:sz w:val="16"/>
      <w:szCs w:val="16"/>
    </w:rPr>
  </w:style>
  <w:style w:type="paragraph" w:styleId="BodyTextIndent">
    <w:name w:val="Body Text Indent"/>
    <w:basedOn w:val="Normal"/>
    <w:link w:val="BodyTextIndentChar"/>
    <w:uiPriority w:val="99"/>
    <w:semiHidden/>
    <w:unhideWhenUsed/>
    <w:rsid w:val="004D3C93"/>
    <w:pPr>
      <w:spacing w:after="120" w:line="276" w:lineRule="auto"/>
      <w:ind w:left="283"/>
    </w:pPr>
    <w:rPr>
      <w:rFonts w:asciiTheme="minorHAnsi" w:hAnsiTheme="minorHAnsi"/>
      <w:sz w:val="22"/>
      <w:lang w:val="en-US"/>
    </w:rPr>
  </w:style>
  <w:style w:type="character" w:customStyle="1" w:styleId="BodyTextIndentChar">
    <w:name w:val="Body Text Indent Char"/>
    <w:basedOn w:val="DefaultParagraphFont"/>
    <w:link w:val="BodyTextIndent"/>
    <w:uiPriority w:val="99"/>
    <w:semiHidden/>
    <w:rsid w:val="004D3C93"/>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7259">
      <w:bodyDiv w:val="1"/>
      <w:marLeft w:val="0"/>
      <w:marRight w:val="0"/>
      <w:marTop w:val="0"/>
      <w:marBottom w:val="0"/>
      <w:divBdr>
        <w:top w:val="none" w:sz="0" w:space="0" w:color="auto"/>
        <w:left w:val="none" w:sz="0" w:space="0" w:color="auto"/>
        <w:bottom w:val="none" w:sz="0" w:space="0" w:color="auto"/>
        <w:right w:val="none" w:sz="0" w:space="0" w:color="auto"/>
      </w:divBdr>
    </w:div>
    <w:div w:id="877085244">
      <w:bodyDiv w:val="1"/>
      <w:marLeft w:val="0"/>
      <w:marRight w:val="0"/>
      <w:marTop w:val="0"/>
      <w:marBottom w:val="0"/>
      <w:divBdr>
        <w:top w:val="none" w:sz="0" w:space="0" w:color="auto"/>
        <w:left w:val="none" w:sz="0" w:space="0" w:color="auto"/>
        <w:bottom w:val="none" w:sz="0" w:space="0" w:color="auto"/>
        <w:right w:val="none" w:sz="0" w:space="0" w:color="auto"/>
      </w:divBdr>
    </w:div>
    <w:div w:id="1033068915">
      <w:bodyDiv w:val="1"/>
      <w:marLeft w:val="0"/>
      <w:marRight w:val="0"/>
      <w:marTop w:val="0"/>
      <w:marBottom w:val="0"/>
      <w:divBdr>
        <w:top w:val="none" w:sz="0" w:space="0" w:color="auto"/>
        <w:left w:val="none" w:sz="0" w:space="0" w:color="auto"/>
        <w:bottom w:val="none" w:sz="0" w:space="0" w:color="auto"/>
        <w:right w:val="none" w:sz="0" w:space="0" w:color="auto"/>
      </w:divBdr>
    </w:div>
    <w:div w:id="20649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1059</Words>
  <Characters>6519</Characters>
  <Application>Microsoft Office Word</Application>
  <DocSecurity>0</DocSecurity>
  <Lines>383</Lines>
  <Paragraphs>172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Noteikumu projekta „Grozījumi Ministru kabineta 2013.gada 29.janvāra noteikumos Nr.64 „Parāda atgūšanas pakalpojuma sniedzēju licencēšanas kārtība”” sākotnējās ietekmes novērtējuma ziņojums</vt:lpstr>
      <vt:lpstr>(anotācija)</vt:lpstr>
      <vt:lpstr/>
      <vt:lpstr/>
      <vt:lpstr>Ekonomikas ministrs	D.Pavļuts</vt:lpstr>
    </vt:vector>
  </TitlesOfParts>
  <Company>LR Ekonomikas ministrija</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2013.gada 29.janvāra noteikumos Nr.64 „Parāda atgūšanas pakalpojuma sniedzēju licencēšanas kārtība”” sākotnējās ietekmes novērtējuma ziņojums</dc:title>
  <dc:subject>Sākotnējās ietekmes novērtējuma ziņojums (anotācija)</dc:subject>
  <dc:creator>Ilze.Peipina@em.gov.lv</dc:creator>
  <dc:description>Ilze Peipina, 67013146</dc:description>
  <cp:lastModifiedBy>Ilze Peipiņa</cp:lastModifiedBy>
  <cp:revision>6</cp:revision>
  <cp:lastPrinted>2013-09-18T09:09:00Z</cp:lastPrinted>
  <dcterms:created xsi:type="dcterms:W3CDTF">2013-09-17T11:07:00Z</dcterms:created>
  <dcterms:modified xsi:type="dcterms:W3CDTF">2013-09-18T09:09:00Z</dcterms:modified>
</cp:coreProperties>
</file>