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B62" w:rsidRPr="009D5C1D" w:rsidRDefault="00BB09C5" w:rsidP="00055BC8">
      <w:pPr>
        <w:pStyle w:val="BodyText"/>
        <w:jc w:val="center"/>
        <w:rPr>
          <w:b/>
          <w:szCs w:val="28"/>
        </w:rPr>
      </w:pPr>
      <w:bookmarkStart w:id="0" w:name="OLE_LINK3"/>
      <w:bookmarkStart w:id="1" w:name="OLE_LINK1"/>
      <w:bookmarkStart w:id="2" w:name="OLE_LINK2"/>
      <w:r w:rsidRPr="009D5C1D">
        <w:rPr>
          <w:b/>
          <w:szCs w:val="28"/>
        </w:rPr>
        <w:t xml:space="preserve">Ministru kabineta </w:t>
      </w:r>
      <w:r w:rsidR="00C83591" w:rsidRPr="009D5C1D">
        <w:rPr>
          <w:b/>
          <w:szCs w:val="28"/>
        </w:rPr>
        <w:t>noteikumu</w:t>
      </w:r>
      <w:r w:rsidR="001764E7" w:rsidRPr="009D5C1D">
        <w:rPr>
          <w:b/>
          <w:szCs w:val="28"/>
        </w:rPr>
        <w:t xml:space="preserve"> </w:t>
      </w:r>
      <w:r w:rsidRPr="009D5C1D">
        <w:rPr>
          <w:b/>
          <w:szCs w:val="28"/>
        </w:rPr>
        <w:t>projekta „</w:t>
      </w:r>
      <w:bookmarkStart w:id="3" w:name="OLE_LINK4"/>
      <w:bookmarkStart w:id="4" w:name="OLE_LINK5"/>
      <w:r w:rsidR="00D469C4">
        <w:rPr>
          <w:b/>
          <w:szCs w:val="28"/>
        </w:rPr>
        <w:t>Grozījumi</w:t>
      </w:r>
      <w:r w:rsidR="001611D0" w:rsidRPr="009D5C1D">
        <w:rPr>
          <w:b/>
          <w:szCs w:val="28"/>
        </w:rPr>
        <w:t xml:space="preserve"> Ministru kabineta 2010.gada 31.augusta noteikumos Nr.824 „Noteikumi par darbības programmas „Infrastruktūra un pakalpojumi” papildinājuma </w:t>
      </w:r>
      <w:r w:rsidR="003F0C4F" w:rsidRPr="003F0C4F">
        <w:rPr>
          <w:b/>
          <w:szCs w:val="28"/>
        </w:rPr>
        <w:t xml:space="preserve">3.5.2.1.1.apakšaktivitātes </w:t>
      </w:r>
      <w:r w:rsidR="001611D0" w:rsidRPr="009D5C1D">
        <w:rPr>
          <w:b/>
          <w:szCs w:val="28"/>
        </w:rPr>
        <w:t>„Pasākumi centralizētās siltumapgādes sistēmu efektivitātes paaugstināšanai” projektu iesniegumu atlases otro kārtu un turpmākajām kārtām”</w:t>
      </w:r>
      <w:bookmarkEnd w:id="3"/>
      <w:bookmarkEnd w:id="4"/>
      <w:r w:rsidR="00E73425" w:rsidRPr="009D5C1D">
        <w:rPr>
          <w:b/>
          <w:szCs w:val="28"/>
        </w:rPr>
        <w:t>”</w:t>
      </w:r>
      <w:r w:rsidR="003000F0" w:rsidRPr="009D5C1D">
        <w:rPr>
          <w:b/>
          <w:szCs w:val="28"/>
        </w:rPr>
        <w:t xml:space="preserve"> sākotnējās ietekmes novērtējuma </w:t>
      </w:r>
      <w:smartTag w:uri="schemas-tilde-lv/tildestengine" w:element="veidnes">
        <w:smartTagPr>
          <w:attr w:name="id" w:val="-1"/>
          <w:attr w:name="baseform" w:val="ziņojums"/>
          <w:attr w:name="text" w:val="ziņojums"/>
        </w:smartTagPr>
        <w:r w:rsidR="003000F0" w:rsidRPr="009D5C1D">
          <w:rPr>
            <w:b/>
            <w:szCs w:val="28"/>
          </w:rPr>
          <w:t>ziņojums</w:t>
        </w:r>
      </w:smartTag>
      <w:r w:rsidR="00E73425" w:rsidRPr="009D5C1D">
        <w:rPr>
          <w:b/>
          <w:szCs w:val="28"/>
        </w:rPr>
        <w:t xml:space="preserve"> </w:t>
      </w:r>
      <w:r w:rsidR="003000F0" w:rsidRPr="009D5C1D">
        <w:rPr>
          <w:b/>
          <w:szCs w:val="28"/>
        </w:rPr>
        <w:t>(</w:t>
      </w:r>
      <w:r w:rsidR="00E73425" w:rsidRPr="009D5C1D">
        <w:rPr>
          <w:b/>
          <w:szCs w:val="28"/>
        </w:rPr>
        <w:t>anotācija</w:t>
      </w:r>
      <w:r w:rsidR="003000F0" w:rsidRPr="009D5C1D">
        <w:rPr>
          <w:b/>
          <w:szCs w:val="28"/>
        </w:rPr>
        <w:t>)</w:t>
      </w: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2551"/>
        <w:gridCol w:w="6237"/>
      </w:tblGrid>
      <w:tr w:rsidR="00A31FDC" w:rsidRPr="00814B24" w:rsidTr="00F90307">
        <w:trPr>
          <w:trHeight w:val="141"/>
        </w:trPr>
        <w:tc>
          <w:tcPr>
            <w:tcW w:w="9087" w:type="dxa"/>
            <w:gridSpan w:val="3"/>
            <w:tcBorders>
              <w:top w:val="thickThinLargeGap" w:sz="6" w:space="0" w:color="C0C0C0"/>
              <w:left w:val="thickThinLargeGap" w:sz="6" w:space="0" w:color="C0C0C0"/>
              <w:bottom w:val="thickThinLargeGap" w:sz="6" w:space="0" w:color="C0C0C0"/>
              <w:right w:val="thickThinLargeGap" w:sz="6" w:space="0" w:color="C0C0C0"/>
            </w:tcBorders>
          </w:tcPr>
          <w:bookmarkEnd w:id="0"/>
          <w:bookmarkEnd w:id="1"/>
          <w:bookmarkEnd w:id="2"/>
          <w:p w:rsidR="00A31FDC" w:rsidRPr="009D5C1D" w:rsidRDefault="00A31FDC" w:rsidP="00055BC8">
            <w:pPr>
              <w:ind w:firstLine="720"/>
              <w:jc w:val="both"/>
              <w:rPr>
                <w:rFonts w:eastAsia="Times New Roman"/>
                <w:b/>
                <w:sz w:val="28"/>
                <w:szCs w:val="28"/>
                <w:lang w:val="lv-LV" w:eastAsia="lv-LV"/>
              </w:rPr>
            </w:pPr>
            <w:r w:rsidRPr="009D5C1D">
              <w:rPr>
                <w:rFonts w:eastAsia="Times New Roman"/>
                <w:b/>
                <w:sz w:val="28"/>
                <w:szCs w:val="28"/>
                <w:lang w:val="lv-LV" w:eastAsia="lv-LV"/>
              </w:rPr>
              <w:t>I.</w:t>
            </w:r>
            <w:r w:rsidR="00055BC8">
              <w:rPr>
                <w:rFonts w:eastAsia="Times New Roman"/>
                <w:b/>
                <w:sz w:val="28"/>
                <w:szCs w:val="28"/>
                <w:lang w:val="lv-LV" w:eastAsia="lv-LV"/>
              </w:rPr>
              <w:t xml:space="preserve"> </w:t>
            </w:r>
            <w:r w:rsidRPr="009D5C1D">
              <w:rPr>
                <w:rFonts w:eastAsia="Times New Roman"/>
                <w:b/>
                <w:sz w:val="28"/>
                <w:szCs w:val="28"/>
                <w:lang w:val="lv-LV" w:eastAsia="lv-LV"/>
              </w:rPr>
              <w:t>Tiesību akta projekta izstrādes nepieciešamība</w:t>
            </w:r>
          </w:p>
        </w:tc>
      </w:tr>
      <w:tr w:rsidR="00A31FDC" w:rsidRPr="00814B24" w:rsidTr="00A31FDC">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9D5C1D" w:rsidRDefault="00A31FDC" w:rsidP="00055BC8">
            <w:pPr>
              <w:jc w:val="both"/>
              <w:rPr>
                <w:rFonts w:eastAsia="Times New Roman"/>
                <w:sz w:val="28"/>
                <w:szCs w:val="28"/>
                <w:lang w:val="lv-LV" w:eastAsia="lv-LV"/>
              </w:rPr>
            </w:pPr>
            <w:r w:rsidRPr="009D5C1D">
              <w:rPr>
                <w:rFonts w:eastAsia="Times New Roman"/>
                <w:sz w:val="28"/>
                <w:szCs w:val="28"/>
                <w:lang w:val="lv-LV" w:eastAsia="lv-LV"/>
              </w:rPr>
              <w:t>1.</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9D5C1D" w:rsidRDefault="00A31FDC" w:rsidP="00055BC8">
            <w:pPr>
              <w:jc w:val="both"/>
              <w:rPr>
                <w:rFonts w:eastAsia="Times New Roman"/>
                <w:sz w:val="28"/>
                <w:szCs w:val="28"/>
                <w:lang w:val="lv-LV" w:eastAsia="lv-LV"/>
              </w:rPr>
            </w:pPr>
            <w:r w:rsidRPr="009D5C1D">
              <w:rPr>
                <w:rFonts w:eastAsia="Times New Roman"/>
                <w:sz w:val="28"/>
                <w:szCs w:val="28"/>
                <w:lang w:val="lv-LV" w:eastAsia="lv-LV"/>
              </w:rPr>
              <w:t>Pamatojums</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814B24" w:rsidRDefault="0001626D" w:rsidP="00055BC8">
            <w:pPr>
              <w:ind w:firstLine="709"/>
              <w:jc w:val="both"/>
              <w:rPr>
                <w:rFonts w:eastAsia="Times New Roman"/>
                <w:sz w:val="28"/>
                <w:szCs w:val="28"/>
                <w:lang w:val="lv-LV" w:eastAsia="lv-LV"/>
              </w:rPr>
            </w:pPr>
            <w:r w:rsidRPr="009D5C1D">
              <w:rPr>
                <w:sz w:val="28"/>
                <w:szCs w:val="28"/>
                <w:lang w:val="lv-LV"/>
              </w:rPr>
              <w:t xml:space="preserve">Noteikumu projekts sagatavots, pamatojoties uz Eiropas Savienības struktūrfondu un </w:t>
            </w:r>
            <w:r w:rsidRPr="009D5C1D">
              <w:rPr>
                <w:sz w:val="28"/>
                <w:szCs w:val="28"/>
                <w:lang w:val="lv-LV"/>
              </w:rPr>
              <w:br/>
              <w:t xml:space="preserve">Kohēzijas fonda vadības likuma </w:t>
            </w:r>
            <w:r w:rsidRPr="009D5C1D">
              <w:rPr>
                <w:sz w:val="28"/>
                <w:szCs w:val="28"/>
                <w:lang w:val="lv-LV"/>
              </w:rPr>
              <w:br/>
              <w:t>18.panta 10.punktu.</w:t>
            </w:r>
          </w:p>
        </w:tc>
      </w:tr>
      <w:tr w:rsidR="00A31FDC" w:rsidRPr="00055BC8" w:rsidTr="00347801">
        <w:trPr>
          <w:trHeight w:val="316"/>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055BC8" w:rsidRDefault="00A31FDC" w:rsidP="00055BC8">
            <w:pPr>
              <w:jc w:val="both"/>
              <w:rPr>
                <w:rFonts w:eastAsia="Times New Roman"/>
                <w:sz w:val="28"/>
                <w:szCs w:val="28"/>
                <w:lang w:val="lv-LV" w:eastAsia="lv-LV"/>
              </w:rPr>
            </w:pPr>
            <w:r w:rsidRPr="00055BC8">
              <w:rPr>
                <w:rFonts w:eastAsia="Times New Roman"/>
                <w:sz w:val="28"/>
                <w:szCs w:val="28"/>
                <w:lang w:val="lv-LV" w:eastAsia="lv-LV"/>
              </w:rPr>
              <w:t>2.</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055BC8" w:rsidRDefault="00A31FDC" w:rsidP="00055BC8">
            <w:pPr>
              <w:jc w:val="both"/>
              <w:rPr>
                <w:rFonts w:eastAsia="Times New Roman"/>
                <w:sz w:val="28"/>
                <w:szCs w:val="28"/>
                <w:lang w:val="lv-LV" w:eastAsia="lv-LV"/>
              </w:rPr>
            </w:pPr>
            <w:r w:rsidRPr="00055BC8">
              <w:rPr>
                <w:rFonts w:eastAsia="Times New Roman"/>
                <w:sz w:val="28"/>
                <w:szCs w:val="28"/>
                <w:lang w:val="lv-LV" w:eastAsia="lv-LV"/>
              </w:rPr>
              <w:t>Pašreizējā situācija un problēmas</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B26217" w:rsidRPr="00055BC8" w:rsidRDefault="00652901" w:rsidP="00055BC8">
            <w:pPr>
              <w:ind w:firstLine="709"/>
              <w:jc w:val="both"/>
              <w:rPr>
                <w:bCs/>
                <w:sz w:val="28"/>
                <w:szCs w:val="28"/>
                <w:lang w:val="lv-LV"/>
              </w:rPr>
            </w:pPr>
            <w:r w:rsidRPr="00055BC8">
              <w:rPr>
                <w:bCs/>
                <w:sz w:val="28"/>
                <w:szCs w:val="28"/>
                <w:lang w:val="lv-LV"/>
              </w:rPr>
              <w:t>Ministru kabineta 2009.gada 17.februāra noteikumos Nr.162 „Noteikumi par darbības programmas „Infrastruktūra un pakalpojumi” papildinājuma 3.5.2.1.1.apakšaktivitāt</w:t>
            </w:r>
            <w:r w:rsidR="00DB352E" w:rsidRPr="00055BC8">
              <w:rPr>
                <w:bCs/>
                <w:sz w:val="28"/>
                <w:szCs w:val="28"/>
                <w:lang w:val="lv-LV"/>
              </w:rPr>
              <w:t>es</w:t>
            </w:r>
            <w:r w:rsidRPr="00055BC8">
              <w:rPr>
                <w:bCs/>
                <w:sz w:val="28"/>
                <w:szCs w:val="28"/>
                <w:lang w:val="lv-LV"/>
              </w:rPr>
              <w:t xml:space="preserve"> „Pasākumi centralizētās siltumapgādes sistēmu efektivitātes paaugstināšanai”</w:t>
            </w:r>
            <w:r w:rsidR="00DB352E" w:rsidRPr="00055BC8">
              <w:rPr>
                <w:bCs/>
                <w:sz w:val="28"/>
                <w:szCs w:val="28"/>
                <w:lang w:val="lv-LV"/>
              </w:rPr>
              <w:t xml:space="preserve"> projektu iesniegumu atlases pirmo kārtu</w:t>
            </w:r>
            <w:r w:rsidRPr="00055BC8">
              <w:rPr>
                <w:bCs/>
                <w:sz w:val="28"/>
                <w:szCs w:val="28"/>
                <w:lang w:val="lv-LV"/>
              </w:rPr>
              <w:t>” ir noteikts, ka darbības programmas „Infrastruktūra un pakalpojumi” papildinājuma 3.5.2.1.1.apakšaktivitātes „Pasākumi centralizētās siltumapgādes sistēmu efektivitātes paaugstināšanai”</w:t>
            </w:r>
            <w:r w:rsidR="009E7E9F" w:rsidRPr="00055BC8">
              <w:rPr>
                <w:bCs/>
                <w:sz w:val="28"/>
                <w:szCs w:val="28"/>
                <w:lang w:val="lv-LV"/>
              </w:rPr>
              <w:t xml:space="preserve"> (</w:t>
            </w:r>
            <w:r w:rsidRPr="00055BC8">
              <w:rPr>
                <w:bCs/>
                <w:sz w:val="28"/>
                <w:szCs w:val="28"/>
                <w:lang w:val="lv-LV"/>
              </w:rPr>
              <w:t xml:space="preserve">turpmāk – 3.5.2.1.1.apakšaktivitāte) projektu iesniegumu atlases pirmajā kārtā pieejamais Kohēzijas fonda (turpmāk – KF) finansējums ir 6 498 733 lati. </w:t>
            </w:r>
            <w:r w:rsidR="00B26217" w:rsidRPr="00055BC8">
              <w:rPr>
                <w:bCs/>
                <w:sz w:val="28"/>
                <w:szCs w:val="28"/>
                <w:lang w:val="lv-LV"/>
              </w:rPr>
              <w:t xml:space="preserve">Ministru kabineta 2010.gada 31.augusta noteikumos Nr.824 „Noteikumi par darbības programmas „Infrastruktūra un pakalpojumi” papildinājuma 3.5.2.1.1.apakšaktivitātes „Pasākumi centralizētās siltumapgādes sistēmu efektivitātes paaugstināšanai” projektu iesniegumu atlases otro kārtu un turpmākajām kārtām”” </w:t>
            </w:r>
            <w:r w:rsidR="009E7E9F" w:rsidRPr="00055BC8">
              <w:rPr>
                <w:bCs/>
                <w:sz w:val="28"/>
                <w:szCs w:val="28"/>
                <w:lang w:val="lv-LV"/>
              </w:rPr>
              <w:t xml:space="preserve">(turpmāk – MK noteikumi Nr.824) </w:t>
            </w:r>
            <w:r w:rsidR="00B26217" w:rsidRPr="00055BC8">
              <w:rPr>
                <w:bCs/>
                <w:sz w:val="28"/>
                <w:szCs w:val="28"/>
                <w:lang w:val="lv-LV"/>
              </w:rPr>
              <w:t xml:space="preserve">ir noteikts, ka 3.5.2.1.1.apakšaktivitātes </w:t>
            </w:r>
            <w:r w:rsidRPr="00055BC8">
              <w:rPr>
                <w:bCs/>
                <w:sz w:val="28"/>
                <w:szCs w:val="28"/>
                <w:lang w:val="lv-LV"/>
              </w:rPr>
              <w:t xml:space="preserve">projektu iesniegumu atlases otrās un turpmāko kārtu </w:t>
            </w:r>
            <w:r w:rsidR="00B26217" w:rsidRPr="00055BC8">
              <w:rPr>
                <w:bCs/>
                <w:sz w:val="28"/>
                <w:szCs w:val="28"/>
                <w:lang w:val="lv-LV"/>
              </w:rPr>
              <w:t>ietvaros pieejamais</w:t>
            </w:r>
            <w:r w:rsidR="009E7E9F" w:rsidRPr="00055BC8">
              <w:rPr>
                <w:bCs/>
                <w:sz w:val="28"/>
                <w:szCs w:val="28"/>
                <w:lang w:val="lv-LV"/>
              </w:rPr>
              <w:t xml:space="preserve"> KF</w:t>
            </w:r>
            <w:r w:rsidR="00B26217" w:rsidRPr="00055BC8">
              <w:rPr>
                <w:bCs/>
                <w:sz w:val="28"/>
                <w:szCs w:val="28"/>
                <w:lang w:val="lv-LV"/>
              </w:rPr>
              <w:t xml:space="preserve"> finansējums ir 48 247 476 lati</w:t>
            </w:r>
            <w:r w:rsidR="009E7E9F" w:rsidRPr="00055BC8">
              <w:rPr>
                <w:bCs/>
                <w:sz w:val="28"/>
                <w:szCs w:val="28"/>
                <w:lang w:val="lv-LV"/>
              </w:rPr>
              <w:t>. Tādējādi k</w:t>
            </w:r>
            <w:r w:rsidRPr="00055BC8">
              <w:rPr>
                <w:bCs/>
                <w:sz w:val="28"/>
                <w:szCs w:val="28"/>
                <w:lang w:val="lv-LV"/>
              </w:rPr>
              <w:t>opējais KF finansējums 3.5.2.1.1.apakšaktivitātē ir 54 746 209 lati.</w:t>
            </w:r>
          </w:p>
          <w:p w:rsidR="00B26217" w:rsidRPr="00055BC8" w:rsidRDefault="00B26217" w:rsidP="00055BC8">
            <w:pPr>
              <w:ind w:firstLine="709"/>
              <w:jc w:val="both"/>
              <w:rPr>
                <w:bCs/>
                <w:sz w:val="28"/>
                <w:szCs w:val="28"/>
                <w:lang w:val="lv-LV"/>
              </w:rPr>
            </w:pPr>
            <w:r w:rsidRPr="00055BC8">
              <w:rPr>
                <w:bCs/>
                <w:sz w:val="28"/>
                <w:szCs w:val="28"/>
                <w:lang w:val="lv-LV"/>
              </w:rPr>
              <w:t xml:space="preserve">Saskaņā ar Ministru kabineta 2012.gada 8.maija sēdēs protokola Nr.25 </w:t>
            </w:r>
            <w:bookmarkStart w:id="5" w:name="26"/>
            <w:r w:rsidRPr="00055BC8">
              <w:rPr>
                <w:bCs/>
                <w:sz w:val="28"/>
                <w:szCs w:val="28"/>
                <w:lang w:val="lv-LV"/>
              </w:rPr>
              <w:t>26.§</w:t>
            </w:r>
            <w:bookmarkEnd w:id="5"/>
            <w:r w:rsidRPr="00055BC8">
              <w:rPr>
                <w:bCs/>
                <w:sz w:val="28"/>
                <w:szCs w:val="28"/>
                <w:lang w:val="lv-LV"/>
              </w:rPr>
              <w:t xml:space="preserve"> 7.punktu atbrīvotais finansējums, sākot ar šī </w:t>
            </w:r>
            <w:proofErr w:type="spellStart"/>
            <w:r w:rsidRPr="00055BC8">
              <w:rPr>
                <w:bCs/>
                <w:sz w:val="28"/>
                <w:szCs w:val="28"/>
                <w:lang w:val="lv-LV"/>
              </w:rPr>
              <w:t>protokollēmuma</w:t>
            </w:r>
            <w:proofErr w:type="spellEnd"/>
            <w:r w:rsidRPr="00055BC8">
              <w:rPr>
                <w:bCs/>
                <w:sz w:val="28"/>
                <w:szCs w:val="28"/>
                <w:lang w:val="lv-LV"/>
              </w:rPr>
              <w:t xml:space="preserve"> pieņemšanas </w:t>
            </w:r>
            <w:r w:rsidRPr="00055BC8">
              <w:rPr>
                <w:bCs/>
                <w:sz w:val="28"/>
                <w:szCs w:val="28"/>
                <w:lang w:val="lv-LV"/>
              </w:rPr>
              <w:lastRenderedPageBreak/>
              <w:t>brīdi, neatbilstoši veikto izdevumu</w:t>
            </w:r>
            <w:r w:rsidR="00AB644F" w:rsidRPr="00055BC8">
              <w:rPr>
                <w:bCs/>
                <w:sz w:val="28"/>
                <w:szCs w:val="28"/>
                <w:lang w:val="lv-LV"/>
              </w:rPr>
              <w:t xml:space="preserve"> un lauzto līgumu</w:t>
            </w:r>
            <w:r w:rsidRPr="00055BC8">
              <w:rPr>
                <w:bCs/>
                <w:sz w:val="28"/>
                <w:szCs w:val="28"/>
                <w:lang w:val="lv-LV"/>
              </w:rPr>
              <w:t xml:space="preserve"> apmērā nevar tikt novirzīts citu ES fonda projektu īstenošanai, ja ES fonda prioritātes ietvaros kādā no aktivitātēm ir uzņemtas </w:t>
            </w:r>
            <w:proofErr w:type="spellStart"/>
            <w:r w:rsidRPr="00055BC8">
              <w:rPr>
                <w:bCs/>
                <w:sz w:val="28"/>
                <w:szCs w:val="28"/>
                <w:lang w:val="lv-LV"/>
              </w:rPr>
              <w:t>virssaistības</w:t>
            </w:r>
            <w:proofErr w:type="spellEnd"/>
            <w:r w:rsidRPr="00055BC8">
              <w:rPr>
                <w:bCs/>
                <w:sz w:val="28"/>
                <w:szCs w:val="28"/>
                <w:lang w:val="lv-LV"/>
              </w:rPr>
              <w:t xml:space="preserve"> un kādā šīs prioritātes projektā ir konstatēta neatbilstība vai tiek lauzts līgums. Uz 201</w:t>
            </w:r>
            <w:r w:rsidR="003934EB" w:rsidRPr="00055BC8">
              <w:rPr>
                <w:bCs/>
                <w:sz w:val="28"/>
                <w:szCs w:val="28"/>
                <w:lang w:val="lv-LV"/>
              </w:rPr>
              <w:t>3</w:t>
            </w:r>
            <w:r w:rsidRPr="00055BC8">
              <w:rPr>
                <w:bCs/>
                <w:sz w:val="28"/>
                <w:szCs w:val="28"/>
                <w:lang w:val="lv-LV"/>
              </w:rPr>
              <w:t xml:space="preserve">.gada </w:t>
            </w:r>
            <w:r w:rsidR="003934EB" w:rsidRPr="00055BC8">
              <w:rPr>
                <w:bCs/>
                <w:sz w:val="28"/>
                <w:szCs w:val="28"/>
                <w:lang w:val="lv-LV"/>
              </w:rPr>
              <w:t>1</w:t>
            </w:r>
            <w:r w:rsidRPr="00055BC8">
              <w:rPr>
                <w:bCs/>
                <w:sz w:val="28"/>
                <w:szCs w:val="28"/>
                <w:lang w:val="lv-LV"/>
              </w:rPr>
              <w:t>.</w:t>
            </w:r>
            <w:r w:rsidR="003934EB" w:rsidRPr="00055BC8">
              <w:rPr>
                <w:bCs/>
                <w:sz w:val="28"/>
                <w:szCs w:val="28"/>
                <w:lang w:val="lv-LV"/>
              </w:rPr>
              <w:t>februāri</w:t>
            </w:r>
            <w:r w:rsidRPr="00055BC8">
              <w:rPr>
                <w:bCs/>
                <w:sz w:val="28"/>
                <w:szCs w:val="28"/>
                <w:lang w:val="lv-LV"/>
              </w:rPr>
              <w:t xml:space="preserve"> 3.5.2.1.1.apakšaktivitātē rezervētais KF finansējums (apstiprinātie projekti, noslēgtie līgumi, pabeigtie projekti projektu iesniegumu atlases pirmajā, otrajā</w:t>
            </w:r>
            <w:r w:rsidR="003934EB" w:rsidRPr="00055BC8">
              <w:rPr>
                <w:bCs/>
                <w:sz w:val="28"/>
                <w:szCs w:val="28"/>
                <w:lang w:val="lv-LV"/>
              </w:rPr>
              <w:t>, trešajā</w:t>
            </w:r>
            <w:r w:rsidRPr="00055BC8">
              <w:rPr>
                <w:bCs/>
                <w:sz w:val="28"/>
                <w:szCs w:val="28"/>
                <w:lang w:val="lv-LV"/>
              </w:rPr>
              <w:t xml:space="preserve"> un </w:t>
            </w:r>
            <w:r w:rsidR="003934EB" w:rsidRPr="00055BC8">
              <w:rPr>
                <w:bCs/>
                <w:sz w:val="28"/>
                <w:szCs w:val="28"/>
                <w:lang w:val="lv-LV"/>
              </w:rPr>
              <w:t xml:space="preserve">ceturtajā </w:t>
            </w:r>
            <w:r w:rsidRPr="00055BC8">
              <w:rPr>
                <w:bCs/>
                <w:sz w:val="28"/>
                <w:szCs w:val="28"/>
                <w:lang w:val="lv-LV"/>
              </w:rPr>
              <w:t xml:space="preserve">kārtā) kopā </w:t>
            </w:r>
            <w:r w:rsidR="003934EB" w:rsidRPr="00055BC8">
              <w:rPr>
                <w:bCs/>
                <w:sz w:val="28"/>
                <w:szCs w:val="28"/>
                <w:lang w:val="lv-LV"/>
              </w:rPr>
              <w:t>ir</w:t>
            </w:r>
            <w:r w:rsidRPr="00055BC8">
              <w:rPr>
                <w:bCs/>
                <w:sz w:val="28"/>
                <w:szCs w:val="28"/>
                <w:lang w:val="lv-LV"/>
              </w:rPr>
              <w:t xml:space="preserve"> </w:t>
            </w:r>
            <w:r w:rsidR="003934EB" w:rsidRPr="00055BC8">
              <w:rPr>
                <w:bCs/>
                <w:sz w:val="28"/>
                <w:szCs w:val="28"/>
                <w:lang w:val="lv-LV"/>
              </w:rPr>
              <w:t>49 994 210,27</w:t>
            </w:r>
            <w:r w:rsidRPr="00055BC8">
              <w:rPr>
                <w:bCs/>
                <w:sz w:val="28"/>
                <w:szCs w:val="28"/>
                <w:lang w:val="lv-LV"/>
              </w:rPr>
              <w:t xml:space="preserve"> lati</w:t>
            </w:r>
            <w:r w:rsidR="00EC11BD" w:rsidRPr="00055BC8">
              <w:rPr>
                <w:bCs/>
                <w:sz w:val="28"/>
                <w:szCs w:val="28"/>
                <w:lang w:val="lv-LV"/>
              </w:rPr>
              <w:t xml:space="preserve">, </w:t>
            </w:r>
            <w:r w:rsidR="003934EB" w:rsidRPr="00055BC8">
              <w:rPr>
                <w:bCs/>
                <w:sz w:val="28"/>
                <w:szCs w:val="28"/>
                <w:lang w:val="lv-LV"/>
              </w:rPr>
              <w:t>kā arī neatbilstību un lauzto līgumu KF finansējuma apjoms, kas ir fiksēts laika posmā no 08.05.2012. līdz 01.02.2013. ir 328 459,35 lati</w:t>
            </w:r>
            <w:r w:rsidRPr="00055BC8">
              <w:rPr>
                <w:bCs/>
                <w:sz w:val="28"/>
                <w:szCs w:val="28"/>
                <w:lang w:val="lv-LV"/>
              </w:rPr>
              <w:t>.</w:t>
            </w:r>
          </w:p>
          <w:p w:rsidR="009A57E0" w:rsidRPr="00055BC8" w:rsidRDefault="009A57E0" w:rsidP="00055BC8">
            <w:pPr>
              <w:ind w:firstLine="709"/>
              <w:jc w:val="both"/>
              <w:rPr>
                <w:bCs/>
                <w:sz w:val="28"/>
                <w:szCs w:val="28"/>
                <w:lang w:val="lv-LV"/>
              </w:rPr>
            </w:pPr>
            <w:r w:rsidRPr="00055BC8">
              <w:rPr>
                <w:bCs/>
                <w:sz w:val="28"/>
                <w:szCs w:val="28"/>
                <w:lang w:val="lv-LV"/>
              </w:rPr>
              <w:t>Ministru kabineta 201</w:t>
            </w:r>
            <w:r w:rsidR="00280806" w:rsidRPr="00055BC8">
              <w:rPr>
                <w:bCs/>
                <w:sz w:val="28"/>
                <w:szCs w:val="28"/>
                <w:lang w:val="lv-LV"/>
              </w:rPr>
              <w:t>1</w:t>
            </w:r>
            <w:r w:rsidRPr="00055BC8">
              <w:rPr>
                <w:bCs/>
                <w:sz w:val="28"/>
                <w:szCs w:val="28"/>
                <w:lang w:val="lv-LV"/>
              </w:rPr>
              <w:t xml:space="preserve">.gada 11.oktobra noteikumos Nr.796 „Noteikumi par darbības programmas „Infrastruktūra un pakalpojumi” papildinājuma 3.5.2.1.2.apakšaktivitāti „Pasākumi uzņēmumu siltumapgādes sistēmu efektivitātes paaugstināšanai”” (turpmāk – MK noteikumi Nr.796) ir noteikts, ka </w:t>
            </w:r>
            <w:r w:rsidR="00B26217" w:rsidRPr="00055BC8">
              <w:rPr>
                <w:bCs/>
                <w:sz w:val="28"/>
                <w:szCs w:val="28"/>
                <w:lang w:val="lv-LV"/>
              </w:rPr>
              <w:t xml:space="preserve">darbības programmas „Infrastruktūra un pakalpojumi” </w:t>
            </w:r>
            <w:r w:rsidRPr="00055BC8">
              <w:rPr>
                <w:bCs/>
                <w:sz w:val="28"/>
                <w:szCs w:val="28"/>
                <w:lang w:val="lv-LV"/>
              </w:rPr>
              <w:t>3.5.2.1.2.apakšaktivitātē „Pasākumi uzņēmumu siltumapgādes sistēmu efektivitātes paaugstināšanai” (turpmāk – 3.5.2.1.2.apakšaktivitāte) pieejamais KF finansējums ir 584 389,95</w:t>
            </w:r>
            <w:r w:rsidR="00502CD4" w:rsidRPr="00055BC8">
              <w:rPr>
                <w:bCs/>
                <w:sz w:val="28"/>
                <w:szCs w:val="28"/>
                <w:lang w:val="lv-LV"/>
              </w:rPr>
              <w:t xml:space="preserve"> lati. </w:t>
            </w:r>
            <w:r w:rsidR="00B26217" w:rsidRPr="00055BC8">
              <w:rPr>
                <w:bCs/>
                <w:sz w:val="28"/>
                <w:szCs w:val="28"/>
                <w:lang w:val="lv-LV"/>
              </w:rPr>
              <w:t>3.5.2.1.2.apakšaktivitātes izsludinātās projektu iesniegumu atlases (01.12.2011.-01.02.2012.) ietvaros bija neliels pieprasījums un netika apstiprināts neviens projekts.</w:t>
            </w:r>
          </w:p>
          <w:p w:rsidR="003934EB" w:rsidRPr="00055BC8" w:rsidRDefault="009839B3" w:rsidP="00055BC8">
            <w:pPr>
              <w:ind w:firstLine="709"/>
              <w:jc w:val="both"/>
              <w:rPr>
                <w:bCs/>
                <w:sz w:val="28"/>
                <w:szCs w:val="28"/>
                <w:lang w:val="lv-LV"/>
              </w:rPr>
            </w:pPr>
            <w:r w:rsidRPr="00055BC8">
              <w:rPr>
                <w:bCs/>
                <w:sz w:val="28"/>
                <w:szCs w:val="28"/>
                <w:lang w:val="lv-LV"/>
              </w:rPr>
              <w:t xml:space="preserve">Ņemot vērā nepieciešamību veikt investīcijas centralizēto siltumapgādes sistēmu efektivitātes paaugstināšanai 3.5.2.1.1.apakšaktivitātes ietvaros (Latvijas </w:t>
            </w:r>
            <w:proofErr w:type="spellStart"/>
            <w:r w:rsidR="00DA1A7B" w:rsidRPr="00055BC8">
              <w:rPr>
                <w:bCs/>
                <w:sz w:val="28"/>
                <w:szCs w:val="28"/>
                <w:lang w:val="lv-LV"/>
              </w:rPr>
              <w:t>S</w:t>
            </w:r>
            <w:r w:rsidRPr="00055BC8">
              <w:rPr>
                <w:bCs/>
                <w:sz w:val="28"/>
                <w:szCs w:val="28"/>
                <w:lang w:val="lv-LV"/>
              </w:rPr>
              <w:t>iltumuzņēmumu</w:t>
            </w:r>
            <w:proofErr w:type="spellEnd"/>
            <w:r w:rsidRPr="00055BC8">
              <w:rPr>
                <w:bCs/>
                <w:sz w:val="28"/>
                <w:szCs w:val="28"/>
                <w:lang w:val="lv-LV"/>
              </w:rPr>
              <w:t xml:space="preserve"> asociācija</w:t>
            </w:r>
            <w:r w:rsidR="003934EB" w:rsidRPr="00055BC8">
              <w:rPr>
                <w:bCs/>
                <w:sz w:val="28"/>
                <w:szCs w:val="28"/>
                <w:lang w:val="lv-LV"/>
              </w:rPr>
              <w:t xml:space="preserve"> 15.01.2013. ir elektroniski informējusi Ekonomikas ministriju par potenciālajiem projektu iesniedzējiem. 8 siltumapgādes uzņēmumi ir apliecinājuši gatavību īstenot projektus, kuru kopējo izmaksu apjoms ir 10,49 </w:t>
            </w:r>
            <w:proofErr w:type="spellStart"/>
            <w:r w:rsidR="003934EB" w:rsidRPr="00055BC8">
              <w:rPr>
                <w:bCs/>
                <w:sz w:val="28"/>
                <w:szCs w:val="28"/>
                <w:lang w:val="lv-LV"/>
              </w:rPr>
              <w:t>mlj</w:t>
            </w:r>
            <w:proofErr w:type="spellEnd"/>
            <w:r w:rsidR="003934EB" w:rsidRPr="00055BC8">
              <w:rPr>
                <w:bCs/>
                <w:sz w:val="28"/>
                <w:szCs w:val="28"/>
                <w:lang w:val="lv-LV"/>
              </w:rPr>
              <w:t>. latu.</w:t>
            </w:r>
            <w:r w:rsidRPr="00055BC8">
              <w:rPr>
                <w:bCs/>
                <w:sz w:val="28"/>
                <w:szCs w:val="28"/>
                <w:lang w:val="lv-LV"/>
              </w:rPr>
              <w:t xml:space="preserve">), jāveic finansējuma pārdale no </w:t>
            </w:r>
            <w:r w:rsidR="00056DE2" w:rsidRPr="00055BC8">
              <w:rPr>
                <w:bCs/>
                <w:sz w:val="28"/>
                <w:szCs w:val="28"/>
                <w:lang w:val="lv-LV"/>
              </w:rPr>
              <w:t xml:space="preserve">3.5.2.1.2.apakšaktivitātes </w:t>
            </w:r>
            <w:r w:rsidRPr="00055BC8">
              <w:rPr>
                <w:bCs/>
                <w:sz w:val="28"/>
                <w:szCs w:val="28"/>
                <w:lang w:val="lv-LV"/>
              </w:rPr>
              <w:t>uz 3.5.2.1.1.apakšaktivitāti par KF finansējumu 584 389,95 LVL.</w:t>
            </w:r>
          </w:p>
          <w:p w:rsidR="003934EB" w:rsidRPr="00055BC8" w:rsidRDefault="003934EB" w:rsidP="00055BC8">
            <w:pPr>
              <w:ind w:firstLine="709"/>
              <w:jc w:val="both"/>
              <w:rPr>
                <w:bCs/>
                <w:sz w:val="28"/>
                <w:szCs w:val="28"/>
                <w:lang w:val="lv-LV"/>
              </w:rPr>
            </w:pPr>
            <w:r w:rsidRPr="00055BC8">
              <w:rPr>
                <w:bCs/>
                <w:sz w:val="28"/>
                <w:szCs w:val="28"/>
                <w:lang w:val="lv-LV"/>
              </w:rPr>
              <w:t xml:space="preserve">Norādām, ka 3.5.2.1.2.apakšaktivitātes ietvaros finansējums paredzēts atjaunojamos energoresursus </w:t>
            </w:r>
            <w:r w:rsidRPr="00055BC8">
              <w:rPr>
                <w:bCs/>
                <w:sz w:val="28"/>
                <w:szCs w:val="28"/>
                <w:lang w:val="lv-LV"/>
              </w:rPr>
              <w:lastRenderedPageBreak/>
              <w:t xml:space="preserve">izmantojošām siltumenerģijas ražošanas tehnoloģiskajām iekārtām, kuru plānotā siltuma jauda ir lielāka par 3 MW, kā arī projekta iesniedzējam ir jāpierāda, ka iepriekšējā pārskata gadā tas ir patērējis siltumenerģiju vismaz 20 000 </w:t>
            </w:r>
            <w:proofErr w:type="spellStart"/>
            <w:r w:rsidRPr="00055BC8">
              <w:rPr>
                <w:bCs/>
                <w:sz w:val="28"/>
                <w:szCs w:val="28"/>
                <w:lang w:val="lv-LV"/>
              </w:rPr>
              <w:t>MWh</w:t>
            </w:r>
            <w:proofErr w:type="spellEnd"/>
            <w:r w:rsidRPr="00055BC8">
              <w:rPr>
                <w:bCs/>
                <w:sz w:val="28"/>
                <w:szCs w:val="28"/>
                <w:lang w:val="lv-LV"/>
              </w:rPr>
              <w:t xml:space="preserve"> apjomā. Minētie ierobežojumi noteikti, lai tiktu nodrošināta demarkācija ar Vides aizsardzības un reģionālās attīstības ministrijas administrētajiem finanšu instrumentiem un ES fondu līdzekļi tiktu izmantoti efektīvi un piešķirti uzņēmumiem ar esošu </w:t>
            </w:r>
            <w:proofErr w:type="spellStart"/>
            <w:r w:rsidRPr="00055BC8">
              <w:rPr>
                <w:bCs/>
                <w:sz w:val="28"/>
                <w:szCs w:val="28"/>
                <w:lang w:val="lv-LV"/>
              </w:rPr>
              <w:t>siltumpatēriņu</w:t>
            </w:r>
            <w:proofErr w:type="spellEnd"/>
            <w:r w:rsidRPr="00055BC8">
              <w:rPr>
                <w:bCs/>
                <w:sz w:val="28"/>
                <w:szCs w:val="28"/>
                <w:lang w:val="lv-LV"/>
              </w:rPr>
              <w:t>. Latvijas teritorijā industriālo ražotāju skaits, kuri atbilst minētajām prasībām, ir neliels. Izvērtējot iemeslus nelielajam pieprasījumam 3.5.2.1.2.apakšaktivitātes izsludinātajā projektu iesniegumu atlasē, Ekonomikas ministrija secināja, ka daļa no potenciālajiem projektu iesniedzējiem neiesniedza projektus, jo ražošanas nodrošināšanai ir nepieciešamas ļoti augstas temperatūras, kuras var sasniegt, izmantojot kā kurināmo gāzi, nevis atjaunojamo kurināmo, kā arī daļai industriālajiem ražotājiem nav nepieciešamas investīcijas atbilstoši 3.5.2.1.2.apakšaktivitātes mērķim, jo jau šobrīd tiek izmantotas efektīvas siltumenerģijas ražošanas iekārtas vai arī siltumenerģija tiek iepirkta, kas attiecīgajiem industriālajiem ražotājiem atsevišķos gadījumos ir ekonomiski izdevīgāk. Līdz ar to turpmāk nav plānots izsludināt projektu iesniegumu atlases kārtas 3.5.2.1.2.apakšaktivitātes ietvaros.</w:t>
            </w:r>
          </w:p>
          <w:p w:rsidR="009839B3" w:rsidRPr="00055BC8" w:rsidRDefault="003934EB" w:rsidP="00055BC8">
            <w:pPr>
              <w:ind w:firstLine="709"/>
              <w:jc w:val="both"/>
              <w:rPr>
                <w:bCs/>
                <w:sz w:val="28"/>
                <w:szCs w:val="28"/>
                <w:lang w:val="lv-LV"/>
              </w:rPr>
            </w:pPr>
            <w:r w:rsidRPr="00055BC8">
              <w:rPr>
                <w:bCs/>
                <w:sz w:val="28"/>
                <w:szCs w:val="28"/>
                <w:lang w:val="lv-LV"/>
              </w:rPr>
              <w:t xml:space="preserve">Finansējuma pārdales rezultātā </w:t>
            </w:r>
            <w:r w:rsidR="009839B3" w:rsidRPr="00055BC8">
              <w:rPr>
                <w:bCs/>
                <w:sz w:val="28"/>
                <w:szCs w:val="28"/>
                <w:lang w:val="lv-LV"/>
              </w:rPr>
              <w:t>3.5.2.1.1.apakšaktivitātes ietvaros kopumā būs pieejam</w:t>
            </w:r>
            <w:r w:rsidRPr="00055BC8">
              <w:rPr>
                <w:bCs/>
                <w:sz w:val="28"/>
                <w:szCs w:val="28"/>
                <w:lang w:val="lv-LV"/>
              </w:rPr>
              <w:t>s KF finansējums</w:t>
            </w:r>
            <w:r w:rsidR="009839B3" w:rsidRPr="00055BC8">
              <w:rPr>
                <w:bCs/>
                <w:sz w:val="28"/>
                <w:szCs w:val="28"/>
                <w:lang w:val="lv-LV"/>
              </w:rPr>
              <w:t xml:space="preserve"> 78 728 350 EUR (55 330 599 lati).</w:t>
            </w:r>
            <w:r w:rsidRPr="00055BC8">
              <w:rPr>
                <w:bCs/>
                <w:sz w:val="28"/>
                <w:szCs w:val="28"/>
                <w:lang w:val="lv-LV"/>
              </w:rPr>
              <w:t xml:space="preserve"> KF finansējuma apmērs, par kādu tiks izsludināta 3.5.2.1.1.apakšaktivitātes projektu iesniegumu atlases piektā kārta, tiks precīzi noteikts uz projektu iesniegumu atlases izsludināšanas brīdi, ņemot vērā projektu iesniegumu atlases pirmajā, otrajā, trešajā un ceturtajā kārtā rezervēto KF finansējumu apstiprinātajiem projektiem, noslēgtajiem līgumiem, pabeigtajiem projektiem, kā arī neatbilstību un lauzto līgumu KF finansējuma apjomu, kas ir fiksēts laika posmā no 08.05.2012.saskaņā ar Ministru </w:t>
            </w:r>
            <w:r w:rsidRPr="00055BC8">
              <w:rPr>
                <w:bCs/>
                <w:sz w:val="28"/>
                <w:szCs w:val="28"/>
                <w:lang w:val="lv-LV"/>
              </w:rPr>
              <w:lastRenderedPageBreak/>
              <w:t>kabineta 2012.gada 8.maija sēdēs protokola Nr.25 26.§ 7.punktu.</w:t>
            </w:r>
          </w:p>
          <w:p w:rsidR="003611ED" w:rsidRPr="00055BC8" w:rsidRDefault="00502CD4" w:rsidP="00055BC8">
            <w:pPr>
              <w:ind w:firstLine="709"/>
              <w:jc w:val="both"/>
              <w:rPr>
                <w:bCs/>
                <w:sz w:val="28"/>
                <w:szCs w:val="28"/>
                <w:lang w:val="lv-LV"/>
              </w:rPr>
            </w:pPr>
            <w:r w:rsidRPr="00055BC8">
              <w:rPr>
                <w:bCs/>
                <w:sz w:val="28"/>
                <w:szCs w:val="28"/>
                <w:lang w:val="lv-LV"/>
              </w:rPr>
              <w:t>MK noteikumu Nr</w:t>
            </w:r>
            <w:r w:rsidR="0077545A" w:rsidRPr="00055BC8">
              <w:rPr>
                <w:bCs/>
                <w:sz w:val="28"/>
                <w:szCs w:val="28"/>
                <w:lang w:val="lv-LV"/>
              </w:rPr>
              <w:t>.</w:t>
            </w:r>
            <w:r w:rsidRPr="00055BC8">
              <w:rPr>
                <w:bCs/>
                <w:sz w:val="28"/>
                <w:szCs w:val="28"/>
                <w:lang w:val="lv-LV"/>
              </w:rPr>
              <w:t>824</w:t>
            </w:r>
            <w:r w:rsidR="00793A6B" w:rsidRPr="00055BC8">
              <w:rPr>
                <w:bCs/>
                <w:sz w:val="28"/>
                <w:szCs w:val="28"/>
                <w:lang w:val="lv-LV"/>
              </w:rPr>
              <w:t xml:space="preserve"> </w:t>
            </w:r>
            <w:r w:rsidR="00CC1AF1" w:rsidRPr="00055BC8">
              <w:rPr>
                <w:bCs/>
                <w:sz w:val="28"/>
                <w:szCs w:val="28"/>
                <w:lang w:val="lv-LV"/>
              </w:rPr>
              <w:t>55.4</w:t>
            </w:r>
            <w:r w:rsidR="00F74809" w:rsidRPr="00055BC8">
              <w:rPr>
                <w:bCs/>
                <w:sz w:val="28"/>
                <w:szCs w:val="28"/>
                <w:lang w:val="lv-LV"/>
              </w:rPr>
              <w:t xml:space="preserve">.apakšpunktā </w:t>
            </w:r>
            <w:r w:rsidR="00793A6B" w:rsidRPr="00055BC8">
              <w:rPr>
                <w:bCs/>
                <w:sz w:val="28"/>
                <w:szCs w:val="28"/>
                <w:lang w:val="lv-LV"/>
              </w:rPr>
              <w:t xml:space="preserve">ir noteikts, ka </w:t>
            </w:r>
            <w:r w:rsidR="00F74809" w:rsidRPr="00055BC8">
              <w:rPr>
                <w:bCs/>
                <w:sz w:val="28"/>
                <w:szCs w:val="28"/>
                <w:lang w:val="lv-LV"/>
              </w:rPr>
              <w:t>finansējuma saņēmējs v</w:t>
            </w:r>
            <w:r w:rsidR="000E02F6" w:rsidRPr="00055BC8">
              <w:rPr>
                <w:bCs/>
                <w:sz w:val="28"/>
                <w:szCs w:val="28"/>
                <w:lang w:val="lv-LV"/>
              </w:rPr>
              <w:t xml:space="preserve">ar saņemt avansa maksājumu, ja </w:t>
            </w:r>
            <w:r w:rsidR="00F74809" w:rsidRPr="00055BC8">
              <w:rPr>
                <w:bCs/>
                <w:sz w:val="28"/>
                <w:szCs w:val="28"/>
                <w:lang w:val="lv-LV"/>
              </w:rPr>
              <w:t>ir iesniedzis sadarbības iestādē bankas garantiju</w:t>
            </w:r>
            <w:r w:rsidR="000E02F6" w:rsidRPr="00055BC8">
              <w:rPr>
                <w:bCs/>
                <w:sz w:val="28"/>
                <w:szCs w:val="28"/>
                <w:lang w:val="lv-LV"/>
              </w:rPr>
              <w:t>, kuras</w:t>
            </w:r>
            <w:r w:rsidR="00F74809" w:rsidRPr="00055BC8">
              <w:rPr>
                <w:bCs/>
                <w:sz w:val="28"/>
                <w:szCs w:val="28"/>
                <w:lang w:val="lv-LV"/>
              </w:rPr>
              <w:t xml:space="preserve"> termiņš nav īsāks par projekta īstenošanas termiņu</w:t>
            </w:r>
            <w:r w:rsidR="000E02F6" w:rsidRPr="00055BC8">
              <w:rPr>
                <w:bCs/>
                <w:sz w:val="28"/>
                <w:szCs w:val="28"/>
                <w:lang w:val="lv-LV"/>
              </w:rPr>
              <w:t>, par avansa summu</w:t>
            </w:r>
            <w:r w:rsidR="00F74809" w:rsidRPr="00055BC8">
              <w:rPr>
                <w:bCs/>
                <w:sz w:val="28"/>
                <w:szCs w:val="28"/>
                <w:lang w:val="lv-LV"/>
              </w:rPr>
              <w:t>.</w:t>
            </w:r>
            <w:r w:rsidR="000E02F6" w:rsidRPr="00055BC8">
              <w:rPr>
                <w:bCs/>
                <w:sz w:val="28"/>
                <w:szCs w:val="28"/>
                <w:lang w:val="lv-LV"/>
              </w:rPr>
              <w:t xml:space="preserve"> Līdz ar to gadījumos, kad valsts aģentūra „Latvijas Investīciju un attīstības aģentūra” (turpmāk – LIAA), izvērtējot noslēguma pārskatu pēc projekta pabeigšanas, konstatē neatbilstības, kā rezultātā finansējuma saņēmējam jāatmaksā saņemtais finans</w:t>
            </w:r>
            <w:r w:rsidR="00720ABC" w:rsidRPr="00055BC8">
              <w:rPr>
                <w:bCs/>
                <w:sz w:val="28"/>
                <w:szCs w:val="28"/>
                <w:lang w:val="lv-LV"/>
              </w:rPr>
              <w:t>ējums, t. sk. avansa maksājums</w:t>
            </w:r>
            <w:r w:rsidR="000E02F6" w:rsidRPr="00055BC8">
              <w:rPr>
                <w:bCs/>
                <w:sz w:val="28"/>
                <w:szCs w:val="28"/>
                <w:lang w:val="lv-LV"/>
              </w:rPr>
              <w:t>, pastāv risks, ka bankas garantija, kas sākotnēji paredzēta tieši avansa maksājuma nodrošinājumam, nav spēkā. Tādējādi LIAA nav garantijas atgūt neatbilstoši veiktos maksājumus. Ņemot vērā iep</w:t>
            </w:r>
            <w:r w:rsidR="005662F5" w:rsidRPr="00055BC8">
              <w:rPr>
                <w:bCs/>
                <w:sz w:val="28"/>
                <w:szCs w:val="28"/>
                <w:lang w:val="lv-LV"/>
              </w:rPr>
              <w:t>riekš minēto, nepieciešams veikt</w:t>
            </w:r>
            <w:r w:rsidR="000E02F6" w:rsidRPr="00055BC8">
              <w:rPr>
                <w:bCs/>
                <w:sz w:val="28"/>
                <w:szCs w:val="28"/>
                <w:lang w:val="lv-LV"/>
              </w:rPr>
              <w:t xml:space="preserve"> grozījumu MK noteikumos Nr.824, nosakot, ka bankas garantijas termiņš ir vismaz divi mēneši pēc līgumā par projekta īstenošanu noteiktā projekta īstenošanas beigu datuma</w:t>
            </w:r>
            <w:r w:rsidR="00731AA9" w:rsidRPr="00055BC8">
              <w:rPr>
                <w:bCs/>
                <w:sz w:val="28"/>
                <w:szCs w:val="28"/>
                <w:lang w:val="lv-LV"/>
              </w:rPr>
              <w:t>.</w:t>
            </w:r>
          </w:p>
        </w:tc>
      </w:tr>
      <w:tr w:rsidR="00A31FDC" w:rsidRPr="00191B2C" w:rsidTr="00A31FDC">
        <w:trPr>
          <w:trHeight w:val="35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9D5C1D" w:rsidRDefault="00A31FDC" w:rsidP="00055BC8">
            <w:pPr>
              <w:jc w:val="both"/>
              <w:rPr>
                <w:rFonts w:eastAsia="Times New Roman"/>
                <w:sz w:val="28"/>
                <w:szCs w:val="28"/>
                <w:lang w:val="lv-LV" w:eastAsia="lv-LV"/>
              </w:rPr>
            </w:pPr>
            <w:r w:rsidRPr="009D5C1D">
              <w:rPr>
                <w:rFonts w:eastAsia="Times New Roman"/>
                <w:sz w:val="28"/>
                <w:szCs w:val="28"/>
                <w:lang w:val="lv-LV" w:eastAsia="lv-LV"/>
              </w:rPr>
              <w:lastRenderedPageBreak/>
              <w:t>3.</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9D5C1D" w:rsidRDefault="00A31FDC" w:rsidP="00055BC8">
            <w:pPr>
              <w:jc w:val="both"/>
              <w:rPr>
                <w:rFonts w:eastAsia="Times New Roman"/>
                <w:sz w:val="28"/>
                <w:szCs w:val="28"/>
                <w:lang w:val="lv-LV" w:eastAsia="lv-LV"/>
              </w:rPr>
            </w:pPr>
            <w:r w:rsidRPr="009D5C1D">
              <w:rPr>
                <w:rFonts w:eastAsia="Times New Roman"/>
                <w:sz w:val="28"/>
                <w:szCs w:val="28"/>
                <w:lang w:val="lv-LV" w:eastAsia="lv-LV"/>
              </w:rPr>
              <w:t>Saistītie politikas ietekmes novērtējumi un pētījumi</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9D5C1D" w:rsidRDefault="00A31FDC" w:rsidP="00055BC8">
            <w:pPr>
              <w:ind w:firstLine="720"/>
              <w:jc w:val="both"/>
              <w:rPr>
                <w:bCs/>
                <w:sz w:val="28"/>
                <w:szCs w:val="28"/>
                <w:lang w:val="lv-LV"/>
              </w:rPr>
            </w:pPr>
            <w:r w:rsidRPr="009D5C1D">
              <w:rPr>
                <w:iCs/>
                <w:sz w:val="28"/>
                <w:szCs w:val="28"/>
                <w:lang w:val="lv-LV"/>
              </w:rPr>
              <w:t>Projekts šo jomu neskar</w:t>
            </w:r>
            <w:r w:rsidR="00652901">
              <w:rPr>
                <w:color w:val="000000"/>
                <w:sz w:val="28"/>
                <w:szCs w:val="28"/>
                <w:lang w:val="lv-LV"/>
              </w:rPr>
              <w:t>.</w:t>
            </w:r>
          </w:p>
        </w:tc>
      </w:tr>
      <w:tr w:rsidR="00A31FDC" w:rsidRPr="00814B24" w:rsidTr="00347801">
        <w:trPr>
          <w:trHeight w:val="1257"/>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9D5C1D" w:rsidRDefault="00A31FDC" w:rsidP="00055BC8">
            <w:pPr>
              <w:jc w:val="both"/>
              <w:rPr>
                <w:rFonts w:eastAsia="Times New Roman"/>
                <w:sz w:val="28"/>
                <w:szCs w:val="28"/>
                <w:lang w:val="lv-LV" w:eastAsia="lv-LV"/>
              </w:rPr>
            </w:pPr>
            <w:r w:rsidRPr="009D5C1D">
              <w:rPr>
                <w:rFonts w:eastAsia="Times New Roman"/>
                <w:sz w:val="28"/>
                <w:szCs w:val="28"/>
                <w:lang w:val="lv-LV" w:eastAsia="lv-LV"/>
              </w:rPr>
              <w:t>4.</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9D5C1D" w:rsidRDefault="00A31FDC" w:rsidP="00055BC8">
            <w:pPr>
              <w:jc w:val="both"/>
              <w:rPr>
                <w:rFonts w:eastAsia="Times New Roman"/>
                <w:sz w:val="28"/>
                <w:szCs w:val="28"/>
                <w:lang w:val="lv-LV" w:eastAsia="lv-LV"/>
              </w:rPr>
            </w:pPr>
            <w:r w:rsidRPr="009D5C1D">
              <w:rPr>
                <w:rFonts w:eastAsia="Times New Roman"/>
                <w:sz w:val="28"/>
                <w:szCs w:val="28"/>
                <w:lang w:val="lv-LV" w:eastAsia="lv-LV"/>
              </w:rPr>
              <w:t>Tiesiskā regulējuma mērķis un būtība</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E16A55" w:rsidRDefault="001D02A2" w:rsidP="00055BC8">
            <w:pPr>
              <w:pStyle w:val="BodyText"/>
              <w:ind w:firstLine="709"/>
              <w:rPr>
                <w:szCs w:val="28"/>
              </w:rPr>
            </w:pPr>
            <w:r w:rsidRPr="007D0DB4">
              <w:rPr>
                <w:szCs w:val="28"/>
              </w:rPr>
              <w:t xml:space="preserve">Ministru kabineta </w:t>
            </w:r>
            <w:r>
              <w:rPr>
                <w:szCs w:val="28"/>
              </w:rPr>
              <w:t>noteikumu</w:t>
            </w:r>
            <w:r w:rsidRPr="007D0DB4">
              <w:rPr>
                <w:szCs w:val="28"/>
              </w:rPr>
              <w:t xml:space="preserve"> projekts paredz</w:t>
            </w:r>
            <w:r w:rsidR="00E16A55">
              <w:rPr>
                <w:szCs w:val="28"/>
              </w:rPr>
              <w:t>:</w:t>
            </w:r>
          </w:p>
          <w:p w:rsidR="00E16A55" w:rsidRDefault="00E16A55" w:rsidP="00055BC8">
            <w:pPr>
              <w:pStyle w:val="BodyText"/>
              <w:rPr>
                <w:szCs w:val="28"/>
              </w:rPr>
            </w:pPr>
            <w:r>
              <w:rPr>
                <w:szCs w:val="28"/>
              </w:rPr>
              <w:t xml:space="preserve">1) </w:t>
            </w:r>
            <w:r w:rsidR="00F272C4">
              <w:rPr>
                <w:szCs w:val="28"/>
              </w:rPr>
              <w:t>pali</w:t>
            </w:r>
            <w:r w:rsidR="009A57E0">
              <w:rPr>
                <w:szCs w:val="28"/>
              </w:rPr>
              <w:t>elināt 3.5.2.1.1.apakšaktivitātes projektu iesniegumu atlases otrajā un turpmākajās kārtās</w:t>
            </w:r>
            <w:r w:rsidR="00F272C4">
              <w:rPr>
                <w:szCs w:val="28"/>
              </w:rPr>
              <w:t xml:space="preserve"> pieejamo KF finans</w:t>
            </w:r>
            <w:r w:rsidR="009839B3">
              <w:rPr>
                <w:szCs w:val="28"/>
              </w:rPr>
              <w:t xml:space="preserve">ējumu </w:t>
            </w:r>
            <w:r w:rsidR="00DA1A7B">
              <w:rPr>
                <w:szCs w:val="28"/>
              </w:rPr>
              <w:t>līdz</w:t>
            </w:r>
            <w:r w:rsidR="009839B3">
              <w:rPr>
                <w:szCs w:val="28"/>
              </w:rPr>
              <w:t xml:space="preserve"> </w:t>
            </w:r>
            <w:r w:rsidR="009A57E0">
              <w:rPr>
                <w:bCs/>
                <w:szCs w:val="28"/>
              </w:rPr>
              <w:t>48 831 866</w:t>
            </w:r>
            <w:r w:rsidR="00F272C4">
              <w:rPr>
                <w:bCs/>
                <w:szCs w:val="28"/>
              </w:rPr>
              <w:t xml:space="preserve"> latiem;</w:t>
            </w:r>
          </w:p>
          <w:p w:rsidR="00A31FDC" w:rsidRPr="00EF4B50" w:rsidRDefault="00E16A55" w:rsidP="00055BC8">
            <w:pPr>
              <w:pStyle w:val="BodyText"/>
              <w:rPr>
                <w:szCs w:val="28"/>
              </w:rPr>
            </w:pPr>
            <w:r>
              <w:rPr>
                <w:szCs w:val="28"/>
              </w:rPr>
              <w:t>2)</w:t>
            </w:r>
            <w:r w:rsidR="00347801">
              <w:rPr>
                <w:szCs w:val="28"/>
              </w:rPr>
              <w:t xml:space="preserve"> noteikt, ka b</w:t>
            </w:r>
            <w:r w:rsidR="00D57DB1" w:rsidRPr="00373CE5">
              <w:rPr>
                <w:rFonts w:eastAsia="Arial Unicode MS"/>
                <w:szCs w:val="28"/>
                <w:lang w:eastAsia="en-US"/>
              </w:rPr>
              <w:t xml:space="preserve">ankas garantijas termiņš </w:t>
            </w:r>
            <w:r w:rsidR="00D57DB1">
              <w:rPr>
                <w:rFonts w:eastAsia="Arial Unicode MS"/>
                <w:szCs w:val="28"/>
                <w:lang w:eastAsia="en-US"/>
              </w:rPr>
              <w:t xml:space="preserve">ir </w:t>
            </w:r>
            <w:r w:rsidR="00D57DB1" w:rsidRPr="00373CE5">
              <w:rPr>
                <w:rFonts w:eastAsia="Arial Unicode MS"/>
                <w:szCs w:val="28"/>
                <w:lang w:eastAsia="en-US"/>
              </w:rPr>
              <w:t xml:space="preserve">vismaz divi mēneši pēc līgumā par projekta īstenošanu </w:t>
            </w:r>
            <w:r w:rsidR="00D57DB1">
              <w:rPr>
                <w:rFonts w:eastAsia="Arial Unicode MS"/>
                <w:szCs w:val="28"/>
                <w:lang w:eastAsia="en-US"/>
              </w:rPr>
              <w:t>noteiktā</w:t>
            </w:r>
            <w:r w:rsidR="00D57DB1" w:rsidRPr="00373CE5">
              <w:rPr>
                <w:rFonts w:eastAsia="Arial Unicode MS"/>
                <w:szCs w:val="28"/>
                <w:lang w:eastAsia="en-US"/>
              </w:rPr>
              <w:t xml:space="preserve"> projekta īstenošanas beigu datuma</w:t>
            </w:r>
            <w:r w:rsidR="001D02A2" w:rsidRPr="007D0DB4">
              <w:rPr>
                <w:szCs w:val="28"/>
              </w:rPr>
              <w:t>.</w:t>
            </w:r>
          </w:p>
        </w:tc>
      </w:tr>
      <w:tr w:rsidR="00A31FDC" w:rsidRPr="009D5C1D" w:rsidTr="00A31FDC">
        <w:trPr>
          <w:trHeight w:val="623"/>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9D5C1D" w:rsidRDefault="00A31FDC" w:rsidP="00055BC8">
            <w:pPr>
              <w:jc w:val="both"/>
              <w:rPr>
                <w:rFonts w:eastAsia="Times New Roman"/>
                <w:sz w:val="28"/>
                <w:szCs w:val="28"/>
                <w:lang w:val="lv-LV" w:eastAsia="lv-LV"/>
              </w:rPr>
            </w:pPr>
            <w:r w:rsidRPr="009D5C1D">
              <w:rPr>
                <w:rFonts w:eastAsia="Times New Roman"/>
                <w:sz w:val="28"/>
                <w:szCs w:val="28"/>
                <w:lang w:val="lv-LV" w:eastAsia="lv-LV"/>
              </w:rPr>
              <w:t>5.</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9D5C1D" w:rsidRDefault="00A31FDC" w:rsidP="00055BC8">
            <w:pPr>
              <w:jc w:val="both"/>
              <w:rPr>
                <w:rFonts w:eastAsia="Times New Roman"/>
                <w:sz w:val="28"/>
                <w:szCs w:val="28"/>
                <w:lang w:val="lv-LV" w:eastAsia="lv-LV"/>
              </w:rPr>
            </w:pPr>
            <w:r w:rsidRPr="009D5C1D">
              <w:rPr>
                <w:rFonts w:eastAsia="Times New Roman"/>
                <w:sz w:val="28"/>
                <w:szCs w:val="28"/>
                <w:lang w:val="lv-LV" w:eastAsia="lv-LV"/>
              </w:rPr>
              <w:t>Projekta izstrādē iesaistītās institūcijas</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9D5C1D" w:rsidRDefault="00A31FDC" w:rsidP="00055BC8">
            <w:pPr>
              <w:pStyle w:val="BodyText"/>
              <w:ind w:right="142" w:firstLine="720"/>
              <w:rPr>
                <w:szCs w:val="28"/>
              </w:rPr>
            </w:pPr>
            <w:r w:rsidRPr="009D5C1D">
              <w:rPr>
                <w:iCs/>
                <w:szCs w:val="28"/>
              </w:rPr>
              <w:t>Projekts šo jomu neskar</w:t>
            </w:r>
            <w:r w:rsidRPr="009D5C1D">
              <w:rPr>
                <w:szCs w:val="28"/>
              </w:rPr>
              <w:t>.</w:t>
            </w:r>
          </w:p>
        </w:tc>
      </w:tr>
      <w:tr w:rsidR="00A31FDC" w:rsidRPr="009D5C1D" w:rsidTr="00A31FDC">
        <w:trPr>
          <w:trHeight w:val="95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9D5C1D" w:rsidRDefault="00A31FDC" w:rsidP="00055BC8">
            <w:pPr>
              <w:jc w:val="both"/>
              <w:rPr>
                <w:rFonts w:eastAsia="Times New Roman"/>
                <w:sz w:val="28"/>
                <w:szCs w:val="28"/>
                <w:lang w:val="lv-LV" w:eastAsia="lv-LV"/>
              </w:rPr>
            </w:pPr>
            <w:r w:rsidRPr="009D5C1D">
              <w:rPr>
                <w:rFonts w:eastAsia="Times New Roman"/>
                <w:sz w:val="28"/>
                <w:szCs w:val="28"/>
                <w:lang w:val="lv-LV" w:eastAsia="lv-LV"/>
              </w:rPr>
              <w:t>6.</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9D5C1D" w:rsidRDefault="00A31FDC" w:rsidP="00055BC8">
            <w:pPr>
              <w:jc w:val="both"/>
              <w:rPr>
                <w:rFonts w:eastAsia="Times New Roman"/>
                <w:sz w:val="28"/>
                <w:szCs w:val="28"/>
                <w:lang w:val="lv-LV" w:eastAsia="lv-LV"/>
              </w:rPr>
            </w:pPr>
            <w:r w:rsidRPr="009D5C1D">
              <w:rPr>
                <w:rFonts w:eastAsia="Times New Roman"/>
                <w:sz w:val="28"/>
                <w:szCs w:val="28"/>
                <w:lang w:val="lv-LV" w:eastAsia="lv-LV"/>
              </w:rPr>
              <w:t>Iemesli, kādēļ netika nodrošināta sabiedrības līdzdalība</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9D5C1D" w:rsidRDefault="00A31FDC" w:rsidP="00055BC8">
            <w:pPr>
              <w:pStyle w:val="BodyText"/>
              <w:ind w:right="142" w:firstLine="720"/>
              <w:rPr>
                <w:szCs w:val="28"/>
              </w:rPr>
            </w:pPr>
            <w:r w:rsidRPr="009D5C1D">
              <w:rPr>
                <w:iCs/>
                <w:szCs w:val="28"/>
              </w:rPr>
              <w:t>Projekts šo jomu neskar</w:t>
            </w:r>
            <w:r w:rsidRPr="009D5C1D">
              <w:rPr>
                <w:szCs w:val="28"/>
              </w:rPr>
              <w:t>.</w:t>
            </w:r>
          </w:p>
        </w:tc>
      </w:tr>
      <w:tr w:rsidR="00A31FDC" w:rsidRPr="00055BC8" w:rsidTr="00A31FDC">
        <w:trPr>
          <w:trHeight w:val="31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055BC8" w:rsidRDefault="00A31FDC" w:rsidP="00055BC8">
            <w:pPr>
              <w:jc w:val="both"/>
              <w:rPr>
                <w:rFonts w:eastAsia="Times New Roman"/>
                <w:sz w:val="28"/>
                <w:szCs w:val="28"/>
                <w:lang w:val="lv-LV" w:eastAsia="lv-LV"/>
              </w:rPr>
            </w:pPr>
            <w:r w:rsidRPr="00055BC8">
              <w:rPr>
                <w:rFonts w:eastAsia="Times New Roman"/>
                <w:sz w:val="28"/>
                <w:szCs w:val="28"/>
                <w:lang w:val="lv-LV" w:eastAsia="lv-LV"/>
              </w:rPr>
              <w:t>7.</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055BC8" w:rsidRDefault="00A31FDC" w:rsidP="00055BC8">
            <w:pPr>
              <w:jc w:val="both"/>
              <w:rPr>
                <w:rFonts w:eastAsia="Times New Roman"/>
                <w:sz w:val="28"/>
                <w:szCs w:val="28"/>
                <w:lang w:val="lv-LV" w:eastAsia="lv-LV"/>
              </w:rPr>
            </w:pPr>
            <w:r w:rsidRPr="00055BC8">
              <w:rPr>
                <w:rFonts w:eastAsia="Times New Roman"/>
                <w:sz w:val="28"/>
                <w:szCs w:val="28"/>
                <w:lang w:val="lv-LV" w:eastAsia="lv-LV"/>
              </w:rPr>
              <w:t>Cita informācija</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055BC8" w:rsidRDefault="00CB229B" w:rsidP="00055BC8">
            <w:pPr>
              <w:ind w:firstLine="709"/>
              <w:jc w:val="both"/>
              <w:rPr>
                <w:sz w:val="28"/>
                <w:szCs w:val="28"/>
                <w:lang w:val="lv-LV"/>
              </w:rPr>
            </w:pPr>
            <w:proofErr w:type="spellStart"/>
            <w:r w:rsidRPr="00055BC8">
              <w:rPr>
                <w:color w:val="000000"/>
                <w:sz w:val="28"/>
                <w:szCs w:val="28"/>
              </w:rPr>
              <w:t>Ekonomikas</w:t>
            </w:r>
            <w:proofErr w:type="spellEnd"/>
            <w:r w:rsidRPr="00055BC8">
              <w:rPr>
                <w:color w:val="000000"/>
                <w:sz w:val="28"/>
                <w:szCs w:val="28"/>
              </w:rPr>
              <w:t xml:space="preserve"> </w:t>
            </w:r>
            <w:proofErr w:type="spellStart"/>
            <w:r w:rsidRPr="00055BC8">
              <w:rPr>
                <w:color w:val="000000"/>
                <w:sz w:val="28"/>
                <w:szCs w:val="28"/>
              </w:rPr>
              <w:t>ministrija</w:t>
            </w:r>
            <w:proofErr w:type="spellEnd"/>
            <w:r w:rsidRPr="00055BC8">
              <w:rPr>
                <w:color w:val="000000"/>
                <w:sz w:val="28"/>
                <w:szCs w:val="28"/>
              </w:rPr>
              <w:t xml:space="preserve"> </w:t>
            </w:r>
            <w:proofErr w:type="spellStart"/>
            <w:r w:rsidRPr="00055BC8">
              <w:rPr>
                <w:color w:val="000000"/>
                <w:sz w:val="28"/>
                <w:szCs w:val="28"/>
              </w:rPr>
              <w:t>apliecina</w:t>
            </w:r>
            <w:proofErr w:type="spellEnd"/>
            <w:r w:rsidRPr="00055BC8">
              <w:rPr>
                <w:color w:val="000000"/>
                <w:sz w:val="28"/>
                <w:szCs w:val="28"/>
              </w:rPr>
              <w:t xml:space="preserve">, </w:t>
            </w:r>
            <w:proofErr w:type="spellStart"/>
            <w:r w:rsidRPr="00055BC8">
              <w:rPr>
                <w:color w:val="000000"/>
                <w:sz w:val="28"/>
                <w:szCs w:val="28"/>
              </w:rPr>
              <w:t>ka</w:t>
            </w:r>
            <w:proofErr w:type="spellEnd"/>
            <w:r w:rsidRPr="00055BC8">
              <w:rPr>
                <w:color w:val="000000"/>
                <w:sz w:val="28"/>
                <w:szCs w:val="28"/>
              </w:rPr>
              <w:t xml:space="preserve">, </w:t>
            </w:r>
            <w:proofErr w:type="spellStart"/>
            <w:r w:rsidRPr="00055BC8">
              <w:rPr>
                <w:color w:val="000000"/>
                <w:sz w:val="28"/>
                <w:szCs w:val="28"/>
              </w:rPr>
              <w:t>ja</w:t>
            </w:r>
            <w:proofErr w:type="spellEnd"/>
            <w:r w:rsidRPr="00055BC8">
              <w:rPr>
                <w:color w:val="000000"/>
                <w:sz w:val="28"/>
                <w:szCs w:val="28"/>
              </w:rPr>
              <w:t xml:space="preserve"> 3.5.2.1.1.apakšaktivitātes </w:t>
            </w:r>
            <w:proofErr w:type="spellStart"/>
            <w:r w:rsidRPr="00055BC8">
              <w:rPr>
                <w:color w:val="000000"/>
                <w:sz w:val="28"/>
                <w:szCs w:val="28"/>
              </w:rPr>
              <w:t>ietvaros</w:t>
            </w:r>
            <w:proofErr w:type="spellEnd"/>
            <w:r w:rsidRPr="00055BC8">
              <w:rPr>
                <w:color w:val="000000"/>
                <w:sz w:val="28"/>
                <w:szCs w:val="28"/>
              </w:rPr>
              <w:t xml:space="preserve"> </w:t>
            </w:r>
            <w:proofErr w:type="spellStart"/>
            <w:r w:rsidRPr="00055BC8">
              <w:rPr>
                <w:color w:val="000000"/>
                <w:sz w:val="28"/>
                <w:szCs w:val="28"/>
              </w:rPr>
              <w:t>kādā</w:t>
            </w:r>
            <w:proofErr w:type="spellEnd"/>
            <w:r w:rsidRPr="00055BC8">
              <w:rPr>
                <w:color w:val="000000"/>
                <w:sz w:val="28"/>
                <w:szCs w:val="28"/>
              </w:rPr>
              <w:t xml:space="preserve"> </w:t>
            </w:r>
            <w:proofErr w:type="spellStart"/>
            <w:r w:rsidRPr="00055BC8">
              <w:rPr>
                <w:color w:val="000000"/>
                <w:sz w:val="28"/>
                <w:szCs w:val="28"/>
              </w:rPr>
              <w:t>projektā</w:t>
            </w:r>
            <w:proofErr w:type="spellEnd"/>
            <w:r w:rsidRPr="00055BC8">
              <w:rPr>
                <w:color w:val="000000"/>
                <w:sz w:val="28"/>
                <w:szCs w:val="28"/>
              </w:rPr>
              <w:t xml:space="preserve"> </w:t>
            </w:r>
            <w:proofErr w:type="spellStart"/>
            <w:r w:rsidRPr="00055BC8">
              <w:rPr>
                <w:color w:val="000000"/>
                <w:sz w:val="28"/>
                <w:szCs w:val="28"/>
              </w:rPr>
              <w:t>tiks</w:t>
            </w:r>
            <w:proofErr w:type="spellEnd"/>
            <w:r w:rsidRPr="00055BC8">
              <w:rPr>
                <w:color w:val="000000"/>
                <w:sz w:val="28"/>
                <w:szCs w:val="28"/>
              </w:rPr>
              <w:t xml:space="preserve"> </w:t>
            </w:r>
            <w:proofErr w:type="spellStart"/>
            <w:r w:rsidRPr="00055BC8">
              <w:rPr>
                <w:color w:val="000000"/>
                <w:sz w:val="28"/>
                <w:szCs w:val="28"/>
              </w:rPr>
              <w:t>konstatēta</w:t>
            </w:r>
            <w:proofErr w:type="spellEnd"/>
            <w:r w:rsidRPr="00055BC8">
              <w:rPr>
                <w:color w:val="000000"/>
                <w:sz w:val="28"/>
                <w:szCs w:val="28"/>
              </w:rPr>
              <w:t xml:space="preserve"> </w:t>
            </w:r>
            <w:proofErr w:type="spellStart"/>
            <w:r w:rsidRPr="00055BC8">
              <w:rPr>
                <w:color w:val="000000"/>
                <w:sz w:val="28"/>
                <w:szCs w:val="28"/>
              </w:rPr>
              <w:t>neatbilstība</w:t>
            </w:r>
            <w:proofErr w:type="spellEnd"/>
            <w:r w:rsidRPr="00055BC8">
              <w:rPr>
                <w:color w:val="000000"/>
                <w:sz w:val="28"/>
                <w:szCs w:val="28"/>
              </w:rPr>
              <w:t xml:space="preserve"> </w:t>
            </w:r>
            <w:proofErr w:type="spellStart"/>
            <w:r w:rsidRPr="00055BC8">
              <w:rPr>
                <w:color w:val="000000"/>
                <w:sz w:val="28"/>
                <w:szCs w:val="28"/>
              </w:rPr>
              <w:t>vai</w:t>
            </w:r>
            <w:proofErr w:type="spellEnd"/>
            <w:r w:rsidRPr="00055BC8">
              <w:rPr>
                <w:color w:val="000000"/>
                <w:sz w:val="28"/>
                <w:szCs w:val="28"/>
              </w:rPr>
              <w:t xml:space="preserve"> </w:t>
            </w:r>
            <w:proofErr w:type="spellStart"/>
            <w:r w:rsidRPr="00055BC8">
              <w:rPr>
                <w:color w:val="000000"/>
                <w:sz w:val="28"/>
                <w:szCs w:val="28"/>
              </w:rPr>
              <w:t>tiks</w:t>
            </w:r>
            <w:proofErr w:type="spellEnd"/>
            <w:r w:rsidRPr="00055BC8">
              <w:rPr>
                <w:color w:val="000000"/>
                <w:sz w:val="28"/>
                <w:szCs w:val="28"/>
              </w:rPr>
              <w:t xml:space="preserve"> </w:t>
            </w:r>
            <w:proofErr w:type="spellStart"/>
            <w:r w:rsidRPr="00055BC8">
              <w:rPr>
                <w:color w:val="000000"/>
                <w:sz w:val="28"/>
                <w:szCs w:val="28"/>
              </w:rPr>
              <w:t>lauzts</w:t>
            </w:r>
            <w:proofErr w:type="spellEnd"/>
            <w:r w:rsidRPr="00055BC8">
              <w:rPr>
                <w:color w:val="000000"/>
                <w:sz w:val="28"/>
                <w:szCs w:val="28"/>
              </w:rPr>
              <w:t xml:space="preserve"> </w:t>
            </w:r>
            <w:proofErr w:type="spellStart"/>
            <w:r w:rsidRPr="00055BC8">
              <w:rPr>
                <w:color w:val="000000"/>
                <w:sz w:val="28"/>
                <w:szCs w:val="28"/>
              </w:rPr>
              <w:t>civiltiesiskais</w:t>
            </w:r>
            <w:proofErr w:type="spellEnd"/>
            <w:r w:rsidRPr="00055BC8">
              <w:rPr>
                <w:color w:val="000000"/>
                <w:sz w:val="28"/>
                <w:szCs w:val="28"/>
              </w:rPr>
              <w:t xml:space="preserve"> </w:t>
            </w:r>
            <w:proofErr w:type="spellStart"/>
            <w:r w:rsidRPr="00055BC8">
              <w:rPr>
                <w:color w:val="000000"/>
                <w:sz w:val="28"/>
                <w:szCs w:val="28"/>
              </w:rPr>
              <w:t>līgums</w:t>
            </w:r>
            <w:proofErr w:type="spellEnd"/>
            <w:r w:rsidRPr="00055BC8">
              <w:rPr>
                <w:color w:val="000000"/>
                <w:sz w:val="28"/>
                <w:szCs w:val="28"/>
              </w:rPr>
              <w:t xml:space="preserve"> par </w:t>
            </w:r>
            <w:proofErr w:type="spellStart"/>
            <w:r w:rsidRPr="00055BC8">
              <w:rPr>
                <w:color w:val="000000"/>
                <w:sz w:val="28"/>
                <w:szCs w:val="28"/>
              </w:rPr>
              <w:t>projekta</w:t>
            </w:r>
            <w:proofErr w:type="spellEnd"/>
            <w:r w:rsidRPr="00055BC8">
              <w:rPr>
                <w:color w:val="000000"/>
                <w:sz w:val="28"/>
                <w:szCs w:val="28"/>
              </w:rPr>
              <w:t xml:space="preserve"> </w:t>
            </w:r>
            <w:proofErr w:type="spellStart"/>
            <w:r w:rsidRPr="00055BC8">
              <w:rPr>
                <w:color w:val="000000"/>
                <w:sz w:val="28"/>
                <w:szCs w:val="28"/>
              </w:rPr>
              <w:t>īstenošanu</w:t>
            </w:r>
            <w:proofErr w:type="spellEnd"/>
            <w:r w:rsidRPr="00055BC8">
              <w:rPr>
                <w:color w:val="000000"/>
                <w:sz w:val="28"/>
                <w:szCs w:val="28"/>
              </w:rPr>
              <w:t xml:space="preserve">, </w:t>
            </w:r>
            <w:proofErr w:type="spellStart"/>
            <w:r w:rsidRPr="00055BC8">
              <w:rPr>
                <w:color w:val="000000"/>
                <w:sz w:val="28"/>
                <w:szCs w:val="28"/>
              </w:rPr>
              <w:t>atbrīvotais</w:t>
            </w:r>
            <w:proofErr w:type="spellEnd"/>
            <w:r w:rsidRPr="00055BC8">
              <w:rPr>
                <w:color w:val="000000"/>
                <w:sz w:val="28"/>
                <w:szCs w:val="28"/>
              </w:rPr>
              <w:t xml:space="preserve">  </w:t>
            </w:r>
            <w:proofErr w:type="spellStart"/>
            <w:r w:rsidRPr="00055BC8">
              <w:rPr>
                <w:color w:val="000000"/>
                <w:sz w:val="28"/>
                <w:szCs w:val="28"/>
              </w:rPr>
              <w:lastRenderedPageBreak/>
              <w:t>finansējums</w:t>
            </w:r>
            <w:proofErr w:type="spellEnd"/>
            <w:r w:rsidRPr="00055BC8">
              <w:rPr>
                <w:color w:val="000000"/>
                <w:sz w:val="28"/>
                <w:szCs w:val="28"/>
              </w:rPr>
              <w:t xml:space="preserve"> </w:t>
            </w:r>
            <w:proofErr w:type="spellStart"/>
            <w:r w:rsidRPr="00055BC8">
              <w:rPr>
                <w:color w:val="000000"/>
                <w:sz w:val="28"/>
                <w:szCs w:val="28"/>
              </w:rPr>
              <w:t>konstatēto</w:t>
            </w:r>
            <w:proofErr w:type="spellEnd"/>
            <w:r w:rsidRPr="00055BC8">
              <w:rPr>
                <w:color w:val="000000"/>
                <w:sz w:val="28"/>
                <w:szCs w:val="28"/>
              </w:rPr>
              <w:t xml:space="preserve"> </w:t>
            </w:r>
            <w:proofErr w:type="spellStart"/>
            <w:r w:rsidRPr="00055BC8">
              <w:rPr>
                <w:color w:val="000000"/>
                <w:sz w:val="28"/>
                <w:szCs w:val="28"/>
              </w:rPr>
              <w:t>neatbilstību</w:t>
            </w:r>
            <w:proofErr w:type="spellEnd"/>
            <w:r w:rsidRPr="00055BC8">
              <w:rPr>
                <w:color w:val="000000"/>
                <w:sz w:val="28"/>
                <w:szCs w:val="28"/>
              </w:rPr>
              <w:t xml:space="preserve"> un </w:t>
            </w:r>
            <w:proofErr w:type="spellStart"/>
            <w:r w:rsidRPr="00055BC8">
              <w:rPr>
                <w:color w:val="000000"/>
                <w:sz w:val="28"/>
                <w:szCs w:val="28"/>
              </w:rPr>
              <w:t>lauzto</w:t>
            </w:r>
            <w:proofErr w:type="spellEnd"/>
            <w:r w:rsidRPr="00055BC8">
              <w:rPr>
                <w:color w:val="000000"/>
                <w:sz w:val="28"/>
                <w:szCs w:val="28"/>
              </w:rPr>
              <w:t xml:space="preserve"> </w:t>
            </w:r>
            <w:proofErr w:type="spellStart"/>
            <w:r w:rsidRPr="00055BC8">
              <w:rPr>
                <w:color w:val="000000"/>
                <w:sz w:val="28"/>
                <w:szCs w:val="28"/>
              </w:rPr>
              <w:t>civiltiesisko</w:t>
            </w:r>
            <w:proofErr w:type="spellEnd"/>
            <w:r w:rsidRPr="00055BC8">
              <w:rPr>
                <w:color w:val="000000"/>
                <w:sz w:val="28"/>
                <w:szCs w:val="28"/>
              </w:rPr>
              <w:t xml:space="preserve"> </w:t>
            </w:r>
            <w:proofErr w:type="spellStart"/>
            <w:r w:rsidRPr="00055BC8">
              <w:rPr>
                <w:color w:val="000000"/>
                <w:sz w:val="28"/>
                <w:szCs w:val="28"/>
              </w:rPr>
              <w:t>līgumu</w:t>
            </w:r>
            <w:proofErr w:type="spellEnd"/>
            <w:r w:rsidRPr="00055BC8">
              <w:rPr>
                <w:color w:val="000000"/>
                <w:sz w:val="28"/>
                <w:szCs w:val="28"/>
              </w:rPr>
              <w:t xml:space="preserve"> </w:t>
            </w:r>
            <w:proofErr w:type="spellStart"/>
            <w:r w:rsidRPr="00055BC8">
              <w:rPr>
                <w:color w:val="000000"/>
                <w:sz w:val="28"/>
                <w:szCs w:val="28"/>
              </w:rPr>
              <w:t>rezultātā</w:t>
            </w:r>
            <w:proofErr w:type="spellEnd"/>
            <w:r w:rsidRPr="00055BC8">
              <w:rPr>
                <w:color w:val="000000"/>
                <w:sz w:val="28"/>
                <w:szCs w:val="28"/>
              </w:rPr>
              <w:t xml:space="preserve"> </w:t>
            </w:r>
            <w:proofErr w:type="spellStart"/>
            <w:r w:rsidRPr="00055BC8">
              <w:rPr>
                <w:color w:val="000000"/>
                <w:sz w:val="28"/>
                <w:szCs w:val="28"/>
              </w:rPr>
              <w:t>neatbilstoši</w:t>
            </w:r>
            <w:proofErr w:type="spellEnd"/>
            <w:r w:rsidRPr="00055BC8">
              <w:rPr>
                <w:color w:val="000000"/>
                <w:sz w:val="28"/>
                <w:szCs w:val="28"/>
              </w:rPr>
              <w:t xml:space="preserve"> </w:t>
            </w:r>
            <w:proofErr w:type="spellStart"/>
            <w:r w:rsidRPr="00055BC8">
              <w:rPr>
                <w:color w:val="000000"/>
                <w:sz w:val="28"/>
                <w:szCs w:val="28"/>
              </w:rPr>
              <w:t>veikto</w:t>
            </w:r>
            <w:proofErr w:type="spellEnd"/>
            <w:r w:rsidRPr="00055BC8">
              <w:rPr>
                <w:color w:val="000000"/>
                <w:sz w:val="28"/>
                <w:szCs w:val="28"/>
              </w:rPr>
              <w:t xml:space="preserve"> </w:t>
            </w:r>
            <w:proofErr w:type="spellStart"/>
            <w:r w:rsidRPr="00055BC8">
              <w:rPr>
                <w:color w:val="000000"/>
                <w:sz w:val="28"/>
                <w:szCs w:val="28"/>
              </w:rPr>
              <w:t>izdevumu</w:t>
            </w:r>
            <w:proofErr w:type="spellEnd"/>
            <w:r w:rsidRPr="00055BC8">
              <w:rPr>
                <w:color w:val="000000"/>
                <w:sz w:val="28"/>
                <w:szCs w:val="28"/>
              </w:rPr>
              <w:t xml:space="preserve"> </w:t>
            </w:r>
            <w:proofErr w:type="spellStart"/>
            <w:r w:rsidRPr="00055BC8">
              <w:rPr>
                <w:color w:val="000000"/>
                <w:sz w:val="28"/>
                <w:szCs w:val="28"/>
              </w:rPr>
              <w:t>apmērā</w:t>
            </w:r>
            <w:proofErr w:type="spellEnd"/>
            <w:r w:rsidRPr="00055BC8">
              <w:rPr>
                <w:color w:val="000000"/>
                <w:sz w:val="28"/>
                <w:szCs w:val="28"/>
              </w:rPr>
              <w:t xml:space="preserve"> </w:t>
            </w:r>
            <w:proofErr w:type="spellStart"/>
            <w:r w:rsidRPr="00055BC8">
              <w:rPr>
                <w:color w:val="000000"/>
                <w:sz w:val="28"/>
                <w:szCs w:val="28"/>
              </w:rPr>
              <w:t>netiks</w:t>
            </w:r>
            <w:proofErr w:type="spellEnd"/>
            <w:r w:rsidRPr="00055BC8">
              <w:rPr>
                <w:color w:val="000000"/>
                <w:sz w:val="28"/>
                <w:szCs w:val="28"/>
              </w:rPr>
              <w:t xml:space="preserve"> </w:t>
            </w:r>
            <w:proofErr w:type="spellStart"/>
            <w:r w:rsidRPr="00055BC8">
              <w:rPr>
                <w:color w:val="000000"/>
                <w:sz w:val="28"/>
                <w:szCs w:val="28"/>
              </w:rPr>
              <w:t>novirzīts</w:t>
            </w:r>
            <w:proofErr w:type="spellEnd"/>
            <w:r w:rsidRPr="00055BC8">
              <w:rPr>
                <w:color w:val="000000"/>
                <w:sz w:val="28"/>
                <w:szCs w:val="28"/>
              </w:rPr>
              <w:t xml:space="preserve"> </w:t>
            </w:r>
            <w:proofErr w:type="spellStart"/>
            <w:r w:rsidRPr="00055BC8">
              <w:rPr>
                <w:color w:val="000000"/>
                <w:sz w:val="28"/>
                <w:szCs w:val="28"/>
              </w:rPr>
              <w:t>jaunu</w:t>
            </w:r>
            <w:proofErr w:type="spellEnd"/>
            <w:r w:rsidRPr="00055BC8">
              <w:rPr>
                <w:color w:val="000000"/>
                <w:sz w:val="28"/>
                <w:szCs w:val="28"/>
              </w:rPr>
              <w:t xml:space="preserve"> </w:t>
            </w:r>
            <w:proofErr w:type="spellStart"/>
            <w:r w:rsidRPr="00055BC8">
              <w:rPr>
                <w:color w:val="000000"/>
                <w:sz w:val="28"/>
                <w:szCs w:val="28"/>
              </w:rPr>
              <w:t>projektu</w:t>
            </w:r>
            <w:proofErr w:type="spellEnd"/>
            <w:r w:rsidRPr="00055BC8">
              <w:rPr>
                <w:color w:val="000000"/>
                <w:sz w:val="28"/>
                <w:szCs w:val="28"/>
              </w:rPr>
              <w:t xml:space="preserve"> </w:t>
            </w:r>
            <w:proofErr w:type="spellStart"/>
            <w:r w:rsidRPr="00055BC8">
              <w:rPr>
                <w:color w:val="000000"/>
                <w:sz w:val="28"/>
                <w:szCs w:val="28"/>
              </w:rPr>
              <w:t>īstenošanai</w:t>
            </w:r>
            <w:proofErr w:type="spellEnd"/>
            <w:r w:rsidRPr="00055BC8">
              <w:rPr>
                <w:color w:val="000000"/>
                <w:sz w:val="28"/>
                <w:szCs w:val="28"/>
              </w:rPr>
              <w:t xml:space="preserve"> un </w:t>
            </w:r>
            <w:proofErr w:type="spellStart"/>
            <w:r w:rsidRPr="00055BC8">
              <w:rPr>
                <w:color w:val="000000"/>
                <w:sz w:val="28"/>
                <w:szCs w:val="28"/>
              </w:rPr>
              <w:t>papildu</w:t>
            </w:r>
            <w:proofErr w:type="spellEnd"/>
            <w:r w:rsidRPr="00055BC8">
              <w:rPr>
                <w:color w:val="000000"/>
                <w:sz w:val="28"/>
                <w:szCs w:val="28"/>
              </w:rPr>
              <w:t xml:space="preserve"> </w:t>
            </w:r>
            <w:proofErr w:type="spellStart"/>
            <w:r w:rsidRPr="00055BC8">
              <w:rPr>
                <w:color w:val="000000"/>
                <w:sz w:val="28"/>
                <w:szCs w:val="28"/>
              </w:rPr>
              <w:t>darbību</w:t>
            </w:r>
            <w:proofErr w:type="spellEnd"/>
            <w:r w:rsidRPr="00055BC8">
              <w:rPr>
                <w:color w:val="000000"/>
                <w:sz w:val="28"/>
                <w:szCs w:val="28"/>
              </w:rPr>
              <w:t xml:space="preserve"> </w:t>
            </w:r>
            <w:proofErr w:type="spellStart"/>
            <w:r w:rsidRPr="00055BC8">
              <w:rPr>
                <w:color w:val="000000"/>
                <w:sz w:val="28"/>
                <w:szCs w:val="28"/>
              </w:rPr>
              <w:t>veikšanai</w:t>
            </w:r>
            <w:proofErr w:type="spellEnd"/>
            <w:r w:rsidRPr="00055BC8">
              <w:rPr>
                <w:color w:val="000000"/>
                <w:sz w:val="28"/>
                <w:szCs w:val="28"/>
              </w:rPr>
              <w:t xml:space="preserve"> </w:t>
            </w:r>
            <w:proofErr w:type="spellStart"/>
            <w:r w:rsidRPr="00055BC8">
              <w:rPr>
                <w:color w:val="000000"/>
                <w:sz w:val="28"/>
                <w:szCs w:val="28"/>
              </w:rPr>
              <w:t>īst</w:t>
            </w:r>
            <w:r w:rsidR="00AB644F" w:rsidRPr="00055BC8">
              <w:rPr>
                <w:color w:val="000000"/>
                <w:sz w:val="28"/>
                <w:szCs w:val="28"/>
              </w:rPr>
              <w:t>enošanā</w:t>
            </w:r>
            <w:proofErr w:type="spellEnd"/>
            <w:r w:rsidR="00AB644F" w:rsidRPr="00055BC8">
              <w:rPr>
                <w:color w:val="000000"/>
                <w:sz w:val="28"/>
                <w:szCs w:val="28"/>
              </w:rPr>
              <w:t xml:space="preserve"> </w:t>
            </w:r>
            <w:proofErr w:type="spellStart"/>
            <w:r w:rsidR="00AB644F" w:rsidRPr="00055BC8">
              <w:rPr>
                <w:color w:val="000000"/>
                <w:sz w:val="28"/>
                <w:szCs w:val="28"/>
              </w:rPr>
              <w:t>esošā</w:t>
            </w:r>
            <w:proofErr w:type="spellEnd"/>
            <w:r w:rsidR="00AB644F" w:rsidRPr="00055BC8">
              <w:rPr>
                <w:color w:val="000000"/>
                <w:sz w:val="28"/>
                <w:szCs w:val="28"/>
              </w:rPr>
              <w:t xml:space="preserve"> </w:t>
            </w:r>
            <w:proofErr w:type="spellStart"/>
            <w:r w:rsidR="00AB644F" w:rsidRPr="00055BC8">
              <w:rPr>
                <w:color w:val="000000"/>
                <w:sz w:val="28"/>
                <w:szCs w:val="28"/>
              </w:rPr>
              <w:t>projekta</w:t>
            </w:r>
            <w:proofErr w:type="spellEnd"/>
            <w:r w:rsidR="00AB644F" w:rsidRPr="00055BC8">
              <w:rPr>
                <w:color w:val="000000"/>
                <w:sz w:val="28"/>
                <w:szCs w:val="28"/>
              </w:rPr>
              <w:t xml:space="preserve"> </w:t>
            </w:r>
            <w:proofErr w:type="spellStart"/>
            <w:r w:rsidR="00AB644F" w:rsidRPr="00055BC8">
              <w:rPr>
                <w:color w:val="000000"/>
                <w:sz w:val="28"/>
                <w:szCs w:val="28"/>
              </w:rPr>
              <w:t>ietvaros</w:t>
            </w:r>
            <w:proofErr w:type="spellEnd"/>
            <w:r w:rsidRPr="00055BC8">
              <w:rPr>
                <w:color w:val="000000"/>
                <w:sz w:val="28"/>
                <w:szCs w:val="28"/>
              </w:rPr>
              <w:t xml:space="preserve"> </w:t>
            </w:r>
            <w:proofErr w:type="spellStart"/>
            <w:r w:rsidRPr="00055BC8">
              <w:rPr>
                <w:color w:val="000000"/>
                <w:sz w:val="28"/>
                <w:szCs w:val="28"/>
              </w:rPr>
              <w:t>saskaņā</w:t>
            </w:r>
            <w:proofErr w:type="spellEnd"/>
            <w:r w:rsidRPr="00055BC8">
              <w:rPr>
                <w:color w:val="000000"/>
                <w:sz w:val="28"/>
                <w:szCs w:val="28"/>
              </w:rPr>
              <w:t xml:space="preserve"> </w:t>
            </w:r>
            <w:proofErr w:type="spellStart"/>
            <w:r w:rsidRPr="00055BC8">
              <w:rPr>
                <w:color w:val="000000"/>
                <w:sz w:val="28"/>
                <w:szCs w:val="28"/>
              </w:rPr>
              <w:t>ar</w:t>
            </w:r>
            <w:proofErr w:type="spellEnd"/>
            <w:r w:rsidRPr="00055BC8">
              <w:rPr>
                <w:color w:val="000000"/>
                <w:sz w:val="28"/>
                <w:szCs w:val="28"/>
              </w:rPr>
              <w:t xml:space="preserve"> </w:t>
            </w:r>
            <w:proofErr w:type="spellStart"/>
            <w:r w:rsidRPr="00055BC8">
              <w:rPr>
                <w:color w:val="000000"/>
                <w:sz w:val="28"/>
                <w:szCs w:val="28"/>
              </w:rPr>
              <w:t>Ministru</w:t>
            </w:r>
            <w:proofErr w:type="spellEnd"/>
            <w:r w:rsidRPr="00055BC8">
              <w:rPr>
                <w:color w:val="000000"/>
                <w:sz w:val="28"/>
                <w:szCs w:val="28"/>
              </w:rPr>
              <w:t xml:space="preserve"> </w:t>
            </w:r>
            <w:proofErr w:type="spellStart"/>
            <w:r w:rsidRPr="00055BC8">
              <w:rPr>
                <w:color w:val="000000"/>
                <w:sz w:val="28"/>
                <w:szCs w:val="28"/>
              </w:rPr>
              <w:t>kabineta</w:t>
            </w:r>
            <w:proofErr w:type="spellEnd"/>
            <w:r w:rsidRPr="00055BC8">
              <w:rPr>
                <w:color w:val="000000"/>
                <w:sz w:val="28"/>
                <w:szCs w:val="28"/>
              </w:rPr>
              <w:t xml:space="preserve"> 2012.gada 8.maija </w:t>
            </w:r>
            <w:proofErr w:type="spellStart"/>
            <w:r w:rsidRPr="00055BC8">
              <w:rPr>
                <w:color w:val="000000"/>
                <w:sz w:val="28"/>
                <w:szCs w:val="28"/>
              </w:rPr>
              <w:t>sēdēs</w:t>
            </w:r>
            <w:proofErr w:type="spellEnd"/>
            <w:r w:rsidRPr="00055BC8">
              <w:rPr>
                <w:color w:val="000000"/>
                <w:sz w:val="28"/>
                <w:szCs w:val="28"/>
              </w:rPr>
              <w:t xml:space="preserve"> protokola Nr.25 26.§ 7.punktu.</w:t>
            </w:r>
          </w:p>
        </w:tc>
      </w:tr>
    </w:tbl>
    <w:p w:rsidR="00E8006C" w:rsidRPr="00753F7B" w:rsidRDefault="00E8006C" w:rsidP="00055BC8">
      <w:pPr>
        <w:pStyle w:val="naisf"/>
        <w:spacing w:before="0" w:after="0"/>
        <w:rPr>
          <w:sz w:val="28"/>
          <w:szCs w:val="28"/>
        </w:rPr>
      </w:pPr>
    </w:p>
    <w:tbl>
      <w:tblPr>
        <w:tblW w:w="9072" w:type="dxa"/>
        <w:tblInd w:w="30"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84"/>
        <w:gridCol w:w="2551"/>
        <w:gridCol w:w="6237"/>
      </w:tblGrid>
      <w:tr w:rsidR="00F22471" w:rsidRPr="00814B24" w:rsidTr="00511ADB">
        <w:tc>
          <w:tcPr>
            <w:tcW w:w="9072"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F22471" w:rsidRPr="00753F7B" w:rsidRDefault="00F22471" w:rsidP="00055BC8">
            <w:pPr>
              <w:ind w:firstLine="720"/>
              <w:jc w:val="both"/>
              <w:rPr>
                <w:rFonts w:eastAsia="Times New Roman"/>
                <w:b/>
                <w:sz w:val="28"/>
                <w:szCs w:val="28"/>
                <w:lang w:val="lv-LV" w:eastAsia="lv-LV"/>
              </w:rPr>
            </w:pPr>
            <w:r w:rsidRPr="00753F7B">
              <w:rPr>
                <w:rFonts w:eastAsia="Times New Roman"/>
                <w:b/>
                <w:sz w:val="28"/>
                <w:szCs w:val="28"/>
                <w:lang w:val="lv-LV" w:eastAsia="lv-LV"/>
              </w:rPr>
              <w:t>II. Tiesību akta projekta ietekme uz sabiedrību</w:t>
            </w:r>
          </w:p>
        </w:tc>
      </w:tr>
      <w:tr w:rsidR="00F22471" w:rsidRPr="00E76D97" w:rsidTr="00AE1417">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753F7B" w:rsidRDefault="00F22471" w:rsidP="00055BC8">
            <w:pPr>
              <w:jc w:val="both"/>
              <w:rPr>
                <w:rFonts w:eastAsia="Times New Roman"/>
                <w:sz w:val="28"/>
                <w:szCs w:val="28"/>
                <w:lang w:val="lv-LV" w:eastAsia="lv-LV"/>
              </w:rPr>
            </w:pPr>
            <w:r>
              <w:rPr>
                <w:rFonts w:eastAsia="Times New Roman"/>
                <w:sz w:val="28"/>
                <w:szCs w:val="28"/>
                <w:lang w:val="lv-LV" w:eastAsia="lv-LV"/>
              </w:rPr>
              <w:t>1.</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F22471" w:rsidRPr="00753F7B" w:rsidRDefault="00F22471" w:rsidP="00055BC8">
            <w:pPr>
              <w:jc w:val="both"/>
              <w:rPr>
                <w:rFonts w:eastAsia="Times New Roman"/>
                <w:sz w:val="28"/>
                <w:szCs w:val="28"/>
                <w:lang w:val="lv-LV" w:eastAsia="lv-LV"/>
              </w:rPr>
            </w:pPr>
            <w:r w:rsidRPr="00753F7B">
              <w:rPr>
                <w:rFonts w:eastAsia="Times New Roman"/>
                <w:sz w:val="28"/>
                <w:szCs w:val="28"/>
                <w:lang w:val="lv-LV" w:eastAsia="lv-LV"/>
              </w:rPr>
              <w:t>Sabiedrības mērķgrupa</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F22471" w:rsidRPr="00E76D97" w:rsidRDefault="00F22471" w:rsidP="00055BC8">
            <w:pPr>
              <w:ind w:firstLine="720"/>
              <w:jc w:val="both"/>
              <w:rPr>
                <w:rFonts w:eastAsia="Times New Roman"/>
                <w:iCs/>
                <w:sz w:val="28"/>
                <w:szCs w:val="28"/>
                <w:lang w:val="lv-LV" w:eastAsia="lv-LV"/>
              </w:rPr>
            </w:pPr>
            <w:r w:rsidRPr="00E76D97">
              <w:rPr>
                <w:rFonts w:eastAsia="Times New Roman"/>
                <w:iCs/>
                <w:sz w:val="28"/>
                <w:szCs w:val="28"/>
                <w:lang w:val="lv-LV" w:eastAsia="lv-LV"/>
              </w:rPr>
              <w:t>Siltumenerģijas lietotāji, pašvaldības, komersanti.</w:t>
            </w:r>
          </w:p>
        </w:tc>
      </w:tr>
      <w:tr w:rsidR="00F22471" w:rsidRPr="00753F7B" w:rsidTr="00AE1417">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753F7B" w:rsidRDefault="00F22471" w:rsidP="00055BC8">
            <w:pPr>
              <w:jc w:val="both"/>
              <w:rPr>
                <w:rFonts w:eastAsia="Times New Roman"/>
                <w:sz w:val="28"/>
                <w:szCs w:val="28"/>
                <w:lang w:val="lv-LV" w:eastAsia="lv-LV"/>
              </w:rPr>
            </w:pPr>
            <w:r>
              <w:rPr>
                <w:rFonts w:eastAsia="Times New Roman"/>
                <w:sz w:val="28"/>
                <w:szCs w:val="28"/>
                <w:lang w:val="lv-LV" w:eastAsia="lv-LV"/>
              </w:rPr>
              <w:t>2.</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F22471" w:rsidRPr="00753F7B" w:rsidRDefault="00F22471" w:rsidP="00055BC8">
            <w:pPr>
              <w:jc w:val="both"/>
              <w:rPr>
                <w:rFonts w:eastAsia="Times New Roman"/>
                <w:sz w:val="28"/>
                <w:szCs w:val="28"/>
                <w:lang w:val="lv-LV" w:eastAsia="lv-LV"/>
              </w:rPr>
            </w:pPr>
            <w:r w:rsidRPr="00753F7B">
              <w:rPr>
                <w:rFonts w:eastAsia="Times New Roman"/>
                <w:sz w:val="28"/>
                <w:szCs w:val="28"/>
                <w:lang w:val="lv-LV" w:eastAsia="lv-LV"/>
              </w:rPr>
              <w:t>Citas sabiedrības grupas (bez mērķgrupas), kuras tiesiskais regulējums arī ietekmē vai varētu ietekmēt</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F22471" w:rsidRPr="00753F7B" w:rsidRDefault="00F22471" w:rsidP="00055BC8">
            <w:pPr>
              <w:pStyle w:val="BodyText"/>
              <w:ind w:right="142" w:firstLine="720"/>
              <w:rPr>
                <w:szCs w:val="28"/>
              </w:rPr>
            </w:pPr>
            <w:r w:rsidRPr="008A615D">
              <w:rPr>
                <w:iCs/>
                <w:szCs w:val="28"/>
              </w:rPr>
              <w:t>Projekts šo jomu neskar</w:t>
            </w:r>
            <w:r w:rsidRPr="008A615D">
              <w:rPr>
                <w:szCs w:val="28"/>
              </w:rPr>
              <w:t>.</w:t>
            </w:r>
          </w:p>
        </w:tc>
      </w:tr>
      <w:tr w:rsidR="00F22471" w:rsidRPr="008E5F7D" w:rsidTr="00AE1417">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753F7B" w:rsidRDefault="00F22471" w:rsidP="00055BC8">
            <w:pPr>
              <w:jc w:val="both"/>
              <w:rPr>
                <w:rFonts w:eastAsia="Times New Roman"/>
                <w:sz w:val="28"/>
                <w:szCs w:val="28"/>
                <w:lang w:val="lv-LV" w:eastAsia="lv-LV"/>
              </w:rPr>
            </w:pPr>
            <w:r>
              <w:rPr>
                <w:rFonts w:eastAsia="Times New Roman"/>
                <w:sz w:val="28"/>
                <w:szCs w:val="28"/>
                <w:lang w:val="lv-LV" w:eastAsia="lv-LV"/>
              </w:rPr>
              <w:t>3.</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753F7B" w:rsidRDefault="00F22471" w:rsidP="00055BC8">
            <w:pPr>
              <w:jc w:val="both"/>
              <w:rPr>
                <w:rFonts w:eastAsia="Times New Roman"/>
                <w:sz w:val="28"/>
                <w:szCs w:val="28"/>
                <w:lang w:val="lv-LV" w:eastAsia="lv-LV"/>
              </w:rPr>
            </w:pPr>
            <w:r w:rsidRPr="00753F7B">
              <w:rPr>
                <w:rFonts w:eastAsia="Times New Roman"/>
                <w:sz w:val="28"/>
                <w:szCs w:val="28"/>
                <w:lang w:val="lv-LV" w:eastAsia="lv-LV"/>
              </w:rPr>
              <w:t>Tiesiskā regulējuma finansiālā ietekme</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753F7B" w:rsidRDefault="00F272C4" w:rsidP="00055BC8">
            <w:pPr>
              <w:pStyle w:val="BodyText"/>
              <w:ind w:right="142" w:firstLine="720"/>
              <w:rPr>
                <w:szCs w:val="28"/>
              </w:rPr>
            </w:pPr>
            <w:r w:rsidRPr="004063FF">
              <w:rPr>
                <w:szCs w:val="28"/>
              </w:rPr>
              <w:t xml:space="preserve">Tiesību akta projekts nosaka, ka </w:t>
            </w:r>
            <w:r w:rsidR="009A57E0">
              <w:rPr>
                <w:szCs w:val="28"/>
              </w:rPr>
              <w:t>3.5.2.1.1.apakšaktivitātes projektu iesniegumu atlases otrajā un turpmākajās kārtās</w:t>
            </w:r>
            <w:r>
              <w:rPr>
                <w:szCs w:val="28"/>
              </w:rPr>
              <w:t xml:space="preserve"> pieejamais KF finansējums ir </w:t>
            </w:r>
            <w:r w:rsidR="009A57E0">
              <w:rPr>
                <w:bCs/>
                <w:szCs w:val="28"/>
              </w:rPr>
              <w:t>48 831 866</w:t>
            </w:r>
            <w:r>
              <w:rPr>
                <w:bCs/>
                <w:szCs w:val="28"/>
              </w:rPr>
              <w:t xml:space="preserve"> lati</w:t>
            </w:r>
            <w:r w:rsidR="00D57DB1" w:rsidRPr="008A615D">
              <w:rPr>
                <w:szCs w:val="28"/>
              </w:rPr>
              <w:t>.</w:t>
            </w:r>
          </w:p>
        </w:tc>
      </w:tr>
      <w:tr w:rsidR="00F22471" w:rsidRPr="00753F7B" w:rsidTr="00AE1417">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753F7B" w:rsidRDefault="00F22471" w:rsidP="00055BC8">
            <w:pPr>
              <w:jc w:val="both"/>
              <w:rPr>
                <w:rFonts w:eastAsia="Times New Roman"/>
                <w:sz w:val="28"/>
                <w:szCs w:val="28"/>
                <w:lang w:val="lv-LV" w:eastAsia="lv-LV"/>
              </w:rPr>
            </w:pPr>
            <w:r>
              <w:rPr>
                <w:rFonts w:eastAsia="Times New Roman"/>
                <w:sz w:val="28"/>
                <w:szCs w:val="28"/>
                <w:lang w:val="lv-LV" w:eastAsia="lv-LV"/>
              </w:rPr>
              <w:t>4.</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753F7B" w:rsidRDefault="00F22471" w:rsidP="00055BC8">
            <w:pPr>
              <w:jc w:val="both"/>
              <w:rPr>
                <w:rFonts w:eastAsia="Times New Roman"/>
                <w:sz w:val="28"/>
                <w:szCs w:val="28"/>
                <w:lang w:val="lv-LV" w:eastAsia="lv-LV"/>
              </w:rPr>
            </w:pPr>
            <w:r w:rsidRPr="00753F7B">
              <w:rPr>
                <w:rFonts w:eastAsia="Times New Roman"/>
                <w:sz w:val="28"/>
                <w:szCs w:val="28"/>
                <w:lang w:val="lv-LV" w:eastAsia="lv-LV"/>
              </w:rPr>
              <w:t>Tiesiskā regulējuma nefinansiālā ietekme</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753F7B" w:rsidRDefault="00C1739F" w:rsidP="00055BC8">
            <w:pPr>
              <w:pStyle w:val="BodyText"/>
              <w:ind w:right="142" w:firstLine="720"/>
              <w:rPr>
                <w:szCs w:val="28"/>
              </w:rPr>
            </w:pPr>
            <w:r w:rsidRPr="008A615D">
              <w:rPr>
                <w:iCs/>
                <w:szCs w:val="28"/>
              </w:rPr>
              <w:t>Projekts šo jomu neskar</w:t>
            </w:r>
            <w:r w:rsidRPr="008A615D">
              <w:rPr>
                <w:szCs w:val="28"/>
              </w:rPr>
              <w:t>.</w:t>
            </w:r>
          </w:p>
        </w:tc>
      </w:tr>
      <w:tr w:rsidR="00F22471" w:rsidRPr="00753F7B" w:rsidTr="00AE1417">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753F7B" w:rsidRDefault="00F22471" w:rsidP="00055BC8">
            <w:pPr>
              <w:jc w:val="both"/>
              <w:rPr>
                <w:rFonts w:eastAsia="Times New Roman"/>
                <w:sz w:val="28"/>
                <w:szCs w:val="28"/>
                <w:lang w:val="lv-LV" w:eastAsia="lv-LV"/>
              </w:rPr>
            </w:pPr>
            <w:r>
              <w:rPr>
                <w:rFonts w:eastAsia="Times New Roman"/>
                <w:sz w:val="28"/>
                <w:szCs w:val="28"/>
                <w:lang w:val="lv-LV" w:eastAsia="lv-LV"/>
              </w:rPr>
              <w:t>5.</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753F7B" w:rsidRDefault="00F22471" w:rsidP="00055BC8">
            <w:pPr>
              <w:jc w:val="both"/>
              <w:rPr>
                <w:rFonts w:eastAsia="Times New Roman"/>
                <w:sz w:val="28"/>
                <w:szCs w:val="28"/>
                <w:lang w:val="lv-LV" w:eastAsia="lv-LV"/>
              </w:rPr>
            </w:pPr>
            <w:r w:rsidRPr="00753F7B">
              <w:rPr>
                <w:rFonts w:eastAsia="Times New Roman"/>
                <w:sz w:val="28"/>
                <w:szCs w:val="28"/>
                <w:lang w:val="lv-LV" w:eastAsia="lv-LV"/>
              </w:rPr>
              <w:t>Administratīvās procedūras raksturojums</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753F7B" w:rsidRDefault="00F22471" w:rsidP="00055BC8">
            <w:pPr>
              <w:pStyle w:val="BodyText"/>
              <w:ind w:right="142" w:firstLine="720"/>
              <w:rPr>
                <w:szCs w:val="28"/>
              </w:rPr>
            </w:pPr>
            <w:r w:rsidRPr="008A615D">
              <w:rPr>
                <w:iCs/>
                <w:szCs w:val="28"/>
              </w:rPr>
              <w:t>Projekts šo jomu neskar</w:t>
            </w:r>
            <w:r w:rsidRPr="008A615D">
              <w:rPr>
                <w:szCs w:val="28"/>
              </w:rPr>
              <w:t>.</w:t>
            </w:r>
          </w:p>
        </w:tc>
      </w:tr>
      <w:tr w:rsidR="00F22471" w:rsidRPr="00753F7B" w:rsidTr="00AE1417">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753F7B" w:rsidRDefault="00F22471" w:rsidP="00055BC8">
            <w:pPr>
              <w:jc w:val="both"/>
              <w:rPr>
                <w:rFonts w:eastAsia="Times New Roman"/>
                <w:sz w:val="28"/>
                <w:szCs w:val="28"/>
                <w:lang w:val="lv-LV" w:eastAsia="lv-LV"/>
              </w:rPr>
            </w:pPr>
            <w:r>
              <w:rPr>
                <w:rFonts w:eastAsia="Times New Roman"/>
                <w:sz w:val="28"/>
                <w:szCs w:val="28"/>
                <w:lang w:val="lv-LV" w:eastAsia="lv-LV"/>
              </w:rPr>
              <w:t>6.</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753F7B" w:rsidRDefault="00F22471" w:rsidP="00055BC8">
            <w:pPr>
              <w:jc w:val="both"/>
              <w:rPr>
                <w:rFonts w:eastAsia="Times New Roman"/>
                <w:sz w:val="28"/>
                <w:szCs w:val="28"/>
                <w:lang w:val="lv-LV" w:eastAsia="lv-LV"/>
              </w:rPr>
            </w:pPr>
            <w:r w:rsidRPr="00753F7B">
              <w:rPr>
                <w:rFonts w:eastAsia="Times New Roman"/>
                <w:sz w:val="28"/>
                <w:szCs w:val="28"/>
                <w:lang w:val="lv-LV" w:eastAsia="lv-LV"/>
              </w:rPr>
              <w:t>Administratīvo izmaksu monetārs novērtējums</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753F7B" w:rsidRDefault="00F22471" w:rsidP="00055BC8">
            <w:pPr>
              <w:pStyle w:val="BodyText"/>
              <w:ind w:right="142" w:firstLine="720"/>
              <w:rPr>
                <w:szCs w:val="28"/>
              </w:rPr>
            </w:pPr>
            <w:r w:rsidRPr="008A615D">
              <w:rPr>
                <w:iCs/>
                <w:szCs w:val="28"/>
              </w:rPr>
              <w:t>Projekts šo jomu neskar</w:t>
            </w:r>
            <w:r w:rsidRPr="008A615D">
              <w:rPr>
                <w:szCs w:val="28"/>
              </w:rPr>
              <w:t>.</w:t>
            </w:r>
          </w:p>
        </w:tc>
      </w:tr>
      <w:tr w:rsidR="00F22471" w:rsidRPr="00753F7B" w:rsidTr="00AE1417">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753F7B" w:rsidRDefault="00F22471" w:rsidP="00055BC8">
            <w:pPr>
              <w:jc w:val="both"/>
              <w:rPr>
                <w:rFonts w:eastAsia="Times New Roman"/>
                <w:sz w:val="28"/>
                <w:szCs w:val="28"/>
                <w:lang w:val="lv-LV" w:eastAsia="lv-LV"/>
              </w:rPr>
            </w:pPr>
            <w:r>
              <w:rPr>
                <w:rFonts w:eastAsia="Times New Roman"/>
                <w:sz w:val="28"/>
                <w:szCs w:val="28"/>
                <w:lang w:val="lv-LV" w:eastAsia="lv-LV"/>
              </w:rPr>
              <w:t>7.</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753F7B" w:rsidRDefault="00F22471" w:rsidP="00055BC8">
            <w:pPr>
              <w:jc w:val="both"/>
              <w:rPr>
                <w:rFonts w:eastAsia="Times New Roman"/>
                <w:sz w:val="28"/>
                <w:szCs w:val="28"/>
                <w:lang w:val="lv-LV" w:eastAsia="lv-LV"/>
              </w:rPr>
            </w:pPr>
            <w:r w:rsidRPr="00753F7B">
              <w:rPr>
                <w:rFonts w:eastAsia="Times New Roman"/>
                <w:sz w:val="28"/>
                <w:szCs w:val="28"/>
                <w:lang w:val="lv-LV" w:eastAsia="lv-LV"/>
              </w:rPr>
              <w:t>Cita informācija</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753F7B" w:rsidRDefault="00F22471" w:rsidP="00055BC8">
            <w:pPr>
              <w:ind w:firstLine="720"/>
              <w:jc w:val="both"/>
              <w:rPr>
                <w:rFonts w:eastAsia="Times New Roman"/>
                <w:sz w:val="28"/>
                <w:szCs w:val="28"/>
                <w:lang w:val="lv-LV" w:eastAsia="lv-LV"/>
              </w:rPr>
            </w:pPr>
            <w:r w:rsidRPr="00753F7B">
              <w:rPr>
                <w:rFonts w:eastAsia="Times New Roman"/>
                <w:sz w:val="28"/>
                <w:szCs w:val="28"/>
                <w:lang w:val="lv-LV" w:eastAsia="lv-LV"/>
              </w:rPr>
              <w:t>Nav.</w:t>
            </w:r>
          </w:p>
        </w:tc>
      </w:tr>
    </w:tbl>
    <w:p w:rsidR="00E8006C" w:rsidRPr="009D5C1D" w:rsidRDefault="00E8006C" w:rsidP="00055BC8">
      <w:pPr>
        <w:jc w:val="both"/>
        <w:rPr>
          <w:rFonts w:eastAsia="Times New Roman"/>
          <w:sz w:val="28"/>
          <w:szCs w:val="28"/>
          <w:lang w:val="lv-LV" w:eastAsia="lv-LV"/>
        </w:r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2551"/>
        <w:gridCol w:w="6237"/>
      </w:tblGrid>
      <w:tr w:rsidR="003A7D89" w:rsidRPr="00814B24" w:rsidTr="00706EC2">
        <w:trPr>
          <w:trHeight w:val="623"/>
        </w:trPr>
        <w:tc>
          <w:tcPr>
            <w:tcW w:w="908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3A7D89" w:rsidRPr="009D5C1D" w:rsidRDefault="003A7D89" w:rsidP="00055BC8">
            <w:pPr>
              <w:ind w:firstLine="720"/>
              <w:jc w:val="both"/>
              <w:rPr>
                <w:rFonts w:eastAsia="Times New Roman"/>
                <w:b/>
                <w:sz w:val="28"/>
                <w:szCs w:val="28"/>
                <w:lang w:val="lv-LV" w:eastAsia="lv-LV"/>
              </w:rPr>
            </w:pPr>
            <w:r w:rsidRPr="009D5C1D">
              <w:rPr>
                <w:rFonts w:eastAsia="Times New Roman"/>
                <w:b/>
                <w:sz w:val="28"/>
                <w:szCs w:val="28"/>
                <w:lang w:val="lv-LV" w:eastAsia="lv-LV"/>
              </w:rPr>
              <w:t>IV. Tiesību akta projekta ietekme uz spēkā esošo tiesību normu sistēmu</w:t>
            </w:r>
          </w:p>
        </w:tc>
      </w:tr>
      <w:tr w:rsidR="003A7D89" w:rsidRPr="00055BC8" w:rsidTr="00AE1417">
        <w:trPr>
          <w:trHeight w:val="366"/>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055BC8" w:rsidRDefault="003A7D89" w:rsidP="00055BC8">
            <w:pPr>
              <w:jc w:val="both"/>
              <w:rPr>
                <w:rFonts w:eastAsia="Times New Roman"/>
                <w:sz w:val="28"/>
                <w:szCs w:val="28"/>
                <w:lang w:val="lv-LV" w:eastAsia="lv-LV"/>
              </w:rPr>
            </w:pPr>
            <w:r w:rsidRPr="00055BC8">
              <w:rPr>
                <w:rFonts w:eastAsia="Times New Roman"/>
                <w:sz w:val="28"/>
                <w:szCs w:val="28"/>
                <w:lang w:val="lv-LV" w:eastAsia="lv-LV"/>
              </w:rPr>
              <w:t>1.</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055BC8" w:rsidRDefault="003A7D89" w:rsidP="00055BC8">
            <w:pPr>
              <w:jc w:val="both"/>
              <w:rPr>
                <w:rFonts w:eastAsia="Times New Roman"/>
                <w:sz w:val="28"/>
                <w:szCs w:val="28"/>
                <w:lang w:val="lv-LV" w:eastAsia="lv-LV"/>
              </w:rPr>
            </w:pPr>
            <w:r w:rsidRPr="00055BC8">
              <w:rPr>
                <w:rFonts w:eastAsia="Times New Roman"/>
                <w:sz w:val="28"/>
                <w:szCs w:val="28"/>
                <w:lang w:val="lv-LV" w:eastAsia="lv-LV"/>
              </w:rPr>
              <w:t>Nepieciešamie saistītie tiesību aktu projekti</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767E0F" w:rsidRPr="00055BC8" w:rsidRDefault="00D469C4" w:rsidP="00055BC8">
            <w:pPr>
              <w:pStyle w:val="BodyText"/>
              <w:ind w:right="142" w:firstLine="720"/>
              <w:rPr>
                <w:szCs w:val="28"/>
              </w:rPr>
            </w:pPr>
            <w:r w:rsidRPr="00055BC8">
              <w:rPr>
                <w:szCs w:val="28"/>
              </w:rPr>
              <w:t xml:space="preserve">Grozījumi darbības programmas „Infrastruktūra un pakalpojumi” papildinājumā un </w:t>
            </w:r>
            <w:r w:rsidR="00B26217" w:rsidRPr="00055BC8">
              <w:rPr>
                <w:szCs w:val="28"/>
              </w:rPr>
              <w:t>MK</w:t>
            </w:r>
            <w:r w:rsidRPr="00055BC8">
              <w:rPr>
                <w:szCs w:val="28"/>
              </w:rPr>
              <w:t xml:space="preserve"> noteikumos Nr.796.</w:t>
            </w:r>
            <w:r w:rsidR="00686877" w:rsidRPr="00055BC8">
              <w:rPr>
                <w:szCs w:val="28"/>
              </w:rPr>
              <w:t xml:space="preserve"> Tiesību akta projekts stāsies spēkā ne ātrāk vai vienlaikus ar </w:t>
            </w:r>
            <w:bookmarkStart w:id="6" w:name="_Hlk220222202"/>
            <w:bookmarkStart w:id="7" w:name="OLE_LINK15"/>
            <w:r w:rsidR="00686877" w:rsidRPr="00055BC8">
              <w:rPr>
                <w:szCs w:val="28"/>
              </w:rPr>
              <w:t xml:space="preserve">Ministru kabineta rīkojuma projektu „Grozījums darbības programmas </w:t>
            </w:r>
            <w:r w:rsidR="00686877" w:rsidRPr="00055BC8">
              <w:rPr>
                <w:szCs w:val="28"/>
              </w:rPr>
              <w:lastRenderedPageBreak/>
              <w:t>„Infrastruktūra un pakalpojumi” papildinājumā</w:t>
            </w:r>
            <w:bookmarkEnd w:id="6"/>
            <w:r w:rsidR="00686877" w:rsidRPr="00055BC8">
              <w:rPr>
                <w:szCs w:val="28"/>
              </w:rPr>
              <w:t>”</w:t>
            </w:r>
            <w:bookmarkEnd w:id="7"/>
            <w:r w:rsidR="00C3513A" w:rsidRPr="00055BC8">
              <w:rPr>
                <w:szCs w:val="28"/>
              </w:rPr>
              <w:t xml:space="preserve"> un </w:t>
            </w:r>
            <w:r w:rsidR="00686877" w:rsidRPr="00055BC8">
              <w:rPr>
                <w:szCs w:val="28"/>
              </w:rPr>
              <w:t>Mini</w:t>
            </w:r>
            <w:r w:rsidR="00C3513A" w:rsidRPr="00055BC8">
              <w:rPr>
                <w:szCs w:val="28"/>
              </w:rPr>
              <w:t>stru kabineta noteikumu projektu</w:t>
            </w:r>
            <w:r w:rsidR="00686877" w:rsidRPr="00055BC8">
              <w:rPr>
                <w:szCs w:val="28"/>
              </w:rPr>
              <w:t xml:space="preserve"> „</w:t>
            </w:r>
            <w:r w:rsidR="00C3513A" w:rsidRPr="00055BC8">
              <w:rPr>
                <w:noProof/>
              </w:rPr>
              <w:t>Par Ministru kabineta 2011.gada 11.oktobra noteikumu Nr.796 „Noteikumi par darbības programmas „Infrastruktūra un pakalpojumi” papildinājuma 3.5.2.1.2.apakšaktivitāti „Pasākumi uzņēmumu siltumapgādes sistēmu efektivitātes paaugstināšanai”” atzīšanu par spēku zaudējušiem</w:t>
            </w:r>
            <w:r w:rsidR="00686877" w:rsidRPr="00055BC8">
              <w:rPr>
                <w:szCs w:val="28"/>
              </w:rPr>
              <w:t>”.</w:t>
            </w:r>
          </w:p>
        </w:tc>
      </w:tr>
      <w:tr w:rsidR="003A7D89" w:rsidRPr="00055BC8" w:rsidTr="00AE1417">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055BC8" w:rsidRDefault="003A7D89" w:rsidP="00055BC8">
            <w:pPr>
              <w:jc w:val="both"/>
              <w:rPr>
                <w:rFonts w:eastAsia="Times New Roman"/>
                <w:sz w:val="28"/>
                <w:szCs w:val="28"/>
                <w:lang w:val="lv-LV" w:eastAsia="lv-LV"/>
              </w:rPr>
            </w:pPr>
            <w:r w:rsidRPr="00055BC8">
              <w:rPr>
                <w:rFonts w:eastAsia="Times New Roman"/>
                <w:sz w:val="28"/>
                <w:szCs w:val="28"/>
                <w:lang w:val="lv-LV" w:eastAsia="lv-LV"/>
              </w:rPr>
              <w:lastRenderedPageBreak/>
              <w:t>2.</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055BC8" w:rsidRDefault="003A7D89" w:rsidP="00055BC8">
            <w:pPr>
              <w:jc w:val="both"/>
              <w:rPr>
                <w:rFonts w:eastAsia="Times New Roman"/>
                <w:sz w:val="28"/>
                <w:szCs w:val="28"/>
                <w:lang w:val="lv-LV" w:eastAsia="lv-LV"/>
              </w:rPr>
            </w:pPr>
            <w:r w:rsidRPr="00055BC8">
              <w:rPr>
                <w:rFonts w:eastAsia="Times New Roman"/>
                <w:sz w:val="28"/>
                <w:szCs w:val="28"/>
                <w:lang w:val="lv-LV" w:eastAsia="lv-LV"/>
              </w:rPr>
              <w:t>Cita informācija</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6D40AB" w:rsidRPr="00055BC8" w:rsidRDefault="00686877" w:rsidP="001F76FC">
            <w:pPr>
              <w:ind w:firstLine="720"/>
              <w:jc w:val="both"/>
              <w:rPr>
                <w:rFonts w:eastAsia="Times New Roman"/>
                <w:sz w:val="28"/>
                <w:szCs w:val="28"/>
                <w:lang w:val="lv-LV" w:eastAsia="lv-LV"/>
              </w:rPr>
            </w:pPr>
            <w:r w:rsidRPr="00055BC8">
              <w:rPr>
                <w:sz w:val="28"/>
                <w:szCs w:val="28"/>
                <w:lang w:val="lv-LV"/>
              </w:rPr>
              <w:t>Ministru kabineta noteikumu projekta 2.punktā</w:t>
            </w:r>
            <w:r w:rsidR="00316BE1">
              <w:rPr>
                <w:sz w:val="28"/>
                <w:szCs w:val="28"/>
                <w:lang w:val="lv-LV"/>
              </w:rPr>
              <w:t xml:space="preserve"> </w:t>
            </w:r>
            <w:r w:rsidRPr="00055BC8">
              <w:rPr>
                <w:sz w:val="28"/>
                <w:szCs w:val="28"/>
                <w:lang w:val="lv-LV"/>
              </w:rPr>
              <w:t xml:space="preserve"> paredzētais </w:t>
            </w:r>
            <w:r w:rsidRPr="00A80C47">
              <w:rPr>
                <w:sz w:val="28"/>
                <w:szCs w:val="28"/>
                <w:lang w:val="lv-LV"/>
              </w:rPr>
              <w:t xml:space="preserve">grozījums MK noteikumos Nr.824 attiecas uz 3.5.2.1.1.apakšaktivitātes </w:t>
            </w:r>
            <w:r w:rsidR="001F76FC" w:rsidRPr="00A80C47">
              <w:rPr>
                <w:sz w:val="28"/>
                <w:szCs w:val="28"/>
                <w:lang w:val="lv-LV"/>
              </w:rPr>
              <w:t>projektu iesniegumu atlases piekto kārtu</w:t>
            </w:r>
            <w:r w:rsidR="006D40AB" w:rsidRPr="00A80C47">
              <w:rPr>
                <w:rFonts w:eastAsia="Times New Roman"/>
                <w:sz w:val="28"/>
                <w:szCs w:val="28"/>
                <w:lang w:val="lv-LV" w:eastAsia="lv-LV"/>
              </w:rPr>
              <w:t>.</w:t>
            </w:r>
            <w:r w:rsidR="001F76FC" w:rsidRPr="00A80C47">
              <w:rPr>
                <w:sz w:val="28"/>
                <w:szCs w:val="28"/>
                <w:lang w:val="lv-LV"/>
              </w:rPr>
              <w:t xml:space="preserve"> Vienlaikus Ministru kabineta noteikumu projekta 2.punktā minētā prasība tiek nodrošināta jau šobrīd, veicot grozījumus noslēgtajos līgumos par projektu īstenošanu vai iekļaujot to līgumos par projektu īstenošanu, kuri ir apstiprināti 3.5.2.1.1.apakšaktivitātes projektu iesniegumu atlases ceturtajā kārtā, civiltiesiskā kārtībā</w:t>
            </w:r>
            <w:r w:rsidR="00BE5ED1" w:rsidRPr="00A80C47">
              <w:rPr>
                <w:sz w:val="28"/>
                <w:szCs w:val="28"/>
                <w:lang w:val="lv-LV"/>
              </w:rPr>
              <w:t>, pamatojoties uz abu pušu vienošanos</w:t>
            </w:r>
            <w:r w:rsidR="001F76FC" w:rsidRPr="00A80C47">
              <w:rPr>
                <w:sz w:val="28"/>
                <w:szCs w:val="28"/>
                <w:lang w:val="lv-LV"/>
              </w:rPr>
              <w:t>.</w:t>
            </w:r>
          </w:p>
        </w:tc>
      </w:tr>
    </w:tbl>
    <w:p w:rsidR="00AB644F" w:rsidRPr="00D54C3B" w:rsidRDefault="00AB644F" w:rsidP="00055BC8">
      <w:pPr>
        <w:rPr>
          <w:sz w:val="28"/>
          <w:szCs w:val="28"/>
          <w:lang w:val="lv-LV"/>
        </w:rPr>
      </w:pPr>
    </w:p>
    <w:tbl>
      <w:tblPr>
        <w:tblW w:w="0" w:type="auto"/>
        <w:tblCellSpacing w:w="0" w:type="dxa"/>
        <w:tblBorders>
          <w:top w:val="thickThinLargeGap" w:sz="6" w:space="0" w:color="D9D9D9"/>
          <w:left w:val="thickThinLargeGap" w:sz="6" w:space="0" w:color="D9D9D9"/>
          <w:bottom w:val="thickThinLargeGap" w:sz="6" w:space="0" w:color="D9D9D9"/>
          <w:right w:val="thickThinLargeGap" w:sz="6" w:space="0" w:color="D9D9D9"/>
          <w:insideH w:val="thickThinLargeGap" w:sz="6" w:space="0" w:color="D9D9D9"/>
          <w:insideV w:val="thickThinLargeGap" w:sz="6" w:space="0" w:color="D9D9D9"/>
        </w:tblBorders>
        <w:tblCellMar>
          <w:left w:w="0" w:type="dxa"/>
          <w:right w:w="0" w:type="dxa"/>
        </w:tblCellMar>
        <w:tblLook w:val="04A0" w:firstRow="1" w:lastRow="0" w:firstColumn="1" w:lastColumn="0" w:noHBand="0" w:noVBand="1"/>
      </w:tblPr>
      <w:tblGrid>
        <w:gridCol w:w="400"/>
        <w:gridCol w:w="2495"/>
        <w:gridCol w:w="6296"/>
      </w:tblGrid>
      <w:tr w:rsidR="00AB644F" w:rsidRPr="00BA5035" w:rsidTr="00C204E0">
        <w:trPr>
          <w:tblCellSpacing w:w="0" w:type="dxa"/>
        </w:trPr>
        <w:tc>
          <w:tcPr>
            <w:tcW w:w="9191" w:type="dxa"/>
            <w:gridSpan w:val="3"/>
            <w:hideMark/>
          </w:tcPr>
          <w:p w:rsidR="00AB644F" w:rsidRPr="007F4C22" w:rsidRDefault="00AB644F" w:rsidP="00055BC8">
            <w:pPr>
              <w:ind w:firstLine="709"/>
              <w:jc w:val="both"/>
              <w:rPr>
                <w:rFonts w:eastAsia="Times New Roman"/>
                <w:b/>
                <w:bCs/>
                <w:sz w:val="28"/>
                <w:szCs w:val="28"/>
                <w:lang w:val="lv-LV" w:eastAsia="lv-LV"/>
              </w:rPr>
            </w:pPr>
            <w:r w:rsidRPr="00BA5035">
              <w:rPr>
                <w:rFonts w:eastAsia="Times New Roman"/>
                <w:b/>
                <w:bCs/>
                <w:sz w:val="28"/>
                <w:szCs w:val="28"/>
                <w:lang w:val="lv-LV" w:eastAsia="lv-LV"/>
              </w:rPr>
              <w:t>V. Tiesību akta projekta atbilstība Latvijas Republikas starptautiskajām saistībām</w:t>
            </w:r>
          </w:p>
        </w:tc>
      </w:tr>
      <w:tr w:rsidR="00AB644F" w:rsidRPr="00055BC8" w:rsidTr="00AE1417">
        <w:trPr>
          <w:tblCellSpacing w:w="0" w:type="dxa"/>
        </w:trPr>
        <w:tc>
          <w:tcPr>
            <w:tcW w:w="400" w:type="dxa"/>
            <w:hideMark/>
          </w:tcPr>
          <w:p w:rsidR="00AB644F" w:rsidRPr="00055BC8" w:rsidRDefault="00AB644F" w:rsidP="009441B0">
            <w:pPr>
              <w:jc w:val="both"/>
              <w:rPr>
                <w:rFonts w:eastAsia="Times New Roman"/>
                <w:sz w:val="28"/>
                <w:szCs w:val="28"/>
                <w:lang w:val="lv-LV" w:eastAsia="lv-LV"/>
              </w:rPr>
            </w:pPr>
            <w:r w:rsidRPr="00055BC8">
              <w:rPr>
                <w:rFonts w:eastAsia="Times New Roman"/>
                <w:sz w:val="28"/>
                <w:szCs w:val="28"/>
                <w:lang w:val="lv-LV" w:eastAsia="lv-LV"/>
              </w:rPr>
              <w:t>1.</w:t>
            </w:r>
          </w:p>
        </w:tc>
        <w:tc>
          <w:tcPr>
            <w:tcW w:w="2495" w:type="dxa"/>
            <w:hideMark/>
          </w:tcPr>
          <w:p w:rsidR="00AB644F" w:rsidRPr="00055BC8" w:rsidRDefault="00AB644F" w:rsidP="00055BC8">
            <w:pPr>
              <w:rPr>
                <w:rFonts w:eastAsia="Times New Roman"/>
                <w:sz w:val="28"/>
                <w:szCs w:val="28"/>
                <w:lang w:val="lv-LV" w:eastAsia="lv-LV"/>
              </w:rPr>
            </w:pPr>
            <w:r w:rsidRPr="00055BC8">
              <w:rPr>
                <w:rFonts w:eastAsia="Times New Roman"/>
                <w:sz w:val="28"/>
                <w:szCs w:val="28"/>
                <w:lang w:val="lv-LV" w:eastAsia="lv-LV"/>
              </w:rPr>
              <w:t>Saistības pret Eiropas Savienību</w:t>
            </w:r>
          </w:p>
        </w:tc>
        <w:tc>
          <w:tcPr>
            <w:tcW w:w="6296" w:type="dxa"/>
            <w:hideMark/>
          </w:tcPr>
          <w:p w:rsidR="004603D4" w:rsidRDefault="00AB644F" w:rsidP="00055BC8">
            <w:pPr>
              <w:ind w:firstLine="689"/>
              <w:jc w:val="both"/>
              <w:rPr>
                <w:rFonts w:eastAsia="Times New Roman"/>
                <w:b/>
                <w:sz w:val="28"/>
                <w:szCs w:val="28"/>
                <w:lang w:val="lv-LV" w:eastAsia="lv-LV"/>
              </w:rPr>
            </w:pPr>
            <w:r w:rsidRPr="00055BC8">
              <w:rPr>
                <w:rFonts w:eastAsia="Times New Roman"/>
                <w:sz w:val="28"/>
                <w:szCs w:val="28"/>
                <w:lang w:val="lv-LV" w:eastAsia="lv-LV"/>
              </w:rPr>
              <w:t>Ar tiesību akta projektu tiek piemērotas</w:t>
            </w:r>
            <w:r w:rsidR="004603D4" w:rsidRPr="00AE1417">
              <w:rPr>
                <w:rFonts w:eastAsia="Times New Roman"/>
                <w:b/>
                <w:sz w:val="28"/>
                <w:szCs w:val="28"/>
                <w:lang w:val="lv-LV" w:eastAsia="lv-LV"/>
              </w:rPr>
              <w:t>:</w:t>
            </w:r>
          </w:p>
          <w:p w:rsidR="004603D4" w:rsidRPr="00A80C47" w:rsidRDefault="004603D4" w:rsidP="004603D4">
            <w:pPr>
              <w:ind w:firstLine="689"/>
              <w:jc w:val="both"/>
              <w:rPr>
                <w:sz w:val="28"/>
                <w:szCs w:val="28"/>
                <w:lang w:val="lv-LV"/>
              </w:rPr>
            </w:pPr>
            <w:r>
              <w:rPr>
                <w:rFonts w:eastAsia="Times New Roman"/>
                <w:b/>
                <w:sz w:val="28"/>
                <w:szCs w:val="28"/>
                <w:lang w:val="lv-LV" w:eastAsia="lv-LV"/>
              </w:rPr>
              <w:t>-</w:t>
            </w:r>
            <w:r w:rsidR="00AB644F" w:rsidRPr="00055BC8">
              <w:rPr>
                <w:rFonts w:eastAsia="Times New Roman"/>
                <w:sz w:val="28"/>
                <w:szCs w:val="28"/>
                <w:lang w:val="lv-LV" w:eastAsia="lv-LV"/>
              </w:rPr>
              <w:t xml:space="preserve"> </w:t>
            </w:r>
            <w:r w:rsidR="00AB644F" w:rsidRPr="00A80C47">
              <w:rPr>
                <w:sz w:val="28"/>
                <w:szCs w:val="28"/>
                <w:lang w:val="lv-LV"/>
              </w:rPr>
              <w:t>Komisijas 2004.gada 21.aprīļa Regulas (EK) Nr.794/2004, ar ko īsteno Padomes Regulu (EK) Nr.659/1999, ar kuru nosaka sīki izstrādātus noteikumus EK līguma 93.panta piemērošanai, (turpmāk – Komisijas Regula Nr.794/2004)</w:t>
            </w:r>
            <w:r w:rsidRPr="00A80C47">
              <w:rPr>
                <w:sz w:val="28"/>
                <w:szCs w:val="28"/>
                <w:lang w:val="lv-LV"/>
              </w:rPr>
              <w:t xml:space="preserve"> prasības;</w:t>
            </w:r>
          </w:p>
          <w:p w:rsidR="00AB644F" w:rsidRPr="00AE1417" w:rsidRDefault="004603D4" w:rsidP="004603D4">
            <w:pPr>
              <w:ind w:firstLine="689"/>
              <w:jc w:val="both"/>
              <w:rPr>
                <w:sz w:val="28"/>
                <w:szCs w:val="28"/>
                <w:lang w:val="lv-LV"/>
              </w:rPr>
            </w:pPr>
            <w:r w:rsidRPr="00A80C47">
              <w:rPr>
                <w:sz w:val="28"/>
                <w:szCs w:val="28"/>
                <w:lang w:val="lv-LV"/>
              </w:rPr>
              <w:t>- Eiropas Komisijas lēmum</w:t>
            </w:r>
            <w:r w:rsidR="009441B0" w:rsidRPr="00A80C47">
              <w:rPr>
                <w:sz w:val="28"/>
                <w:szCs w:val="28"/>
                <w:lang w:val="lv-LV"/>
              </w:rPr>
              <w:t>a</w:t>
            </w:r>
            <w:r w:rsidRPr="00A80C47">
              <w:rPr>
                <w:sz w:val="28"/>
                <w:szCs w:val="28"/>
                <w:lang w:val="lv-LV"/>
              </w:rPr>
              <w:t xml:space="preserve"> par valsts atbalstu SA.34681 (2012/N) „Grozījumi shēmā centralizētās siltumapgādes sistēmu efektivitātes paaugstināšanai” (turpmāk – EK lēmums SA.34681)</w:t>
            </w:r>
            <w:r w:rsidR="00AB644F" w:rsidRPr="00A80C47">
              <w:rPr>
                <w:sz w:val="28"/>
                <w:szCs w:val="28"/>
                <w:lang w:val="lv-LV"/>
              </w:rPr>
              <w:t xml:space="preserve"> prasības.</w:t>
            </w:r>
          </w:p>
        </w:tc>
      </w:tr>
      <w:tr w:rsidR="00AB644F" w:rsidRPr="00055BC8" w:rsidTr="00AE1417">
        <w:trPr>
          <w:tblCellSpacing w:w="0" w:type="dxa"/>
        </w:trPr>
        <w:tc>
          <w:tcPr>
            <w:tcW w:w="400" w:type="dxa"/>
            <w:hideMark/>
          </w:tcPr>
          <w:p w:rsidR="00AB644F" w:rsidRPr="009441B0" w:rsidRDefault="00AB644F" w:rsidP="009441B0">
            <w:pPr>
              <w:jc w:val="both"/>
              <w:rPr>
                <w:rFonts w:eastAsia="Times New Roman"/>
                <w:sz w:val="28"/>
                <w:szCs w:val="28"/>
                <w:lang w:val="lv-LV" w:eastAsia="lv-LV"/>
              </w:rPr>
            </w:pPr>
            <w:r w:rsidRPr="00055BC8">
              <w:rPr>
                <w:rFonts w:eastAsia="Times New Roman"/>
                <w:sz w:val="28"/>
                <w:szCs w:val="28"/>
                <w:lang w:val="lv-LV" w:eastAsia="lv-LV"/>
              </w:rPr>
              <w:t>2.</w:t>
            </w:r>
          </w:p>
        </w:tc>
        <w:tc>
          <w:tcPr>
            <w:tcW w:w="2495" w:type="dxa"/>
            <w:hideMark/>
          </w:tcPr>
          <w:p w:rsidR="00AB644F" w:rsidRPr="00055BC8" w:rsidRDefault="00AB644F" w:rsidP="00055BC8">
            <w:pPr>
              <w:rPr>
                <w:rFonts w:eastAsia="Times New Roman"/>
                <w:sz w:val="28"/>
                <w:szCs w:val="28"/>
                <w:lang w:val="lv-LV" w:eastAsia="lv-LV"/>
              </w:rPr>
            </w:pPr>
            <w:r w:rsidRPr="00055BC8">
              <w:rPr>
                <w:rFonts w:eastAsia="Times New Roman"/>
                <w:sz w:val="28"/>
                <w:szCs w:val="28"/>
                <w:lang w:val="lv-LV" w:eastAsia="lv-LV"/>
              </w:rPr>
              <w:t>Citas starptautiskās saistības</w:t>
            </w:r>
          </w:p>
        </w:tc>
        <w:tc>
          <w:tcPr>
            <w:tcW w:w="6296" w:type="dxa"/>
            <w:hideMark/>
          </w:tcPr>
          <w:p w:rsidR="00AB644F" w:rsidRPr="00055BC8" w:rsidRDefault="00AB644F" w:rsidP="00055BC8">
            <w:pPr>
              <w:ind w:firstLine="689"/>
              <w:rPr>
                <w:rFonts w:eastAsia="Times New Roman"/>
                <w:sz w:val="28"/>
                <w:szCs w:val="28"/>
                <w:lang w:val="lv-LV" w:eastAsia="lv-LV"/>
              </w:rPr>
            </w:pPr>
            <w:r w:rsidRPr="00055BC8">
              <w:rPr>
                <w:sz w:val="28"/>
                <w:szCs w:val="28"/>
                <w:lang w:val="lv-LV"/>
              </w:rPr>
              <w:t>Projekts šo jomu neskar.</w:t>
            </w:r>
          </w:p>
        </w:tc>
      </w:tr>
      <w:tr w:rsidR="00AB644F" w:rsidRPr="00055BC8" w:rsidTr="00AE1417">
        <w:trPr>
          <w:tblCellSpacing w:w="0" w:type="dxa"/>
        </w:trPr>
        <w:tc>
          <w:tcPr>
            <w:tcW w:w="400" w:type="dxa"/>
            <w:hideMark/>
          </w:tcPr>
          <w:p w:rsidR="00AB644F" w:rsidRPr="00055BC8" w:rsidRDefault="00AB644F" w:rsidP="009441B0">
            <w:pPr>
              <w:jc w:val="both"/>
              <w:rPr>
                <w:rFonts w:eastAsia="Times New Roman"/>
                <w:sz w:val="28"/>
                <w:szCs w:val="28"/>
                <w:lang w:val="lv-LV" w:eastAsia="lv-LV"/>
              </w:rPr>
            </w:pPr>
            <w:r w:rsidRPr="00055BC8">
              <w:rPr>
                <w:rFonts w:eastAsia="Times New Roman"/>
                <w:sz w:val="28"/>
                <w:szCs w:val="28"/>
                <w:lang w:val="lv-LV" w:eastAsia="lv-LV"/>
              </w:rPr>
              <w:t>3.</w:t>
            </w:r>
          </w:p>
        </w:tc>
        <w:tc>
          <w:tcPr>
            <w:tcW w:w="2495" w:type="dxa"/>
            <w:hideMark/>
          </w:tcPr>
          <w:p w:rsidR="00AB644F" w:rsidRPr="00055BC8" w:rsidRDefault="00AB644F" w:rsidP="00055BC8">
            <w:pPr>
              <w:rPr>
                <w:sz w:val="28"/>
                <w:szCs w:val="28"/>
                <w:lang w:val="lv-LV"/>
              </w:rPr>
            </w:pPr>
            <w:r w:rsidRPr="00055BC8">
              <w:rPr>
                <w:sz w:val="28"/>
                <w:szCs w:val="28"/>
                <w:lang w:val="lv-LV"/>
              </w:rPr>
              <w:t>Cita informācija</w:t>
            </w:r>
          </w:p>
        </w:tc>
        <w:tc>
          <w:tcPr>
            <w:tcW w:w="6296" w:type="dxa"/>
            <w:hideMark/>
          </w:tcPr>
          <w:p w:rsidR="00AB644F" w:rsidRPr="00055BC8" w:rsidRDefault="00D177AA" w:rsidP="004603D4">
            <w:pPr>
              <w:autoSpaceDE w:val="0"/>
              <w:autoSpaceDN w:val="0"/>
              <w:adjustRightInd w:val="0"/>
              <w:ind w:firstLine="649"/>
              <w:jc w:val="both"/>
              <w:rPr>
                <w:sz w:val="28"/>
                <w:szCs w:val="28"/>
                <w:lang w:val="lv-LV"/>
              </w:rPr>
            </w:pPr>
            <w:r w:rsidRPr="00055BC8">
              <w:rPr>
                <w:sz w:val="28"/>
                <w:szCs w:val="28"/>
                <w:lang w:val="lv-LV"/>
              </w:rPr>
              <w:t>Tiesību akta projektā paredzētās i</w:t>
            </w:r>
            <w:r w:rsidR="00AB644F" w:rsidRPr="00055BC8">
              <w:rPr>
                <w:sz w:val="28"/>
                <w:szCs w:val="28"/>
                <w:lang w:val="lv-LV"/>
              </w:rPr>
              <w:t>zmai</w:t>
            </w:r>
            <w:r w:rsidRPr="00055BC8">
              <w:rPr>
                <w:rFonts w:hint="eastAsia"/>
                <w:sz w:val="28"/>
                <w:szCs w:val="28"/>
                <w:lang w:val="lv-LV"/>
              </w:rPr>
              <w:t>ņ</w:t>
            </w:r>
            <w:r w:rsidRPr="00055BC8">
              <w:rPr>
                <w:sz w:val="28"/>
                <w:szCs w:val="28"/>
                <w:lang w:val="lv-LV"/>
              </w:rPr>
              <w:t>as</w:t>
            </w:r>
            <w:r w:rsidR="00AB644F" w:rsidRPr="00055BC8">
              <w:rPr>
                <w:sz w:val="28"/>
                <w:szCs w:val="28"/>
                <w:lang w:val="lv-LV"/>
              </w:rPr>
              <w:t xml:space="preserve"> 3.5.2.1.1.</w:t>
            </w:r>
            <w:r w:rsidR="00AB644F" w:rsidRPr="00A80C47">
              <w:rPr>
                <w:sz w:val="28"/>
                <w:szCs w:val="28"/>
                <w:lang w:val="lv-LV"/>
              </w:rPr>
              <w:t>apakšaktivitātes ietvaros</w:t>
            </w:r>
            <w:r w:rsidRPr="00A80C47">
              <w:rPr>
                <w:sz w:val="28"/>
                <w:szCs w:val="28"/>
                <w:lang w:val="lv-LV"/>
              </w:rPr>
              <w:t xml:space="preserve"> netiek uzskatītas par esoša atbalsta izmaiņām (KF finansējuma palielinājums nepārsniedz 20%</w:t>
            </w:r>
            <w:r w:rsidR="00BF3FCD" w:rsidRPr="00A80C47">
              <w:rPr>
                <w:sz w:val="28"/>
                <w:szCs w:val="28"/>
                <w:lang w:val="lv-LV"/>
              </w:rPr>
              <w:t xml:space="preserve"> </w:t>
            </w:r>
            <w:r w:rsidR="00C91A9D" w:rsidRPr="00A80C47">
              <w:rPr>
                <w:sz w:val="28"/>
                <w:szCs w:val="28"/>
                <w:lang w:val="lv-LV"/>
              </w:rPr>
              <w:t xml:space="preserve">no apstiprinātā shēmas </w:t>
            </w:r>
            <w:r w:rsidR="00C91A9D" w:rsidRPr="00A80C47">
              <w:rPr>
                <w:sz w:val="28"/>
                <w:szCs w:val="28"/>
                <w:lang w:val="lv-LV"/>
              </w:rPr>
              <w:lastRenderedPageBreak/>
              <w:t xml:space="preserve">kopējā budžeta </w:t>
            </w:r>
            <w:r w:rsidR="00BF3FCD" w:rsidRPr="00A80C47">
              <w:rPr>
                <w:sz w:val="28"/>
                <w:szCs w:val="28"/>
                <w:lang w:val="lv-LV"/>
              </w:rPr>
              <w:t>atbilstoši</w:t>
            </w:r>
            <w:r w:rsidRPr="00A80C47">
              <w:rPr>
                <w:sz w:val="28"/>
                <w:szCs w:val="28"/>
                <w:lang w:val="lv-LV"/>
              </w:rPr>
              <w:t xml:space="preserve"> EK lēmum</w:t>
            </w:r>
            <w:r w:rsidR="00BF3FCD" w:rsidRPr="00A80C47">
              <w:rPr>
                <w:sz w:val="28"/>
                <w:szCs w:val="28"/>
                <w:lang w:val="lv-LV"/>
              </w:rPr>
              <w:t>am SA.</w:t>
            </w:r>
            <w:r w:rsidRPr="00A80C47">
              <w:rPr>
                <w:sz w:val="28"/>
                <w:szCs w:val="28"/>
                <w:lang w:val="lv-LV"/>
              </w:rPr>
              <w:t>34681)</w:t>
            </w:r>
            <w:r w:rsidR="00AB644F" w:rsidRPr="00A80C47">
              <w:rPr>
                <w:sz w:val="28"/>
                <w:szCs w:val="28"/>
                <w:lang w:val="lv-LV"/>
              </w:rPr>
              <w:t xml:space="preserve"> </w:t>
            </w:r>
            <w:r w:rsidRPr="00A80C47">
              <w:rPr>
                <w:sz w:val="28"/>
                <w:szCs w:val="28"/>
                <w:lang w:val="lv-LV"/>
              </w:rPr>
              <w:t xml:space="preserve">un par tām nav jāpaziņo Eiropas Komisijai </w:t>
            </w:r>
            <w:r w:rsidR="00AB644F" w:rsidRPr="00A80C47">
              <w:rPr>
                <w:sz w:val="28"/>
                <w:szCs w:val="28"/>
                <w:lang w:val="lv-LV"/>
              </w:rPr>
              <w:t>saskaņā ar Komisijas Regulas Nr.794/2004</w:t>
            </w:r>
            <w:r w:rsidRPr="00A80C47">
              <w:rPr>
                <w:sz w:val="28"/>
                <w:szCs w:val="28"/>
                <w:lang w:val="lv-LV"/>
              </w:rPr>
              <w:t xml:space="preserve"> 4.panta 1</w:t>
            </w:r>
            <w:r w:rsidR="00AB644F" w:rsidRPr="00A80C47">
              <w:rPr>
                <w:sz w:val="28"/>
                <w:szCs w:val="28"/>
                <w:lang w:val="lv-LV"/>
              </w:rPr>
              <w:t>.</w:t>
            </w:r>
            <w:r w:rsidRPr="00A80C47">
              <w:rPr>
                <w:sz w:val="28"/>
                <w:szCs w:val="28"/>
                <w:lang w:val="lv-LV"/>
              </w:rPr>
              <w:t>punktu</w:t>
            </w:r>
            <w:r w:rsidR="00AB644F" w:rsidRPr="00A80C47">
              <w:rPr>
                <w:sz w:val="28"/>
                <w:szCs w:val="28"/>
                <w:lang w:val="lv-LV"/>
              </w:rPr>
              <w:t>.</w:t>
            </w:r>
          </w:p>
        </w:tc>
      </w:tr>
    </w:tbl>
    <w:p w:rsidR="009441B0" w:rsidRDefault="009441B0" w:rsidP="00055BC8">
      <w:pPr>
        <w:jc w:val="both"/>
        <w:rPr>
          <w:rFonts w:eastAsia="Times New Roman"/>
          <w:sz w:val="28"/>
          <w:szCs w:val="28"/>
          <w:lang w:val="lv-LV" w:eastAsia="lv-LV"/>
        </w:rPr>
      </w:pPr>
    </w:p>
    <w:tbl>
      <w:tblPr>
        <w:tblW w:w="0" w:type="auto"/>
        <w:tblCellSpacing w:w="0" w:type="dxa"/>
        <w:tblBorders>
          <w:top w:val="thickThinLargeGap" w:sz="6" w:space="0" w:color="D9D9D9"/>
          <w:left w:val="thickThinLargeGap" w:sz="6" w:space="0" w:color="D9D9D9"/>
          <w:bottom w:val="thickThinLargeGap" w:sz="6" w:space="0" w:color="D9D9D9"/>
          <w:right w:val="thickThinLargeGap" w:sz="6" w:space="0" w:color="D9D9D9"/>
          <w:insideH w:val="thickThinLargeGap" w:sz="6" w:space="0" w:color="D9D9D9"/>
          <w:insideV w:val="thickThinLargeGap" w:sz="6" w:space="0" w:color="D9D9D9"/>
        </w:tblBorders>
        <w:tblLayout w:type="fixed"/>
        <w:tblCellMar>
          <w:left w:w="0" w:type="dxa"/>
          <w:right w:w="0" w:type="dxa"/>
        </w:tblCellMar>
        <w:tblLook w:val="04A0" w:firstRow="1" w:lastRow="0" w:firstColumn="1" w:lastColumn="0" w:noHBand="0" w:noVBand="1"/>
      </w:tblPr>
      <w:tblGrid>
        <w:gridCol w:w="2003"/>
        <w:gridCol w:w="2452"/>
        <w:gridCol w:w="2703"/>
        <w:gridCol w:w="2033"/>
      </w:tblGrid>
      <w:tr w:rsidR="00AB644F" w:rsidRPr="00055BC8" w:rsidTr="00C204E0">
        <w:trPr>
          <w:trHeight w:val="525"/>
          <w:tblCellSpacing w:w="0" w:type="dxa"/>
        </w:trPr>
        <w:tc>
          <w:tcPr>
            <w:tcW w:w="9191" w:type="dxa"/>
            <w:gridSpan w:val="4"/>
            <w:vAlign w:val="center"/>
            <w:hideMark/>
          </w:tcPr>
          <w:p w:rsidR="00AB644F" w:rsidRPr="00055BC8" w:rsidRDefault="00AB644F" w:rsidP="00055BC8">
            <w:pPr>
              <w:jc w:val="center"/>
              <w:rPr>
                <w:rFonts w:eastAsia="Times New Roman"/>
                <w:bCs/>
                <w:sz w:val="28"/>
                <w:szCs w:val="28"/>
                <w:lang w:val="lv-LV" w:eastAsia="lv-LV"/>
              </w:rPr>
            </w:pPr>
            <w:r w:rsidRPr="00055BC8">
              <w:rPr>
                <w:rFonts w:eastAsia="Times New Roman"/>
                <w:bCs/>
                <w:sz w:val="28"/>
                <w:szCs w:val="28"/>
                <w:lang w:val="lv-LV" w:eastAsia="lv-LV"/>
              </w:rPr>
              <w:t>1.tabula</w:t>
            </w:r>
          </w:p>
          <w:p w:rsidR="00AB644F" w:rsidRPr="00055BC8" w:rsidRDefault="00AB644F" w:rsidP="00055BC8">
            <w:pPr>
              <w:jc w:val="center"/>
              <w:rPr>
                <w:rFonts w:eastAsia="Times New Roman"/>
                <w:bCs/>
                <w:sz w:val="28"/>
                <w:szCs w:val="28"/>
                <w:lang w:val="lv-LV" w:eastAsia="lv-LV"/>
              </w:rPr>
            </w:pPr>
            <w:r w:rsidRPr="00055BC8">
              <w:rPr>
                <w:rFonts w:eastAsia="Times New Roman"/>
                <w:bCs/>
                <w:sz w:val="28"/>
                <w:szCs w:val="28"/>
                <w:lang w:val="lv-LV" w:eastAsia="lv-LV"/>
              </w:rPr>
              <w:t>Tiesību akta projekta atbilstība ES tiesību aktiem</w:t>
            </w:r>
          </w:p>
        </w:tc>
      </w:tr>
      <w:tr w:rsidR="00AB644F" w:rsidRPr="00055BC8" w:rsidTr="00C204E0">
        <w:trPr>
          <w:trHeight w:val="1256"/>
          <w:tblCellSpacing w:w="0" w:type="dxa"/>
        </w:trPr>
        <w:tc>
          <w:tcPr>
            <w:tcW w:w="2003" w:type="dxa"/>
            <w:vAlign w:val="center"/>
            <w:hideMark/>
          </w:tcPr>
          <w:p w:rsidR="00AB644F" w:rsidRPr="00055BC8" w:rsidRDefault="00AB644F" w:rsidP="00055BC8">
            <w:pPr>
              <w:jc w:val="center"/>
              <w:rPr>
                <w:rFonts w:eastAsia="Times New Roman"/>
                <w:sz w:val="28"/>
                <w:szCs w:val="28"/>
                <w:lang w:val="lv-LV" w:eastAsia="lv-LV"/>
              </w:rPr>
            </w:pPr>
            <w:r w:rsidRPr="00055BC8">
              <w:rPr>
                <w:rFonts w:eastAsia="Times New Roman"/>
                <w:sz w:val="28"/>
                <w:szCs w:val="28"/>
                <w:lang w:val="lv-LV" w:eastAsia="lv-LV"/>
              </w:rPr>
              <w:t>Attiecīgā ES tiesību akta datums, numurs un nosaukums</w:t>
            </w:r>
          </w:p>
        </w:tc>
        <w:tc>
          <w:tcPr>
            <w:tcW w:w="7188" w:type="dxa"/>
            <w:gridSpan w:val="3"/>
            <w:vAlign w:val="center"/>
            <w:hideMark/>
          </w:tcPr>
          <w:p w:rsidR="00AB644F" w:rsidRPr="00055BC8" w:rsidRDefault="00AB644F" w:rsidP="00055BC8">
            <w:pPr>
              <w:jc w:val="center"/>
              <w:rPr>
                <w:rFonts w:eastAsia="Times New Roman"/>
                <w:sz w:val="28"/>
                <w:szCs w:val="28"/>
                <w:lang w:val="lv-LV" w:eastAsia="lv-LV"/>
              </w:rPr>
            </w:pPr>
            <w:r w:rsidRPr="00055BC8">
              <w:rPr>
                <w:rFonts w:eastAsia="Times New Roman"/>
                <w:sz w:val="28"/>
                <w:szCs w:val="28"/>
                <w:lang w:val="lv-LV" w:eastAsia="lv-LV"/>
              </w:rPr>
              <w:t>Aizpilda, ja ar projektu tiek pārņemts vai ieviests vairāk nekā viens ES tiesību akts – jānorāda tā pati informācija, kas prasīta instrukcijas 55.1.apakšpunktā un jau tikusi norādīta arī V</w:t>
            </w:r>
            <w:r w:rsidR="009441B0">
              <w:rPr>
                <w:rFonts w:eastAsia="Times New Roman"/>
                <w:sz w:val="28"/>
                <w:szCs w:val="28"/>
                <w:lang w:val="lv-LV" w:eastAsia="lv-LV"/>
              </w:rPr>
              <w:t>.</w:t>
            </w:r>
            <w:r w:rsidRPr="00055BC8">
              <w:rPr>
                <w:rFonts w:eastAsia="Times New Roman"/>
                <w:sz w:val="28"/>
                <w:szCs w:val="28"/>
                <w:lang w:val="lv-LV" w:eastAsia="lv-LV"/>
              </w:rPr>
              <w:t> sadaļas 1.punkta ietvaros</w:t>
            </w:r>
          </w:p>
        </w:tc>
      </w:tr>
      <w:tr w:rsidR="00AB644F" w:rsidRPr="00055BC8" w:rsidTr="00C204E0">
        <w:trPr>
          <w:trHeight w:val="164"/>
          <w:tblCellSpacing w:w="0" w:type="dxa"/>
        </w:trPr>
        <w:tc>
          <w:tcPr>
            <w:tcW w:w="9191" w:type="dxa"/>
            <w:gridSpan w:val="4"/>
            <w:vAlign w:val="center"/>
            <w:hideMark/>
          </w:tcPr>
          <w:p w:rsidR="00AB644F" w:rsidRPr="00055BC8" w:rsidRDefault="00AB644F" w:rsidP="00055BC8">
            <w:pPr>
              <w:rPr>
                <w:rFonts w:eastAsia="Times New Roman"/>
                <w:sz w:val="28"/>
                <w:szCs w:val="28"/>
                <w:lang w:val="lv-LV" w:eastAsia="lv-LV"/>
              </w:rPr>
            </w:pPr>
          </w:p>
        </w:tc>
      </w:tr>
      <w:tr w:rsidR="00AB644F" w:rsidRPr="00055BC8" w:rsidTr="00EC11BD">
        <w:trPr>
          <w:trHeight w:val="253"/>
          <w:tblCellSpacing w:w="0" w:type="dxa"/>
        </w:trPr>
        <w:tc>
          <w:tcPr>
            <w:tcW w:w="2003" w:type="dxa"/>
            <w:vAlign w:val="center"/>
            <w:hideMark/>
          </w:tcPr>
          <w:p w:rsidR="00AB644F" w:rsidRPr="00055BC8" w:rsidRDefault="00AB644F" w:rsidP="00055BC8">
            <w:pPr>
              <w:jc w:val="center"/>
              <w:rPr>
                <w:rFonts w:eastAsia="Times New Roman"/>
                <w:sz w:val="28"/>
                <w:szCs w:val="28"/>
                <w:lang w:val="lv-LV" w:eastAsia="lv-LV"/>
              </w:rPr>
            </w:pPr>
            <w:r w:rsidRPr="00055BC8">
              <w:rPr>
                <w:rFonts w:eastAsia="Times New Roman"/>
                <w:sz w:val="28"/>
                <w:szCs w:val="28"/>
                <w:lang w:val="lv-LV" w:eastAsia="lv-LV"/>
              </w:rPr>
              <w:t>A</w:t>
            </w:r>
          </w:p>
        </w:tc>
        <w:tc>
          <w:tcPr>
            <w:tcW w:w="2452" w:type="dxa"/>
            <w:vAlign w:val="center"/>
            <w:hideMark/>
          </w:tcPr>
          <w:p w:rsidR="00AB644F" w:rsidRPr="00055BC8" w:rsidRDefault="00AB644F" w:rsidP="00055BC8">
            <w:pPr>
              <w:jc w:val="center"/>
              <w:rPr>
                <w:rFonts w:eastAsia="Times New Roman"/>
                <w:sz w:val="28"/>
                <w:szCs w:val="28"/>
                <w:lang w:val="lv-LV" w:eastAsia="lv-LV"/>
              </w:rPr>
            </w:pPr>
            <w:r w:rsidRPr="00055BC8">
              <w:rPr>
                <w:rFonts w:eastAsia="Times New Roman"/>
                <w:sz w:val="28"/>
                <w:szCs w:val="28"/>
                <w:lang w:val="lv-LV" w:eastAsia="lv-LV"/>
              </w:rPr>
              <w:t>B</w:t>
            </w:r>
          </w:p>
        </w:tc>
        <w:tc>
          <w:tcPr>
            <w:tcW w:w="2703" w:type="dxa"/>
            <w:vAlign w:val="center"/>
            <w:hideMark/>
          </w:tcPr>
          <w:p w:rsidR="00AB644F" w:rsidRPr="00055BC8" w:rsidRDefault="00AB644F" w:rsidP="00055BC8">
            <w:pPr>
              <w:jc w:val="center"/>
              <w:rPr>
                <w:rFonts w:eastAsia="Times New Roman"/>
                <w:sz w:val="28"/>
                <w:szCs w:val="28"/>
                <w:lang w:val="lv-LV" w:eastAsia="lv-LV"/>
              </w:rPr>
            </w:pPr>
            <w:r w:rsidRPr="00055BC8">
              <w:rPr>
                <w:rFonts w:eastAsia="Times New Roman"/>
                <w:sz w:val="28"/>
                <w:szCs w:val="28"/>
                <w:lang w:val="lv-LV" w:eastAsia="lv-LV"/>
              </w:rPr>
              <w:t>C</w:t>
            </w:r>
          </w:p>
        </w:tc>
        <w:tc>
          <w:tcPr>
            <w:tcW w:w="2033" w:type="dxa"/>
            <w:vAlign w:val="center"/>
            <w:hideMark/>
          </w:tcPr>
          <w:p w:rsidR="00AB644F" w:rsidRPr="00055BC8" w:rsidRDefault="00AB644F" w:rsidP="00055BC8">
            <w:pPr>
              <w:jc w:val="center"/>
              <w:rPr>
                <w:rFonts w:eastAsia="Times New Roman"/>
                <w:sz w:val="28"/>
                <w:szCs w:val="28"/>
                <w:lang w:val="lv-LV" w:eastAsia="lv-LV"/>
              </w:rPr>
            </w:pPr>
            <w:r w:rsidRPr="00055BC8">
              <w:rPr>
                <w:rFonts w:eastAsia="Times New Roman"/>
                <w:sz w:val="28"/>
                <w:szCs w:val="28"/>
                <w:lang w:val="lv-LV" w:eastAsia="lv-LV"/>
              </w:rPr>
              <w:t>D</w:t>
            </w:r>
          </w:p>
        </w:tc>
      </w:tr>
      <w:tr w:rsidR="00AB644F" w:rsidRPr="00055BC8" w:rsidTr="00AE1417">
        <w:trPr>
          <w:trHeight w:val="1777"/>
          <w:tblCellSpacing w:w="0" w:type="dxa"/>
        </w:trPr>
        <w:tc>
          <w:tcPr>
            <w:tcW w:w="2003" w:type="dxa"/>
            <w:hideMark/>
          </w:tcPr>
          <w:p w:rsidR="00AB644F" w:rsidRPr="00055BC8" w:rsidRDefault="00AB644F" w:rsidP="00055BC8">
            <w:pPr>
              <w:rPr>
                <w:rFonts w:eastAsia="Times New Roman"/>
                <w:sz w:val="28"/>
                <w:szCs w:val="28"/>
                <w:lang w:val="lv-LV" w:eastAsia="lv-LV"/>
              </w:rPr>
            </w:pPr>
            <w:r w:rsidRPr="00055BC8">
              <w:rPr>
                <w:rFonts w:eastAsia="Times New Roman"/>
                <w:sz w:val="28"/>
                <w:szCs w:val="28"/>
                <w:lang w:val="lv-LV" w:eastAsia="lv-LV"/>
              </w:rPr>
              <w:t>Attiecīgā ES tiesību akta panta numurs (uzskaitot katru tiesību akta</w:t>
            </w:r>
            <w:r w:rsidRPr="00055BC8">
              <w:rPr>
                <w:rFonts w:eastAsia="Times New Roman"/>
                <w:sz w:val="28"/>
                <w:szCs w:val="28"/>
                <w:lang w:val="lv-LV" w:eastAsia="lv-LV"/>
              </w:rPr>
              <w:br/>
              <w:t>vienību – pantu, daļu, punktu, apakšpunktu)</w:t>
            </w:r>
          </w:p>
        </w:tc>
        <w:tc>
          <w:tcPr>
            <w:tcW w:w="2452" w:type="dxa"/>
            <w:hideMark/>
          </w:tcPr>
          <w:p w:rsidR="00AB644F" w:rsidRPr="00055BC8" w:rsidRDefault="00AB644F" w:rsidP="00055BC8">
            <w:pPr>
              <w:rPr>
                <w:rFonts w:eastAsia="Times New Roman"/>
                <w:sz w:val="28"/>
                <w:szCs w:val="28"/>
                <w:lang w:val="lv-LV" w:eastAsia="lv-LV"/>
              </w:rPr>
            </w:pPr>
            <w:r w:rsidRPr="00055BC8">
              <w:rPr>
                <w:rFonts w:eastAsia="Times New Roman"/>
                <w:sz w:val="28"/>
                <w:szCs w:val="28"/>
                <w:lang w:val="lv-LV" w:eastAsia="lv-LV"/>
              </w:rPr>
              <w:t>Projekta vienība, kas pārņem vai ievieš katru šīs tabulas A ailē minēto ES tiesību akta vienību</w:t>
            </w:r>
          </w:p>
        </w:tc>
        <w:tc>
          <w:tcPr>
            <w:tcW w:w="2703" w:type="dxa"/>
            <w:hideMark/>
          </w:tcPr>
          <w:p w:rsidR="00AB644F" w:rsidRPr="00055BC8" w:rsidRDefault="00AB644F" w:rsidP="00055BC8">
            <w:pPr>
              <w:rPr>
                <w:rFonts w:eastAsia="Times New Roman"/>
                <w:sz w:val="28"/>
                <w:szCs w:val="28"/>
                <w:lang w:val="lv-LV" w:eastAsia="lv-LV"/>
              </w:rPr>
            </w:pPr>
            <w:r w:rsidRPr="00055BC8">
              <w:rPr>
                <w:rFonts w:eastAsia="Times New Roman"/>
                <w:sz w:val="28"/>
                <w:szCs w:val="28"/>
                <w:lang w:val="lv-LV" w:eastAsia="lv-LV"/>
              </w:rPr>
              <w:t>Informācija par to, vai šīs tabulas A ailē minētās ES tiesību akta vienības tiek pārņemtas vai ieviestas pilnībā vai daļēji.</w:t>
            </w:r>
          </w:p>
          <w:p w:rsidR="00AB644F" w:rsidRPr="00055BC8" w:rsidRDefault="00AB644F" w:rsidP="00055BC8">
            <w:pPr>
              <w:rPr>
                <w:rFonts w:eastAsia="Times New Roman"/>
                <w:sz w:val="28"/>
                <w:szCs w:val="28"/>
                <w:lang w:val="lv-LV" w:eastAsia="lv-LV"/>
              </w:rPr>
            </w:pPr>
          </w:p>
          <w:p w:rsidR="00AB644F" w:rsidRPr="00055BC8" w:rsidRDefault="00AB644F" w:rsidP="00055BC8">
            <w:pPr>
              <w:rPr>
                <w:rFonts w:eastAsia="Times New Roman"/>
                <w:sz w:val="28"/>
                <w:szCs w:val="28"/>
                <w:lang w:val="lv-LV" w:eastAsia="lv-LV"/>
              </w:rPr>
            </w:pPr>
            <w:r w:rsidRPr="00055BC8">
              <w:rPr>
                <w:rFonts w:eastAsia="Times New Roman"/>
                <w:sz w:val="28"/>
                <w:szCs w:val="28"/>
                <w:lang w:val="lv-LV" w:eastAsia="lv-LV"/>
              </w:rPr>
              <w:t>Ja attiecīgā ES tiesību akta vienība tiek pārņemta vai ieviesta daļēji, – sniedz attiecīgu skaidrojumu, kā arī precīzi norāda, kad un kādā veidā ES tiesību akta vienība tiks pārņemta vai ieviesta pilnībā.</w:t>
            </w:r>
          </w:p>
          <w:p w:rsidR="00AB644F" w:rsidRPr="00055BC8" w:rsidRDefault="00AB644F" w:rsidP="00055BC8">
            <w:pPr>
              <w:rPr>
                <w:rFonts w:eastAsia="Times New Roman"/>
                <w:sz w:val="28"/>
                <w:szCs w:val="28"/>
                <w:lang w:val="lv-LV" w:eastAsia="lv-LV"/>
              </w:rPr>
            </w:pPr>
          </w:p>
          <w:p w:rsidR="00AB644F" w:rsidRPr="00055BC8" w:rsidRDefault="00AB644F" w:rsidP="00055BC8">
            <w:pPr>
              <w:rPr>
                <w:rFonts w:eastAsia="Times New Roman"/>
                <w:sz w:val="28"/>
                <w:szCs w:val="28"/>
                <w:lang w:val="lv-LV" w:eastAsia="lv-LV"/>
              </w:rPr>
            </w:pPr>
            <w:r w:rsidRPr="00055BC8">
              <w:rPr>
                <w:rFonts w:eastAsia="Times New Roman"/>
                <w:sz w:val="28"/>
                <w:szCs w:val="28"/>
                <w:lang w:val="lv-LV" w:eastAsia="lv-LV"/>
              </w:rPr>
              <w:t>Norāda institūciju, kas ir atbildīga par šo saistību izpildi pilnībā</w:t>
            </w:r>
          </w:p>
        </w:tc>
        <w:tc>
          <w:tcPr>
            <w:tcW w:w="2033" w:type="dxa"/>
            <w:hideMark/>
          </w:tcPr>
          <w:p w:rsidR="00AB644F" w:rsidRPr="00055BC8" w:rsidRDefault="00AB644F" w:rsidP="00055BC8">
            <w:pPr>
              <w:rPr>
                <w:rFonts w:eastAsia="Times New Roman"/>
                <w:sz w:val="28"/>
                <w:szCs w:val="28"/>
                <w:lang w:val="lv-LV" w:eastAsia="lv-LV"/>
              </w:rPr>
            </w:pPr>
            <w:r w:rsidRPr="00055BC8">
              <w:rPr>
                <w:rFonts w:eastAsia="Times New Roman"/>
                <w:sz w:val="28"/>
                <w:szCs w:val="28"/>
                <w:lang w:val="lv-LV" w:eastAsia="lv-LV"/>
              </w:rPr>
              <w:t>Informācija par to, vai šīs tabulas B ailē minētās projekta vienības paredz stingrākas prasības nekā šīs tabulas A ailē minētās ES tiesību akta vienības.</w:t>
            </w:r>
          </w:p>
          <w:p w:rsidR="00AB644F" w:rsidRPr="00055BC8" w:rsidRDefault="00AB644F" w:rsidP="00055BC8">
            <w:pPr>
              <w:rPr>
                <w:rFonts w:eastAsia="Times New Roman"/>
                <w:sz w:val="28"/>
                <w:szCs w:val="28"/>
                <w:lang w:val="lv-LV" w:eastAsia="lv-LV"/>
              </w:rPr>
            </w:pPr>
          </w:p>
          <w:p w:rsidR="00AB644F" w:rsidRPr="00055BC8" w:rsidRDefault="00AB644F" w:rsidP="00055BC8">
            <w:pPr>
              <w:rPr>
                <w:rFonts w:eastAsia="Times New Roman"/>
                <w:sz w:val="28"/>
                <w:szCs w:val="28"/>
                <w:lang w:val="lv-LV" w:eastAsia="lv-LV"/>
              </w:rPr>
            </w:pPr>
            <w:r w:rsidRPr="00055BC8">
              <w:rPr>
                <w:rFonts w:eastAsia="Times New Roman"/>
                <w:sz w:val="28"/>
                <w:szCs w:val="28"/>
                <w:lang w:val="lv-LV" w:eastAsia="lv-LV"/>
              </w:rPr>
              <w:t>Ja projekts satur stingrākas prasības nekā attiecīgais ES tiesību akts, – norāda pamatojumu un samērīgumu.</w:t>
            </w:r>
          </w:p>
          <w:p w:rsidR="00AB644F" w:rsidRPr="00055BC8" w:rsidRDefault="00AB644F" w:rsidP="00055BC8">
            <w:pPr>
              <w:rPr>
                <w:rFonts w:eastAsia="Times New Roman"/>
                <w:sz w:val="28"/>
                <w:szCs w:val="28"/>
                <w:lang w:val="lv-LV" w:eastAsia="lv-LV"/>
              </w:rPr>
            </w:pPr>
          </w:p>
          <w:p w:rsidR="00AB644F" w:rsidRPr="00055BC8" w:rsidRDefault="00AB644F" w:rsidP="00055BC8">
            <w:pPr>
              <w:rPr>
                <w:rFonts w:eastAsia="Times New Roman"/>
                <w:sz w:val="28"/>
                <w:szCs w:val="28"/>
                <w:lang w:val="lv-LV" w:eastAsia="lv-LV"/>
              </w:rPr>
            </w:pPr>
            <w:r w:rsidRPr="00055BC8">
              <w:rPr>
                <w:rFonts w:eastAsia="Times New Roman"/>
                <w:sz w:val="28"/>
                <w:szCs w:val="28"/>
                <w:lang w:val="lv-LV" w:eastAsia="lv-LV"/>
              </w:rPr>
              <w:t>Norāda iespējamās alternatīvas (</w:t>
            </w:r>
            <w:proofErr w:type="spellStart"/>
            <w:r w:rsidRPr="00055BC8">
              <w:rPr>
                <w:rFonts w:eastAsia="Times New Roman"/>
                <w:sz w:val="28"/>
                <w:szCs w:val="28"/>
                <w:lang w:val="lv-LV" w:eastAsia="lv-LV"/>
              </w:rPr>
              <w:t>t.sk</w:t>
            </w:r>
            <w:proofErr w:type="spellEnd"/>
            <w:r w:rsidRPr="00055BC8">
              <w:rPr>
                <w:rFonts w:eastAsia="Times New Roman"/>
                <w:sz w:val="28"/>
                <w:szCs w:val="28"/>
                <w:lang w:val="lv-LV" w:eastAsia="lv-LV"/>
              </w:rPr>
              <w:t xml:space="preserve">. alternatīvas, kas </w:t>
            </w:r>
            <w:r w:rsidRPr="00055BC8">
              <w:rPr>
                <w:rFonts w:eastAsia="Times New Roman"/>
                <w:sz w:val="28"/>
                <w:szCs w:val="28"/>
                <w:lang w:val="lv-LV" w:eastAsia="lv-LV"/>
              </w:rPr>
              <w:lastRenderedPageBreak/>
              <w:t>neparedz tiesiskā regulējuma izstrādi) – kādos gadījumos būtu iespējams izvairīties no stingrāku prasību noteikšanas, nekā paredzēts attiecīgajos ES tiesību aktos</w:t>
            </w:r>
          </w:p>
        </w:tc>
      </w:tr>
      <w:tr w:rsidR="00AB644F" w:rsidRPr="00A80C47" w:rsidTr="00EC11BD">
        <w:trPr>
          <w:trHeight w:val="433"/>
          <w:tblCellSpacing w:w="0" w:type="dxa"/>
        </w:trPr>
        <w:tc>
          <w:tcPr>
            <w:tcW w:w="2003" w:type="dxa"/>
            <w:hideMark/>
          </w:tcPr>
          <w:p w:rsidR="00AB644F" w:rsidRPr="00A80C47" w:rsidRDefault="004603D4" w:rsidP="00055BC8">
            <w:pPr>
              <w:rPr>
                <w:rFonts w:eastAsia="Times New Roman"/>
                <w:sz w:val="28"/>
                <w:szCs w:val="28"/>
                <w:lang w:val="lv-LV" w:eastAsia="lv-LV"/>
              </w:rPr>
            </w:pPr>
            <w:r w:rsidRPr="00A80C47">
              <w:rPr>
                <w:sz w:val="28"/>
                <w:szCs w:val="28"/>
                <w:lang w:val="lv-LV"/>
              </w:rPr>
              <w:lastRenderedPageBreak/>
              <w:t>EK lēmuma SA.34681 21.punkts</w:t>
            </w:r>
            <w:r w:rsidR="00AB644F" w:rsidRPr="00A80C47">
              <w:rPr>
                <w:rFonts w:eastAsia="Times New Roman"/>
                <w:sz w:val="28"/>
                <w:szCs w:val="28"/>
                <w:lang w:val="lv-LV"/>
              </w:rPr>
              <w:t>.</w:t>
            </w:r>
          </w:p>
        </w:tc>
        <w:tc>
          <w:tcPr>
            <w:tcW w:w="2452" w:type="dxa"/>
            <w:hideMark/>
          </w:tcPr>
          <w:p w:rsidR="00AB644F" w:rsidRPr="00A80C47" w:rsidRDefault="004603D4" w:rsidP="00AE1417">
            <w:pPr>
              <w:spacing w:before="60" w:after="60"/>
              <w:rPr>
                <w:rFonts w:eastAsia="Times New Roman"/>
                <w:sz w:val="28"/>
                <w:szCs w:val="28"/>
                <w:lang w:val="lv-LV" w:eastAsia="lv-LV"/>
              </w:rPr>
            </w:pPr>
            <w:r w:rsidRPr="00A80C47">
              <w:rPr>
                <w:sz w:val="28"/>
                <w:szCs w:val="28"/>
                <w:lang w:val="lv-LV"/>
              </w:rPr>
              <w:t>Tiesību akta projekta 1.punkts</w:t>
            </w:r>
            <w:r w:rsidR="00AB644F" w:rsidRPr="00A80C47">
              <w:rPr>
                <w:rFonts w:eastAsia="Times New Roman"/>
                <w:sz w:val="28"/>
                <w:szCs w:val="28"/>
                <w:lang w:val="lv-LV"/>
              </w:rPr>
              <w:t>.</w:t>
            </w:r>
          </w:p>
        </w:tc>
        <w:tc>
          <w:tcPr>
            <w:tcW w:w="2703" w:type="dxa"/>
            <w:hideMark/>
          </w:tcPr>
          <w:p w:rsidR="00AB644F" w:rsidRPr="00A80C47" w:rsidRDefault="00C91A9D" w:rsidP="00C91A9D">
            <w:pPr>
              <w:jc w:val="both"/>
              <w:rPr>
                <w:rFonts w:eastAsia="Times New Roman"/>
                <w:sz w:val="28"/>
                <w:szCs w:val="28"/>
                <w:lang w:val="lv-LV" w:eastAsia="lv-LV"/>
              </w:rPr>
            </w:pPr>
            <w:r w:rsidRPr="00A80C47">
              <w:rPr>
                <w:sz w:val="28"/>
                <w:szCs w:val="28"/>
                <w:lang w:val="lv-LV"/>
              </w:rPr>
              <w:t>Tiesību akta projekta 1.punkts paredz KF finansējuma palielinājumu par 584 390 latiem. EK lēmuma SA.34681 21.punktā noteiktais paziņotais shēmas kopējais maksimālais budžets ir 54 746 209 lati. Budžeta palielinājuma rezultātā shēmas kopējais budžets būs 55 330 </w:t>
            </w:r>
            <w:r w:rsidR="007B22A2" w:rsidRPr="00A80C47">
              <w:rPr>
                <w:sz w:val="28"/>
                <w:szCs w:val="28"/>
                <w:lang w:val="lv-LV"/>
              </w:rPr>
              <w:t>599</w:t>
            </w:r>
            <w:r w:rsidRPr="00A80C47">
              <w:rPr>
                <w:sz w:val="28"/>
                <w:szCs w:val="28"/>
                <w:lang w:val="lv-LV"/>
              </w:rPr>
              <w:t xml:space="preserve"> lati</w:t>
            </w:r>
            <w:r w:rsidR="00AB644F" w:rsidRPr="00A80C47">
              <w:rPr>
                <w:sz w:val="28"/>
                <w:szCs w:val="28"/>
                <w:lang w:val="lv-LV"/>
              </w:rPr>
              <w:t>.</w:t>
            </w:r>
          </w:p>
        </w:tc>
        <w:tc>
          <w:tcPr>
            <w:tcW w:w="2033" w:type="dxa"/>
            <w:hideMark/>
          </w:tcPr>
          <w:p w:rsidR="00AB644F" w:rsidRPr="00A80C47" w:rsidRDefault="004603D4" w:rsidP="00055BC8">
            <w:pPr>
              <w:jc w:val="both"/>
              <w:rPr>
                <w:rFonts w:eastAsia="Times New Roman"/>
                <w:sz w:val="28"/>
                <w:szCs w:val="28"/>
                <w:lang w:val="lv-LV" w:eastAsia="lv-LV"/>
              </w:rPr>
            </w:pPr>
            <w:r w:rsidRPr="00A80C47">
              <w:rPr>
                <w:rFonts w:eastAsia="Times New Roman"/>
                <w:sz w:val="28"/>
                <w:szCs w:val="28"/>
                <w:lang w:val="lv-LV" w:eastAsia="lv-LV"/>
              </w:rPr>
              <w:t>Tiesību akta projekts neparedz stingrākas prasības kā noteikts ES tiesību aktā</w:t>
            </w:r>
            <w:r w:rsidR="00AB644F" w:rsidRPr="00A80C47">
              <w:rPr>
                <w:rFonts w:eastAsia="Times New Roman"/>
                <w:sz w:val="28"/>
                <w:szCs w:val="28"/>
                <w:lang w:val="lv-LV"/>
              </w:rPr>
              <w:t>.</w:t>
            </w:r>
          </w:p>
        </w:tc>
      </w:tr>
      <w:tr w:rsidR="00AB644F" w:rsidRPr="00055BC8" w:rsidTr="00C204E0">
        <w:trPr>
          <w:trHeight w:val="282"/>
          <w:tblCellSpacing w:w="0" w:type="dxa"/>
        </w:trPr>
        <w:tc>
          <w:tcPr>
            <w:tcW w:w="2003" w:type="dxa"/>
            <w:vAlign w:val="center"/>
            <w:hideMark/>
          </w:tcPr>
          <w:p w:rsidR="00AB644F" w:rsidRPr="00055BC8" w:rsidRDefault="00AB644F" w:rsidP="00055BC8">
            <w:pPr>
              <w:rPr>
                <w:rFonts w:eastAsia="Times New Roman"/>
                <w:sz w:val="28"/>
                <w:szCs w:val="28"/>
                <w:lang w:val="lv-LV" w:eastAsia="lv-LV"/>
              </w:rPr>
            </w:pPr>
            <w:r w:rsidRPr="00055BC8">
              <w:rPr>
                <w:rFonts w:eastAsia="Times New Roman"/>
                <w:sz w:val="28"/>
                <w:szCs w:val="28"/>
                <w:lang w:val="lv-LV" w:eastAsia="lv-LV"/>
              </w:rPr>
              <w:t>Kā ir izmantota ES tiesību aktā paredzētā rīcības brīvība dalībvalstij pārņemt vai ieviest noteiktas ES tiesību akta normas.</w:t>
            </w:r>
          </w:p>
          <w:p w:rsidR="00AB644F" w:rsidRPr="00055BC8" w:rsidRDefault="00AB644F" w:rsidP="00055BC8">
            <w:pPr>
              <w:rPr>
                <w:rFonts w:eastAsia="Times New Roman"/>
                <w:sz w:val="28"/>
                <w:szCs w:val="28"/>
                <w:lang w:val="lv-LV" w:eastAsia="lv-LV"/>
              </w:rPr>
            </w:pPr>
            <w:r w:rsidRPr="00055BC8">
              <w:rPr>
                <w:rFonts w:eastAsia="Times New Roman"/>
                <w:sz w:val="28"/>
                <w:szCs w:val="28"/>
                <w:lang w:val="lv-LV" w:eastAsia="lv-LV"/>
              </w:rPr>
              <w:t>Kādēļ?</w:t>
            </w:r>
          </w:p>
        </w:tc>
        <w:tc>
          <w:tcPr>
            <w:tcW w:w="7188" w:type="dxa"/>
            <w:gridSpan w:val="3"/>
            <w:hideMark/>
          </w:tcPr>
          <w:p w:rsidR="00AB644F" w:rsidRPr="00055BC8" w:rsidRDefault="00AB644F" w:rsidP="00055BC8">
            <w:pPr>
              <w:rPr>
                <w:rFonts w:eastAsia="Times New Roman"/>
                <w:sz w:val="28"/>
                <w:szCs w:val="28"/>
                <w:lang w:val="lv-LV" w:eastAsia="lv-LV"/>
              </w:rPr>
            </w:pPr>
            <w:r w:rsidRPr="00055BC8">
              <w:rPr>
                <w:rFonts w:eastAsia="Times New Roman"/>
                <w:sz w:val="28"/>
                <w:szCs w:val="28"/>
                <w:lang w:val="lv-LV" w:eastAsia="lv-LV"/>
              </w:rPr>
              <w:t>Projekts šo jomu neskar.</w:t>
            </w:r>
          </w:p>
        </w:tc>
      </w:tr>
      <w:tr w:rsidR="00AB644F" w:rsidRPr="00055BC8" w:rsidTr="00C204E0">
        <w:trPr>
          <w:trHeight w:val="643"/>
          <w:tblCellSpacing w:w="0" w:type="dxa"/>
        </w:trPr>
        <w:tc>
          <w:tcPr>
            <w:tcW w:w="2003" w:type="dxa"/>
            <w:vAlign w:val="center"/>
            <w:hideMark/>
          </w:tcPr>
          <w:p w:rsidR="00AB644F" w:rsidRPr="00055BC8" w:rsidRDefault="00AB644F" w:rsidP="00055BC8">
            <w:pPr>
              <w:rPr>
                <w:rFonts w:eastAsia="Times New Roman"/>
                <w:sz w:val="28"/>
                <w:szCs w:val="28"/>
                <w:lang w:val="lv-LV" w:eastAsia="lv-LV"/>
              </w:rPr>
            </w:pPr>
            <w:r w:rsidRPr="00055BC8">
              <w:rPr>
                <w:rFonts w:eastAsia="Times New Roman"/>
                <w:sz w:val="28"/>
                <w:szCs w:val="28"/>
                <w:lang w:val="lv-LV"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188" w:type="dxa"/>
            <w:gridSpan w:val="3"/>
            <w:hideMark/>
          </w:tcPr>
          <w:p w:rsidR="00AB644F" w:rsidRPr="00C91A9D" w:rsidRDefault="00C91A9D" w:rsidP="00055BC8">
            <w:pPr>
              <w:jc w:val="both"/>
              <w:rPr>
                <w:rFonts w:eastAsia="Times New Roman"/>
                <w:sz w:val="28"/>
                <w:szCs w:val="28"/>
                <w:lang w:val="lv-LV" w:eastAsia="lv-LV"/>
              </w:rPr>
            </w:pPr>
            <w:r w:rsidRPr="00C91A9D">
              <w:rPr>
                <w:sz w:val="28"/>
                <w:szCs w:val="28"/>
                <w:lang w:val="lv-LV"/>
              </w:rPr>
              <w:t>-</w:t>
            </w:r>
          </w:p>
        </w:tc>
      </w:tr>
      <w:tr w:rsidR="00AB644F" w:rsidRPr="00055BC8" w:rsidTr="00C204E0">
        <w:trPr>
          <w:trHeight w:val="399"/>
          <w:tblCellSpacing w:w="0" w:type="dxa"/>
        </w:trPr>
        <w:tc>
          <w:tcPr>
            <w:tcW w:w="2003" w:type="dxa"/>
            <w:hideMark/>
          </w:tcPr>
          <w:p w:rsidR="00AB644F" w:rsidRPr="00055BC8" w:rsidRDefault="00AB644F" w:rsidP="00055BC8">
            <w:pPr>
              <w:rPr>
                <w:rFonts w:eastAsia="Times New Roman"/>
                <w:sz w:val="28"/>
                <w:szCs w:val="28"/>
                <w:lang w:val="lv-LV" w:eastAsia="lv-LV"/>
              </w:rPr>
            </w:pPr>
            <w:r w:rsidRPr="00055BC8">
              <w:rPr>
                <w:rFonts w:eastAsia="Times New Roman"/>
                <w:sz w:val="28"/>
                <w:szCs w:val="28"/>
                <w:lang w:val="lv-LV" w:eastAsia="lv-LV"/>
              </w:rPr>
              <w:t>Cita informācija</w:t>
            </w:r>
          </w:p>
        </w:tc>
        <w:tc>
          <w:tcPr>
            <w:tcW w:w="7188" w:type="dxa"/>
            <w:gridSpan w:val="3"/>
            <w:hideMark/>
          </w:tcPr>
          <w:p w:rsidR="00AB644F" w:rsidRPr="00055BC8" w:rsidRDefault="00AB644F" w:rsidP="00055BC8">
            <w:pPr>
              <w:rPr>
                <w:rFonts w:eastAsia="Times New Roman"/>
                <w:sz w:val="28"/>
                <w:szCs w:val="28"/>
                <w:lang w:val="lv-LV" w:eastAsia="lv-LV"/>
              </w:rPr>
            </w:pPr>
            <w:r w:rsidRPr="00055BC8">
              <w:rPr>
                <w:sz w:val="28"/>
                <w:szCs w:val="28"/>
                <w:lang w:val="lv-LV"/>
              </w:rPr>
              <w:t>Nav.</w:t>
            </w:r>
          </w:p>
        </w:tc>
      </w:tr>
    </w:tbl>
    <w:p w:rsidR="00AB644F" w:rsidRPr="00D54C3B" w:rsidRDefault="00AB644F" w:rsidP="00055BC8">
      <w:pPr>
        <w:jc w:val="both"/>
        <w:rPr>
          <w:rFonts w:eastAsia="Times New Roman"/>
          <w:sz w:val="28"/>
          <w:szCs w:val="28"/>
          <w:lang w:val="lv-LV" w:eastAsia="lv-LV"/>
        </w:rPr>
      </w:pPr>
    </w:p>
    <w:tbl>
      <w:tblPr>
        <w:tblW w:w="0" w:type="auto"/>
        <w:tblCellSpacing w:w="0" w:type="dxa"/>
        <w:tblBorders>
          <w:top w:val="thickThinLargeGap" w:sz="2" w:space="0" w:color="C0C0C0"/>
          <w:left w:val="thickThinLargeGap" w:sz="2" w:space="0" w:color="C0C0C0"/>
          <w:bottom w:val="thickThinLargeGap" w:sz="2" w:space="0" w:color="C0C0C0"/>
          <w:right w:val="thickThinLargeGap" w:sz="2" w:space="0" w:color="C0C0C0"/>
          <w:insideH w:val="thickThinLargeGap" w:sz="2" w:space="0" w:color="C0C0C0"/>
          <w:insideV w:val="thickThinLargeGap" w:sz="2" w:space="0" w:color="C0C0C0"/>
        </w:tblBorders>
        <w:tblCellMar>
          <w:left w:w="0" w:type="dxa"/>
          <w:right w:w="0" w:type="dxa"/>
        </w:tblCellMar>
        <w:tblLook w:val="04A0" w:firstRow="1" w:lastRow="0" w:firstColumn="1" w:lastColumn="0" w:noHBand="0" w:noVBand="1"/>
      </w:tblPr>
      <w:tblGrid>
        <w:gridCol w:w="2602"/>
        <w:gridCol w:w="992"/>
        <w:gridCol w:w="1607"/>
        <w:gridCol w:w="3914"/>
      </w:tblGrid>
      <w:tr w:rsidR="00AB644F" w:rsidRPr="00055BC8" w:rsidTr="00055BC8">
        <w:trPr>
          <w:trHeight w:val="178"/>
          <w:tblCellSpacing w:w="0" w:type="dxa"/>
        </w:trPr>
        <w:tc>
          <w:tcPr>
            <w:tcW w:w="9115" w:type="dxa"/>
            <w:gridSpan w:val="4"/>
            <w:vAlign w:val="center"/>
            <w:hideMark/>
          </w:tcPr>
          <w:p w:rsidR="00AB644F" w:rsidRPr="00055BC8" w:rsidRDefault="00AB644F" w:rsidP="00055BC8">
            <w:pPr>
              <w:jc w:val="center"/>
              <w:rPr>
                <w:rFonts w:eastAsia="Times New Roman"/>
                <w:bCs/>
                <w:sz w:val="28"/>
                <w:szCs w:val="28"/>
                <w:lang w:val="lv-LV"/>
              </w:rPr>
            </w:pPr>
            <w:r w:rsidRPr="00055BC8">
              <w:rPr>
                <w:rFonts w:eastAsia="Times New Roman"/>
                <w:bCs/>
                <w:sz w:val="28"/>
                <w:szCs w:val="28"/>
                <w:lang w:val="lv-LV"/>
              </w:rPr>
              <w:t>2.tabula</w:t>
            </w:r>
          </w:p>
          <w:p w:rsidR="00AB644F" w:rsidRPr="00055BC8" w:rsidRDefault="00AB644F" w:rsidP="00055BC8">
            <w:pPr>
              <w:jc w:val="center"/>
              <w:rPr>
                <w:rFonts w:eastAsia="Times New Roman"/>
                <w:bCs/>
                <w:sz w:val="28"/>
                <w:szCs w:val="28"/>
                <w:lang w:val="lv-LV"/>
              </w:rPr>
            </w:pPr>
            <w:r w:rsidRPr="00055BC8">
              <w:rPr>
                <w:rFonts w:eastAsia="Times New Roman"/>
                <w:bCs/>
                <w:sz w:val="28"/>
                <w:szCs w:val="28"/>
                <w:lang w:val="lv-LV"/>
              </w:rPr>
              <w:t>Ar tiesību akta projektu uzņemtās saistības, kas izriet no starptautiskajiem tiesību aktiem vai starptautiskas institūcijas vai organizācijas dokumentiem</w:t>
            </w:r>
          </w:p>
          <w:p w:rsidR="00AB644F" w:rsidRPr="00055BC8" w:rsidRDefault="00AB644F" w:rsidP="00055BC8">
            <w:pPr>
              <w:jc w:val="center"/>
              <w:rPr>
                <w:rFonts w:eastAsia="Times New Roman"/>
                <w:bCs/>
                <w:sz w:val="28"/>
                <w:szCs w:val="28"/>
                <w:lang w:val="lv-LV"/>
              </w:rPr>
            </w:pPr>
            <w:r w:rsidRPr="00055BC8">
              <w:rPr>
                <w:rFonts w:eastAsia="Times New Roman"/>
                <w:bCs/>
                <w:sz w:val="28"/>
                <w:szCs w:val="28"/>
                <w:lang w:val="lv-LV"/>
              </w:rPr>
              <w:t>Pasākumi šo saistību izpildei</w:t>
            </w:r>
          </w:p>
        </w:tc>
      </w:tr>
      <w:tr w:rsidR="00AB644F" w:rsidRPr="00055BC8" w:rsidTr="00EC11BD">
        <w:trPr>
          <w:trHeight w:val="1845"/>
          <w:tblCellSpacing w:w="0" w:type="dxa"/>
        </w:trPr>
        <w:tc>
          <w:tcPr>
            <w:tcW w:w="3594" w:type="dxa"/>
            <w:gridSpan w:val="2"/>
            <w:vAlign w:val="center"/>
            <w:hideMark/>
          </w:tcPr>
          <w:p w:rsidR="00AB644F" w:rsidRPr="00055BC8" w:rsidRDefault="00AB644F" w:rsidP="00055BC8">
            <w:pPr>
              <w:rPr>
                <w:rFonts w:eastAsia="Times New Roman"/>
                <w:sz w:val="28"/>
                <w:szCs w:val="28"/>
                <w:lang w:val="lv-LV"/>
              </w:rPr>
            </w:pPr>
            <w:r w:rsidRPr="00055BC8">
              <w:rPr>
                <w:rFonts w:eastAsia="Times New Roman"/>
                <w:sz w:val="28"/>
                <w:szCs w:val="28"/>
                <w:lang w:val="lv-LV"/>
              </w:rPr>
              <w:t>Attiecīgā starptautiskā tiesību akta vai starptautiskas institūcijas vai organizācijas dokumenta (turpmāk – starptautiskais dokuments) datums, numurs un nosaukums</w:t>
            </w:r>
          </w:p>
        </w:tc>
        <w:tc>
          <w:tcPr>
            <w:tcW w:w="5521" w:type="dxa"/>
            <w:gridSpan w:val="2"/>
            <w:hideMark/>
          </w:tcPr>
          <w:p w:rsidR="00AB644F" w:rsidRPr="00055BC8" w:rsidRDefault="00AB644F" w:rsidP="00055BC8">
            <w:pPr>
              <w:rPr>
                <w:rFonts w:eastAsia="Times New Roman"/>
                <w:sz w:val="28"/>
                <w:szCs w:val="28"/>
                <w:lang w:val="lv-LV"/>
              </w:rPr>
            </w:pPr>
            <w:r w:rsidRPr="00055BC8">
              <w:rPr>
                <w:rFonts w:eastAsia="Times New Roman"/>
                <w:sz w:val="28"/>
                <w:szCs w:val="28"/>
                <w:lang w:val="lv-LV"/>
              </w:rPr>
              <w:t>Aizpilda, ja ar projektu izpildītas vai tiek uzņemtas saistības, kas izriet no vairāk nekā viena starptautiskā dokumenta, – jānorāda tā pati informācija, kas prasīta instrukcijas 57.1.apakšpunktā un jau tikusi norādīta arī V sadaļas 2.punkta ietvaros</w:t>
            </w:r>
          </w:p>
        </w:tc>
      </w:tr>
      <w:tr w:rsidR="00AB644F" w:rsidRPr="00055BC8" w:rsidTr="00EC11BD">
        <w:trPr>
          <w:trHeight w:val="219"/>
          <w:tblCellSpacing w:w="0" w:type="dxa"/>
        </w:trPr>
        <w:tc>
          <w:tcPr>
            <w:tcW w:w="9115" w:type="dxa"/>
            <w:gridSpan w:val="4"/>
            <w:vAlign w:val="center"/>
            <w:hideMark/>
          </w:tcPr>
          <w:p w:rsidR="00AB644F" w:rsidRPr="00055BC8" w:rsidRDefault="00AB644F" w:rsidP="00055BC8">
            <w:pPr>
              <w:rPr>
                <w:rFonts w:eastAsia="Times New Roman"/>
                <w:sz w:val="28"/>
                <w:szCs w:val="28"/>
                <w:lang w:val="lv-LV"/>
              </w:rPr>
            </w:pPr>
          </w:p>
        </w:tc>
      </w:tr>
      <w:tr w:rsidR="00AB644F" w:rsidRPr="00055BC8" w:rsidTr="00EC11BD">
        <w:trPr>
          <w:trHeight w:val="343"/>
          <w:tblCellSpacing w:w="0" w:type="dxa"/>
        </w:trPr>
        <w:tc>
          <w:tcPr>
            <w:tcW w:w="2602" w:type="dxa"/>
            <w:vAlign w:val="center"/>
            <w:hideMark/>
          </w:tcPr>
          <w:p w:rsidR="00AB644F" w:rsidRPr="00055BC8" w:rsidRDefault="00AB644F" w:rsidP="00055BC8">
            <w:pPr>
              <w:jc w:val="center"/>
              <w:rPr>
                <w:rFonts w:eastAsia="Times New Roman"/>
                <w:sz w:val="28"/>
                <w:szCs w:val="28"/>
                <w:lang w:val="lv-LV"/>
              </w:rPr>
            </w:pPr>
            <w:r w:rsidRPr="00055BC8">
              <w:rPr>
                <w:rFonts w:eastAsia="Times New Roman"/>
                <w:sz w:val="28"/>
                <w:szCs w:val="28"/>
                <w:lang w:val="lv-LV"/>
              </w:rPr>
              <w:t>A</w:t>
            </w:r>
          </w:p>
        </w:tc>
        <w:tc>
          <w:tcPr>
            <w:tcW w:w="2599" w:type="dxa"/>
            <w:gridSpan w:val="2"/>
            <w:vAlign w:val="center"/>
            <w:hideMark/>
          </w:tcPr>
          <w:p w:rsidR="00AB644F" w:rsidRPr="00055BC8" w:rsidRDefault="00AB644F" w:rsidP="00055BC8">
            <w:pPr>
              <w:jc w:val="center"/>
              <w:rPr>
                <w:rFonts w:eastAsia="Times New Roman"/>
                <w:sz w:val="28"/>
                <w:szCs w:val="28"/>
                <w:lang w:val="lv-LV"/>
              </w:rPr>
            </w:pPr>
            <w:r w:rsidRPr="00055BC8">
              <w:rPr>
                <w:rFonts w:eastAsia="Times New Roman"/>
                <w:sz w:val="28"/>
                <w:szCs w:val="28"/>
                <w:lang w:val="lv-LV"/>
              </w:rPr>
              <w:t>B</w:t>
            </w:r>
          </w:p>
        </w:tc>
        <w:tc>
          <w:tcPr>
            <w:tcW w:w="3914" w:type="dxa"/>
            <w:vAlign w:val="center"/>
            <w:hideMark/>
          </w:tcPr>
          <w:p w:rsidR="00AB644F" w:rsidRPr="00055BC8" w:rsidRDefault="00AB644F" w:rsidP="009441B0">
            <w:pPr>
              <w:jc w:val="center"/>
              <w:rPr>
                <w:rFonts w:eastAsia="Times New Roman"/>
                <w:sz w:val="28"/>
                <w:szCs w:val="28"/>
                <w:lang w:val="lv-LV"/>
              </w:rPr>
            </w:pPr>
            <w:r w:rsidRPr="00055BC8">
              <w:rPr>
                <w:rFonts w:eastAsia="Times New Roman"/>
                <w:sz w:val="28"/>
                <w:szCs w:val="28"/>
                <w:lang w:val="lv-LV"/>
              </w:rPr>
              <w:t>C</w:t>
            </w:r>
          </w:p>
        </w:tc>
      </w:tr>
      <w:tr w:rsidR="00AB644F" w:rsidRPr="00055BC8" w:rsidTr="00EC11BD">
        <w:trPr>
          <w:trHeight w:val="1512"/>
          <w:tblCellSpacing w:w="0" w:type="dxa"/>
        </w:trPr>
        <w:tc>
          <w:tcPr>
            <w:tcW w:w="2602" w:type="dxa"/>
            <w:hideMark/>
          </w:tcPr>
          <w:p w:rsidR="00AB644F" w:rsidRPr="00055BC8" w:rsidRDefault="00AB644F" w:rsidP="00055BC8">
            <w:pPr>
              <w:rPr>
                <w:rFonts w:eastAsia="Times New Roman"/>
                <w:sz w:val="28"/>
                <w:szCs w:val="28"/>
                <w:lang w:val="lv-LV"/>
              </w:rPr>
            </w:pPr>
            <w:r w:rsidRPr="00055BC8">
              <w:rPr>
                <w:rFonts w:eastAsia="Times New Roman"/>
                <w:sz w:val="28"/>
                <w:szCs w:val="28"/>
                <w:lang w:val="lv-LV"/>
              </w:rPr>
              <w:lastRenderedPageBreak/>
              <w:t>Starptautiskās saistības (pēc būtības), kas izriet no norādītā starptautiskā dokumenta.</w:t>
            </w:r>
          </w:p>
          <w:p w:rsidR="00AB644F" w:rsidRPr="00055BC8" w:rsidRDefault="00AB644F" w:rsidP="00055BC8">
            <w:pPr>
              <w:rPr>
                <w:rFonts w:eastAsia="Times New Roman"/>
                <w:sz w:val="28"/>
                <w:szCs w:val="28"/>
                <w:lang w:val="lv-LV"/>
              </w:rPr>
            </w:pPr>
          </w:p>
          <w:p w:rsidR="00AB644F" w:rsidRPr="00055BC8" w:rsidRDefault="00AB644F" w:rsidP="00055BC8">
            <w:pPr>
              <w:rPr>
                <w:rFonts w:eastAsia="Times New Roman"/>
                <w:sz w:val="28"/>
                <w:szCs w:val="28"/>
                <w:lang w:val="lv-LV"/>
              </w:rPr>
            </w:pPr>
            <w:r w:rsidRPr="00055BC8">
              <w:rPr>
                <w:rFonts w:eastAsia="Times New Roman"/>
                <w:sz w:val="28"/>
                <w:szCs w:val="28"/>
                <w:lang w:val="lv-LV"/>
              </w:rPr>
              <w:t>Konkrēti veicamie pasākumi vai uzdevumi, kas nepieciešami šo starptautisko saistību izpildei</w:t>
            </w:r>
          </w:p>
        </w:tc>
        <w:tc>
          <w:tcPr>
            <w:tcW w:w="2599" w:type="dxa"/>
            <w:gridSpan w:val="2"/>
            <w:hideMark/>
          </w:tcPr>
          <w:p w:rsidR="00AB644F" w:rsidRPr="00055BC8" w:rsidRDefault="00AB644F" w:rsidP="00055BC8">
            <w:pPr>
              <w:rPr>
                <w:rFonts w:eastAsia="Times New Roman"/>
                <w:sz w:val="28"/>
                <w:szCs w:val="28"/>
                <w:lang w:val="lv-LV"/>
              </w:rPr>
            </w:pPr>
            <w:r w:rsidRPr="00055BC8">
              <w:rPr>
                <w:rFonts w:eastAsia="Times New Roman"/>
                <w:sz w:val="28"/>
                <w:szCs w:val="28"/>
                <w:lang w:val="lv-LV"/>
              </w:rPr>
              <w:t>Ja pasākumi vai uzdevumi, ar ko tiks izpildītas starptautiskās saistības, tiek noteikti projektā, norāda attiecīgo projekta vienību.</w:t>
            </w:r>
          </w:p>
          <w:p w:rsidR="00AB644F" w:rsidRPr="00055BC8" w:rsidRDefault="00AB644F" w:rsidP="00055BC8">
            <w:pPr>
              <w:rPr>
                <w:rFonts w:eastAsia="Times New Roman"/>
                <w:sz w:val="28"/>
                <w:szCs w:val="28"/>
                <w:lang w:val="lv-LV"/>
              </w:rPr>
            </w:pPr>
          </w:p>
          <w:p w:rsidR="00AB644F" w:rsidRPr="00055BC8" w:rsidRDefault="00AB644F" w:rsidP="00055BC8">
            <w:pPr>
              <w:rPr>
                <w:rFonts w:eastAsia="Times New Roman"/>
                <w:sz w:val="28"/>
                <w:szCs w:val="28"/>
                <w:lang w:val="lv-LV"/>
              </w:rPr>
            </w:pPr>
            <w:r w:rsidRPr="00055BC8">
              <w:rPr>
                <w:rFonts w:eastAsia="Times New Roman"/>
                <w:sz w:val="28"/>
                <w:szCs w:val="28"/>
                <w:lang w:val="lv-LV"/>
              </w:rPr>
              <w:t>Vai arī norāda dokumentu, kurā sniegts izvērsts skaidrojums, kādā veidā tiks nodrošināta starptautisko saistību izpilde</w:t>
            </w:r>
          </w:p>
        </w:tc>
        <w:tc>
          <w:tcPr>
            <w:tcW w:w="3914" w:type="dxa"/>
            <w:hideMark/>
          </w:tcPr>
          <w:p w:rsidR="00AB644F" w:rsidRPr="00055BC8" w:rsidRDefault="00AB644F" w:rsidP="00055BC8">
            <w:pPr>
              <w:rPr>
                <w:rFonts w:eastAsia="Times New Roman"/>
                <w:sz w:val="28"/>
                <w:szCs w:val="28"/>
                <w:lang w:val="lv-LV"/>
              </w:rPr>
            </w:pPr>
            <w:r w:rsidRPr="00055BC8">
              <w:rPr>
                <w:rFonts w:eastAsia="Times New Roman"/>
                <w:sz w:val="28"/>
                <w:szCs w:val="28"/>
                <w:lang w:val="lv-LV"/>
              </w:rPr>
              <w:t>Informācija par to, vai starptautiskās saistības, kas minētas šīs tabulas A ailē, tiek izpildītas pilnībā vai daļēji.</w:t>
            </w:r>
          </w:p>
          <w:p w:rsidR="00AB644F" w:rsidRPr="00055BC8" w:rsidRDefault="00AB644F" w:rsidP="00055BC8">
            <w:pPr>
              <w:rPr>
                <w:rFonts w:eastAsia="Times New Roman"/>
                <w:sz w:val="28"/>
                <w:szCs w:val="28"/>
                <w:lang w:val="lv-LV"/>
              </w:rPr>
            </w:pPr>
          </w:p>
          <w:p w:rsidR="00AB644F" w:rsidRPr="00055BC8" w:rsidRDefault="00AB644F" w:rsidP="00055BC8">
            <w:pPr>
              <w:rPr>
                <w:rFonts w:eastAsia="Times New Roman"/>
                <w:sz w:val="28"/>
                <w:szCs w:val="28"/>
                <w:lang w:val="lv-LV"/>
              </w:rPr>
            </w:pPr>
            <w:r w:rsidRPr="00055BC8">
              <w:rPr>
                <w:rFonts w:eastAsia="Times New Roman"/>
                <w:sz w:val="28"/>
                <w:szCs w:val="28"/>
                <w:lang w:val="lv-LV"/>
              </w:rPr>
              <w:t>Ja attiecīgās starptautiskās saistības tiek izpildītas daļēji, sniedz attiecīgu skaidrojumu, kā arī precīzi norāda, kad un kādā veidā starptautiskās saistības tiks izpildītas pilnībā.</w:t>
            </w:r>
          </w:p>
          <w:p w:rsidR="00AB644F" w:rsidRPr="00055BC8" w:rsidRDefault="00AB644F" w:rsidP="00055BC8">
            <w:pPr>
              <w:rPr>
                <w:rFonts w:eastAsia="Times New Roman"/>
                <w:sz w:val="28"/>
                <w:szCs w:val="28"/>
                <w:lang w:val="lv-LV"/>
              </w:rPr>
            </w:pPr>
          </w:p>
          <w:p w:rsidR="00AB644F" w:rsidRPr="00055BC8" w:rsidRDefault="00AB644F" w:rsidP="00055BC8">
            <w:pPr>
              <w:rPr>
                <w:rFonts w:eastAsia="Times New Roman"/>
                <w:sz w:val="28"/>
                <w:szCs w:val="28"/>
                <w:lang w:val="lv-LV"/>
              </w:rPr>
            </w:pPr>
            <w:r w:rsidRPr="00055BC8">
              <w:rPr>
                <w:rFonts w:eastAsia="Times New Roman"/>
                <w:sz w:val="28"/>
                <w:szCs w:val="28"/>
                <w:lang w:val="lv-LV"/>
              </w:rPr>
              <w:t>Norāda institūciju, kas ir atbildīga par šo saistību izpildi pilnībā</w:t>
            </w:r>
          </w:p>
        </w:tc>
      </w:tr>
      <w:tr w:rsidR="00AB644F" w:rsidRPr="00055BC8" w:rsidTr="00EC11BD">
        <w:trPr>
          <w:trHeight w:val="282"/>
          <w:tblCellSpacing w:w="0" w:type="dxa"/>
        </w:trPr>
        <w:tc>
          <w:tcPr>
            <w:tcW w:w="2602" w:type="dxa"/>
            <w:hideMark/>
          </w:tcPr>
          <w:p w:rsidR="00AB644F" w:rsidRPr="00055BC8" w:rsidRDefault="00AB644F" w:rsidP="00055BC8">
            <w:pPr>
              <w:rPr>
                <w:rFonts w:eastAsia="Times New Roman"/>
                <w:sz w:val="28"/>
                <w:szCs w:val="28"/>
                <w:lang w:val="lv-LV"/>
              </w:rPr>
            </w:pPr>
            <w:r w:rsidRPr="00055BC8">
              <w:rPr>
                <w:rFonts w:eastAsia="Times New Roman"/>
                <w:sz w:val="28"/>
                <w:szCs w:val="28"/>
                <w:lang w:val="lv-LV"/>
              </w:rPr>
              <w:t>Projekts šo jomu neskar.</w:t>
            </w:r>
          </w:p>
        </w:tc>
        <w:tc>
          <w:tcPr>
            <w:tcW w:w="2599" w:type="dxa"/>
            <w:gridSpan w:val="2"/>
            <w:hideMark/>
          </w:tcPr>
          <w:p w:rsidR="00AB644F" w:rsidRPr="00055BC8" w:rsidRDefault="00AB644F" w:rsidP="00055BC8">
            <w:pPr>
              <w:rPr>
                <w:rFonts w:eastAsia="Times New Roman"/>
                <w:sz w:val="28"/>
                <w:szCs w:val="28"/>
                <w:lang w:val="lv-LV"/>
              </w:rPr>
            </w:pPr>
            <w:r w:rsidRPr="00055BC8">
              <w:rPr>
                <w:rFonts w:eastAsia="Times New Roman"/>
                <w:sz w:val="28"/>
                <w:szCs w:val="28"/>
                <w:lang w:val="lv-LV"/>
              </w:rPr>
              <w:t>Projekts šo jomu neskar.</w:t>
            </w:r>
          </w:p>
        </w:tc>
        <w:tc>
          <w:tcPr>
            <w:tcW w:w="3914" w:type="dxa"/>
            <w:hideMark/>
          </w:tcPr>
          <w:p w:rsidR="00AB644F" w:rsidRPr="00055BC8" w:rsidRDefault="00AB644F" w:rsidP="00055BC8">
            <w:pPr>
              <w:rPr>
                <w:rFonts w:eastAsia="Times New Roman"/>
                <w:sz w:val="28"/>
                <w:szCs w:val="28"/>
                <w:lang w:val="lv-LV"/>
              </w:rPr>
            </w:pPr>
            <w:r w:rsidRPr="00055BC8">
              <w:rPr>
                <w:rFonts w:eastAsia="Times New Roman"/>
                <w:sz w:val="28"/>
                <w:szCs w:val="28"/>
                <w:lang w:val="lv-LV"/>
              </w:rPr>
              <w:t>Projekts šo jomu neskar.</w:t>
            </w:r>
          </w:p>
        </w:tc>
      </w:tr>
      <w:tr w:rsidR="00AB644F" w:rsidRPr="00055BC8" w:rsidTr="00EC11BD">
        <w:trPr>
          <w:trHeight w:val="260"/>
          <w:tblCellSpacing w:w="0" w:type="dxa"/>
        </w:trPr>
        <w:tc>
          <w:tcPr>
            <w:tcW w:w="2602" w:type="dxa"/>
            <w:vAlign w:val="center"/>
            <w:hideMark/>
          </w:tcPr>
          <w:p w:rsidR="00AB644F" w:rsidRPr="00055BC8" w:rsidRDefault="00AB644F" w:rsidP="00055BC8">
            <w:pPr>
              <w:rPr>
                <w:rFonts w:eastAsia="Times New Roman"/>
                <w:sz w:val="28"/>
                <w:szCs w:val="28"/>
                <w:lang w:val="lv-LV"/>
              </w:rPr>
            </w:pPr>
          </w:p>
        </w:tc>
        <w:tc>
          <w:tcPr>
            <w:tcW w:w="2599" w:type="dxa"/>
            <w:gridSpan w:val="2"/>
            <w:vAlign w:val="center"/>
            <w:hideMark/>
          </w:tcPr>
          <w:p w:rsidR="00AB644F" w:rsidRPr="00055BC8" w:rsidRDefault="00AB644F" w:rsidP="00055BC8">
            <w:pPr>
              <w:rPr>
                <w:rFonts w:eastAsia="Times New Roman"/>
                <w:sz w:val="28"/>
                <w:szCs w:val="28"/>
                <w:lang w:val="lv-LV"/>
              </w:rPr>
            </w:pPr>
          </w:p>
        </w:tc>
        <w:tc>
          <w:tcPr>
            <w:tcW w:w="3914" w:type="dxa"/>
            <w:vAlign w:val="center"/>
            <w:hideMark/>
          </w:tcPr>
          <w:p w:rsidR="00AB644F" w:rsidRPr="00055BC8" w:rsidRDefault="00AB644F" w:rsidP="00055BC8">
            <w:pPr>
              <w:rPr>
                <w:rFonts w:eastAsia="Times New Roman"/>
                <w:sz w:val="28"/>
                <w:szCs w:val="28"/>
                <w:lang w:val="lv-LV"/>
              </w:rPr>
            </w:pPr>
          </w:p>
        </w:tc>
      </w:tr>
      <w:tr w:rsidR="00AB644F" w:rsidRPr="00055BC8" w:rsidTr="00EC11BD">
        <w:trPr>
          <w:trHeight w:val="1079"/>
          <w:tblCellSpacing w:w="0" w:type="dxa"/>
        </w:trPr>
        <w:tc>
          <w:tcPr>
            <w:tcW w:w="2602" w:type="dxa"/>
            <w:vAlign w:val="center"/>
            <w:hideMark/>
          </w:tcPr>
          <w:p w:rsidR="00AB644F" w:rsidRPr="00055BC8" w:rsidRDefault="00AB644F" w:rsidP="00055BC8">
            <w:pPr>
              <w:rPr>
                <w:rFonts w:eastAsia="Times New Roman"/>
                <w:sz w:val="28"/>
                <w:szCs w:val="28"/>
                <w:lang w:val="lv-LV"/>
              </w:rPr>
            </w:pPr>
            <w:r w:rsidRPr="00055BC8">
              <w:rPr>
                <w:rFonts w:eastAsia="Times New Roman"/>
                <w:sz w:val="28"/>
                <w:szCs w:val="28"/>
                <w:lang w:val="lv-LV"/>
              </w:rPr>
              <w:t>Vai starptautiskajā dokumentā paredzētās saistības nav pretrunā ar jau esošajām Latvijas Republikas starptautiskajām saistībām</w:t>
            </w:r>
          </w:p>
        </w:tc>
        <w:tc>
          <w:tcPr>
            <w:tcW w:w="6513" w:type="dxa"/>
            <w:gridSpan w:val="3"/>
            <w:hideMark/>
          </w:tcPr>
          <w:p w:rsidR="00AB644F" w:rsidRPr="00055BC8" w:rsidRDefault="00AB644F" w:rsidP="00055BC8">
            <w:pPr>
              <w:rPr>
                <w:rFonts w:eastAsia="Times New Roman"/>
                <w:sz w:val="28"/>
                <w:szCs w:val="28"/>
                <w:lang w:val="lv-LV"/>
              </w:rPr>
            </w:pPr>
            <w:r w:rsidRPr="00055BC8">
              <w:rPr>
                <w:rFonts w:eastAsia="Times New Roman"/>
                <w:sz w:val="28"/>
                <w:szCs w:val="28"/>
                <w:lang w:val="lv-LV"/>
              </w:rPr>
              <w:t>Projekts šo jomu neskar.</w:t>
            </w:r>
          </w:p>
        </w:tc>
      </w:tr>
      <w:tr w:rsidR="00AB644F" w:rsidRPr="00055BC8" w:rsidTr="00EC11BD">
        <w:trPr>
          <w:trHeight w:val="337"/>
          <w:tblCellSpacing w:w="0" w:type="dxa"/>
        </w:trPr>
        <w:tc>
          <w:tcPr>
            <w:tcW w:w="2602" w:type="dxa"/>
            <w:hideMark/>
          </w:tcPr>
          <w:p w:rsidR="00AB644F" w:rsidRPr="00055BC8" w:rsidRDefault="00AB644F" w:rsidP="00055BC8">
            <w:pPr>
              <w:rPr>
                <w:rFonts w:eastAsia="Times New Roman"/>
                <w:sz w:val="28"/>
                <w:szCs w:val="28"/>
                <w:lang w:val="lv-LV"/>
              </w:rPr>
            </w:pPr>
            <w:r w:rsidRPr="00055BC8">
              <w:rPr>
                <w:rFonts w:eastAsia="Times New Roman"/>
                <w:sz w:val="28"/>
                <w:szCs w:val="28"/>
                <w:lang w:val="lv-LV"/>
              </w:rPr>
              <w:t>Cita informācija</w:t>
            </w:r>
          </w:p>
        </w:tc>
        <w:tc>
          <w:tcPr>
            <w:tcW w:w="6513" w:type="dxa"/>
            <w:gridSpan w:val="3"/>
            <w:hideMark/>
          </w:tcPr>
          <w:p w:rsidR="00AB644F" w:rsidRPr="00055BC8" w:rsidRDefault="00AB644F" w:rsidP="00055BC8">
            <w:pPr>
              <w:rPr>
                <w:rFonts w:eastAsia="Times New Roman"/>
                <w:sz w:val="28"/>
                <w:szCs w:val="28"/>
                <w:lang w:val="lv-LV"/>
              </w:rPr>
            </w:pPr>
            <w:r w:rsidRPr="00055BC8">
              <w:rPr>
                <w:rFonts w:eastAsia="Times New Roman"/>
                <w:sz w:val="28"/>
                <w:szCs w:val="28"/>
                <w:lang w:val="lv-LV"/>
              </w:rPr>
              <w:t>Nav.</w:t>
            </w:r>
          </w:p>
        </w:tc>
      </w:tr>
    </w:tbl>
    <w:p w:rsidR="00AB644F" w:rsidRPr="00D54C3B" w:rsidRDefault="00AB644F" w:rsidP="00055BC8">
      <w:pPr>
        <w:rPr>
          <w:sz w:val="28"/>
          <w:szCs w:val="28"/>
          <w:lang w:val="lv-LV"/>
        </w:rPr>
      </w:pPr>
    </w:p>
    <w:tbl>
      <w:tblPr>
        <w:tblW w:w="0" w:type="auto"/>
        <w:tblInd w:w="15" w:type="dxa"/>
        <w:tblBorders>
          <w:top w:val="thickThinLargeGap" w:sz="6" w:space="0" w:color="C0C0C0"/>
          <w:left w:val="thickThinLargeGap" w:sz="6" w:space="0" w:color="C0C0C0"/>
          <w:bottom w:val="thickThinLargeGap" w:sz="6" w:space="0" w:color="C0C0C0"/>
          <w:right w:val="thickThinLargeGap" w:sz="6" w:space="0" w:color="C0C0C0"/>
        </w:tblBorders>
        <w:tblCellMar>
          <w:left w:w="0" w:type="dxa"/>
          <w:right w:w="0" w:type="dxa"/>
        </w:tblCellMar>
        <w:tblLook w:val="04A0" w:firstRow="1" w:lastRow="0" w:firstColumn="1" w:lastColumn="0" w:noHBand="0" w:noVBand="1"/>
      </w:tblPr>
      <w:tblGrid>
        <w:gridCol w:w="299"/>
        <w:gridCol w:w="2551"/>
        <w:gridCol w:w="6197"/>
      </w:tblGrid>
      <w:tr w:rsidR="003A7D89" w:rsidRPr="00814B24" w:rsidTr="00A54ADB">
        <w:trPr>
          <w:trHeight w:val="304"/>
        </w:trPr>
        <w:tc>
          <w:tcPr>
            <w:tcW w:w="904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3A7D89" w:rsidRPr="009D5C1D" w:rsidRDefault="003A7D89" w:rsidP="00055BC8">
            <w:pPr>
              <w:ind w:firstLine="720"/>
              <w:jc w:val="both"/>
              <w:rPr>
                <w:rFonts w:eastAsia="Times New Roman"/>
                <w:b/>
                <w:sz w:val="28"/>
                <w:szCs w:val="28"/>
                <w:lang w:val="lv-LV" w:eastAsia="lv-LV"/>
              </w:rPr>
            </w:pPr>
            <w:r w:rsidRPr="009D5C1D">
              <w:rPr>
                <w:rFonts w:eastAsia="Times New Roman"/>
                <w:b/>
                <w:sz w:val="28"/>
                <w:szCs w:val="28"/>
                <w:lang w:val="lv-LV" w:eastAsia="lv-LV"/>
              </w:rPr>
              <w:t>VII. Tiesību akta projekta izpildes nodrošināšana un tās ietekme uz institūcijām</w:t>
            </w:r>
          </w:p>
        </w:tc>
      </w:tr>
      <w:tr w:rsidR="003A7D89" w:rsidRPr="00814B24" w:rsidTr="00AE1417">
        <w:trPr>
          <w:trHeight w:val="347"/>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9D5C1D" w:rsidRDefault="003A7D89" w:rsidP="00055BC8">
            <w:pPr>
              <w:jc w:val="both"/>
              <w:rPr>
                <w:rFonts w:eastAsia="Times New Roman"/>
                <w:sz w:val="28"/>
                <w:szCs w:val="28"/>
                <w:lang w:val="lv-LV" w:eastAsia="lv-LV"/>
              </w:rPr>
            </w:pPr>
            <w:r w:rsidRPr="009D5C1D">
              <w:rPr>
                <w:rFonts w:eastAsia="Times New Roman"/>
                <w:sz w:val="28"/>
                <w:szCs w:val="28"/>
                <w:lang w:val="lv-LV" w:eastAsia="lv-LV"/>
              </w:rPr>
              <w:t>1.</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9D5C1D" w:rsidRDefault="003A7D89" w:rsidP="00055BC8">
            <w:pPr>
              <w:jc w:val="both"/>
              <w:rPr>
                <w:rFonts w:eastAsia="Times New Roman"/>
                <w:sz w:val="28"/>
                <w:szCs w:val="28"/>
                <w:lang w:val="lv-LV" w:eastAsia="lv-LV"/>
              </w:rPr>
            </w:pPr>
            <w:r w:rsidRPr="009D5C1D">
              <w:rPr>
                <w:rFonts w:eastAsia="Times New Roman"/>
                <w:sz w:val="28"/>
                <w:szCs w:val="28"/>
                <w:lang w:val="lv-LV" w:eastAsia="lv-LV"/>
              </w:rPr>
              <w:t>Projekta izpildē iesaistītās institūcijas</w:t>
            </w:r>
          </w:p>
        </w:tc>
        <w:tc>
          <w:tcPr>
            <w:tcW w:w="6197"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9D5C1D" w:rsidRDefault="003A7D89" w:rsidP="00055BC8">
            <w:pPr>
              <w:ind w:firstLine="720"/>
              <w:jc w:val="both"/>
              <w:rPr>
                <w:rFonts w:eastAsia="Times New Roman"/>
                <w:sz w:val="28"/>
                <w:szCs w:val="28"/>
                <w:lang w:val="lv-LV" w:eastAsia="lv-LV"/>
              </w:rPr>
            </w:pPr>
            <w:r w:rsidRPr="009D5C1D">
              <w:rPr>
                <w:rFonts w:eastAsia="Times New Roman"/>
                <w:sz w:val="28"/>
                <w:szCs w:val="28"/>
                <w:lang w:val="lv-LV" w:eastAsia="lv-LV"/>
              </w:rPr>
              <w:t xml:space="preserve">Ministru kabineta </w:t>
            </w:r>
            <w:r w:rsidR="00A46462" w:rsidRPr="009D5C1D">
              <w:rPr>
                <w:sz w:val="28"/>
                <w:szCs w:val="28"/>
                <w:lang w:val="lv-LV"/>
              </w:rPr>
              <w:t>noteikumu</w:t>
            </w:r>
            <w:r w:rsidRPr="009D5C1D">
              <w:rPr>
                <w:rFonts w:eastAsia="Times New Roman"/>
                <w:sz w:val="28"/>
                <w:szCs w:val="28"/>
                <w:lang w:val="lv-LV" w:eastAsia="lv-LV"/>
              </w:rPr>
              <w:t xml:space="preserve"> projekta izpildi nodrošinās </w:t>
            </w:r>
            <w:r w:rsidR="00731AA9">
              <w:rPr>
                <w:rFonts w:eastAsia="Times New Roman"/>
                <w:sz w:val="28"/>
                <w:szCs w:val="28"/>
                <w:lang w:val="lv-LV" w:eastAsia="lv-LV"/>
              </w:rPr>
              <w:t>LIAA</w:t>
            </w:r>
            <w:r w:rsidRPr="009D5C1D">
              <w:rPr>
                <w:rFonts w:eastAsia="Times New Roman"/>
                <w:sz w:val="28"/>
                <w:szCs w:val="28"/>
                <w:lang w:val="lv-LV" w:eastAsia="lv-LV"/>
              </w:rPr>
              <w:t>.</w:t>
            </w:r>
          </w:p>
        </w:tc>
      </w:tr>
      <w:tr w:rsidR="003A7D89" w:rsidRPr="00814B24" w:rsidTr="00AE1417">
        <w:trPr>
          <w:trHeight w:val="955"/>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9D5C1D" w:rsidRDefault="003A7D89" w:rsidP="00055BC8">
            <w:pPr>
              <w:jc w:val="both"/>
              <w:rPr>
                <w:rFonts w:eastAsia="Times New Roman"/>
                <w:sz w:val="28"/>
                <w:szCs w:val="28"/>
                <w:lang w:val="lv-LV" w:eastAsia="lv-LV"/>
              </w:rPr>
            </w:pPr>
            <w:r w:rsidRPr="009D5C1D">
              <w:rPr>
                <w:rFonts w:eastAsia="Times New Roman"/>
                <w:sz w:val="28"/>
                <w:szCs w:val="28"/>
                <w:lang w:val="lv-LV" w:eastAsia="lv-LV"/>
              </w:rPr>
              <w:t>2.</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9D5C1D" w:rsidRDefault="003A7D89" w:rsidP="00055BC8">
            <w:pPr>
              <w:jc w:val="both"/>
              <w:rPr>
                <w:rFonts w:eastAsia="Times New Roman"/>
                <w:sz w:val="28"/>
                <w:szCs w:val="28"/>
                <w:lang w:val="lv-LV" w:eastAsia="lv-LV"/>
              </w:rPr>
            </w:pPr>
            <w:r w:rsidRPr="009D5C1D">
              <w:rPr>
                <w:rFonts w:eastAsia="Times New Roman"/>
                <w:sz w:val="28"/>
                <w:szCs w:val="28"/>
                <w:lang w:val="lv-LV" w:eastAsia="lv-LV"/>
              </w:rPr>
              <w:t>Projekta izpildes ietekme uz pārvaldes funkcijām</w:t>
            </w:r>
          </w:p>
        </w:tc>
        <w:tc>
          <w:tcPr>
            <w:tcW w:w="6197"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9D5C1D" w:rsidRDefault="003A7D89" w:rsidP="00055BC8">
            <w:pPr>
              <w:ind w:firstLine="720"/>
              <w:jc w:val="both"/>
              <w:rPr>
                <w:rFonts w:eastAsia="Times New Roman"/>
                <w:sz w:val="28"/>
                <w:szCs w:val="28"/>
                <w:lang w:val="lv-LV" w:eastAsia="lv-LV"/>
              </w:rPr>
            </w:pPr>
            <w:r w:rsidRPr="009D5C1D">
              <w:rPr>
                <w:rFonts w:eastAsia="Times New Roman"/>
                <w:sz w:val="28"/>
                <w:szCs w:val="28"/>
                <w:lang w:val="lv-LV" w:eastAsia="lv-LV"/>
              </w:rPr>
              <w:t xml:space="preserve">Ministru kabineta </w:t>
            </w:r>
            <w:r w:rsidR="00A46462" w:rsidRPr="009D5C1D">
              <w:rPr>
                <w:sz w:val="28"/>
                <w:szCs w:val="28"/>
                <w:lang w:val="lv-LV"/>
              </w:rPr>
              <w:t>noteikumu</w:t>
            </w:r>
            <w:r w:rsidRPr="009D5C1D">
              <w:rPr>
                <w:rFonts w:eastAsia="Times New Roman"/>
                <w:sz w:val="28"/>
                <w:szCs w:val="28"/>
                <w:lang w:val="lv-LV" w:eastAsia="lv-LV"/>
              </w:rPr>
              <w:t xml:space="preserve"> projekta izpilde tiks nodrošināta </w:t>
            </w:r>
            <w:r w:rsidR="00731AA9">
              <w:rPr>
                <w:rFonts w:eastAsia="Times New Roman"/>
                <w:sz w:val="28"/>
                <w:szCs w:val="28"/>
                <w:lang w:val="lv-LV" w:eastAsia="lv-LV"/>
              </w:rPr>
              <w:t>LIAA</w:t>
            </w:r>
            <w:r w:rsidRPr="009D5C1D">
              <w:rPr>
                <w:rFonts w:eastAsia="Times New Roman"/>
                <w:sz w:val="28"/>
                <w:szCs w:val="28"/>
                <w:lang w:val="lv-LV" w:eastAsia="lv-LV"/>
              </w:rPr>
              <w:t xml:space="preserve"> esošo funkciju ietvaros.</w:t>
            </w:r>
          </w:p>
        </w:tc>
      </w:tr>
      <w:tr w:rsidR="003A7D89" w:rsidRPr="00814B24" w:rsidTr="00AE1417">
        <w:trPr>
          <w:trHeight w:val="976"/>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9D5C1D" w:rsidRDefault="003A7D89" w:rsidP="00055BC8">
            <w:pPr>
              <w:jc w:val="both"/>
              <w:rPr>
                <w:rFonts w:eastAsia="Times New Roman"/>
                <w:sz w:val="28"/>
                <w:szCs w:val="28"/>
                <w:lang w:val="lv-LV" w:eastAsia="lv-LV"/>
              </w:rPr>
            </w:pPr>
            <w:r w:rsidRPr="009D5C1D">
              <w:rPr>
                <w:rFonts w:eastAsia="Times New Roman"/>
                <w:sz w:val="28"/>
                <w:szCs w:val="28"/>
                <w:lang w:val="lv-LV" w:eastAsia="lv-LV"/>
              </w:rPr>
              <w:t>3.</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9D5C1D" w:rsidRDefault="003A7D89" w:rsidP="00055BC8">
            <w:pPr>
              <w:jc w:val="both"/>
              <w:rPr>
                <w:rFonts w:eastAsia="Times New Roman"/>
                <w:sz w:val="28"/>
                <w:szCs w:val="28"/>
                <w:lang w:val="lv-LV" w:eastAsia="lv-LV"/>
              </w:rPr>
            </w:pPr>
            <w:r w:rsidRPr="009D5C1D">
              <w:rPr>
                <w:rFonts w:eastAsia="Times New Roman"/>
                <w:sz w:val="28"/>
                <w:szCs w:val="28"/>
                <w:lang w:val="lv-LV" w:eastAsia="lv-LV"/>
              </w:rPr>
              <w:t xml:space="preserve">Projekta izpildes ietekme uz pārvaldes institucionālo </w:t>
            </w:r>
            <w:r w:rsidRPr="009D5C1D">
              <w:rPr>
                <w:rFonts w:eastAsia="Times New Roman"/>
                <w:sz w:val="28"/>
                <w:szCs w:val="28"/>
                <w:lang w:val="lv-LV" w:eastAsia="lv-LV"/>
              </w:rPr>
              <w:lastRenderedPageBreak/>
              <w:t>struktūru. Jaunu institūciju izveide</w:t>
            </w:r>
          </w:p>
        </w:tc>
        <w:tc>
          <w:tcPr>
            <w:tcW w:w="6197"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9D5C1D" w:rsidRDefault="003A7D89" w:rsidP="00055BC8">
            <w:pPr>
              <w:ind w:firstLine="720"/>
              <w:jc w:val="both"/>
              <w:rPr>
                <w:rFonts w:eastAsia="Times New Roman"/>
                <w:sz w:val="28"/>
                <w:szCs w:val="28"/>
                <w:lang w:val="lv-LV" w:eastAsia="lv-LV"/>
              </w:rPr>
            </w:pPr>
            <w:r w:rsidRPr="009D5C1D">
              <w:rPr>
                <w:sz w:val="28"/>
                <w:szCs w:val="28"/>
                <w:lang w:val="lv-LV"/>
              </w:rPr>
              <w:lastRenderedPageBreak/>
              <w:t xml:space="preserve">Ministru kabineta </w:t>
            </w:r>
            <w:r w:rsidR="00A46462" w:rsidRPr="009D5C1D">
              <w:rPr>
                <w:sz w:val="28"/>
                <w:szCs w:val="28"/>
                <w:lang w:val="lv-LV"/>
              </w:rPr>
              <w:t>noteikumu</w:t>
            </w:r>
            <w:r w:rsidRPr="009D5C1D">
              <w:rPr>
                <w:sz w:val="28"/>
                <w:szCs w:val="28"/>
                <w:lang w:val="lv-LV"/>
              </w:rPr>
              <w:t xml:space="preserve"> projekta izpildei nav nepieciešams izveidot jaunas institūcijas</w:t>
            </w:r>
            <w:r w:rsidRPr="009D5C1D">
              <w:rPr>
                <w:rFonts w:eastAsia="Times New Roman"/>
                <w:sz w:val="28"/>
                <w:szCs w:val="28"/>
                <w:lang w:val="lv-LV" w:eastAsia="lv-LV"/>
              </w:rPr>
              <w:t>.</w:t>
            </w:r>
          </w:p>
        </w:tc>
      </w:tr>
      <w:tr w:rsidR="003A7D89" w:rsidRPr="00814B24" w:rsidTr="00AE1417">
        <w:trPr>
          <w:trHeight w:val="976"/>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9D5C1D" w:rsidRDefault="003A7D89" w:rsidP="00055BC8">
            <w:pPr>
              <w:jc w:val="both"/>
              <w:rPr>
                <w:rFonts w:eastAsia="Times New Roman"/>
                <w:sz w:val="28"/>
                <w:szCs w:val="28"/>
                <w:lang w:val="lv-LV" w:eastAsia="lv-LV"/>
              </w:rPr>
            </w:pPr>
            <w:r w:rsidRPr="009D5C1D">
              <w:rPr>
                <w:rFonts w:eastAsia="Times New Roman"/>
                <w:sz w:val="28"/>
                <w:szCs w:val="28"/>
                <w:lang w:val="lv-LV" w:eastAsia="lv-LV"/>
              </w:rPr>
              <w:lastRenderedPageBreak/>
              <w:t>4.</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9D5C1D" w:rsidRDefault="003A7D89" w:rsidP="00055BC8">
            <w:pPr>
              <w:jc w:val="both"/>
              <w:rPr>
                <w:rFonts w:eastAsia="Times New Roman"/>
                <w:sz w:val="28"/>
                <w:szCs w:val="28"/>
                <w:lang w:val="lv-LV" w:eastAsia="lv-LV"/>
              </w:rPr>
            </w:pPr>
            <w:r w:rsidRPr="009D5C1D">
              <w:rPr>
                <w:rFonts w:eastAsia="Times New Roman"/>
                <w:sz w:val="28"/>
                <w:szCs w:val="28"/>
                <w:lang w:val="lv-LV" w:eastAsia="lv-LV"/>
              </w:rPr>
              <w:t>Projekta izpildes ietekmes uz pārvaldes institucionālo struktūru. Esošu institūciju likvidācija</w:t>
            </w:r>
          </w:p>
        </w:tc>
        <w:tc>
          <w:tcPr>
            <w:tcW w:w="6197"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9D5C1D" w:rsidRDefault="003A7D89" w:rsidP="00055BC8">
            <w:pPr>
              <w:ind w:firstLine="720"/>
              <w:jc w:val="both"/>
              <w:rPr>
                <w:rFonts w:eastAsia="Times New Roman"/>
                <w:sz w:val="28"/>
                <w:szCs w:val="28"/>
                <w:lang w:val="lv-LV" w:eastAsia="lv-LV"/>
              </w:rPr>
            </w:pPr>
            <w:r w:rsidRPr="009D5C1D">
              <w:rPr>
                <w:sz w:val="28"/>
                <w:szCs w:val="28"/>
                <w:lang w:val="lv-LV"/>
              </w:rPr>
              <w:t xml:space="preserve">Ministru kabineta </w:t>
            </w:r>
            <w:r w:rsidR="00A46462" w:rsidRPr="009D5C1D">
              <w:rPr>
                <w:sz w:val="28"/>
                <w:szCs w:val="28"/>
                <w:lang w:val="lv-LV"/>
              </w:rPr>
              <w:t>noteikumu</w:t>
            </w:r>
            <w:r w:rsidRPr="009D5C1D">
              <w:rPr>
                <w:sz w:val="28"/>
                <w:szCs w:val="28"/>
                <w:lang w:val="lv-LV"/>
              </w:rPr>
              <w:t xml:space="preserve"> projekta izpildei nav nepieciešams likvidēt esošās institūcijas</w:t>
            </w:r>
            <w:r w:rsidRPr="009D5C1D">
              <w:rPr>
                <w:rFonts w:eastAsia="Times New Roman"/>
                <w:sz w:val="28"/>
                <w:szCs w:val="28"/>
                <w:lang w:val="lv-LV" w:eastAsia="lv-LV"/>
              </w:rPr>
              <w:t>.</w:t>
            </w:r>
          </w:p>
        </w:tc>
      </w:tr>
      <w:tr w:rsidR="003A7D89" w:rsidRPr="00814B24" w:rsidTr="00AE1417">
        <w:trPr>
          <w:trHeight w:val="508"/>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9D5C1D" w:rsidRDefault="003A7D89" w:rsidP="00055BC8">
            <w:pPr>
              <w:jc w:val="both"/>
              <w:rPr>
                <w:rFonts w:eastAsia="Times New Roman"/>
                <w:sz w:val="28"/>
                <w:szCs w:val="28"/>
                <w:lang w:val="lv-LV" w:eastAsia="lv-LV"/>
              </w:rPr>
            </w:pPr>
            <w:r w:rsidRPr="009D5C1D">
              <w:rPr>
                <w:rFonts w:eastAsia="Times New Roman"/>
                <w:sz w:val="28"/>
                <w:szCs w:val="28"/>
                <w:lang w:val="lv-LV" w:eastAsia="lv-LV"/>
              </w:rPr>
              <w:t>5.</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9D5C1D" w:rsidRDefault="003A7D89" w:rsidP="00055BC8">
            <w:pPr>
              <w:jc w:val="both"/>
              <w:rPr>
                <w:rFonts w:eastAsia="Times New Roman"/>
                <w:sz w:val="28"/>
                <w:szCs w:val="28"/>
                <w:lang w:val="lv-LV" w:eastAsia="lv-LV"/>
              </w:rPr>
            </w:pPr>
            <w:r w:rsidRPr="009D5C1D">
              <w:rPr>
                <w:rFonts w:eastAsia="Times New Roman"/>
                <w:sz w:val="28"/>
                <w:szCs w:val="28"/>
                <w:lang w:val="lv-LV" w:eastAsia="lv-LV"/>
              </w:rPr>
              <w:t>Projekta izpildes ietekmes uz pārvaldes institucionālo struktūru. Esošu institūciju reorganizācija</w:t>
            </w:r>
          </w:p>
        </w:tc>
        <w:tc>
          <w:tcPr>
            <w:tcW w:w="6197"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9D5C1D" w:rsidRDefault="003A7D89" w:rsidP="00055BC8">
            <w:pPr>
              <w:ind w:firstLine="720"/>
              <w:jc w:val="both"/>
              <w:rPr>
                <w:rFonts w:eastAsia="Times New Roman"/>
                <w:sz w:val="28"/>
                <w:szCs w:val="28"/>
                <w:lang w:val="lv-LV" w:eastAsia="lv-LV"/>
              </w:rPr>
            </w:pPr>
            <w:r w:rsidRPr="009D5C1D">
              <w:rPr>
                <w:rFonts w:eastAsia="Times New Roman"/>
                <w:sz w:val="28"/>
                <w:szCs w:val="28"/>
                <w:lang w:val="lv-LV" w:eastAsia="lv-LV"/>
              </w:rPr>
              <w:t xml:space="preserve">Ministru kabineta </w:t>
            </w:r>
            <w:r w:rsidR="00A46462" w:rsidRPr="009D5C1D">
              <w:rPr>
                <w:sz w:val="28"/>
                <w:szCs w:val="28"/>
                <w:lang w:val="lv-LV"/>
              </w:rPr>
              <w:t>noteikumu</w:t>
            </w:r>
            <w:r w:rsidRPr="009D5C1D">
              <w:rPr>
                <w:sz w:val="28"/>
                <w:szCs w:val="28"/>
                <w:lang w:val="lv-LV"/>
              </w:rPr>
              <w:t xml:space="preserve"> projekta izpildei nav nepieciešams reorganizēt esošās institūcijas</w:t>
            </w:r>
            <w:r w:rsidRPr="009D5C1D">
              <w:rPr>
                <w:rFonts w:eastAsia="Times New Roman"/>
                <w:sz w:val="28"/>
                <w:szCs w:val="28"/>
                <w:lang w:val="lv-LV" w:eastAsia="lv-LV"/>
              </w:rPr>
              <w:t>.</w:t>
            </w:r>
          </w:p>
        </w:tc>
      </w:tr>
      <w:tr w:rsidR="003A7D89" w:rsidRPr="009D5C1D" w:rsidTr="00AE1417">
        <w:trPr>
          <w:trHeight w:val="24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9D5C1D" w:rsidRDefault="003A7D89" w:rsidP="00055BC8">
            <w:pPr>
              <w:jc w:val="both"/>
              <w:rPr>
                <w:rFonts w:eastAsia="Times New Roman"/>
                <w:sz w:val="28"/>
                <w:szCs w:val="28"/>
                <w:lang w:val="lv-LV" w:eastAsia="lv-LV"/>
              </w:rPr>
            </w:pPr>
            <w:r w:rsidRPr="009D5C1D">
              <w:rPr>
                <w:rFonts w:eastAsia="Times New Roman"/>
                <w:sz w:val="28"/>
                <w:szCs w:val="28"/>
                <w:lang w:val="lv-LV" w:eastAsia="lv-LV"/>
              </w:rPr>
              <w:t>6.</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9D5C1D" w:rsidRDefault="003A7D89" w:rsidP="00055BC8">
            <w:pPr>
              <w:jc w:val="both"/>
              <w:rPr>
                <w:rFonts w:eastAsia="Times New Roman"/>
                <w:sz w:val="28"/>
                <w:szCs w:val="28"/>
                <w:lang w:val="lv-LV" w:eastAsia="lv-LV"/>
              </w:rPr>
            </w:pPr>
            <w:r w:rsidRPr="009D5C1D">
              <w:rPr>
                <w:rFonts w:eastAsia="Times New Roman"/>
                <w:sz w:val="28"/>
                <w:szCs w:val="28"/>
                <w:lang w:val="lv-LV" w:eastAsia="lv-LV"/>
              </w:rPr>
              <w:t>Cita informācija</w:t>
            </w:r>
          </w:p>
        </w:tc>
        <w:tc>
          <w:tcPr>
            <w:tcW w:w="6197"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9D5C1D" w:rsidRDefault="003A7D89" w:rsidP="00055BC8">
            <w:pPr>
              <w:ind w:firstLine="720"/>
              <w:jc w:val="both"/>
              <w:rPr>
                <w:rFonts w:eastAsia="Times New Roman"/>
                <w:sz w:val="28"/>
                <w:szCs w:val="28"/>
                <w:lang w:val="lv-LV" w:eastAsia="lv-LV"/>
              </w:rPr>
            </w:pPr>
            <w:r w:rsidRPr="009D5C1D">
              <w:rPr>
                <w:rFonts w:eastAsia="Times New Roman"/>
                <w:sz w:val="28"/>
                <w:szCs w:val="28"/>
                <w:lang w:val="lv-LV" w:eastAsia="lv-LV"/>
              </w:rPr>
              <w:t>Nav.</w:t>
            </w:r>
          </w:p>
        </w:tc>
      </w:tr>
    </w:tbl>
    <w:p w:rsidR="0088512F" w:rsidRDefault="0088512F" w:rsidP="00055BC8">
      <w:pPr>
        <w:tabs>
          <w:tab w:val="left" w:pos="7655"/>
        </w:tabs>
        <w:jc w:val="both"/>
        <w:rPr>
          <w:sz w:val="28"/>
          <w:szCs w:val="28"/>
          <w:lang w:val="lv-LV"/>
        </w:rPr>
      </w:pPr>
      <w:r w:rsidRPr="008A615D">
        <w:rPr>
          <w:sz w:val="28"/>
          <w:szCs w:val="28"/>
          <w:lang w:val="lv-LV"/>
        </w:rPr>
        <w:t xml:space="preserve">Anotācijas </w:t>
      </w:r>
      <w:r w:rsidR="00511ADB">
        <w:rPr>
          <w:sz w:val="28"/>
          <w:szCs w:val="28"/>
          <w:lang w:val="lv-LV"/>
        </w:rPr>
        <w:t>III</w:t>
      </w:r>
      <w:r w:rsidR="00A54ADB">
        <w:rPr>
          <w:sz w:val="28"/>
          <w:szCs w:val="28"/>
          <w:lang w:val="lv-LV"/>
        </w:rPr>
        <w:t xml:space="preserve"> </w:t>
      </w:r>
      <w:r w:rsidRPr="00087524">
        <w:rPr>
          <w:sz w:val="28"/>
          <w:szCs w:val="28"/>
          <w:lang w:val="lv-LV"/>
        </w:rPr>
        <w:t>un</w:t>
      </w:r>
      <w:r w:rsidRPr="008A615D">
        <w:rPr>
          <w:sz w:val="28"/>
          <w:szCs w:val="28"/>
          <w:lang w:val="lv-LV"/>
        </w:rPr>
        <w:t xml:space="preserve"> VI sadaļa </w:t>
      </w:r>
      <w:r>
        <w:rPr>
          <w:sz w:val="28"/>
          <w:szCs w:val="28"/>
          <w:lang w:val="lv-LV"/>
        </w:rPr>
        <w:t>–</w:t>
      </w:r>
      <w:r w:rsidRPr="008A615D">
        <w:rPr>
          <w:sz w:val="28"/>
          <w:szCs w:val="28"/>
          <w:lang w:val="lv-LV"/>
        </w:rPr>
        <w:t xml:space="preserve"> </w:t>
      </w:r>
      <w:r w:rsidRPr="008A615D">
        <w:rPr>
          <w:iCs/>
          <w:sz w:val="28"/>
          <w:szCs w:val="28"/>
          <w:lang w:val="lv-LV"/>
        </w:rPr>
        <w:t>projekts šīs jomas neskar</w:t>
      </w:r>
      <w:r w:rsidRPr="008A615D">
        <w:rPr>
          <w:sz w:val="28"/>
          <w:szCs w:val="28"/>
          <w:lang w:val="lv-LV"/>
        </w:rPr>
        <w:t>.</w:t>
      </w:r>
    </w:p>
    <w:p w:rsidR="00885457" w:rsidRDefault="00885457" w:rsidP="00055BC8">
      <w:pPr>
        <w:tabs>
          <w:tab w:val="right" w:pos="9072"/>
        </w:tabs>
        <w:rPr>
          <w:sz w:val="28"/>
          <w:szCs w:val="28"/>
          <w:lang w:val="lv-LV"/>
        </w:rPr>
      </w:pPr>
    </w:p>
    <w:p w:rsidR="00400C1A" w:rsidRDefault="00400C1A" w:rsidP="00400C1A">
      <w:pPr>
        <w:pStyle w:val="Signature"/>
        <w:widowControl/>
        <w:spacing w:before="60"/>
        <w:ind w:firstLine="0"/>
        <w:rPr>
          <w:sz w:val="28"/>
          <w:szCs w:val="28"/>
          <w:lang w:val="lv-LV"/>
        </w:rPr>
      </w:pPr>
      <w:r>
        <w:rPr>
          <w:sz w:val="28"/>
          <w:szCs w:val="28"/>
          <w:lang w:val="lv-LV"/>
        </w:rPr>
        <w:t>Ekonomikas ministra</w:t>
      </w:r>
    </w:p>
    <w:p w:rsidR="00400C1A" w:rsidRDefault="00400C1A" w:rsidP="00400C1A">
      <w:pPr>
        <w:pStyle w:val="Signature"/>
        <w:widowControl/>
        <w:spacing w:before="0"/>
        <w:ind w:firstLine="0"/>
        <w:rPr>
          <w:sz w:val="28"/>
          <w:szCs w:val="28"/>
          <w:lang w:val="lv-LV"/>
        </w:rPr>
      </w:pPr>
      <w:r>
        <w:rPr>
          <w:sz w:val="28"/>
          <w:szCs w:val="28"/>
          <w:lang w:val="lv-LV"/>
        </w:rPr>
        <w:t>pienākumu izpildītājs,</w:t>
      </w:r>
    </w:p>
    <w:p w:rsidR="00400C1A" w:rsidRDefault="00400C1A" w:rsidP="00400C1A">
      <w:pPr>
        <w:pStyle w:val="Signature"/>
        <w:widowControl/>
        <w:spacing w:before="0" w:after="60"/>
        <w:ind w:firstLine="0"/>
        <w:rPr>
          <w:sz w:val="28"/>
          <w:szCs w:val="28"/>
          <w:lang w:val="lv-LV"/>
        </w:rPr>
      </w:pPr>
      <w:r>
        <w:rPr>
          <w:sz w:val="28"/>
          <w:szCs w:val="28"/>
          <w:lang w:val="lv-LV"/>
        </w:rPr>
        <w:t>vides aizsardzības un reģionālās attīstības ministrs</w:t>
      </w:r>
      <w:r>
        <w:rPr>
          <w:sz w:val="28"/>
          <w:szCs w:val="28"/>
          <w:lang w:val="lv-LV"/>
        </w:rPr>
        <w:tab/>
        <w:t xml:space="preserve">E. </w:t>
      </w:r>
      <w:proofErr w:type="spellStart"/>
      <w:r>
        <w:rPr>
          <w:sz w:val="28"/>
          <w:szCs w:val="28"/>
          <w:lang w:val="lv-LV"/>
        </w:rPr>
        <w:t>Sprūdžs</w:t>
      </w:r>
      <w:proofErr w:type="spellEnd"/>
    </w:p>
    <w:p w:rsidR="00885457" w:rsidRDefault="00885457" w:rsidP="00400C1A">
      <w:pPr>
        <w:tabs>
          <w:tab w:val="left" w:pos="7938"/>
          <w:tab w:val="decimal" w:pos="10490"/>
        </w:tabs>
        <w:ind w:right="6237"/>
        <w:jc w:val="both"/>
        <w:rPr>
          <w:sz w:val="28"/>
          <w:szCs w:val="28"/>
          <w:lang w:val="sv-SE" w:bidi="lo-LA"/>
        </w:rPr>
      </w:pPr>
    </w:p>
    <w:p w:rsidR="00057414" w:rsidRPr="0077545A" w:rsidRDefault="00057414" w:rsidP="00055BC8">
      <w:pPr>
        <w:tabs>
          <w:tab w:val="left" w:pos="7938"/>
          <w:tab w:val="decimal" w:pos="10490"/>
        </w:tabs>
        <w:ind w:right="6236"/>
        <w:jc w:val="both"/>
        <w:rPr>
          <w:sz w:val="28"/>
          <w:szCs w:val="28"/>
          <w:lang w:val="sv-SE" w:bidi="lo-LA"/>
        </w:rPr>
      </w:pPr>
      <w:proofErr w:type="spellStart"/>
      <w:r w:rsidRPr="00887A89">
        <w:rPr>
          <w:sz w:val="28"/>
          <w:szCs w:val="28"/>
          <w:lang w:val="sv-SE" w:bidi="lo-LA"/>
        </w:rPr>
        <w:t>Vīza</w:t>
      </w:r>
      <w:proofErr w:type="spellEnd"/>
      <w:r w:rsidRPr="00887A89">
        <w:rPr>
          <w:sz w:val="28"/>
          <w:szCs w:val="28"/>
          <w:lang w:val="sv-SE" w:bidi="lo-LA"/>
        </w:rPr>
        <w:t xml:space="preserve">: </w:t>
      </w:r>
      <w:proofErr w:type="spellStart"/>
      <w:r w:rsidRPr="00887A89">
        <w:rPr>
          <w:sz w:val="28"/>
          <w:szCs w:val="28"/>
          <w:lang w:val="sv-SE" w:bidi="lo-LA"/>
        </w:rPr>
        <w:t>valsts</w:t>
      </w:r>
      <w:proofErr w:type="spellEnd"/>
      <w:r w:rsidRPr="00887A89">
        <w:rPr>
          <w:sz w:val="28"/>
          <w:szCs w:val="28"/>
          <w:lang w:val="sv-SE" w:bidi="lo-LA"/>
        </w:rPr>
        <w:t xml:space="preserve"> </w:t>
      </w:r>
      <w:proofErr w:type="spellStart"/>
      <w:r w:rsidRPr="00887A89">
        <w:rPr>
          <w:sz w:val="28"/>
          <w:szCs w:val="28"/>
          <w:lang w:val="sv-SE" w:bidi="lo-LA"/>
        </w:rPr>
        <w:t>sekretārs</w:t>
      </w:r>
      <w:proofErr w:type="spellEnd"/>
      <w:r>
        <w:rPr>
          <w:sz w:val="28"/>
          <w:szCs w:val="28"/>
          <w:lang w:val="sv-SE" w:bidi="lo-LA"/>
        </w:rPr>
        <w:tab/>
      </w:r>
      <w:proofErr w:type="spellStart"/>
      <w:r w:rsidR="00BA5035">
        <w:rPr>
          <w:sz w:val="28"/>
          <w:szCs w:val="28"/>
          <w:lang w:val="sv-SE" w:bidi="lo-LA"/>
        </w:rPr>
        <w:t>J.Pūce</w:t>
      </w:r>
      <w:proofErr w:type="spellEnd"/>
    </w:p>
    <w:p w:rsidR="00410939" w:rsidRDefault="00410939" w:rsidP="00055BC8">
      <w:pPr>
        <w:jc w:val="both"/>
        <w:rPr>
          <w:sz w:val="28"/>
          <w:szCs w:val="28"/>
          <w:lang w:val="lv-LV" w:bidi="lo-LA"/>
        </w:rPr>
      </w:pPr>
    </w:p>
    <w:p w:rsidR="00885457" w:rsidRDefault="00885457" w:rsidP="00055BC8">
      <w:pPr>
        <w:jc w:val="both"/>
        <w:rPr>
          <w:sz w:val="28"/>
          <w:szCs w:val="28"/>
          <w:lang w:val="lv-LV" w:bidi="lo-LA"/>
        </w:rPr>
      </w:pPr>
    </w:p>
    <w:p w:rsidR="00885457" w:rsidRDefault="00885457" w:rsidP="00055BC8">
      <w:pPr>
        <w:jc w:val="both"/>
        <w:rPr>
          <w:sz w:val="28"/>
          <w:szCs w:val="28"/>
          <w:lang w:val="lv-LV" w:bidi="lo-LA"/>
        </w:rPr>
      </w:pPr>
    </w:p>
    <w:p w:rsidR="00885457" w:rsidRDefault="00885457" w:rsidP="00055BC8">
      <w:pPr>
        <w:jc w:val="both"/>
        <w:rPr>
          <w:sz w:val="28"/>
          <w:szCs w:val="28"/>
          <w:lang w:val="lv-LV" w:bidi="lo-LA"/>
        </w:rPr>
      </w:pPr>
    </w:p>
    <w:p w:rsidR="00885457" w:rsidRDefault="00885457" w:rsidP="00055BC8">
      <w:pPr>
        <w:jc w:val="both"/>
        <w:rPr>
          <w:sz w:val="28"/>
          <w:szCs w:val="28"/>
          <w:lang w:val="lv-LV" w:bidi="lo-LA"/>
        </w:rPr>
      </w:pPr>
    </w:p>
    <w:p w:rsidR="00885457" w:rsidRDefault="00885457" w:rsidP="00055BC8">
      <w:pPr>
        <w:jc w:val="both"/>
        <w:rPr>
          <w:sz w:val="28"/>
          <w:szCs w:val="28"/>
          <w:lang w:val="lv-LV" w:bidi="lo-LA"/>
        </w:rPr>
      </w:pPr>
    </w:p>
    <w:p w:rsidR="00885457" w:rsidRDefault="00885457" w:rsidP="00055BC8">
      <w:pPr>
        <w:jc w:val="both"/>
        <w:rPr>
          <w:sz w:val="28"/>
          <w:szCs w:val="28"/>
          <w:lang w:val="lv-LV" w:bidi="lo-LA"/>
        </w:rPr>
      </w:pPr>
    </w:p>
    <w:p w:rsidR="00885457" w:rsidRDefault="00885457" w:rsidP="00055BC8">
      <w:pPr>
        <w:jc w:val="both"/>
        <w:rPr>
          <w:sz w:val="28"/>
          <w:szCs w:val="28"/>
          <w:lang w:val="lv-LV" w:bidi="lo-LA"/>
        </w:rPr>
      </w:pPr>
    </w:p>
    <w:p w:rsidR="00885457" w:rsidRDefault="00885457" w:rsidP="00055BC8">
      <w:pPr>
        <w:jc w:val="both"/>
        <w:rPr>
          <w:sz w:val="28"/>
          <w:szCs w:val="28"/>
          <w:lang w:val="lv-LV" w:bidi="lo-LA"/>
        </w:rPr>
      </w:pPr>
    </w:p>
    <w:p w:rsidR="00885457" w:rsidRDefault="00885457" w:rsidP="00055BC8">
      <w:pPr>
        <w:jc w:val="both"/>
        <w:rPr>
          <w:sz w:val="28"/>
          <w:szCs w:val="28"/>
          <w:lang w:val="lv-LV" w:bidi="lo-LA"/>
        </w:rPr>
      </w:pPr>
    </w:p>
    <w:p w:rsidR="00885457" w:rsidRDefault="00885457" w:rsidP="00055BC8">
      <w:pPr>
        <w:jc w:val="both"/>
        <w:rPr>
          <w:sz w:val="28"/>
          <w:szCs w:val="28"/>
          <w:lang w:val="lv-LV" w:bidi="lo-LA"/>
        </w:rPr>
      </w:pPr>
    </w:p>
    <w:p w:rsidR="00885457" w:rsidRDefault="00885457" w:rsidP="00055BC8">
      <w:pPr>
        <w:jc w:val="both"/>
        <w:rPr>
          <w:sz w:val="28"/>
          <w:szCs w:val="28"/>
          <w:lang w:val="lv-LV" w:bidi="lo-LA"/>
        </w:rPr>
      </w:pPr>
    </w:p>
    <w:p w:rsidR="00885457" w:rsidRPr="00410939" w:rsidRDefault="00885457" w:rsidP="00055BC8">
      <w:pPr>
        <w:jc w:val="both"/>
        <w:rPr>
          <w:sz w:val="28"/>
          <w:szCs w:val="28"/>
          <w:lang w:val="lv-LV" w:bidi="lo-LA"/>
        </w:rPr>
      </w:pPr>
    </w:p>
    <w:p w:rsidR="000F5077" w:rsidRPr="00AE1417" w:rsidRDefault="00400C1A" w:rsidP="00055BC8">
      <w:pPr>
        <w:jc w:val="both"/>
        <w:rPr>
          <w:sz w:val="28"/>
          <w:szCs w:val="28"/>
          <w:lang w:val="sv-SE" w:bidi="lo-LA"/>
        </w:rPr>
      </w:pPr>
      <w:r>
        <w:rPr>
          <w:sz w:val="28"/>
          <w:szCs w:val="28"/>
          <w:lang w:val="lv-LV" w:bidi="lo-LA"/>
        </w:rPr>
        <w:t>19.02.2013 13:53</w:t>
      </w:r>
      <w:bookmarkStart w:id="8" w:name="_GoBack"/>
      <w:bookmarkEnd w:id="8"/>
    </w:p>
    <w:p w:rsidR="00B74BCA" w:rsidRPr="00AE1417" w:rsidRDefault="005662F5" w:rsidP="00055BC8">
      <w:pPr>
        <w:jc w:val="both"/>
        <w:rPr>
          <w:sz w:val="28"/>
          <w:szCs w:val="28"/>
          <w:lang w:val="sv-SE" w:bidi="lo-LA"/>
        </w:rPr>
      </w:pPr>
      <w:r w:rsidRPr="00AE1417">
        <w:rPr>
          <w:sz w:val="28"/>
          <w:szCs w:val="28"/>
          <w:lang w:val="sv-SE" w:bidi="lo-LA"/>
        </w:rPr>
        <w:fldChar w:fldCharType="begin"/>
      </w:r>
      <w:r w:rsidRPr="00AE1417">
        <w:rPr>
          <w:sz w:val="28"/>
          <w:szCs w:val="28"/>
          <w:lang w:val="sv-SE" w:bidi="lo-LA"/>
        </w:rPr>
        <w:instrText xml:space="preserve"> NUMWORDS   \* MERGEFORMAT </w:instrText>
      </w:r>
      <w:r w:rsidRPr="00AE1417">
        <w:rPr>
          <w:sz w:val="28"/>
          <w:szCs w:val="28"/>
          <w:lang w:val="sv-SE" w:bidi="lo-LA"/>
        </w:rPr>
        <w:fldChar w:fldCharType="separate"/>
      </w:r>
      <w:r w:rsidR="00400C1A">
        <w:rPr>
          <w:noProof/>
          <w:sz w:val="28"/>
          <w:szCs w:val="28"/>
          <w:lang w:val="sv-SE" w:bidi="lo-LA"/>
        </w:rPr>
        <w:t>1947</w:t>
      </w:r>
      <w:r w:rsidRPr="00AE1417">
        <w:rPr>
          <w:sz w:val="28"/>
          <w:szCs w:val="28"/>
          <w:lang w:val="sv-SE" w:bidi="lo-LA"/>
        </w:rPr>
        <w:fldChar w:fldCharType="end"/>
      </w:r>
    </w:p>
    <w:p w:rsidR="00885457" w:rsidRPr="00AE1417" w:rsidRDefault="00B74BCA" w:rsidP="00055BC8">
      <w:pPr>
        <w:jc w:val="both"/>
        <w:rPr>
          <w:sz w:val="28"/>
          <w:szCs w:val="28"/>
          <w:lang w:val="sv-SE" w:bidi="lo-LA"/>
        </w:rPr>
      </w:pPr>
      <w:proofErr w:type="spellStart"/>
      <w:r w:rsidRPr="00AE1417">
        <w:rPr>
          <w:sz w:val="28"/>
          <w:szCs w:val="28"/>
          <w:lang w:val="sv-SE" w:bidi="lo-LA"/>
        </w:rPr>
        <w:t>L</w:t>
      </w:r>
      <w:proofErr w:type="gramStart"/>
      <w:r w:rsidRPr="00AE1417">
        <w:rPr>
          <w:sz w:val="28"/>
          <w:szCs w:val="28"/>
          <w:lang w:val="sv-SE" w:bidi="lo-LA"/>
        </w:rPr>
        <w:t>.Mi</w:t>
      </w:r>
      <w:proofErr w:type="gramEnd"/>
      <w:r w:rsidRPr="00AE1417">
        <w:rPr>
          <w:sz w:val="28"/>
          <w:szCs w:val="28"/>
          <w:lang w:val="sv-SE" w:bidi="lo-LA"/>
        </w:rPr>
        <w:t>čule</w:t>
      </w:r>
      <w:proofErr w:type="spellEnd"/>
    </w:p>
    <w:p w:rsidR="00097583" w:rsidRPr="00AE1417" w:rsidRDefault="00B74BCA" w:rsidP="00055BC8">
      <w:pPr>
        <w:jc w:val="both"/>
        <w:rPr>
          <w:sz w:val="28"/>
          <w:szCs w:val="28"/>
          <w:lang w:val="sv-SE" w:bidi="lo-LA"/>
        </w:rPr>
      </w:pPr>
      <w:r w:rsidRPr="00AE1417">
        <w:rPr>
          <w:sz w:val="28"/>
          <w:szCs w:val="28"/>
          <w:lang w:val="sv-SE" w:bidi="lo-LA"/>
        </w:rPr>
        <w:t>67013</w:t>
      </w:r>
      <w:r w:rsidR="00864EFE" w:rsidRPr="00AE1417">
        <w:rPr>
          <w:sz w:val="28"/>
          <w:szCs w:val="28"/>
          <w:lang w:val="sv-SE" w:bidi="lo-LA"/>
        </w:rPr>
        <w:t>093</w:t>
      </w:r>
      <w:r w:rsidR="00386053" w:rsidRPr="00AE1417">
        <w:rPr>
          <w:sz w:val="28"/>
          <w:szCs w:val="28"/>
          <w:lang w:val="sv-SE" w:bidi="lo-LA"/>
        </w:rPr>
        <w:t>,</w:t>
      </w:r>
      <w:r w:rsidRPr="00AE1417">
        <w:rPr>
          <w:sz w:val="28"/>
          <w:szCs w:val="28"/>
          <w:lang w:val="sv-SE" w:bidi="lo-LA"/>
        </w:rPr>
        <w:t xml:space="preserve"> </w:t>
      </w:r>
      <w:hyperlink r:id="rId9" w:history="1">
        <w:r w:rsidRPr="00AE1417">
          <w:rPr>
            <w:sz w:val="28"/>
            <w:szCs w:val="28"/>
            <w:lang w:val="sv-SE" w:bidi="lo-LA"/>
          </w:rPr>
          <w:t>Liga.Micule@em.gov.lv</w:t>
        </w:r>
      </w:hyperlink>
    </w:p>
    <w:sectPr w:rsidR="00097583" w:rsidRPr="00AE1417" w:rsidSect="00B014C2">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0A4" w:rsidRDefault="001700A4" w:rsidP="00B014C2">
      <w:r>
        <w:separator/>
      </w:r>
    </w:p>
  </w:endnote>
  <w:endnote w:type="continuationSeparator" w:id="0">
    <w:p w:rsidR="001700A4" w:rsidRDefault="001700A4" w:rsidP="00B01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0A4" w:rsidRPr="001611D0" w:rsidRDefault="00400C1A" w:rsidP="001611D0">
    <w:pPr>
      <w:pStyle w:val="BodyText"/>
      <w:rPr>
        <w:sz w:val="24"/>
        <w:szCs w:val="24"/>
      </w:rPr>
    </w:pPr>
    <w:r>
      <w:fldChar w:fldCharType="begin"/>
    </w:r>
    <w:r>
      <w:instrText xml:space="preserve"> FILENAME   \* MERGEFORMAT </w:instrText>
    </w:r>
    <w:r>
      <w:fldChar w:fldCharType="separate"/>
    </w:r>
    <w:r w:rsidR="003E5394" w:rsidRPr="003E5394">
      <w:rPr>
        <w:noProof/>
        <w:sz w:val="24"/>
        <w:szCs w:val="24"/>
      </w:rPr>
      <w:t>EMAnot_190213_groz824</w:t>
    </w:r>
    <w:r>
      <w:rPr>
        <w:noProof/>
        <w:sz w:val="24"/>
        <w:szCs w:val="24"/>
      </w:rPr>
      <w:fldChar w:fldCharType="end"/>
    </w:r>
    <w:r w:rsidR="001700A4" w:rsidRPr="00C33F2C">
      <w:rPr>
        <w:sz w:val="24"/>
        <w:szCs w:val="24"/>
      </w:rPr>
      <w:t xml:space="preserve">; </w:t>
    </w:r>
    <w:bookmarkStart w:id="9" w:name="OLE_LINK6"/>
    <w:bookmarkStart w:id="10" w:name="OLE_LINK7"/>
    <w:bookmarkStart w:id="11" w:name="OLE_LINK14"/>
    <w:r w:rsidR="001700A4" w:rsidRPr="00C33F2C">
      <w:rPr>
        <w:sz w:val="24"/>
        <w:szCs w:val="24"/>
      </w:rPr>
      <w:t xml:space="preserve">Ministru kabineta </w:t>
    </w:r>
    <w:r w:rsidR="001700A4">
      <w:rPr>
        <w:sz w:val="24"/>
        <w:szCs w:val="24"/>
      </w:rPr>
      <w:t>noteikumu</w:t>
    </w:r>
    <w:r w:rsidR="001700A4" w:rsidRPr="00C33F2C">
      <w:rPr>
        <w:sz w:val="24"/>
        <w:szCs w:val="24"/>
      </w:rPr>
      <w:t xml:space="preserve"> projekta </w:t>
    </w:r>
    <w:r w:rsidR="001700A4">
      <w:rPr>
        <w:sz w:val="24"/>
        <w:szCs w:val="24"/>
      </w:rPr>
      <w:t>„</w:t>
    </w:r>
    <w:r w:rsidR="001700A4" w:rsidRPr="001611D0">
      <w:rPr>
        <w:sz w:val="24"/>
        <w:szCs w:val="24"/>
      </w:rPr>
      <w:t>Grozījum</w:t>
    </w:r>
    <w:r w:rsidR="000D5FF6">
      <w:rPr>
        <w:sz w:val="24"/>
        <w:szCs w:val="24"/>
      </w:rPr>
      <w:t>i</w:t>
    </w:r>
    <w:r w:rsidR="001700A4" w:rsidRPr="001611D0">
      <w:rPr>
        <w:sz w:val="24"/>
        <w:szCs w:val="24"/>
      </w:rPr>
      <w:t xml:space="preserve"> Ministru kabineta 2010.gada 31.augusta noteikumos Nr.824 „Noteikumi par darbības programmas „Infrastruktūra un pakalpojumi” papildinājuma </w:t>
    </w:r>
    <w:r w:rsidR="001700A4" w:rsidRPr="003F0C4F">
      <w:rPr>
        <w:sz w:val="24"/>
        <w:szCs w:val="24"/>
      </w:rPr>
      <w:t xml:space="preserve">3.5.2.1.1.apakšaktivitātes </w:t>
    </w:r>
    <w:r w:rsidR="001700A4" w:rsidRPr="001611D0">
      <w:rPr>
        <w:sz w:val="24"/>
        <w:szCs w:val="24"/>
      </w:rPr>
      <w:t>„Pasākumi centralizētās siltumapgādes sistēmu efektivitātes paaugstināšanai” projektu iesniegumu atlases otro kārtu un turpmākajām kārtām”</w:t>
    </w:r>
    <w:r w:rsidR="001700A4" w:rsidRPr="00C33F2C">
      <w:rPr>
        <w:sz w:val="24"/>
        <w:szCs w:val="24"/>
      </w:rPr>
      <w:t xml:space="preserve">” sākotnējās ietekmes novērtējuma </w:t>
    </w:r>
    <w:smartTag w:uri="schemas-tilde-lv/tildestengine" w:element="veidnes">
      <w:smartTagPr>
        <w:attr w:name="id" w:val="-1"/>
        <w:attr w:name="baseform" w:val="ziņojums"/>
        <w:attr w:name="text" w:val="ziņojums"/>
      </w:smartTagPr>
      <w:r w:rsidR="001700A4" w:rsidRPr="00C33F2C">
        <w:rPr>
          <w:sz w:val="24"/>
          <w:szCs w:val="24"/>
        </w:rPr>
        <w:t>ziņojums</w:t>
      </w:r>
    </w:smartTag>
    <w:r w:rsidR="001700A4" w:rsidRPr="00C33F2C">
      <w:rPr>
        <w:sz w:val="24"/>
        <w:szCs w:val="24"/>
      </w:rPr>
      <w:t xml:space="preserve"> (anotācija)</w:t>
    </w:r>
    <w:bookmarkEnd w:id="9"/>
    <w:bookmarkEnd w:id="10"/>
    <w:bookmarkEnd w:id="1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0A4" w:rsidRPr="00C33F2C" w:rsidRDefault="00400C1A" w:rsidP="00D7256E">
    <w:pPr>
      <w:pStyle w:val="BodyText"/>
      <w:rPr>
        <w:sz w:val="24"/>
        <w:szCs w:val="24"/>
      </w:rPr>
    </w:pPr>
    <w:r>
      <w:fldChar w:fldCharType="begin"/>
    </w:r>
    <w:r>
      <w:instrText xml:space="preserve"> FILENAME   \* MERGEFORMAT </w:instrText>
    </w:r>
    <w:r>
      <w:fldChar w:fldCharType="separate"/>
    </w:r>
    <w:r w:rsidR="003E5394" w:rsidRPr="003E5394">
      <w:rPr>
        <w:noProof/>
        <w:sz w:val="24"/>
        <w:szCs w:val="24"/>
      </w:rPr>
      <w:t>EMAnot_190213_groz824</w:t>
    </w:r>
    <w:r>
      <w:rPr>
        <w:noProof/>
        <w:sz w:val="24"/>
        <w:szCs w:val="24"/>
      </w:rPr>
      <w:fldChar w:fldCharType="end"/>
    </w:r>
    <w:r w:rsidR="001700A4" w:rsidRPr="00C33F2C">
      <w:rPr>
        <w:sz w:val="24"/>
        <w:szCs w:val="24"/>
      </w:rPr>
      <w:t xml:space="preserve">; </w:t>
    </w:r>
    <w:bookmarkStart w:id="12" w:name="OLE_LINK12"/>
    <w:bookmarkStart w:id="13" w:name="OLE_LINK13"/>
    <w:bookmarkStart w:id="14" w:name="_Hlk259447629"/>
    <w:r w:rsidR="001700A4" w:rsidRPr="00C33F2C">
      <w:rPr>
        <w:sz w:val="24"/>
        <w:szCs w:val="24"/>
      </w:rPr>
      <w:t xml:space="preserve">Ministru kabineta </w:t>
    </w:r>
    <w:r w:rsidR="001700A4">
      <w:rPr>
        <w:sz w:val="24"/>
        <w:szCs w:val="24"/>
      </w:rPr>
      <w:t>noteikumu</w:t>
    </w:r>
    <w:r w:rsidR="001700A4" w:rsidRPr="00C33F2C">
      <w:rPr>
        <w:sz w:val="24"/>
        <w:szCs w:val="24"/>
      </w:rPr>
      <w:t xml:space="preserve"> projekta </w:t>
    </w:r>
    <w:r w:rsidR="000D5FF6">
      <w:rPr>
        <w:sz w:val="24"/>
        <w:szCs w:val="24"/>
      </w:rPr>
      <w:t>„Grozījumi</w:t>
    </w:r>
    <w:r w:rsidR="001700A4" w:rsidRPr="001611D0">
      <w:rPr>
        <w:sz w:val="24"/>
        <w:szCs w:val="24"/>
      </w:rPr>
      <w:t xml:space="preserve"> Ministru kabineta 2010.gada 31.augusta noteikumos Nr.824 „Noteikumi par darbības programmas „Infrastruktūra un pakalpojumi” papildinājuma </w:t>
    </w:r>
    <w:r w:rsidR="001700A4" w:rsidRPr="003F0C4F">
      <w:rPr>
        <w:sz w:val="24"/>
        <w:szCs w:val="24"/>
      </w:rPr>
      <w:t xml:space="preserve">3.5.2.1.1.apakšaktivitātes </w:t>
    </w:r>
    <w:r w:rsidR="001700A4" w:rsidRPr="001611D0">
      <w:rPr>
        <w:sz w:val="24"/>
        <w:szCs w:val="24"/>
      </w:rPr>
      <w:t>„Pasākumi centralizētās siltumapgādes sistēmu efektivitātes paaugstināšanai” projektu iesniegumu atlases otro kārtu un turpmākajām kārtām”</w:t>
    </w:r>
    <w:r w:rsidR="001700A4" w:rsidRPr="00C33F2C">
      <w:rPr>
        <w:sz w:val="24"/>
        <w:szCs w:val="24"/>
      </w:rPr>
      <w:t xml:space="preserve">” sākotnējās ietekmes novērtējuma </w:t>
    </w:r>
    <w:smartTag w:uri="schemas-tilde-lv/tildestengine" w:element="veidnes">
      <w:smartTagPr>
        <w:attr w:name="id" w:val="-1"/>
        <w:attr w:name="baseform" w:val="ziņojums"/>
        <w:attr w:name="text" w:val="ziņojums"/>
      </w:smartTagPr>
      <w:r w:rsidR="001700A4" w:rsidRPr="00C33F2C">
        <w:rPr>
          <w:sz w:val="24"/>
          <w:szCs w:val="24"/>
        </w:rPr>
        <w:t>ziņojums</w:t>
      </w:r>
    </w:smartTag>
    <w:r w:rsidR="001700A4" w:rsidRPr="00C33F2C">
      <w:rPr>
        <w:sz w:val="24"/>
        <w:szCs w:val="24"/>
      </w:rPr>
      <w:t xml:space="preserve"> (anotācija)</w:t>
    </w:r>
    <w:bookmarkEnd w:id="12"/>
    <w:bookmarkEnd w:id="13"/>
    <w:bookmarkEnd w:id="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0A4" w:rsidRDefault="001700A4" w:rsidP="00B014C2">
      <w:r>
        <w:separator/>
      </w:r>
    </w:p>
  </w:footnote>
  <w:footnote w:type="continuationSeparator" w:id="0">
    <w:p w:rsidR="001700A4" w:rsidRDefault="001700A4" w:rsidP="00B01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70797"/>
      <w:docPartObj>
        <w:docPartGallery w:val="Page Numbers (Top of Page)"/>
        <w:docPartUnique/>
      </w:docPartObj>
    </w:sdtPr>
    <w:sdtEndPr>
      <w:rPr>
        <w:sz w:val="24"/>
        <w:szCs w:val="24"/>
      </w:rPr>
    </w:sdtEndPr>
    <w:sdtContent>
      <w:p w:rsidR="001700A4" w:rsidRPr="00B014C2" w:rsidRDefault="001700A4">
        <w:pPr>
          <w:pStyle w:val="Header"/>
          <w:jc w:val="center"/>
          <w:rPr>
            <w:sz w:val="24"/>
            <w:szCs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400C1A">
          <w:rPr>
            <w:noProof/>
            <w:sz w:val="24"/>
            <w:szCs w:val="24"/>
          </w:rPr>
          <w:t>11</w:t>
        </w:r>
        <w:r w:rsidRPr="00B014C2">
          <w:rPr>
            <w:sz w:val="24"/>
            <w:szCs w:val="24"/>
          </w:rPr>
          <w:fldChar w:fldCharType="end"/>
        </w:r>
      </w:p>
    </w:sdtContent>
  </w:sdt>
  <w:p w:rsidR="001700A4" w:rsidRDefault="001700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4A574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020D22"/>
    <w:multiLevelType w:val="hybridMultilevel"/>
    <w:tmpl w:val="E7927C34"/>
    <w:lvl w:ilvl="0" w:tplc="658899F6">
      <w:start w:val="1"/>
      <w:numFmt w:val="bullet"/>
      <w:lvlText w:val="-"/>
      <w:lvlJc w:val="left"/>
      <w:pPr>
        <w:ind w:left="1069" w:hanging="360"/>
      </w:pPr>
      <w:rPr>
        <w:rFonts w:ascii="Times New Roman" w:eastAsia="Calibri" w:hAnsi="Times New Roman" w:cs="Times New Roman" w:hint="default"/>
        <w:sz w:val="24"/>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
    <w:nsid w:val="13A01F58"/>
    <w:multiLevelType w:val="hybridMultilevel"/>
    <w:tmpl w:val="A2482CEA"/>
    <w:lvl w:ilvl="0" w:tplc="33D271E4">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3">
    <w:nsid w:val="23E366A1"/>
    <w:multiLevelType w:val="hybridMultilevel"/>
    <w:tmpl w:val="5CF6E35E"/>
    <w:lvl w:ilvl="0" w:tplc="BBA2D6DC">
      <w:start w:val="2010"/>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nsid w:val="3D4B236C"/>
    <w:multiLevelType w:val="hybridMultilevel"/>
    <w:tmpl w:val="272065E8"/>
    <w:lvl w:ilvl="0" w:tplc="F22E746E">
      <w:start w:val="1"/>
      <w:numFmt w:val="bullet"/>
      <w:lvlText w:val="–"/>
      <w:lvlJc w:val="left"/>
      <w:pPr>
        <w:ind w:left="720" w:hanging="360"/>
      </w:pPr>
      <w:rPr>
        <w:rFonts w:ascii="Times New Roman" w:hAnsi="Times New Roman" w:cs="Times New Roman" w:hint="default"/>
        <w:color w:val="000000"/>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66756102"/>
    <w:multiLevelType w:val="hybridMultilevel"/>
    <w:tmpl w:val="A686F9D2"/>
    <w:lvl w:ilvl="0" w:tplc="F3FCCAE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nsid w:val="712C625F"/>
    <w:multiLevelType w:val="hybridMultilevel"/>
    <w:tmpl w:val="C55E3054"/>
    <w:lvl w:ilvl="0" w:tplc="EACE7FA0">
      <w:start w:val="1"/>
      <w:numFmt w:val="decimal"/>
      <w:lvlText w:val="%1)"/>
      <w:lvlJc w:val="left"/>
      <w:pPr>
        <w:ind w:left="1352" w:hanging="360"/>
      </w:pPr>
      <w:rPr>
        <w:rFonts w:hint="default"/>
      </w:rPr>
    </w:lvl>
    <w:lvl w:ilvl="1" w:tplc="04260019" w:tentative="1">
      <w:start w:val="1"/>
      <w:numFmt w:val="lowerLetter"/>
      <w:lvlText w:val="%2."/>
      <w:lvlJc w:val="left"/>
      <w:pPr>
        <w:ind w:left="2072" w:hanging="360"/>
      </w:pPr>
    </w:lvl>
    <w:lvl w:ilvl="2" w:tplc="0426001B" w:tentative="1">
      <w:start w:val="1"/>
      <w:numFmt w:val="lowerRoman"/>
      <w:lvlText w:val="%3."/>
      <w:lvlJc w:val="right"/>
      <w:pPr>
        <w:ind w:left="2792" w:hanging="180"/>
      </w:pPr>
    </w:lvl>
    <w:lvl w:ilvl="3" w:tplc="0426000F" w:tentative="1">
      <w:start w:val="1"/>
      <w:numFmt w:val="decimal"/>
      <w:lvlText w:val="%4."/>
      <w:lvlJc w:val="left"/>
      <w:pPr>
        <w:ind w:left="3512" w:hanging="360"/>
      </w:pPr>
    </w:lvl>
    <w:lvl w:ilvl="4" w:tplc="04260019" w:tentative="1">
      <w:start w:val="1"/>
      <w:numFmt w:val="lowerLetter"/>
      <w:lvlText w:val="%5."/>
      <w:lvlJc w:val="left"/>
      <w:pPr>
        <w:ind w:left="4232" w:hanging="360"/>
      </w:pPr>
    </w:lvl>
    <w:lvl w:ilvl="5" w:tplc="0426001B" w:tentative="1">
      <w:start w:val="1"/>
      <w:numFmt w:val="lowerRoman"/>
      <w:lvlText w:val="%6."/>
      <w:lvlJc w:val="right"/>
      <w:pPr>
        <w:ind w:left="4952" w:hanging="180"/>
      </w:pPr>
    </w:lvl>
    <w:lvl w:ilvl="6" w:tplc="0426000F" w:tentative="1">
      <w:start w:val="1"/>
      <w:numFmt w:val="decimal"/>
      <w:lvlText w:val="%7."/>
      <w:lvlJc w:val="left"/>
      <w:pPr>
        <w:ind w:left="5672" w:hanging="360"/>
      </w:pPr>
    </w:lvl>
    <w:lvl w:ilvl="7" w:tplc="04260019" w:tentative="1">
      <w:start w:val="1"/>
      <w:numFmt w:val="lowerLetter"/>
      <w:lvlText w:val="%8."/>
      <w:lvlJc w:val="left"/>
      <w:pPr>
        <w:ind w:left="6392" w:hanging="360"/>
      </w:pPr>
    </w:lvl>
    <w:lvl w:ilvl="8" w:tplc="0426001B" w:tentative="1">
      <w:start w:val="1"/>
      <w:numFmt w:val="lowerRoman"/>
      <w:lvlText w:val="%9."/>
      <w:lvlJc w:val="right"/>
      <w:pPr>
        <w:ind w:left="7112" w:hanging="180"/>
      </w:pPr>
    </w:lvl>
  </w:abstractNum>
  <w:num w:numId="1">
    <w:abstractNumId w:val="6"/>
  </w:num>
  <w:num w:numId="2">
    <w:abstractNumId w:val="3"/>
  </w:num>
  <w:num w:numId="3">
    <w:abstractNumId w:val="5"/>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52929"/>
  </w:hdrShapeDefaults>
  <w:footnotePr>
    <w:footnote w:id="-1"/>
    <w:footnote w:id="0"/>
  </w:footnotePr>
  <w:endnotePr>
    <w:endnote w:id="-1"/>
    <w:endnote w:id="0"/>
  </w:endnotePr>
  <w:compat>
    <w:compatSetting w:name="compatibilityMode" w:uri="http://schemas.microsoft.com/office/word" w:val="12"/>
  </w:compat>
  <w:rsids>
    <w:rsidRoot w:val="00BB09C5"/>
    <w:rsid w:val="000016AB"/>
    <w:rsid w:val="00004C45"/>
    <w:rsid w:val="0001186C"/>
    <w:rsid w:val="000120A0"/>
    <w:rsid w:val="00014006"/>
    <w:rsid w:val="0001626D"/>
    <w:rsid w:val="0001764D"/>
    <w:rsid w:val="00020A02"/>
    <w:rsid w:val="000214DF"/>
    <w:rsid w:val="00021CA3"/>
    <w:rsid w:val="00026BA7"/>
    <w:rsid w:val="00026C03"/>
    <w:rsid w:val="0002762A"/>
    <w:rsid w:val="00031099"/>
    <w:rsid w:val="000320DD"/>
    <w:rsid w:val="0003693D"/>
    <w:rsid w:val="00036E03"/>
    <w:rsid w:val="0004167C"/>
    <w:rsid w:val="000445F3"/>
    <w:rsid w:val="00047EF5"/>
    <w:rsid w:val="00050184"/>
    <w:rsid w:val="00050EA4"/>
    <w:rsid w:val="00052380"/>
    <w:rsid w:val="00055BC8"/>
    <w:rsid w:val="000564DA"/>
    <w:rsid w:val="00056DE2"/>
    <w:rsid w:val="00057414"/>
    <w:rsid w:val="00060D39"/>
    <w:rsid w:val="000643D5"/>
    <w:rsid w:val="00071114"/>
    <w:rsid w:val="000729ED"/>
    <w:rsid w:val="00072ECD"/>
    <w:rsid w:val="00081C1D"/>
    <w:rsid w:val="00081F44"/>
    <w:rsid w:val="00083704"/>
    <w:rsid w:val="000847AE"/>
    <w:rsid w:val="0008486C"/>
    <w:rsid w:val="00086412"/>
    <w:rsid w:val="00087524"/>
    <w:rsid w:val="00091DBA"/>
    <w:rsid w:val="00097583"/>
    <w:rsid w:val="000A164A"/>
    <w:rsid w:val="000A402E"/>
    <w:rsid w:val="000A4AED"/>
    <w:rsid w:val="000A5FB9"/>
    <w:rsid w:val="000B0719"/>
    <w:rsid w:val="000B2AE3"/>
    <w:rsid w:val="000D0388"/>
    <w:rsid w:val="000D19C8"/>
    <w:rsid w:val="000D2F05"/>
    <w:rsid w:val="000D307E"/>
    <w:rsid w:val="000D4DC9"/>
    <w:rsid w:val="000D5FF6"/>
    <w:rsid w:val="000D6DF2"/>
    <w:rsid w:val="000E02F6"/>
    <w:rsid w:val="000E2F17"/>
    <w:rsid w:val="000E409F"/>
    <w:rsid w:val="000E4277"/>
    <w:rsid w:val="000F0232"/>
    <w:rsid w:val="000F5077"/>
    <w:rsid w:val="000F6C72"/>
    <w:rsid w:val="000F6E9E"/>
    <w:rsid w:val="001000B5"/>
    <w:rsid w:val="001002E4"/>
    <w:rsid w:val="0010079A"/>
    <w:rsid w:val="0010385C"/>
    <w:rsid w:val="00103FE1"/>
    <w:rsid w:val="0010410B"/>
    <w:rsid w:val="001047E8"/>
    <w:rsid w:val="00115E25"/>
    <w:rsid w:val="00120651"/>
    <w:rsid w:val="0012067B"/>
    <w:rsid w:val="001232D1"/>
    <w:rsid w:val="001254CC"/>
    <w:rsid w:val="001267F1"/>
    <w:rsid w:val="001305B3"/>
    <w:rsid w:val="00130D33"/>
    <w:rsid w:val="00131980"/>
    <w:rsid w:val="00131C62"/>
    <w:rsid w:val="00134E0F"/>
    <w:rsid w:val="001428EB"/>
    <w:rsid w:val="00142A69"/>
    <w:rsid w:val="00142AC2"/>
    <w:rsid w:val="00142CBB"/>
    <w:rsid w:val="00144D39"/>
    <w:rsid w:val="00153C1A"/>
    <w:rsid w:val="001611D0"/>
    <w:rsid w:val="001700A4"/>
    <w:rsid w:val="0017312C"/>
    <w:rsid w:val="001733BE"/>
    <w:rsid w:val="0017472D"/>
    <w:rsid w:val="001764E7"/>
    <w:rsid w:val="00182537"/>
    <w:rsid w:val="00182CC4"/>
    <w:rsid w:val="001831F7"/>
    <w:rsid w:val="00184C02"/>
    <w:rsid w:val="00184E37"/>
    <w:rsid w:val="00186895"/>
    <w:rsid w:val="001871BB"/>
    <w:rsid w:val="00190498"/>
    <w:rsid w:val="00191102"/>
    <w:rsid w:val="00191B2C"/>
    <w:rsid w:val="00194800"/>
    <w:rsid w:val="001971A4"/>
    <w:rsid w:val="001973A7"/>
    <w:rsid w:val="001A082F"/>
    <w:rsid w:val="001A2ABA"/>
    <w:rsid w:val="001A3B25"/>
    <w:rsid w:val="001A3C19"/>
    <w:rsid w:val="001B0C97"/>
    <w:rsid w:val="001B262F"/>
    <w:rsid w:val="001B3236"/>
    <w:rsid w:val="001B4EB9"/>
    <w:rsid w:val="001B5566"/>
    <w:rsid w:val="001B5F59"/>
    <w:rsid w:val="001B6F62"/>
    <w:rsid w:val="001B7875"/>
    <w:rsid w:val="001C1BFF"/>
    <w:rsid w:val="001C2D96"/>
    <w:rsid w:val="001C6A1F"/>
    <w:rsid w:val="001D02A2"/>
    <w:rsid w:val="001D39D9"/>
    <w:rsid w:val="001D416F"/>
    <w:rsid w:val="001D46D6"/>
    <w:rsid w:val="001D5E9C"/>
    <w:rsid w:val="001D76FC"/>
    <w:rsid w:val="001E3BD0"/>
    <w:rsid w:val="001E5031"/>
    <w:rsid w:val="001E7BB7"/>
    <w:rsid w:val="001F02C1"/>
    <w:rsid w:val="001F6151"/>
    <w:rsid w:val="001F7527"/>
    <w:rsid w:val="001F76FC"/>
    <w:rsid w:val="00200612"/>
    <w:rsid w:val="00205FEE"/>
    <w:rsid w:val="0021241F"/>
    <w:rsid w:val="00213D6A"/>
    <w:rsid w:val="002149CB"/>
    <w:rsid w:val="00216B96"/>
    <w:rsid w:val="00221058"/>
    <w:rsid w:val="00221205"/>
    <w:rsid w:val="00221561"/>
    <w:rsid w:val="00221795"/>
    <w:rsid w:val="00221CAE"/>
    <w:rsid w:val="00224C7C"/>
    <w:rsid w:val="0023085A"/>
    <w:rsid w:val="00230FB6"/>
    <w:rsid w:val="00231EB0"/>
    <w:rsid w:val="00233657"/>
    <w:rsid w:val="00233F7A"/>
    <w:rsid w:val="0023462C"/>
    <w:rsid w:val="00234C58"/>
    <w:rsid w:val="00234DDC"/>
    <w:rsid w:val="00245D09"/>
    <w:rsid w:val="00247529"/>
    <w:rsid w:val="002507A0"/>
    <w:rsid w:val="00250F71"/>
    <w:rsid w:val="00254040"/>
    <w:rsid w:val="002543B5"/>
    <w:rsid w:val="0025484B"/>
    <w:rsid w:val="00257EAE"/>
    <w:rsid w:val="00261B9F"/>
    <w:rsid w:val="0026446F"/>
    <w:rsid w:val="00265C1B"/>
    <w:rsid w:val="002701D0"/>
    <w:rsid w:val="002702EB"/>
    <w:rsid w:val="00271EC3"/>
    <w:rsid w:val="00280806"/>
    <w:rsid w:val="00280A6B"/>
    <w:rsid w:val="00284232"/>
    <w:rsid w:val="00285613"/>
    <w:rsid w:val="00285CAB"/>
    <w:rsid w:val="0028698C"/>
    <w:rsid w:val="00287254"/>
    <w:rsid w:val="00290331"/>
    <w:rsid w:val="002912E4"/>
    <w:rsid w:val="0029306A"/>
    <w:rsid w:val="002954D4"/>
    <w:rsid w:val="00295C0F"/>
    <w:rsid w:val="002A0052"/>
    <w:rsid w:val="002A0487"/>
    <w:rsid w:val="002A0CEE"/>
    <w:rsid w:val="002B30A6"/>
    <w:rsid w:val="002B34B0"/>
    <w:rsid w:val="002B4D01"/>
    <w:rsid w:val="002B667D"/>
    <w:rsid w:val="002B768A"/>
    <w:rsid w:val="002C0E0E"/>
    <w:rsid w:val="002C20C8"/>
    <w:rsid w:val="002C4039"/>
    <w:rsid w:val="002D259E"/>
    <w:rsid w:val="002D3E95"/>
    <w:rsid w:val="002D43D4"/>
    <w:rsid w:val="002D7C26"/>
    <w:rsid w:val="002E1D56"/>
    <w:rsid w:val="002E3CFA"/>
    <w:rsid w:val="002E6122"/>
    <w:rsid w:val="002E7059"/>
    <w:rsid w:val="002E7530"/>
    <w:rsid w:val="002E7962"/>
    <w:rsid w:val="002E7BEF"/>
    <w:rsid w:val="002F063C"/>
    <w:rsid w:val="002F423D"/>
    <w:rsid w:val="002F4553"/>
    <w:rsid w:val="002F6D2C"/>
    <w:rsid w:val="003000F0"/>
    <w:rsid w:val="00307F40"/>
    <w:rsid w:val="003124BE"/>
    <w:rsid w:val="00314594"/>
    <w:rsid w:val="00316BE1"/>
    <w:rsid w:val="00320EB0"/>
    <w:rsid w:val="00322A15"/>
    <w:rsid w:val="00324F11"/>
    <w:rsid w:val="00330AF0"/>
    <w:rsid w:val="00335837"/>
    <w:rsid w:val="003365BB"/>
    <w:rsid w:val="003372CD"/>
    <w:rsid w:val="00341D01"/>
    <w:rsid w:val="0034284E"/>
    <w:rsid w:val="00344B27"/>
    <w:rsid w:val="00347801"/>
    <w:rsid w:val="003479DF"/>
    <w:rsid w:val="0035647E"/>
    <w:rsid w:val="00357B86"/>
    <w:rsid w:val="00360437"/>
    <w:rsid w:val="00360962"/>
    <w:rsid w:val="003611ED"/>
    <w:rsid w:val="00361DA6"/>
    <w:rsid w:val="00362D30"/>
    <w:rsid w:val="003707C8"/>
    <w:rsid w:val="0037466C"/>
    <w:rsid w:val="00383500"/>
    <w:rsid w:val="00384799"/>
    <w:rsid w:val="00385DB0"/>
    <w:rsid w:val="00386053"/>
    <w:rsid w:val="00391942"/>
    <w:rsid w:val="003934EB"/>
    <w:rsid w:val="00396D2E"/>
    <w:rsid w:val="003A5545"/>
    <w:rsid w:val="003A56E6"/>
    <w:rsid w:val="003A5F98"/>
    <w:rsid w:val="003A7D89"/>
    <w:rsid w:val="003B04FD"/>
    <w:rsid w:val="003B060D"/>
    <w:rsid w:val="003B2464"/>
    <w:rsid w:val="003B3450"/>
    <w:rsid w:val="003B4994"/>
    <w:rsid w:val="003B5399"/>
    <w:rsid w:val="003B590B"/>
    <w:rsid w:val="003C1C94"/>
    <w:rsid w:val="003C406A"/>
    <w:rsid w:val="003D342E"/>
    <w:rsid w:val="003D3A14"/>
    <w:rsid w:val="003E0167"/>
    <w:rsid w:val="003E0549"/>
    <w:rsid w:val="003E0BD3"/>
    <w:rsid w:val="003E284A"/>
    <w:rsid w:val="003E2968"/>
    <w:rsid w:val="003E3604"/>
    <w:rsid w:val="003E5394"/>
    <w:rsid w:val="003E6CB3"/>
    <w:rsid w:val="003F0C4F"/>
    <w:rsid w:val="003F17ED"/>
    <w:rsid w:val="003F4E09"/>
    <w:rsid w:val="00400C1A"/>
    <w:rsid w:val="00401C5F"/>
    <w:rsid w:val="00402B2B"/>
    <w:rsid w:val="00404C10"/>
    <w:rsid w:val="00404D4B"/>
    <w:rsid w:val="004074FD"/>
    <w:rsid w:val="00410939"/>
    <w:rsid w:val="00414CC7"/>
    <w:rsid w:val="00415C03"/>
    <w:rsid w:val="00416C3A"/>
    <w:rsid w:val="00420FC8"/>
    <w:rsid w:val="0042129F"/>
    <w:rsid w:val="004232D7"/>
    <w:rsid w:val="0042395B"/>
    <w:rsid w:val="0042472B"/>
    <w:rsid w:val="00431CB5"/>
    <w:rsid w:val="00434ACC"/>
    <w:rsid w:val="00435CDA"/>
    <w:rsid w:val="00436E46"/>
    <w:rsid w:val="00436E6A"/>
    <w:rsid w:val="004413C4"/>
    <w:rsid w:val="00442884"/>
    <w:rsid w:val="00443B04"/>
    <w:rsid w:val="0044567A"/>
    <w:rsid w:val="004465FC"/>
    <w:rsid w:val="004522D7"/>
    <w:rsid w:val="004527EA"/>
    <w:rsid w:val="00457B62"/>
    <w:rsid w:val="004603D4"/>
    <w:rsid w:val="00460A29"/>
    <w:rsid w:val="00472EF3"/>
    <w:rsid w:val="00475A76"/>
    <w:rsid w:val="004775F4"/>
    <w:rsid w:val="00484C10"/>
    <w:rsid w:val="00485E0B"/>
    <w:rsid w:val="00486BD6"/>
    <w:rsid w:val="00487753"/>
    <w:rsid w:val="0049013B"/>
    <w:rsid w:val="00491F0A"/>
    <w:rsid w:val="004960FB"/>
    <w:rsid w:val="00497086"/>
    <w:rsid w:val="004A22E5"/>
    <w:rsid w:val="004A4A04"/>
    <w:rsid w:val="004A554F"/>
    <w:rsid w:val="004B18A4"/>
    <w:rsid w:val="004B1FE7"/>
    <w:rsid w:val="004B77C0"/>
    <w:rsid w:val="004C1463"/>
    <w:rsid w:val="004C4597"/>
    <w:rsid w:val="004D4997"/>
    <w:rsid w:val="004D54CD"/>
    <w:rsid w:val="004D6EF0"/>
    <w:rsid w:val="004D790D"/>
    <w:rsid w:val="004E01F5"/>
    <w:rsid w:val="004E3075"/>
    <w:rsid w:val="004E7B96"/>
    <w:rsid w:val="004F0E94"/>
    <w:rsid w:val="004F178A"/>
    <w:rsid w:val="004F2331"/>
    <w:rsid w:val="004F2B79"/>
    <w:rsid w:val="00501F08"/>
    <w:rsid w:val="00502247"/>
    <w:rsid w:val="00502CD4"/>
    <w:rsid w:val="00503D5C"/>
    <w:rsid w:val="00505A0D"/>
    <w:rsid w:val="00505B7D"/>
    <w:rsid w:val="00506DDA"/>
    <w:rsid w:val="00510235"/>
    <w:rsid w:val="00511ADB"/>
    <w:rsid w:val="00512B10"/>
    <w:rsid w:val="0051358D"/>
    <w:rsid w:val="00513AF6"/>
    <w:rsid w:val="00517C20"/>
    <w:rsid w:val="00522B62"/>
    <w:rsid w:val="00524D01"/>
    <w:rsid w:val="005254AB"/>
    <w:rsid w:val="00530C47"/>
    <w:rsid w:val="00531687"/>
    <w:rsid w:val="00532532"/>
    <w:rsid w:val="00532EE4"/>
    <w:rsid w:val="00532FEB"/>
    <w:rsid w:val="00537A29"/>
    <w:rsid w:val="005422C3"/>
    <w:rsid w:val="00542739"/>
    <w:rsid w:val="00542F49"/>
    <w:rsid w:val="00543052"/>
    <w:rsid w:val="00546E77"/>
    <w:rsid w:val="00554A7A"/>
    <w:rsid w:val="0056506A"/>
    <w:rsid w:val="005662F5"/>
    <w:rsid w:val="005663B6"/>
    <w:rsid w:val="0056795E"/>
    <w:rsid w:val="00570B3E"/>
    <w:rsid w:val="005747E7"/>
    <w:rsid w:val="0057501D"/>
    <w:rsid w:val="00576AEE"/>
    <w:rsid w:val="00576D8A"/>
    <w:rsid w:val="00580317"/>
    <w:rsid w:val="0058086F"/>
    <w:rsid w:val="0058249F"/>
    <w:rsid w:val="0058679B"/>
    <w:rsid w:val="005877DA"/>
    <w:rsid w:val="00593CA6"/>
    <w:rsid w:val="0059700D"/>
    <w:rsid w:val="00597137"/>
    <w:rsid w:val="00597231"/>
    <w:rsid w:val="005A1D6F"/>
    <w:rsid w:val="005A2A2D"/>
    <w:rsid w:val="005A37FF"/>
    <w:rsid w:val="005B29DE"/>
    <w:rsid w:val="005B4307"/>
    <w:rsid w:val="005C251D"/>
    <w:rsid w:val="005C28B4"/>
    <w:rsid w:val="005C6DDB"/>
    <w:rsid w:val="005D1220"/>
    <w:rsid w:val="005D3658"/>
    <w:rsid w:val="005D4522"/>
    <w:rsid w:val="005D6171"/>
    <w:rsid w:val="005E4730"/>
    <w:rsid w:val="005E713D"/>
    <w:rsid w:val="005F09EC"/>
    <w:rsid w:val="00605E97"/>
    <w:rsid w:val="00607722"/>
    <w:rsid w:val="00610DDF"/>
    <w:rsid w:val="00614602"/>
    <w:rsid w:val="006218A6"/>
    <w:rsid w:val="00625D54"/>
    <w:rsid w:val="00626F78"/>
    <w:rsid w:val="00630367"/>
    <w:rsid w:val="006309F5"/>
    <w:rsid w:val="00630BAA"/>
    <w:rsid w:val="00631039"/>
    <w:rsid w:val="00636440"/>
    <w:rsid w:val="00641379"/>
    <w:rsid w:val="00643B54"/>
    <w:rsid w:val="006456BB"/>
    <w:rsid w:val="00647402"/>
    <w:rsid w:val="00650716"/>
    <w:rsid w:val="006512F4"/>
    <w:rsid w:val="00651669"/>
    <w:rsid w:val="00652901"/>
    <w:rsid w:val="006543B3"/>
    <w:rsid w:val="00654C63"/>
    <w:rsid w:val="00660008"/>
    <w:rsid w:val="00664C33"/>
    <w:rsid w:val="00665020"/>
    <w:rsid w:val="00667BAB"/>
    <w:rsid w:val="006711E1"/>
    <w:rsid w:val="006722B5"/>
    <w:rsid w:val="00672A2F"/>
    <w:rsid w:val="00673175"/>
    <w:rsid w:val="00674BA7"/>
    <w:rsid w:val="00676770"/>
    <w:rsid w:val="0068051B"/>
    <w:rsid w:val="00681496"/>
    <w:rsid w:val="00682B64"/>
    <w:rsid w:val="0068409B"/>
    <w:rsid w:val="00684EA2"/>
    <w:rsid w:val="00686877"/>
    <w:rsid w:val="006910BE"/>
    <w:rsid w:val="006A3A28"/>
    <w:rsid w:val="006A6AD4"/>
    <w:rsid w:val="006A7488"/>
    <w:rsid w:val="006A7638"/>
    <w:rsid w:val="006B0E03"/>
    <w:rsid w:val="006C114F"/>
    <w:rsid w:val="006C15FA"/>
    <w:rsid w:val="006D0B9B"/>
    <w:rsid w:val="006D1F62"/>
    <w:rsid w:val="006D30BF"/>
    <w:rsid w:val="006D40AB"/>
    <w:rsid w:val="006D662F"/>
    <w:rsid w:val="006D69A4"/>
    <w:rsid w:val="006E07AC"/>
    <w:rsid w:val="006E09B6"/>
    <w:rsid w:val="006E0ECB"/>
    <w:rsid w:val="006E1F97"/>
    <w:rsid w:val="006E3949"/>
    <w:rsid w:val="006F02CA"/>
    <w:rsid w:val="006F0C19"/>
    <w:rsid w:val="006F24A8"/>
    <w:rsid w:val="006F56C1"/>
    <w:rsid w:val="007058E9"/>
    <w:rsid w:val="0070678E"/>
    <w:rsid w:val="00706EC2"/>
    <w:rsid w:val="00720ABC"/>
    <w:rsid w:val="00720EE5"/>
    <w:rsid w:val="007217E4"/>
    <w:rsid w:val="00721D6C"/>
    <w:rsid w:val="00721E50"/>
    <w:rsid w:val="00725107"/>
    <w:rsid w:val="00725B16"/>
    <w:rsid w:val="007278CF"/>
    <w:rsid w:val="00731AA9"/>
    <w:rsid w:val="00732F77"/>
    <w:rsid w:val="007363F2"/>
    <w:rsid w:val="00737AB8"/>
    <w:rsid w:val="00743E33"/>
    <w:rsid w:val="00744513"/>
    <w:rsid w:val="0075648C"/>
    <w:rsid w:val="00767185"/>
    <w:rsid w:val="00767E0F"/>
    <w:rsid w:val="007715A2"/>
    <w:rsid w:val="00771E40"/>
    <w:rsid w:val="0077435A"/>
    <w:rsid w:val="0077545A"/>
    <w:rsid w:val="00781C31"/>
    <w:rsid w:val="00790E90"/>
    <w:rsid w:val="00791433"/>
    <w:rsid w:val="00793496"/>
    <w:rsid w:val="00793A6B"/>
    <w:rsid w:val="00794B98"/>
    <w:rsid w:val="00797D6F"/>
    <w:rsid w:val="007A0D95"/>
    <w:rsid w:val="007A14D0"/>
    <w:rsid w:val="007A2498"/>
    <w:rsid w:val="007B0767"/>
    <w:rsid w:val="007B22A2"/>
    <w:rsid w:val="007B461A"/>
    <w:rsid w:val="007C1582"/>
    <w:rsid w:val="007C2960"/>
    <w:rsid w:val="007C2992"/>
    <w:rsid w:val="007C5B35"/>
    <w:rsid w:val="007C62F5"/>
    <w:rsid w:val="007C7357"/>
    <w:rsid w:val="007C7B92"/>
    <w:rsid w:val="007D054D"/>
    <w:rsid w:val="007D14B7"/>
    <w:rsid w:val="007D45FD"/>
    <w:rsid w:val="007D6721"/>
    <w:rsid w:val="007D6900"/>
    <w:rsid w:val="007D7A8A"/>
    <w:rsid w:val="007E0403"/>
    <w:rsid w:val="007E0A01"/>
    <w:rsid w:val="007E1DC0"/>
    <w:rsid w:val="007E7623"/>
    <w:rsid w:val="007F0242"/>
    <w:rsid w:val="007F0C15"/>
    <w:rsid w:val="007F4C22"/>
    <w:rsid w:val="00810BB4"/>
    <w:rsid w:val="00811EBC"/>
    <w:rsid w:val="00812990"/>
    <w:rsid w:val="00814B24"/>
    <w:rsid w:val="00815CC0"/>
    <w:rsid w:val="008173C3"/>
    <w:rsid w:val="00817839"/>
    <w:rsid w:val="00823419"/>
    <w:rsid w:val="00823C4F"/>
    <w:rsid w:val="0082492B"/>
    <w:rsid w:val="00824A69"/>
    <w:rsid w:val="008253A7"/>
    <w:rsid w:val="008265EF"/>
    <w:rsid w:val="00827407"/>
    <w:rsid w:val="00836318"/>
    <w:rsid w:val="00837E38"/>
    <w:rsid w:val="008444BD"/>
    <w:rsid w:val="00844DC6"/>
    <w:rsid w:val="00851D2A"/>
    <w:rsid w:val="00855B83"/>
    <w:rsid w:val="00860387"/>
    <w:rsid w:val="00861F33"/>
    <w:rsid w:val="008620C5"/>
    <w:rsid w:val="00864EFE"/>
    <w:rsid w:val="008657D2"/>
    <w:rsid w:val="00866076"/>
    <w:rsid w:val="0087015B"/>
    <w:rsid w:val="00874C25"/>
    <w:rsid w:val="0087682B"/>
    <w:rsid w:val="00877FED"/>
    <w:rsid w:val="00880F80"/>
    <w:rsid w:val="008822A5"/>
    <w:rsid w:val="008833AC"/>
    <w:rsid w:val="008836B8"/>
    <w:rsid w:val="0088512F"/>
    <w:rsid w:val="00885457"/>
    <w:rsid w:val="00885C85"/>
    <w:rsid w:val="00890CFA"/>
    <w:rsid w:val="00891DAA"/>
    <w:rsid w:val="00891EFC"/>
    <w:rsid w:val="0089622A"/>
    <w:rsid w:val="00897C16"/>
    <w:rsid w:val="008A4831"/>
    <w:rsid w:val="008A492C"/>
    <w:rsid w:val="008A4C41"/>
    <w:rsid w:val="008A515D"/>
    <w:rsid w:val="008A615D"/>
    <w:rsid w:val="008A6918"/>
    <w:rsid w:val="008A69DC"/>
    <w:rsid w:val="008B4856"/>
    <w:rsid w:val="008C2886"/>
    <w:rsid w:val="008D17E5"/>
    <w:rsid w:val="008D6725"/>
    <w:rsid w:val="008D78FF"/>
    <w:rsid w:val="008E476F"/>
    <w:rsid w:val="008E5F7D"/>
    <w:rsid w:val="008E6217"/>
    <w:rsid w:val="008F48C1"/>
    <w:rsid w:val="008F4C9D"/>
    <w:rsid w:val="008F5394"/>
    <w:rsid w:val="008F636C"/>
    <w:rsid w:val="008F6397"/>
    <w:rsid w:val="0090048A"/>
    <w:rsid w:val="009041C1"/>
    <w:rsid w:val="0090449A"/>
    <w:rsid w:val="00904A06"/>
    <w:rsid w:val="0090536A"/>
    <w:rsid w:val="00911D0C"/>
    <w:rsid w:val="00914CB3"/>
    <w:rsid w:val="00916328"/>
    <w:rsid w:val="00917324"/>
    <w:rsid w:val="00920CC5"/>
    <w:rsid w:val="009223E3"/>
    <w:rsid w:val="0092468A"/>
    <w:rsid w:val="009260C5"/>
    <w:rsid w:val="00930CFF"/>
    <w:rsid w:val="00932B78"/>
    <w:rsid w:val="00933744"/>
    <w:rsid w:val="0094012A"/>
    <w:rsid w:val="00940388"/>
    <w:rsid w:val="009429B7"/>
    <w:rsid w:val="009441B0"/>
    <w:rsid w:val="00944903"/>
    <w:rsid w:val="00945AEE"/>
    <w:rsid w:val="0094732D"/>
    <w:rsid w:val="00947CF8"/>
    <w:rsid w:val="009520C3"/>
    <w:rsid w:val="0095555C"/>
    <w:rsid w:val="0095680E"/>
    <w:rsid w:val="0095696B"/>
    <w:rsid w:val="00962693"/>
    <w:rsid w:val="00962CEA"/>
    <w:rsid w:val="00971B45"/>
    <w:rsid w:val="00977A1D"/>
    <w:rsid w:val="009839B3"/>
    <w:rsid w:val="0098472B"/>
    <w:rsid w:val="0099344A"/>
    <w:rsid w:val="00994A10"/>
    <w:rsid w:val="00995388"/>
    <w:rsid w:val="00996D7F"/>
    <w:rsid w:val="009A164D"/>
    <w:rsid w:val="009A19C7"/>
    <w:rsid w:val="009A38AD"/>
    <w:rsid w:val="009A4558"/>
    <w:rsid w:val="009A57E0"/>
    <w:rsid w:val="009A6C4D"/>
    <w:rsid w:val="009A712C"/>
    <w:rsid w:val="009B0DB2"/>
    <w:rsid w:val="009B2F66"/>
    <w:rsid w:val="009C1ADF"/>
    <w:rsid w:val="009C2CF9"/>
    <w:rsid w:val="009C5919"/>
    <w:rsid w:val="009C6996"/>
    <w:rsid w:val="009C7064"/>
    <w:rsid w:val="009C7B1F"/>
    <w:rsid w:val="009D10C0"/>
    <w:rsid w:val="009D3A3F"/>
    <w:rsid w:val="009D46D6"/>
    <w:rsid w:val="009D5C1D"/>
    <w:rsid w:val="009D6B85"/>
    <w:rsid w:val="009E116E"/>
    <w:rsid w:val="009E182A"/>
    <w:rsid w:val="009E1AEA"/>
    <w:rsid w:val="009E2B24"/>
    <w:rsid w:val="009E388E"/>
    <w:rsid w:val="009E4C1F"/>
    <w:rsid w:val="009E532D"/>
    <w:rsid w:val="009E5351"/>
    <w:rsid w:val="009E604D"/>
    <w:rsid w:val="009E7E9F"/>
    <w:rsid w:val="009F1B35"/>
    <w:rsid w:val="009F37B4"/>
    <w:rsid w:val="009F3B93"/>
    <w:rsid w:val="009F4D79"/>
    <w:rsid w:val="00A01864"/>
    <w:rsid w:val="00A045ED"/>
    <w:rsid w:val="00A14437"/>
    <w:rsid w:val="00A14502"/>
    <w:rsid w:val="00A15971"/>
    <w:rsid w:val="00A246DC"/>
    <w:rsid w:val="00A271B4"/>
    <w:rsid w:val="00A30576"/>
    <w:rsid w:val="00A30F97"/>
    <w:rsid w:val="00A31FDC"/>
    <w:rsid w:val="00A32343"/>
    <w:rsid w:val="00A326B1"/>
    <w:rsid w:val="00A3336D"/>
    <w:rsid w:val="00A34AC6"/>
    <w:rsid w:val="00A34F24"/>
    <w:rsid w:val="00A37DC3"/>
    <w:rsid w:val="00A425FC"/>
    <w:rsid w:val="00A43665"/>
    <w:rsid w:val="00A441B5"/>
    <w:rsid w:val="00A454E0"/>
    <w:rsid w:val="00A46462"/>
    <w:rsid w:val="00A47339"/>
    <w:rsid w:val="00A47536"/>
    <w:rsid w:val="00A51399"/>
    <w:rsid w:val="00A520CC"/>
    <w:rsid w:val="00A52BA6"/>
    <w:rsid w:val="00A5445A"/>
    <w:rsid w:val="00A54ADB"/>
    <w:rsid w:val="00A552DA"/>
    <w:rsid w:val="00A6113D"/>
    <w:rsid w:val="00A6164F"/>
    <w:rsid w:val="00A6235A"/>
    <w:rsid w:val="00A62805"/>
    <w:rsid w:val="00A6716E"/>
    <w:rsid w:val="00A700D6"/>
    <w:rsid w:val="00A805C2"/>
    <w:rsid w:val="00A806F1"/>
    <w:rsid w:val="00A80C47"/>
    <w:rsid w:val="00A85AB5"/>
    <w:rsid w:val="00A87BE9"/>
    <w:rsid w:val="00A9241A"/>
    <w:rsid w:val="00A95893"/>
    <w:rsid w:val="00A963C3"/>
    <w:rsid w:val="00A96F94"/>
    <w:rsid w:val="00AA127F"/>
    <w:rsid w:val="00AA230A"/>
    <w:rsid w:val="00AA5C4F"/>
    <w:rsid w:val="00AA712A"/>
    <w:rsid w:val="00AA7E8A"/>
    <w:rsid w:val="00AB1A94"/>
    <w:rsid w:val="00AB248D"/>
    <w:rsid w:val="00AB2915"/>
    <w:rsid w:val="00AB2B24"/>
    <w:rsid w:val="00AB488D"/>
    <w:rsid w:val="00AB5B30"/>
    <w:rsid w:val="00AB5FC3"/>
    <w:rsid w:val="00AB6101"/>
    <w:rsid w:val="00AB644F"/>
    <w:rsid w:val="00AC0231"/>
    <w:rsid w:val="00AC07D2"/>
    <w:rsid w:val="00AC6009"/>
    <w:rsid w:val="00AC64F1"/>
    <w:rsid w:val="00AD0DF6"/>
    <w:rsid w:val="00AD2826"/>
    <w:rsid w:val="00AD4944"/>
    <w:rsid w:val="00AD5849"/>
    <w:rsid w:val="00AD7CF0"/>
    <w:rsid w:val="00AE05F1"/>
    <w:rsid w:val="00AE1417"/>
    <w:rsid w:val="00AE1659"/>
    <w:rsid w:val="00AE4EB6"/>
    <w:rsid w:val="00AE51EC"/>
    <w:rsid w:val="00AE6E0C"/>
    <w:rsid w:val="00AF1E99"/>
    <w:rsid w:val="00B014C2"/>
    <w:rsid w:val="00B033B8"/>
    <w:rsid w:val="00B0347F"/>
    <w:rsid w:val="00B04FAA"/>
    <w:rsid w:val="00B121E8"/>
    <w:rsid w:val="00B13499"/>
    <w:rsid w:val="00B1662F"/>
    <w:rsid w:val="00B20342"/>
    <w:rsid w:val="00B221CA"/>
    <w:rsid w:val="00B26217"/>
    <w:rsid w:val="00B274BB"/>
    <w:rsid w:val="00B30133"/>
    <w:rsid w:val="00B37577"/>
    <w:rsid w:val="00B45711"/>
    <w:rsid w:val="00B46B34"/>
    <w:rsid w:val="00B5655C"/>
    <w:rsid w:val="00B56EB8"/>
    <w:rsid w:val="00B57637"/>
    <w:rsid w:val="00B60083"/>
    <w:rsid w:val="00B60EEC"/>
    <w:rsid w:val="00B6151B"/>
    <w:rsid w:val="00B6163A"/>
    <w:rsid w:val="00B62197"/>
    <w:rsid w:val="00B63BE0"/>
    <w:rsid w:val="00B6474E"/>
    <w:rsid w:val="00B65CFA"/>
    <w:rsid w:val="00B70F42"/>
    <w:rsid w:val="00B74BCA"/>
    <w:rsid w:val="00B756EA"/>
    <w:rsid w:val="00B75B65"/>
    <w:rsid w:val="00B7774A"/>
    <w:rsid w:val="00B81E82"/>
    <w:rsid w:val="00B82499"/>
    <w:rsid w:val="00B85C22"/>
    <w:rsid w:val="00B866E5"/>
    <w:rsid w:val="00B91EA5"/>
    <w:rsid w:val="00B931D1"/>
    <w:rsid w:val="00B943B1"/>
    <w:rsid w:val="00BA0A22"/>
    <w:rsid w:val="00BA14F4"/>
    <w:rsid w:val="00BA2E9B"/>
    <w:rsid w:val="00BA5035"/>
    <w:rsid w:val="00BA7189"/>
    <w:rsid w:val="00BB09C5"/>
    <w:rsid w:val="00BB1C9B"/>
    <w:rsid w:val="00BB2330"/>
    <w:rsid w:val="00BB4180"/>
    <w:rsid w:val="00BB6E67"/>
    <w:rsid w:val="00BB7960"/>
    <w:rsid w:val="00BC06E8"/>
    <w:rsid w:val="00BC4144"/>
    <w:rsid w:val="00BC4472"/>
    <w:rsid w:val="00BC51A3"/>
    <w:rsid w:val="00BC66EB"/>
    <w:rsid w:val="00BD1934"/>
    <w:rsid w:val="00BD1A48"/>
    <w:rsid w:val="00BD4752"/>
    <w:rsid w:val="00BD63E9"/>
    <w:rsid w:val="00BE0EC8"/>
    <w:rsid w:val="00BE4892"/>
    <w:rsid w:val="00BE5ED1"/>
    <w:rsid w:val="00BE649D"/>
    <w:rsid w:val="00BF13E2"/>
    <w:rsid w:val="00BF249C"/>
    <w:rsid w:val="00BF3FCD"/>
    <w:rsid w:val="00BF4361"/>
    <w:rsid w:val="00BF6568"/>
    <w:rsid w:val="00C02217"/>
    <w:rsid w:val="00C027C5"/>
    <w:rsid w:val="00C044F2"/>
    <w:rsid w:val="00C11C6A"/>
    <w:rsid w:val="00C165FF"/>
    <w:rsid w:val="00C16A63"/>
    <w:rsid w:val="00C16F7D"/>
    <w:rsid w:val="00C1739F"/>
    <w:rsid w:val="00C20A0F"/>
    <w:rsid w:val="00C20EF9"/>
    <w:rsid w:val="00C21A1E"/>
    <w:rsid w:val="00C24F0A"/>
    <w:rsid w:val="00C25337"/>
    <w:rsid w:val="00C307D2"/>
    <w:rsid w:val="00C31A26"/>
    <w:rsid w:val="00C327A5"/>
    <w:rsid w:val="00C32F05"/>
    <w:rsid w:val="00C33F2C"/>
    <w:rsid w:val="00C34377"/>
    <w:rsid w:val="00C34941"/>
    <w:rsid w:val="00C3513A"/>
    <w:rsid w:val="00C37B14"/>
    <w:rsid w:val="00C40FDA"/>
    <w:rsid w:val="00C438C9"/>
    <w:rsid w:val="00C44C95"/>
    <w:rsid w:val="00C4549D"/>
    <w:rsid w:val="00C45AB4"/>
    <w:rsid w:val="00C5082A"/>
    <w:rsid w:val="00C52C5E"/>
    <w:rsid w:val="00C5549D"/>
    <w:rsid w:val="00C61BDC"/>
    <w:rsid w:val="00C61FF9"/>
    <w:rsid w:val="00C627A2"/>
    <w:rsid w:val="00C65525"/>
    <w:rsid w:val="00C6637E"/>
    <w:rsid w:val="00C7152A"/>
    <w:rsid w:val="00C728A7"/>
    <w:rsid w:val="00C7500F"/>
    <w:rsid w:val="00C751EA"/>
    <w:rsid w:val="00C75A4F"/>
    <w:rsid w:val="00C772EA"/>
    <w:rsid w:val="00C8212B"/>
    <w:rsid w:val="00C83591"/>
    <w:rsid w:val="00C83878"/>
    <w:rsid w:val="00C85068"/>
    <w:rsid w:val="00C86127"/>
    <w:rsid w:val="00C91A9D"/>
    <w:rsid w:val="00C93C55"/>
    <w:rsid w:val="00C94994"/>
    <w:rsid w:val="00C95CFC"/>
    <w:rsid w:val="00C9779A"/>
    <w:rsid w:val="00C97C3E"/>
    <w:rsid w:val="00CA0169"/>
    <w:rsid w:val="00CA0B16"/>
    <w:rsid w:val="00CA0E9F"/>
    <w:rsid w:val="00CA181C"/>
    <w:rsid w:val="00CA34C6"/>
    <w:rsid w:val="00CA4ADF"/>
    <w:rsid w:val="00CA6526"/>
    <w:rsid w:val="00CA7E59"/>
    <w:rsid w:val="00CB1829"/>
    <w:rsid w:val="00CB19CB"/>
    <w:rsid w:val="00CB204F"/>
    <w:rsid w:val="00CB229B"/>
    <w:rsid w:val="00CB3F99"/>
    <w:rsid w:val="00CB45B6"/>
    <w:rsid w:val="00CB5D7B"/>
    <w:rsid w:val="00CB6882"/>
    <w:rsid w:val="00CB7A76"/>
    <w:rsid w:val="00CC1AF1"/>
    <w:rsid w:val="00CC2408"/>
    <w:rsid w:val="00CC76C2"/>
    <w:rsid w:val="00CD40FD"/>
    <w:rsid w:val="00CD4E1C"/>
    <w:rsid w:val="00CE09F6"/>
    <w:rsid w:val="00CE128B"/>
    <w:rsid w:val="00CE46A5"/>
    <w:rsid w:val="00CF05DA"/>
    <w:rsid w:val="00CF370C"/>
    <w:rsid w:val="00CF4D9E"/>
    <w:rsid w:val="00CF50F6"/>
    <w:rsid w:val="00CF5C7C"/>
    <w:rsid w:val="00D0079F"/>
    <w:rsid w:val="00D03BE9"/>
    <w:rsid w:val="00D11E93"/>
    <w:rsid w:val="00D12D69"/>
    <w:rsid w:val="00D12F6E"/>
    <w:rsid w:val="00D177AA"/>
    <w:rsid w:val="00D215C9"/>
    <w:rsid w:val="00D23D51"/>
    <w:rsid w:val="00D23E53"/>
    <w:rsid w:val="00D24EDC"/>
    <w:rsid w:val="00D277E5"/>
    <w:rsid w:val="00D315BC"/>
    <w:rsid w:val="00D31657"/>
    <w:rsid w:val="00D31FAE"/>
    <w:rsid w:val="00D419F1"/>
    <w:rsid w:val="00D469C4"/>
    <w:rsid w:val="00D478F2"/>
    <w:rsid w:val="00D50452"/>
    <w:rsid w:val="00D56DA8"/>
    <w:rsid w:val="00D57DB1"/>
    <w:rsid w:val="00D62CCB"/>
    <w:rsid w:val="00D71175"/>
    <w:rsid w:val="00D7155A"/>
    <w:rsid w:val="00D71706"/>
    <w:rsid w:val="00D7256E"/>
    <w:rsid w:val="00D72F3D"/>
    <w:rsid w:val="00D74282"/>
    <w:rsid w:val="00D766E9"/>
    <w:rsid w:val="00D83021"/>
    <w:rsid w:val="00D8347F"/>
    <w:rsid w:val="00D94F4A"/>
    <w:rsid w:val="00DA0A55"/>
    <w:rsid w:val="00DA1A7B"/>
    <w:rsid w:val="00DA33A5"/>
    <w:rsid w:val="00DA3D82"/>
    <w:rsid w:val="00DA4F89"/>
    <w:rsid w:val="00DA61A3"/>
    <w:rsid w:val="00DA6973"/>
    <w:rsid w:val="00DA775F"/>
    <w:rsid w:val="00DB0477"/>
    <w:rsid w:val="00DB1642"/>
    <w:rsid w:val="00DB28DC"/>
    <w:rsid w:val="00DB352E"/>
    <w:rsid w:val="00DB35ED"/>
    <w:rsid w:val="00DB7168"/>
    <w:rsid w:val="00DC0A98"/>
    <w:rsid w:val="00DC1068"/>
    <w:rsid w:val="00DC2009"/>
    <w:rsid w:val="00DC27BB"/>
    <w:rsid w:val="00DC2AFF"/>
    <w:rsid w:val="00DC614F"/>
    <w:rsid w:val="00DD0266"/>
    <w:rsid w:val="00DD21C0"/>
    <w:rsid w:val="00DD42C2"/>
    <w:rsid w:val="00DE01CE"/>
    <w:rsid w:val="00DE0762"/>
    <w:rsid w:val="00DE67FC"/>
    <w:rsid w:val="00DF00C1"/>
    <w:rsid w:val="00DF0637"/>
    <w:rsid w:val="00DF0A7E"/>
    <w:rsid w:val="00DF3D0C"/>
    <w:rsid w:val="00E004F7"/>
    <w:rsid w:val="00E03A78"/>
    <w:rsid w:val="00E07DF2"/>
    <w:rsid w:val="00E147E0"/>
    <w:rsid w:val="00E16A55"/>
    <w:rsid w:val="00E22906"/>
    <w:rsid w:val="00E22D5A"/>
    <w:rsid w:val="00E22EBE"/>
    <w:rsid w:val="00E25884"/>
    <w:rsid w:val="00E26AAA"/>
    <w:rsid w:val="00E3385D"/>
    <w:rsid w:val="00E43842"/>
    <w:rsid w:val="00E44062"/>
    <w:rsid w:val="00E4416C"/>
    <w:rsid w:val="00E51BA8"/>
    <w:rsid w:val="00E51BE9"/>
    <w:rsid w:val="00E52FCD"/>
    <w:rsid w:val="00E54741"/>
    <w:rsid w:val="00E56A1F"/>
    <w:rsid w:val="00E5743D"/>
    <w:rsid w:val="00E62150"/>
    <w:rsid w:val="00E6447F"/>
    <w:rsid w:val="00E65F36"/>
    <w:rsid w:val="00E65F64"/>
    <w:rsid w:val="00E671E2"/>
    <w:rsid w:val="00E70B81"/>
    <w:rsid w:val="00E7255F"/>
    <w:rsid w:val="00E73425"/>
    <w:rsid w:val="00E73C02"/>
    <w:rsid w:val="00E7628E"/>
    <w:rsid w:val="00E77577"/>
    <w:rsid w:val="00E8006C"/>
    <w:rsid w:val="00E90C7E"/>
    <w:rsid w:val="00E921F7"/>
    <w:rsid w:val="00EA2820"/>
    <w:rsid w:val="00EA6137"/>
    <w:rsid w:val="00EB03F5"/>
    <w:rsid w:val="00EB263C"/>
    <w:rsid w:val="00EB4862"/>
    <w:rsid w:val="00EC09FD"/>
    <w:rsid w:val="00EC11BD"/>
    <w:rsid w:val="00EC1C10"/>
    <w:rsid w:val="00EC1CD1"/>
    <w:rsid w:val="00EC4103"/>
    <w:rsid w:val="00ED175B"/>
    <w:rsid w:val="00ED29AD"/>
    <w:rsid w:val="00ED377B"/>
    <w:rsid w:val="00ED49F3"/>
    <w:rsid w:val="00EE35DE"/>
    <w:rsid w:val="00EE4E64"/>
    <w:rsid w:val="00EE4FC3"/>
    <w:rsid w:val="00EF26A5"/>
    <w:rsid w:val="00EF335B"/>
    <w:rsid w:val="00EF4B50"/>
    <w:rsid w:val="00EF662A"/>
    <w:rsid w:val="00EF6E5B"/>
    <w:rsid w:val="00EF7435"/>
    <w:rsid w:val="00EF7A99"/>
    <w:rsid w:val="00F017F1"/>
    <w:rsid w:val="00F02F53"/>
    <w:rsid w:val="00F10EB1"/>
    <w:rsid w:val="00F14553"/>
    <w:rsid w:val="00F154DF"/>
    <w:rsid w:val="00F15932"/>
    <w:rsid w:val="00F17FB6"/>
    <w:rsid w:val="00F210C4"/>
    <w:rsid w:val="00F213B5"/>
    <w:rsid w:val="00F2244C"/>
    <w:rsid w:val="00F22471"/>
    <w:rsid w:val="00F23AB0"/>
    <w:rsid w:val="00F24053"/>
    <w:rsid w:val="00F25271"/>
    <w:rsid w:val="00F25DD3"/>
    <w:rsid w:val="00F27161"/>
    <w:rsid w:val="00F272C4"/>
    <w:rsid w:val="00F33C48"/>
    <w:rsid w:val="00F33E2D"/>
    <w:rsid w:val="00F45FC6"/>
    <w:rsid w:val="00F543D6"/>
    <w:rsid w:val="00F573E5"/>
    <w:rsid w:val="00F64547"/>
    <w:rsid w:val="00F65DC0"/>
    <w:rsid w:val="00F65EC5"/>
    <w:rsid w:val="00F67545"/>
    <w:rsid w:val="00F73E4D"/>
    <w:rsid w:val="00F74809"/>
    <w:rsid w:val="00F768B2"/>
    <w:rsid w:val="00F80221"/>
    <w:rsid w:val="00F81BA5"/>
    <w:rsid w:val="00F82D25"/>
    <w:rsid w:val="00F86F4B"/>
    <w:rsid w:val="00F90307"/>
    <w:rsid w:val="00F9294A"/>
    <w:rsid w:val="00F92A3D"/>
    <w:rsid w:val="00F97A74"/>
    <w:rsid w:val="00FA2DB4"/>
    <w:rsid w:val="00FA371D"/>
    <w:rsid w:val="00FA6053"/>
    <w:rsid w:val="00FA6507"/>
    <w:rsid w:val="00FA6DB0"/>
    <w:rsid w:val="00FB0E25"/>
    <w:rsid w:val="00FB4555"/>
    <w:rsid w:val="00FC02DA"/>
    <w:rsid w:val="00FC2D81"/>
    <w:rsid w:val="00FC4CC7"/>
    <w:rsid w:val="00FC4F08"/>
    <w:rsid w:val="00FC5C04"/>
    <w:rsid w:val="00FD3BBA"/>
    <w:rsid w:val="00FD4326"/>
    <w:rsid w:val="00FD7D7A"/>
    <w:rsid w:val="00FE1558"/>
    <w:rsid w:val="00FE2734"/>
    <w:rsid w:val="00FF1D9A"/>
    <w:rsid w:val="00FF3E15"/>
    <w:rsid w:val="00FF4A85"/>
    <w:rsid w:val="00FF5C79"/>
    <w:rsid w:val="00FF7B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52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 w:type="paragraph" w:styleId="ListBullet">
    <w:name w:val="List Bullet"/>
    <w:basedOn w:val="Normal"/>
    <w:uiPriority w:val="99"/>
    <w:unhideWhenUsed/>
    <w:rsid w:val="00A85AB5"/>
    <w:pPr>
      <w:numPr>
        <w:numId w:val="7"/>
      </w:numPr>
      <w:contextualSpacing/>
    </w:pPr>
  </w:style>
  <w:style w:type="paragraph" w:styleId="Signature">
    <w:name w:val="Signature"/>
    <w:basedOn w:val="Normal"/>
    <w:next w:val="EnvelopeReturn"/>
    <w:link w:val="SignatureChar"/>
    <w:semiHidden/>
    <w:unhideWhenUsed/>
    <w:rsid w:val="00400C1A"/>
    <w:pPr>
      <w:keepNext/>
      <w:keepLines/>
      <w:widowControl w:val="0"/>
      <w:tabs>
        <w:tab w:val="right" w:pos="9072"/>
      </w:tabs>
      <w:suppressAutoHyphens/>
      <w:spacing w:before="600"/>
      <w:ind w:firstLine="720"/>
    </w:pPr>
    <w:rPr>
      <w:rFonts w:eastAsia="Times New Roman"/>
      <w:sz w:val="26"/>
    </w:rPr>
  </w:style>
  <w:style w:type="character" w:customStyle="1" w:styleId="SignatureChar">
    <w:name w:val="Signature Char"/>
    <w:basedOn w:val="DefaultParagraphFont"/>
    <w:link w:val="Signature"/>
    <w:semiHidden/>
    <w:rsid w:val="00400C1A"/>
    <w:rPr>
      <w:rFonts w:eastAsia="Times New Roman" w:cs="Times New Roman"/>
      <w:sz w:val="26"/>
      <w:szCs w:val="20"/>
      <w:lang w:val="en-AU"/>
    </w:rPr>
  </w:style>
  <w:style w:type="paragraph" w:styleId="EnvelopeReturn">
    <w:name w:val="envelope return"/>
    <w:basedOn w:val="Normal"/>
    <w:uiPriority w:val="99"/>
    <w:semiHidden/>
    <w:unhideWhenUsed/>
    <w:rsid w:val="00400C1A"/>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46769">
      <w:bodyDiv w:val="1"/>
      <w:marLeft w:val="0"/>
      <w:marRight w:val="0"/>
      <w:marTop w:val="0"/>
      <w:marBottom w:val="0"/>
      <w:divBdr>
        <w:top w:val="none" w:sz="0" w:space="0" w:color="auto"/>
        <w:left w:val="none" w:sz="0" w:space="0" w:color="auto"/>
        <w:bottom w:val="none" w:sz="0" w:space="0" w:color="auto"/>
        <w:right w:val="none" w:sz="0" w:space="0" w:color="auto"/>
      </w:divBdr>
    </w:div>
    <w:div w:id="203371814">
      <w:bodyDiv w:val="1"/>
      <w:marLeft w:val="0"/>
      <w:marRight w:val="0"/>
      <w:marTop w:val="0"/>
      <w:marBottom w:val="0"/>
      <w:divBdr>
        <w:top w:val="none" w:sz="0" w:space="0" w:color="auto"/>
        <w:left w:val="none" w:sz="0" w:space="0" w:color="auto"/>
        <w:bottom w:val="none" w:sz="0" w:space="0" w:color="auto"/>
        <w:right w:val="none" w:sz="0" w:space="0" w:color="auto"/>
      </w:divBdr>
    </w:div>
    <w:div w:id="570428983">
      <w:bodyDiv w:val="1"/>
      <w:marLeft w:val="0"/>
      <w:marRight w:val="0"/>
      <w:marTop w:val="0"/>
      <w:marBottom w:val="0"/>
      <w:divBdr>
        <w:top w:val="none" w:sz="0" w:space="0" w:color="auto"/>
        <w:left w:val="none" w:sz="0" w:space="0" w:color="auto"/>
        <w:bottom w:val="none" w:sz="0" w:space="0" w:color="auto"/>
        <w:right w:val="none" w:sz="0" w:space="0" w:color="auto"/>
      </w:divBdr>
    </w:div>
    <w:div w:id="1153327934">
      <w:bodyDiv w:val="1"/>
      <w:marLeft w:val="0"/>
      <w:marRight w:val="0"/>
      <w:marTop w:val="0"/>
      <w:marBottom w:val="0"/>
      <w:divBdr>
        <w:top w:val="none" w:sz="0" w:space="0" w:color="auto"/>
        <w:left w:val="none" w:sz="0" w:space="0" w:color="auto"/>
        <w:bottom w:val="none" w:sz="0" w:space="0" w:color="auto"/>
        <w:right w:val="none" w:sz="0" w:space="0" w:color="auto"/>
      </w:divBdr>
    </w:div>
    <w:div w:id="1220093701">
      <w:bodyDiv w:val="1"/>
      <w:marLeft w:val="0"/>
      <w:marRight w:val="0"/>
      <w:marTop w:val="0"/>
      <w:marBottom w:val="0"/>
      <w:divBdr>
        <w:top w:val="none" w:sz="0" w:space="0" w:color="auto"/>
        <w:left w:val="none" w:sz="0" w:space="0" w:color="auto"/>
        <w:bottom w:val="none" w:sz="0" w:space="0" w:color="auto"/>
        <w:right w:val="none" w:sz="0" w:space="0" w:color="auto"/>
      </w:divBdr>
    </w:div>
    <w:div w:id="1514033673">
      <w:bodyDiv w:val="1"/>
      <w:marLeft w:val="0"/>
      <w:marRight w:val="0"/>
      <w:marTop w:val="0"/>
      <w:marBottom w:val="0"/>
      <w:divBdr>
        <w:top w:val="none" w:sz="0" w:space="0" w:color="auto"/>
        <w:left w:val="none" w:sz="0" w:space="0" w:color="auto"/>
        <w:bottom w:val="none" w:sz="0" w:space="0" w:color="auto"/>
        <w:right w:val="none" w:sz="0" w:space="0" w:color="auto"/>
      </w:divBdr>
    </w:div>
    <w:div w:id="1536842869">
      <w:bodyDiv w:val="1"/>
      <w:marLeft w:val="0"/>
      <w:marRight w:val="0"/>
      <w:marTop w:val="0"/>
      <w:marBottom w:val="0"/>
      <w:divBdr>
        <w:top w:val="none" w:sz="0" w:space="0" w:color="auto"/>
        <w:left w:val="none" w:sz="0" w:space="0" w:color="auto"/>
        <w:bottom w:val="none" w:sz="0" w:space="0" w:color="auto"/>
        <w:right w:val="none" w:sz="0" w:space="0" w:color="auto"/>
      </w:divBdr>
    </w:div>
    <w:div w:id="166192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ga.Micule@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5A808-8CCD-437D-A0DD-B18B06409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11</Pages>
  <Words>1970</Words>
  <Characters>14365</Characters>
  <Application>Microsoft Office Word</Application>
  <DocSecurity>0</DocSecurity>
  <Lines>598</Lines>
  <Paragraphs>170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2010.gada 31.augusta noteikumos Nr.824 „Noteikumi par darbības programmas „Infrastruktūra un pakalpojumi” papildinājuma 3.5.2.1.1.apakšaktivitātes „Pasākumi centralizētās siltumapgādes sist</vt:lpstr>
    </vt:vector>
  </TitlesOfParts>
  <Company>LR Ekonomikas ministrija</Company>
  <LinksUpToDate>false</LinksUpToDate>
  <CharactersWithSpaces>16165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31.augusta noteikumos Nr.824 „Noteikumi par darbības programmas „Infrastruktūra un pakalpojumi” papildinājuma 3.5.2.1.1.apakšaktivitātes „Pasākumi centralizētās siltumapgādes sistēmu efektivitātes paaugstināšanai” projektu iesniegumu atlases otro kārtu un turpmākajām kārtām”” sākotnējās ietekmes novērtējuma ziņojums (anotācija)</dc:title>
  <dc:subject>Ministru kabineta noteikumu projekta sākotnējās ietekmes novērtējuma ziņojums (anotācija)</dc:subject>
  <dc:creator>Līga Mičule</dc:creator>
  <dc:description>67013093, Liga.Micule@em.gov.lv</dc:description>
  <cp:lastModifiedBy>Līga Mičule</cp:lastModifiedBy>
  <cp:revision>86</cp:revision>
  <cp:lastPrinted>2013-02-18T14:11:00Z</cp:lastPrinted>
  <dcterms:created xsi:type="dcterms:W3CDTF">2012-03-22T13:55:00Z</dcterms:created>
  <dcterms:modified xsi:type="dcterms:W3CDTF">2013-02-19T11:53:00Z</dcterms:modified>
</cp:coreProperties>
</file>