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C5" w:rsidRPr="009A1F05" w:rsidRDefault="009912C5" w:rsidP="00BE0925">
      <w:pPr>
        <w:pStyle w:val="naisc"/>
        <w:spacing w:before="0" w:after="0"/>
        <w:outlineLvl w:val="0"/>
        <w:rPr>
          <w:b/>
        </w:rPr>
      </w:pPr>
      <w:r w:rsidRPr="009A1F05">
        <w:rPr>
          <w:b/>
          <w:bCs/>
        </w:rPr>
        <w:t>Ministru kabineta noteikumu projekta  </w:t>
      </w:r>
    </w:p>
    <w:p w:rsidR="009912C5" w:rsidRPr="005D5CDD" w:rsidRDefault="009912C5" w:rsidP="00344152">
      <w:pPr>
        <w:pStyle w:val="Heading1"/>
        <w:jc w:val="center"/>
        <w:rPr>
          <w:b/>
          <w:noProof/>
          <w:sz w:val="24"/>
          <w:szCs w:val="24"/>
          <w:u w:val="none"/>
        </w:rPr>
      </w:pPr>
      <w:r w:rsidRPr="00344152">
        <w:rPr>
          <w:b/>
          <w:bCs/>
          <w:u w:val="none"/>
        </w:rPr>
        <w:t>„</w:t>
      </w:r>
      <w:r w:rsidRPr="00344152">
        <w:rPr>
          <w:b/>
          <w:noProof/>
          <w:sz w:val="24"/>
          <w:szCs w:val="24"/>
          <w:u w:val="none"/>
        </w:rPr>
        <w:t>G</w:t>
      </w:r>
      <w:r w:rsidRPr="005D5CDD">
        <w:rPr>
          <w:b/>
          <w:noProof/>
          <w:sz w:val="24"/>
          <w:szCs w:val="24"/>
          <w:u w:val="none"/>
        </w:rPr>
        <w:t xml:space="preserve">rozījumi Ministru kabineta 2007.gada 14.augusta noteikumos </w:t>
      </w:r>
    </w:p>
    <w:p w:rsidR="009912C5" w:rsidRPr="006340A0" w:rsidRDefault="009912C5" w:rsidP="00344152">
      <w:pPr>
        <w:pStyle w:val="naisc"/>
        <w:spacing w:before="0" w:after="0"/>
        <w:rPr>
          <w:b/>
        </w:rPr>
      </w:pPr>
      <w:r w:rsidRPr="005D5CDD">
        <w:rPr>
          <w:b/>
          <w:noProof/>
        </w:rPr>
        <w:t>Nr.555 „</w:t>
      </w:r>
      <w:r w:rsidRPr="005D5CDD">
        <w:rPr>
          <w:b/>
          <w:bCs/>
        </w:rPr>
        <w:t>Trošu ceļu iekārtu tehniskās uzraudzības kārtība</w:t>
      </w:r>
      <w:r w:rsidRPr="005D5CDD">
        <w:rPr>
          <w:b/>
          <w:noProof/>
        </w:rPr>
        <w:t>”</w:t>
      </w:r>
      <w:r w:rsidRPr="006340A0">
        <w:rPr>
          <w:b/>
          <w:bCs/>
        </w:rPr>
        <w:t>”</w:t>
      </w:r>
    </w:p>
    <w:p w:rsidR="009912C5" w:rsidRPr="009A1F05" w:rsidRDefault="009912C5" w:rsidP="00BE0925">
      <w:pPr>
        <w:pStyle w:val="naisnod"/>
        <w:spacing w:before="0" w:after="0"/>
      </w:pPr>
      <w:r w:rsidRPr="009A1F05">
        <w:t>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5"/>
        <w:gridCol w:w="2250"/>
        <w:gridCol w:w="6326"/>
      </w:tblGrid>
      <w:tr w:rsidR="009912C5" w:rsidRPr="005C7EC0" w:rsidTr="00E32783">
        <w:trPr>
          <w:tblCellSpacing w:w="0" w:type="dxa"/>
        </w:trPr>
        <w:tc>
          <w:tcPr>
            <w:tcW w:w="9101" w:type="dxa"/>
            <w:gridSpan w:val="3"/>
            <w:tcBorders>
              <w:top w:val="outset" w:sz="6" w:space="0" w:color="auto"/>
              <w:bottom w:val="outset" w:sz="6" w:space="0" w:color="auto"/>
            </w:tcBorders>
            <w:vAlign w:val="center"/>
          </w:tcPr>
          <w:p w:rsidR="009912C5" w:rsidRPr="005C7EC0" w:rsidRDefault="009912C5" w:rsidP="00BC19B2">
            <w:pPr>
              <w:pStyle w:val="naisc"/>
            </w:pPr>
            <w:r w:rsidRPr="005C7EC0">
              <w:t> </w:t>
            </w:r>
            <w:r w:rsidRPr="005C7EC0">
              <w:rPr>
                <w:b/>
                <w:bCs/>
              </w:rPr>
              <w:t> I. Tiesību akta projekta izstrādes nepieciešamība</w:t>
            </w:r>
          </w:p>
        </w:tc>
      </w:tr>
      <w:tr w:rsidR="009912C5" w:rsidRPr="005C7EC0" w:rsidTr="009A7BDA">
        <w:trPr>
          <w:trHeight w:val="1159"/>
          <w:tblCellSpacing w:w="0" w:type="dxa"/>
        </w:trPr>
        <w:tc>
          <w:tcPr>
            <w:tcW w:w="525" w:type="dxa"/>
            <w:tcBorders>
              <w:top w:val="outset" w:sz="6" w:space="0" w:color="auto"/>
              <w:bottom w:val="outset" w:sz="6" w:space="0" w:color="auto"/>
              <w:right w:val="outset" w:sz="6" w:space="0" w:color="auto"/>
            </w:tcBorders>
          </w:tcPr>
          <w:p w:rsidR="009912C5" w:rsidRPr="005C7EC0" w:rsidRDefault="009912C5" w:rsidP="00BC19B2">
            <w:pPr>
              <w:pStyle w:val="naiskr"/>
            </w:pPr>
            <w:r w:rsidRPr="005C7EC0">
              <w:t> 1.</w:t>
            </w:r>
          </w:p>
        </w:tc>
        <w:tc>
          <w:tcPr>
            <w:tcW w:w="2250" w:type="dxa"/>
            <w:tcBorders>
              <w:top w:val="outset" w:sz="6" w:space="0" w:color="auto"/>
              <w:left w:val="outset" w:sz="6" w:space="0" w:color="auto"/>
              <w:bottom w:val="outset" w:sz="6" w:space="0" w:color="auto"/>
              <w:right w:val="outset" w:sz="6" w:space="0" w:color="auto"/>
            </w:tcBorders>
          </w:tcPr>
          <w:p w:rsidR="009912C5" w:rsidRPr="005C7EC0" w:rsidRDefault="009912C5" w:rsidP="006102DB">
            <w:pPr>
              <w:pStyle w:val="naislab"/>
              <w:jc w:val="left"/>
            </w:pPr>
            <w:r w:rsidRPr="005C7EC0">
              <w:t>Pamatojums</w:t>
            </w:r>
          </w:p>
        </w:tc>
        <w:tc>
          <w:tcPr>
            <w:tcW w:w="6326" w:type="dxa"/>
            <w:tcBorders>
              <w:top w:val="outset" w:sz="6" w:space="0" w:color="auto"/>
              <w:left w:val="outset" w:sz="6" w:space="0" w:color="auto"/>
              <w:bottom w:val="outset" w:sz="6" w:space="0" w:color="auto"/>
            </w:tcBorders>
          </w:tcPr>
          <w:p w:rsidR="009912C5" w:rsidRPr="00344152" w:rsidRDefault="009912C5" w:rsidP="00706B13">
            <w:pPr>
              <w:pStyle w:val="Heading1"/>
              <w:ind w:left="202" w:firstLine="567"/>
              <w:rPr>
                <w:sz w:val="24"/>
                <w:szCs w:val="24"/>
              </w:rPr>
            </w:pPr>
            <w:r w:rsidRPr="00344152">
              <w:rPr>
                <w:sz w:val="24"/>
                <w:szCs w:val="24"/>
                <w:u w:val="none"/>
              </w:rPr>
              <w:t>Ministru kabineta noteikumu projekts „</w:t>
            </w:r>
            <w:r w:rsidRPr="00344152">
              <w:rPr>
                <w:noProof/>
                <w:sz w:val="24"/>
                <w:szCs w:val="24"/>
                <w:u w:val="none"/>
              </w:rPr>
              <w:t>Grozījumi Ministru kabineta 2007.gada 14.augusta noteikumos Nr.555 „</w:t>
            </w:r>
            <w:r w:rsidRPr="00344152">
              <w:rPr>
                <w:bCs/>
                <w:sz w:val="24"/>
                <w:szCs w:val="24"/>
                <w:u w:val="none"/>
              </w:rPr>
              <w:t>Trošu ceļu iekārtu tehniskās uzraudzības kārtība</w:t>
            </w:r>
            <w:r w:rsidRPr="00344152">
              <w:rPr>
                <w:noProof/>
                <w:sz w:val="24"/>
                <w:szCs w:val="24"/>
                <w:u w:val="none"/>
              </w:rPr>
              <w:t>”</w:t>
            </w:r>
            <w:r w:rsidRPr="00344152">
              <w:rPr>
                <w:bCs/>
                <w:sz w:val="24"/>
                <w:szCs w:val="24"/>
                <w:u w:val="none"/>
              </w:rPr>
              <w:t xml:space="preserve">” (turpmāk – noteikumu projekts) ir izstrādāts saskaņā ar likuma „Par </w:t>
            </w:r>
            <w:r>
              <w:rPr>
                <w:bCs/>
                <w:sz w:val="24"/>
                <w:szCs w:val="24"/>
                <w:u w:val="none"/>
              </w:rPr>
              <w:t xml:space="preserve">bīstamo iekārtu tehnisko uzraudzību” </w:t>
            </w:r>
            <w:r w:rsidRPr="00344152">
              <w:rPr>
                <w:bCs/>
                <w:sz w:val="24"/>
                <w:szCs w:val="24"/>
                <w:u w:val="none"/>
              </w:rPr>
              <w:t xml:space="preserve">3.panta </w:t>
            </w:r>
            <w:r>
              <w:rPr>
                <w:bCs/>
                <w:sz w:val="24"/>
                <w:szCs w:val="24"/>
                <w:u w:val="none"/>
              </w:rPr>
              <w:t>otro</w:t>
            </w:r>
            <w:r w:rsidRPr="00344152">
              <w:rPr>
                <w:bCs/>
                <w:sz w:val="24"/>
                <w:szCs w:val="24"/>
                <w:u w:val="none"/>
              </w:rPr>
              <w:t xml:space="preserve"> daļu.</w:t>
            </w:r>
          </w:p>
        </w:tc>
      </w:tr>
      <w:tr w:rsidR="009912C5" w:rsidRPr="00C840A5" w:rsidTr="00E32783">
        <w:trPr>
          <w:trHeight w:val="472"/>
          <w:tblCellSpacing w:w="0" w:type="dxa"/>
        </w:trPr>
        <w:tc>
          <w:tcPr>
            <w:tcW w:w="525" w:type="dxa"/>
            <w:tcBorders>
              <w:top w:val="outset" w:sz="6" w:space="0" w:color="auto"/>
              <w:bottom w:val="outset" w:sz="6" w:space="0" w:color="auto"/>
              <w:right w:val="outset" w:sz="6" w:space="0" w:color="auto"/>
            </w:tcBorders>
          </w:tcPr>
          <w:p w:rsidR="009912C5" w:rsidRPr="005C7EC0" w:rsidRDefault="009912C5" w:rsidP="00BC19B2">
            <w:pPr>
              <w:pStyle w:val="naiskr"/>
            </w:pPr>
            <w:r w:rsidRPr="005C7EC0">
              <w:t> 2.</w:t>
            </w:r>
          </w:p>
        </w:tc>
        <w:tc>
          <w:tcPr>
            <w:tcW w:w="2250" w:type="dxa"/>
            <w:tcBorders>
              <w:top w:val="outset" w:sz="6" w:space="0" w:color="auto"/>
              <w:left w:val="outset" w:sz="6" w:space="0" w:color="auto"/>
              <w:bottom w:val="outset" w:sz="6" w:space="0" w:color="auto"/>
              <w:right w:val="outset" w:sz="6" w:space="0" w:color="auto"/>
            </w:tcBorders>
          </w:tcPr>
          <w:p w:rsidR="009912C5" w:rsidRPr="005C7EC0" w:rsidRDefault="009912C5" w:rsidP="00BC19B2">
            <w:pPr>
              <w:pStyle w:val="naiskr"/>
            </w:pPr>
            <w:r w:rsidRPr="005C7EC0">
              <w:t> Pašreizējā situācija un problēmas</w:t>
            </w:r>
          </w:p>
        </w:tc>
        <w:tc>
          <w:tcPr>
            <w:tcW w:w="6326" w:type="dxa"/>
            <w:tcBorders>
              <w:top w:val="outset" w:sz="6" w:space="0" w:color="auto"/>
              <w:left w:val="outset" w:sz="6" w:space="0" w:color="auto"/>
              <w:bottom w:val="outset" w:sz="6" w:space="0" w:color="auto"/>
            </w:tcBorders>
          </w:tcPr>
          <w:p w:rsidR="009912C5" w:rsidRPr="00C840A5" w:rsidRDefault="009912C5" w:rsidP="009378D6">
            <w:pPr>
              <w:pStyle w:val="Heading1"/>
              <w:ind w:left="202" w:firstLine="567"/>
              <w:rPr>
                <w:sz w:val="24"/>
                <w:szCs w:val="24"/>
                <w:u w:val="none"/>
              </w:rPr>
            </w:pPr>
            <w:r w:rsidRPr="00C840A5">
              <w:rPr>
                <w:sz w:val="24"/>
                <w:szCs w:val="24"/>
                <w:u w:val="none"/>
              </w:rPr>
              <w:t>Prasības, kas jāievēro, uzturot un lietojot cilvēku pārvadāšanai paredzētas trošu ceļu iekārtas, kā arī trošu ceļu tehniskās uzraudzības kārtību nosaka</w:t>
            </w:r>
            <w:r w:rsidRPr="00C840A5">
              <w:rPr>
                <w:noProof/>
                <w:sz w:val="24"/>
                <w:szCs w:val="24"/>
                <w:u w:val="none"/>
              </w:rPr>
              <w:t xml:space="preserve"> Ministru kabineta 2007.gada 14.augusta noteikumi Nr. 555 „</w:t>
            </w:r>
            <w:r w:rsidRPr="00C840A5">
              <w:rPr>
                <w:bCs/>
                <w:sz w:val="24"/>
                <w:szCs w:val="24"/>
                <w:u w:val="none"/>
              </w:rPr>
              <w:t>Trošu ceļu iekārtu tehniskās uzraudzības kārtība</w:t>
            </w:r>
            <w:r w:rsidRPr="00C840A5">
              <w:rPr>
                <w:noProof/>
                <w:sz w:val="24"/>
                <w:szCs w:val="24"/>
                <w:u w:val="none"/>
              </w:rPr>
              <w:t>” (turpmāk – noteikumi)</w:t>
            </w:r>
            <w:r w:rsidRPr="00C840A5">
              <w:rPr>
                <w:sz w:val="24"/>
                <w:szCs w:val="24"/>
                <w:u w:val="none"/>
              </w:rPr>
              <w:t xml:space="preserve">. </w:t>
            </w:r>
          </w:p>
          <w:p w:rsidR="006F57F8" w:rsidRPr="00C840A5" w:rsidRDefault="00EF62B1" w:rsidP="00B94210">
            <w:pPr>
              <w:autoSpaceDE w:val="0"/>
              <w:autoSpaceDN w:val="0"/>
              <w:adjustRightInd w:val="0"/>
              <w:ind w:left="202" w:firstLine="567"/>
              <w:jc w:val="both"/>
            </w:pPr>
            <w:r>
              <w:t>Noteikumu prasību ievērošanas</w:t>
            </w:r>
            <w:r w:rsidR="006F57F8">
              <w:t xml:space="preserve"> uzraudzībā konstatētas šādas risināmas problēmas:</w:t>
            </w:r>
          </w:p>
          <w:p w:rsidR="00933CDE" w:rsidRDefault="009912C5" w:rsidP="00933CDE">
            <w:pPr>
              <w:numPr>
                <w:ilvl w:val="0"/>
                <w:numId w:val="4"/>
              </w:numPr>
              <w:autoSpaceDE w:val="0"/>
              <w:autoSpaceDN w:val="0"/>
              <w:adjustRightInd w:val="0"/>
              <w:ind w:left="202" w:firstLine="567"/>
              <w:jc w:val="both"/>
            </w:pPr>
            <w:r w:rsidRPr="00C840A5">
              <w:t xml:space="preserve">Trošu ceļa izvietojumu, atbilstošu un drošu lietošanu, apkalpošanu un tehnisko uzraudzību saskaņā ar ražotāja izsniegtajās lietošanas instrukcijās, piemērojamajos standartos un šajos noteikumos noteiktajām prasībām nodrošina trošu ceļa valdītājs. </w:t>
            </w:r>
            <w:r w:rsidR="00070933" w:rsidRPr="00C840A5">
              <w:t>Patērē</w:t>
            </w:r>
            <w:r w:rsidR="00070933">
              <w:t>tāju tiesību aizsardzības centra</w:t>
            </w:r>
            <w:r w:rsidR="00070933" w:rsidRPr="00C840A5">
              <w:t xml:space="preserve"> (turpmāk - PTAC)</w:t>
            </w:r>
            <w:r w:rsidRPr="00C840A5">
              <w:t xml:space="preserve"> līdzšinējā pieredze</w:t>
            </w:r>
            <w:r>
              <w:t>, kā arī trasēs notikušie negadījumi</w:t>
            </w:r>
            <w:r w:rsidRPr="00C840A5">
              <w:t xml:space="preserve"> liecina, ka</w:t>
            </w:r>
            <w:r>
              <w:t xml:space="preserve"> </w:t>
            </w:r>
            <w:r w:rsidRPr="00C840A5">
              <w:t>slēpošanas trasēs riska analīze veikta formāli un valdītāji, aizbildinoties ar paļāvību</w:t>
            </w:r>
            <w:r w:rsidR="00064EEA">
              <w:t xml:space="preserve"> uz</w:t>
            </w:r>
            <w:r w:rsidRPr="00C840A5">
              <w:t xml:space="preserve"> inspicēšanas institūciju slēdzieniem</w:t>
            </w:r>
            <w:r w:rsidR="00064EEA">
              <w:t>,</w:t>
            </w:r>
            <w:r w:rsidRPr="00C840A5">
              <w:t xml:space="preserve"> izvairās no atbildības par </w:t>
            </w:r>
            <w:r w:rsidR="00935A20" w:rsidRPr="00C840A5">
              <w:t>inspicēšanas institūcijas kompetenta</w:t>
            </w:r>
            <w:r w:rsidR="00935A20">
              <w:t>s</w:t>
            </w:r>
            <w:r w:rsidR="00935A20" w:rsidRPr="00C840A5">
              <w:t xml:space="preserve"> persona</w:t>
            </w:r>
            <w:r w:rsidR="00935A20">
              <w:t xml:space="preserve">s </w:t>
            </w:r>
            <w:r w:rsidR="00064EEA" w:rsidRPr="00C840A5">
              <w:t>nekvalitatīvi</w:t>
            </w:r>
            <w:r w:rsidR="00064EEA">
              <w:t xml:space="preserve"> </w:t>
            </w:r>
            <w:r w:rsidRPr="00C840A5">
              <w:t>veiktu riska analīz</w:t>
            </w:r>
            <w:r>
              <w:t xml:space="preserve">i. </w:t>
            </w:r>
            <w:r w:rsidR="006F57F8">
              <w:t>Lai novērstu līdzšinējo praksi un mazinātu nelaimes gadījumu iestāšan</w:t>
            </w:r>
            <w:r w:rsidR="00AD3625">
              <w:t>ā</w:t>
            </w:r>
            <w:r w:rsidR="006F57F8">
              <w:t>s riskus v</w:t>
            </w:r>
            <w:r w:rsidRPr="00C840A5">
              <w:t>aldītājam ir jābūt pilnai atbildībai par trošu ceļu atbilstību prasībām, risku novērtē</w:t>
            </w:r>
            <w:r>
              <w:t>šanu un drošu lietošanu</w:t>
            </w:r>
            <w:r w:rsidR="00935A20">
              <w:t>.</w:t>
            </w:r>
            <w:r w:rsidRPr="00C840A5">
              <w:t xml:space="preserve"> </w:t>
            </w:r>
            <w:r w:rsidR="00935A20">
              <w:t>T</w:t>
            </w:r>
            <w:r w:rsidRPr="00C840A5">
              <w:t xml:space="preserve">āpēc pienākums novērtēt ar trošu ceļu lietošanu saistītos riskus ir jāuzliek valdītājiem un tiem </w:t>
            </w:r>
            <w:r w:rsidR="00935A20">
              <w:t xml:space="preserve">būtu </w:t>
            </w:r>
            <w:r w:rsidRPr="00C840A5">
              <w:t>arī jāuzņemas atbildība neatbilstību gadījumā.</w:t>
            </w:r>
            <w:r w:rsidR="00933CDE">
              <w:t xml:space="preserve"> Valdītāja veiktās riska analīzes kvalitāti un atbilstību noteikumu un piemērojamo standartu prasībām, kā arī faktiskajiem apstākļiem saskaņā ar noteikumu projekta 1.4.apakšpunktu vērtēs inspicēšanas institūcijas pirmreizējo un ārpuskārtas tehnisko pārbaužu ietvaros.</w:t>
            </w:r>
          </w:p>
          <w:p w:rsidR="00F14F80" w:rsidRPr="00C840A5" w:rsidRDefault="009912C5" w:rsidP="00064EEA">
            <w:pPr>
              <w:numPr>
                <w:ilvl w:val="0"/>
                <w:numId w:val="3"/>
              </w:numPr>
              <w:ind w:left="202" w:firstLine="567"/>
              <w:jc w:val="both"/>
            </w:pPr>
            <w:r w:rsidRPr="00C840A5">
              <w:t xml:space="preserve">Trošu ceļu valsts uzraudzību veic PTAC. Veicot trošu ceļa uzraudzību un kontroli tā lietošanas laikā, PTAC ir tiesīgs administratīvi sodīt par trošu ceļu tehnisko uzraudzību regulējošo normatīvo aktu pārkāpumiem, ka arī aizliegt lietot trošu ceļu, ja tam nav veikta tehniskā pārbaude šo noteikumu 4.nodaļā noteiktajā kārtībā. Ņemot vērā, ka nav iespējama PTAC darbinieku šaura specializācija visās kontrolējamās jomās, lai paaugstinātu PTAC kontroles efektivitāti, paredzēta iespēja nepieciešamības gadījumos uzraudzības aktivitātes papildināt ar nozares speciālistu veiktu trošu ceļu tehnisko ekspertīzi, tajā skaitā pieaicinot ES akreditētu atbilstības </w:t>
            </w:r>
            <w:r w:rsidRPr="00C840A5">
              <w:lastRenderedPageBreak/>
              <w:t xml:space="preserve">novērtēšanas institūciju ekspertus. </w:t>
            </w:r>
          </w:p>
        </w:tc>
      </w:tr>
      <w:tr w:rsidR="009912C5" w:rsidRPr="005C7EC0" w:rsidTr="00E32783">
        <w:trPr>
          <w:trHeight w:val="1071"/>
          <w:tblCellSpacing w:w="0" w:type="dxa"/>
        </w:trPr>
        <w:tc>
          <w:tcPr>
            <w:tcW w:w="525" w:type="dxa"/>
            <w:tcBorders>
              <w:top w:val="outset" w:sz="6" w:space="0" w:color="auto"/>
              <w:bottom w:val="outset" w:sz="6" w:space="0" w:color="auto"/>
              <w:right w:val="outset" w:sz="6" w:space="0" w:color="auto"/>
            </w:tcBorders>
          </w:tcPr>
          <w:p w:rsidR="009912C5" w:rsidRPr="005C7EC0" w:rsidRDefault="009912C5" w:rsidP="00BC19B2">
            <w:pPr>
              <w:pStyle w:val="naiskr"/>
            </w:pPr>
            <w:r w:rsidRPr="005C7EC0">
              <w:lastRenderedPageBreak/>
              <w:t> 3.</w:t>
            </w:r>
          </w:p>
        </w:tc>
        <w:tc>
          <w:tcPr>
            <w:tcW w:w="2250" w:type="dxa"/>
            <w:tcBorders>
              <w:top w:val="outset" w:sz="6" w:space="0" w:color="auto"/>
              <w:left w:val="outset" w:sz="6" w:space="0" w:color="auto"/>
              <w:bottom w:val="outset" w:sz="6" w:space="0" w:color="auto"/>
              <w:right w:val="outset" w:sz="6" w:space="0" w:color="auto"/>
            </w:tcBorders>
          </w:tcPr>
          <w:p w:rsidR="009912C5" w:rsidRPr="005C7EC0" w:rsidRDefault="009912C5" w:rsidP="00BC19B2">
            <w:pPr>
              <w:pStyle w:val="naiskr"/>
            </w:pPr>
            <w:r w:rsidRPr="005C7EC0">
              <w:t> Saistītie politikas ietekmes novērtējumi un pētījumi</w:t>
            </w:r>
          </w:p>
        </w:tc>
        <w:tc>
          <w:tcPr>
            <w:tcW w:w="6326" w:type="dxa"/>
            <w:tcBorders>
              <w:top w:val="outset" w:sz="6" w:space="0" w:color="auto"/>
              <w:left w:val="outset" w:sz="6" w:space="0" w:color="auto"/>
              <w:bottom w:val="outset" w:sz="6" w:space="0" w:color="auto"/>
            </w:tcBorders>
          </w:tcPr>
          <w:p w:rsidR="009912C5" w:rsidRPr="00FC18C4" w:rsidRDefault="009912C5" w:rsidP="00B94210">
            <w:pPr>
              <w:pStyle w:val="naisf"/>
              <w:ind w:firstLine="202"/>
            </w:pPr>
            <w:r w:rsidRPr="00FC18C4">
              <w:t>Nav.</w:t>
            </w:r>
          </w:p>
        </w:tc>
      </w:tr>
      <w:tr w:rsidR="009912C5" w:rsidRPr="005C7EC0" w:rsidTr="00E32783">
        <w:trPr>
          <w:trHeight w:val="384"/>
          <w:tblCellSpacing w:w="0" w:type="dxa"/>
        </w:trPr>
        <w:tc>
          <w:tcPr>
            <w:tcW w:w="525" w:type="dxa"/>
            <w:tcBorders>
              <w:top w:val="outset" w:sz="6" w:space="0" w:color="auto"/>
              <w:bottom w:val="outset" w:sz="6" w:space="0" w:color="auto"/>
              <w:right w:val="outset" w:sz="6" w:space="0" w:color="auto"/>
            </w:tcBorders>
          </w:tcPr>
          <w:p w:rsidR="009912C5" w:rsidRPr="005C7EC0" w:rsidRDefault="009912C5" w:rsidP="00BC19B2">
            <w:pPr>
              <w:pStyle w:val="naiskr"/>
            </w:pPr>
            <w:r w:rsidRPr="005C7EC0">
              <w:t> 4.</w:t>
            </w:r>
          </w:p>
        </w:tc>
        <w:tc>
          <w:tcPr>
            <w:tcW w:w="2250" w:type="dxa"/>
            <w:tcBorders>
              <w:top w:val="outset" w:sz="6" w:space="0" w:color="auto"/>
              <w:left w:val="outset" w:sz="6" w:space="0" w:color="auto"/>
              <w:bottom w:val="outset" w:sz="6" w:space="0" w:color="auto"/>
              <w:right w:val="outset" w:sz="6" w:space="0" w:color="auto"/>
            </w:tcBorders>
          </w:tcPr>
          <w:p w:rsidR="009912C5" w:rsidRPr="005C7EC0" w:rsidRDefault="009912C5" w:rsidP="00BC19B2">
            <w:pPr>
              <w:pStyle w:val="naiskr"/>
            </w:pPr>
            <w:r w:rsidRPr="005C7EC0">
              <w:t> Tiesiskā regulējuma mērķis un būtība</w:t>
            </w:r>
          </w:p>
        </w:tc>
        <w:tc>
          <w:tcPr>
            <w:tcW w:w="6326" w:type="dxa"/>
            <w:tcBorders>
              <w:top w:val="outset" w:sz="6" w:space="0" w:color="auto"/>
              <w:left w:val="outset" w:sz="6" w:space="0" w:color="auto"/>
              <w:bottom w:val="outset" w:sz="6" w:space="0" w:color="auto"/>
            </w:tcBorders>
          </w:tcPr>
          <w:p w:rsidR="009912C5" w:rsidRDefault="009912C5" w:rsidP="00560366">
            <w:pPr>
              <w:jc w:val="both"/>
            </w:pPr>
            <w:r w:rsidRPr="00B94210">
              <w:t>N</w:t>
            </w:r>
            <w:r>
              <w:t>oteikumu projektā:</w:t>
            </w:r>
          </w:p>
          <w:p w:rsidR="009912C5" w:rsidRPr="00AE6E6B" w:rsidRDefault="009912C5" w:rsidP="00560366">
            <w:pPr>
              <w:pStyle w:val="ListParagraph"/>
              <w:numPr>
                <w:ilvl w:val="0"/>
                <w:numId w:val="1"/>
              </w:numPr>
              <w:jc w:val="both"/>
              <w:rPr>
                <w:u w:val="single"/>
              </w:rPr>
            </w:pPr>
            <w:r>
              <w:t>precizēta uz trošu ceļu iekāpšanas</w:t>
            </w:r>
            <w:r w:rsidR="008522C8">
              <w:t xml:space="preserve"> un izkāpšanas laukumos izvieto</w:t>
            </w:r>
            <w:r>
              <w:t>jamā informācija par trošu ceļu drošu lietošanu, proti, trošu ceļa</w:t>
            </w:r>
            <w:r w:rsidR="00C322DD">
              <w:t xml:space="preserve"> prasības identifikācija</w:t>
            </w:r>
            <w:r w:rsidR="00AE6E6B">
              <w:t xml:space="preserve"> (</w:t>
            </w:r>
            <w:r w:rsidR="00AE6E6B" w:rsidRPr="00AE6E6B">
              <w:t>valdītāja vārds un uzvārds (juridiskajai personai – komersanta firma un reģistrācijas numurs),  trošu ceļa izgatavošanas un uzstādīšanas gads, trošu ceļa tips, tehniskās pārbaudes veidi un periodiskums)</w:t>
            </w:r>
            <w:r w:rsidR="00C322DD" w:rsidRPr="00AE6E6B">
              <w:t>;</w:t>
            </w:r>
          </w:p>
          <w:p w:rsidR="009912C5" w:rsidRPr="00474CB7" w:rsidRDefault="009912C5" w:rsidP="00210FCE">
            <w:pPr>
              <w:pStyle w:val="ListParagraph"/>
              <w:numPr>
                <w:ilvl w:val="0"/>
                <w:numId w:val="1"/>
              </w:numPr>
              <w:suppressAutoHyphens/>
              <w:jc w:val="both"/>
            </w:pPr>
            <w:r>
              <w:t xml:space="preserve">Pārskatīta </w:t>
            </w:r>
            <w:r w:rsidRPr="00B94210">
              <w:t>3.2.</w:t>
            </w:r>
            <w:r>
              <w:t>apakšno</w:t>
            </w:r>
            <w:r w:rsidRPr="00B94210">
              <w:t>daļa „Riska analīze” un noteikts,</w:t>
            </w:r>
            <w:r w:rsidR="00935A20">
              <w:t xml:space="preserve"> ka</w:t>
            </w:r>
            <w:r w:rsidRPr="00B94210">
              <w:t xml:space="preserve"> </w:t>
            </w:r>
            <w:r>
              <w:t>k</w:t>
            </w:r>
            <w:r w:rsidRPr="00560366">
              <w:t xml:space="preserve">atram trošu ceļam pirms </w:t>
            </w:r>
            <w:r w:rsidRPr="00474CB7">
              <w:t>lietošanas uzsākšanas, kā arī pēc rekonstrukcijas veic riska analīzi</w:t>
            </w:r>
            <w:r w:rsidR="00935A20" w:rsidRPr="00474CB7">
              <w:t xml:space="preserve"> (trošu ceļa riska analīzes veikšanu nodrošina trošu ceļa valdītājs)</w:t>
            </w:r>
            <w:r w:rsidR="006E323E" w:rsidRPr="00474CB7">
              <w:t>.</w:t>
            </w:r>
            <w:r w:rsidRPr="00474CB7">
              <w:t xml:space="preserve"> </w:t>
            </w:r>
            <w:r w:rsidR="006E323E" w:rsidRPr="00474CB7">
              <w:t>Analizē</w:t>
            </w:r>
            <w:r w:rsidRPr="00474CB7">
              <w:t xml:space="preserve"> trošu ceļa </w:t>
            </w:r>
            <w:r w:rsidR="000A0D02" w:rsidRPr="00474CB7">
              <w:t>atbilstīb</w:t>
            </w:r>
            <w:r w:rsidR="006E323E" w:rsidRPr="00474CB7">
              <w:t>u</w:t>
            </w:r>
            <w:r w:rsidR="000A0D02" w:rsidRPr="00474CB7">
              <w:t xml:space="preserve"> attiecīgās teritorijas reljefa īpatnībām, ņemot vērā atmosfēras un meteoroloģiskos faktorus, kā arī tādus trošu ceļa tuvumā (uz zemes vai gaisā) esošus objektus un šķēršļus, kas trošu ceļu lietošanas vai glābšanas darbu veikšanas laikā varētu radīt draudus cilvēku dzīvībai, veselībai, īpašumam un videi.</w:t>
            </w:r>
            <w:r w:rsidRPr="00474CB7">
              <w:t xml:space="preserve"> </w:t>
            </w:r>
            <w:r w:rsidR="00064EEA" w:rsidRPr="00474CB7">
              <w:t xml:space="preserve">Tāpat </w:t>
            </w:r>
            <w:r w:rsidRPr="00474CB7">
              <w:t xml:space="preserve">noteikts, ka </w:t>
            </w:r>
            <w:r w:rsidR="002600F0" w:rsidRPr="00474CB7">
              <w:t xml:space="preserve">tieši </w:t>
            </w:r>
            <w:r w:rsidRPr="00474CB7">
              <w:t xml:space="preserve">valdītājs </w:t>
            </w:r>
            <w:r w:rsidR="000A0D02" w:rsidRPr="00474CB7">
              <w:t>trošu ceļa riska analīzes rezultātus un secinājumus dokumentē, kā arī norāda veicamos pasākumus, lai trošu ceļš atbilstu šo noteikumu 3.1.apakšnodaļā minētajām prasībām</w:t>
            </w:r>
            <w:r w:rsidRPr="00474CB7">
              <w:t>. Papildus trošu ceļa riska analīzei jāveic arī drošības ierīces riska analīzi, lai noteiktu, ka drošības ierīces ir spējīgas reaģēt uz sākotnēji konstatēto traucējumu vai kļūmi un saglabā stāvokli, kas garantē drošību, ja nepieciešams pāriet uz darbošanos mazāk aktīvā režīmā, un, vai drošības ierīces ir ar divkāršu aizsardzību</w:t>
            </w:r>
            <w:r w:rsidR="00C322DD" w:rsidRPr="00474CB7">
              <w:t>;</w:t>
            </w:r>
          </w:p>
          <w:p w:rsidR="00336E13" w:rsidRPr="008649FF" w:rsidRDefault="00064EEA" w:rsidP="000726B3">
            <w:pPr>
              <w:pStyle w:val="ListParagraph"/>
              <w:numPr>
                <w:ilvl w:val="0"/>
                <w:numId w:val="1"/>
              </w:numPr>
              <w:suppressAutoHyphens/>
              <w:jc w:val="both"/>
              <w:rPr>
                <w:u w:val="single"/>
              </w:rPr>
            </w:pPr>
            <w:r w:rsidRPr="00474CB7">
              <w:t>Precizēts 45.7.apakšpunts-</w:t>
            </w:r>
            <w:r w:rsidR="00336E13" w:rsidRPr="00474CB7">
              <w:t>noteikts, ka</w:t>
            </w:r>
            <w:r w:rsidR="00336E13">
              <w:t xml:space="preserve"> pirmreizējā vai ārpuskārtas tehniskajā pā</w:t>
            </w:r>
            <w:r>
              <w:t>rbaudē inspicēšanas institūcijām</w:t>
            </w:r>
            <w:r w:rsidR="00336E13">
              <w:t xml:space="preserve">  </w:t>
            </w:r>
            <w:r>
              <w:t>ir jāpārbauda</w:t>
            </w:r>
            <w:r w:rsidR="00336E13" w:rsidRPr="00336E13">
              <w:t xml:space="preserve"> valdītāja veiktās riska analīzes datu atbilstību ne tikai faktiskajiem apstākļiem, bet arī šo noteikumu prasībām.</w:t>
            </w:r>
          </w:p>
          <w:p w:rsidR="008649FF" w:rsidRPr="008649FF" w:rsidRDefault="00866A16" w:rsidP="000726B3">
            <w:pPr>
              <w:pStyle w:val="ListParagraph"/>
              <w:numPr>
                <w:ilvl w:val="0"/>
                <w:numId w:val="1"/>
              </w:numPr>
              <w:suppressAutoHyphens/>
              <w:jc w:val="both"/>
            </w:pPr>
            <w:r>
              <w:t>Izvirzīta prasība</w:t>
            </w:r>
            <w:r w:rsidR="008649FF">
              <w:t xml:space="preserve">, ka </w:t>
            </w:r>
            <w:r w:rsidR="00FE5E0F">
              <w:t>s</w:t>
            </w:r>
            <w:r w:rsidR="00FE5E0F" w:rsidRPr="00FE5E0F">
              <w:t>lēpotājiem paredzētiem trošu ceļiem, kuri tiek pilnībā vai daļēji demontēti slēpošanas sezonai beidzoties un kurus neturpina lietot visu gadu,  kārtējo tehnisko pārbaudi saskaņā ar šo noteikumu prasībām veic pirms to lietošanas sezonas sākuma.</w:t>
            </w:r>
          </w:p>
          <w:p w:rsidR="009912C5" w:rsidRPr="0029212F" w:rsidRDefault="009912C5" w:rsidP="00FA7773">
            <w:pPr>
              <w:pStyle w:val="ListParagraph"/>
              <w:numPr>
                <w:ilvl w:val="0"/>
                <w:numId w:val="1"/>
              </w:numPr>
              <w:suppressAutoHyphens/>
              <w:jc w:val="both"/>
              <w:rPr>
                <w:u w:val="single"/>
              </w:rPr>
            </w:pPr>
            <w:r>
              <w:t xml:space="preserve">Precizēts </w:t>
            </w:r>
            <w:r w:rsidRPr="004E61C4">
              <w:t>54.punkts</w:t>
            </w:r>
            <w:r w:rsidR="00336E13">
              <w:t xml:space="preserve"> un 55.punkts</w:t>
            </w:r>
            <w:r w:rsidR="00866A16">
              <w:t xml:space="preserve"> -</w:t>
            </w:r>
            <w:r w:rsidRPr="004E61C4">
              <w:t xml:space="preserve"> noteikts, ka </w:t>
            </w:r>
            <w:r w:rsidRPr="0061380E">
              <w:t>Patērētāju tiesību aizsar</w:t>
            </w:r>
            <w:r w:rsidR="00866A16">
              <w:t>dzības centrs, veicot trošu ceļu uzraudzību un kontroli to</w:t>
            </w:r>
            <w:r w:rsidRPr="0061380E">
              <w:t xml:space="preserve"> lietošanas laikā, ir tiesīgs</w:t>
            </w:r>
            <w:r>
              <w:t xml:space="preserve"> </w:t>
            </w:r>
            <w:r w:rsidRPr="004E61C4">
              <w:t>aizliegt lietot trošu ceļu, ja tam ir konstatētas neatbilstības šo noteikumu prasībām</w:t>
            </w:r>
            <w:r>
              <w:t xml:space="preserve">, ka arī </w:t>
            </w:r>
            <w:r w:rsidRPr="007B2968">
              <w:t xml:space="preserve">veikt ekspertīzi, pieaicinot </w:t>
            </w:r>
            <w:r w:rsidRPr="00336E13">
              <w:t xml:space="preserve">akreditētu </w:t>
            </w:r>
            <w:r w:rsidRPr="0029212F">
              <w:t>atbilstības novērtēšanas institūciju.</w:t>
            </w:r>
          </w:p>
          <w:p w:rsidR="00336E13" w:rsidRPr="00814921" w:rsidRDefault="00814921" w:rsidP="00866A16">
            <w:pPr>
              <w:pStyle w:val="ListParagraph"/>
              <w:suppressAutoHyphens/>
              <w:ind w:left="202"/>
              <w:jc w:val="both"/>
              <w:rPr>
                <w:color w:val="FF0000"/>
                <w:u w:val="single"/>
              </w:rPr>
            </w:pPr>
            <w:r w:rsidRPr="0029212F">
              <w:t xml:space="preserve">Ņemot vērā to, ka noteikumos tika precizēta 3.2.apakšnodaļa </w:t>
            </w:r>
            <w:r w:rsidR="00866A16">
              <w:lastRenderedPageBreak/>
              <w:t>„Riska analīze”</w:t>
            </w:r>
            <w:r w:rsidRPr="0029212F">
              <w:t xml:space="preserve"> </w:t>
            </w:r>
            <w:r w:rsidR="00866A16">
              <w:t>(apakšnodaļa</w:t>
            </w:r>
            <w:r w:rsidRPr="0029212F">
              <w:t xml:space="preserve">  tika papildināta ar papildu prasībām attiecībā uz trošu ceļu riska analīzes veikšanu</w:t>
            </w:r>
            <w:r w:rsidR="00866A16">
              <w:t>),</w:t>
            </w:r>
            <w:r w:rsidRPr="0029212F">
              <w:t xml:space="preserve"> jānosaka </w:t>
            </w:r>
            <w:r w:rsidRPr="00474CB7">
              <w:t xml:space="preserve">pārējas periods. </w:t>
            </w:r>
            <w:r w:rsidR="00336E13" w:rsidRPr="00474CB7">
              <w:t>Noteikts, ka noteikumi stājā</w:t>
            </w:r>
            <w:r w:rsidR="00FE5E0F" w:rsidRPr="00474CB7">
              <w:t>s</w:t>
            </w:r>
            <w:r w:rsidR="00336E13" w:rsidRPr="00474CB7">
              <w:t xml:space="preserve"> spēka ar 2013.gada 1.</w:t>
            </w:r>
            <w:r w:rsidR="00866A16" w:rsidRPr="00474CB7">
              <w:t>septembri</w:t>
            </w:r>
            <w:r w:rsidR="00336E13" w:rsidRPr="00474CB7">
              <w:t>.</w:t>
            </w:r>
          </w:p>
        </w:tc>
      </w:tr>
      <w:tr w:rsidR="009912C5" w:rsidRPr="005C7EC0" w:rsidTr="00E32783">
        <w:trPr>
          <w:trHeight w:val="476"/>
          <w:tblCellSpacing w:w="0" w:type="dxa"/>
        </w:trPr>
        <w:tc>
          <w:tcPr>
            <w:tcW w:w="525" w:type="dxa"/>
            <w:tcBorders>
              <w:top w:val="outset" w:sz="6" w:space="0" w:color="auto"/>
              <w:bottom w:val="outset" w:sz="6" w:space="0" w:color="auto"/>
              <w:right w:val="outset" w:sz="6" w:space="0" w:color="auto"/>
            </w:tcBorders>
          </w:tcPr>
          <w:p w:rsidR="009912C5" w:rsidRPr="005C7EC0" w:rsidRDefault="009912C5" w:rsidP="00BC19B2">
            <w:pPr>
              <w:pStyle w:val="naiskr"/>
            </w:pPr>
            <w:r w:rsidRPr="005C7EC0">
              <w:lastRenderedPageBreak/>
              <w:t> 5.</w:t>
            </w:r>
          </w:p>
        </w:tc>
        <w:tc>
          <w:tcPr>
            <w:tcW w:w="2250" w:type="dxa"/>
            <w:tcBorders>
              <w:top w:val="outset" w:sz="6" w:space="0" w:color="auto"/>
              <w:left w:val="outset" w:sz="6" w:space="0" w:color="auto"/>
              <w:bottom w:val="outset" w:sz="6" w:space="0" w:color="auto"/>
              <w:right w:val="outset" w:sz="6" w:space="0" w:color="auto"/>
            </w:tcBorders>
          </w:tcPr>
          <w:p w:rsidR="009912C5" w:rsidRPr="005C7EC0" w:rsidRDefault="009912C5" w:rsidP="00BC19B2">
            <w:pPr>
              <w:pStyle w:val="naiskr"/>
            </w:pPr>
            <w:r w:rsidRPr="005C7EC0">
              <w:t> Projekta izstrādē iesaistītās institūcijas</w:t>
            </w:r>
          </w:p>
        </w:tc>
        <w:tc>
          <w:tcPr>
            <w:tcW w:w="6326" w:type="dxa"/>
            <w:tcBorders>
              <w:top w:val="outset" w:sz="6" w:space="0" w:color="auto"/>
              <w:left w:val="outset" w:sz="6" w:space="0" w:color="auto"/>
              <w:bottom w:val="outset" w:sz="6" w:space="0" w:color="auto"/>
            </w:tcBorders>
          </w:tcPr>
          <w:p w:rsidR="009912C5" w:rsidRDefault="009912C5" w:rsidP="00B94210">
            <w:pPr>
              <w:pStyle w:val="naiskr"/>
              <w:spacing w:before="0" w:after="0"/>
              <w:ind w:left="202"/>
              <w:jc w:val="both"/>
            </w:pPr>
            <w:r>
              <w:t>Patērētāju tiesību aizsardzības centrs;</w:t>
            </w:r>
          </w:p>
          <w:p w:rsidR="009912C5" w:rsidRDefault="009912C5" w:rsidP="00B94210">
            <w:pPr>
              <w:pStyle w:val="naiskr"/>
              <w:spacing w:before="0" w:after="0"/>
              <w:ind w:left="202"/>
              <w:jc w:val="both"/>
            </w:pPr>
            <w:r>
              <w:t>Sabiedrība ar ierobežotu atbildību „Standartizācijas, akreditācijas un metroloģijas centrs”;</w:t>
            </w:r>
          </w:p>
          <w:p w:rsidR="009912C5" w:rsidRDefault="009912C5" w:rsidP="00B94210">
            <w:pPr>
              <w:pStyle w:val="naiskr"/>
              <w:spacing w:before="0" w:after="0"/>
              <w:ind w:left="202"/>
              <w:jc w:val="both"/>
            </w:pPr>
            <w:r w:rsidRPr="0058086D">
              <w:t>Tehnisko ekspertu asociācij</w:t>
            </w:r>
            <w:r>
              <w:t>a;</w:t>
            </w:r>
            <w:r w:rsidRPr="0058086D">
              <w:t xml:space="preserve"> </w:t>
            </w:r>
          </w:p>
          <w:p w:rsidR="009912C5" w:rsidRDefault="009912C5" w:rsidP="00B94210">
            <w:pPr>
              <w:pStyle w:val="naiskr"/>
              <w:spacing w:before="0" w:after="0"/>
              <w:ind w:left="202"/>
              <w:jc w:val="both"/>
            </w:pPr>
            <w:r w:rsidRPr="0058086D">
              <w:t>Mašīnbūves un Metālap</w:t>
            </w:r>
            <w:r>
              <w:t>strādes Rūpniecības asociācija;</w:t>
            </w:r>
          </w:p>
          <w:p w:rsidR="009912C5" w:rsidRDefault="009912C5" w:rsidP="00B94210">
            <w:pPr>
              <w:pStyle w:val="naiskr"/>
              <w:spacing w:before="0" w:after="0"/>
              <w:ind w:left="202"/>
              <w:jc w:val="both"/>
            </w:pPr>
            <w:r w:rsidRPr="00DC6140">
              <w:t>Neatkarīgo inženiertehnisko speciālistu asociācija;</w:t>
            </w:r>
          </w:p>
          <w:p w:rsidR="009912C5" w:rsidRPr="005C7EC0" w:rsidRDefault="009912C5" w:rsidP="00B94210">
            <w:pPr>
              <w:pStyle w:val="naiskr"/>
              <w:spacing w:before="0" w:after="0"/>
              <w:ind w:left="202"/>
              <w:jc w:val="both"/>
            </w:pPr>
            <w:r w:rsidRPr="0058086D">
              <w:t>Latvij</w:t>
            </w:r>
            <w:r w:rsidR="00782C2B">
              <w:t>as slēpošanas trašu asociācija</w:t>
            </w:r>
            <w:r>
              <w:t>.</w:t>
            </w:r>
          </w:p>
        </w:tc>
      </w:tr>
      <w:tr w:rsidR="009912C5" w:rsidRPr="005C7EC0" w:rsidTr="00E32783">
        <w:trPr>
          <w:trHeight w:val="949"/>
          <w:tblCellSpacing w:w="0" w:type="dxa"/>
        </w:trPr>
        <w:tc>
          <w:tcPr>
            <w:tcW w:w="525" w:type="dxa"/>
            <w:tcBorders>
              <w:top w:val="outset" w:sz="6" w:space="0" w:color="auto"/>
              <w:bottom w:val="outset" w:sz="6" w:space="0" w:color="auto"/>
              <w:right w:val="outset" w:sz="6" w:space="0" w:color="auto"/>
            </w:tcBorders>
          </w:tcPr>
          <w:p w:rsidR="009912C5" w:rsidRPr="005C7EC0" w:rsidRDefault="009912C5" w:rsidP="00BC19B2">
            <w:pPr>
              <w:pStyle w:val="naiskr"/>
            </w:pPr>
            <w:r w:rsidRPr="005C7EC0">
              <w:t> 6.</w:t>
            </w:r>
          </w:p>
        </w:tc>
        <w:tc>
          <w:tcPr>
            <w:tcW w:w="2250" w:type="dxa"/>
            <w:tcBorders>
              <w:top w:val="outset" w:sz="6" w:space="0" w:color="auto"/>
              <w:left w:val="outset" w:sz="6" w:space="0" w:color="auto"/>
              <w:bottom w:val="outset" w:sz="6" w:space="0" w:color="auto"/>
              <w:right w:val="outset" w:sz="6" w:space="0" w:color="auto"/>
            </w:tcBorders>
          </w:tcPr>
          <w:p w:rsidR="009912C5" w:rsidRPr="005C7EC0" w:rsidRDefault="009912C5" w:rsidP="00BC19B2">
            <w:pPr>
              <w:pStyle w:val="naiskr"/>
            </w:pPr>
            <w:r w:rsidRPr="005C7EC0">
              <w:t> Iemesli, kādēļ netika nodrošināta sabiedrības līdzdalība</w:t>
            </w:r>
          </w:p>
        </w:tc>
        <w:tc>
          <w:tcPr>
            <w:tcW w:w="6326" w:type="dxa"/>
            <w:tcBorders>
              <w:top w:val="outset" w:sz="6" w:space="0" w:color="auto"/>
              <w:left w:val="outset" w:sz="6" w:space="0" w:color="auto"/>
              <w:bottom w:val="outset" w:sz="6" w:space="0" w:color="auto"/>
            </w:tcBorders>
          </w:tcPr>
          <w:p w:rsidR="009912C5" w:rsidRPr="005C7EC0" w:rsidRDefault="009912C5" w:rsidP="00B94210">
            <w:pPr>
              <w:pStyle w:val="naiskr"/>
              <w:ind w:left="202"/>
            </w:pPr>
            <w:r w:rsidRPr="005C7EC0">
              <w:t>Nav attiecināms</w:t>
            </w:r>
            <w:r>
              <w:t>.</w:t>
            </w:r>
          </w:p>
        </w:tc>
      </w:tr>
      <w:tr w:rsidR="009912C5" w:rsidRPr="005C7EC0" w:rsidTr="00E32783">
        <w:trPr>
          <w:tblCellSpacing w:w="0" w:type="dxa"/>
        </w:trPr>
        <w:tc>
          <w:tcPr>
            <w:tcW w:w="525" w:type="dxa"/>
            <w:tcBorders>
              <w:top w:val="outset" w:sz="6" w:space="0" w:color="auto"/>
              <w:bottom w:val="outset" w:sz="6" w:space="0" w:color="auto"/>
              <w:right w:val="outset" w:sz="6" w:space="0" w:color="auto"/>
            </w:tcBorders>
          </w:tcPr>
          <w:p w:rsidR="009912C5" w:rsidRPr="005C7EC0" w:rsidRDefault="009912C5" w:rsidP="00BC19B2">
            <w:pPr>
              <w:pStyle w:val="naiskr"/>
            </w:pPr>
            <w:r w:rsidRPr="005C7EC0">
              <w:t> 7.</w:t>
            </w:r>
          </w:p>
        </w:tc>
        <w:tc>
          <w:tcPr>
            <w:tcW w:w="2250" w:type="dxa"/>
            <w:tcBorders>
              <w:top w:val="outset" w:sz="6" w:space="0" w:color="auto"/>
              <w:left w:val="outset" w:sz="6" w:space="0" w:color="auto"/>
              <w:bottom w:val="outset" w:sz="6" w:space="0" w:color="auto"/>
              <w:right w:val="outset" w:sz="6" w:space="0" w:color="auto"/>
            </w:tcBorders>
          </w:tcPr>
          <w:p w:rsidR="009912C5" w:rsidRPr="005C7EC0" w:rsidRDefault="009912C5" w:rsidP="00BC19B2">
            <w:pPr>
              <w:pStyle w:val="naiskr"/>
            </w:pPr>
            <w:r w:rsidRPr="005C7EC0">
              <w:t> Cita informācija</w:t>
            </w:r>
          </w:p>
        </w:tc>
        <w:tc>
          <w:tcPr>
            <w:tcW w:w="6326" w:type="dxa"/>
            <w:tcBorders>
              <w:top w:val="outset" w:sz="6" w:space="0" w:color="auto"/>
              <w:left w:val="outset" w:sz="6" w:space="0" w:color="auto"/>
              <w:bottom w:val="outset" w:sz="6" w:space="0" w:color="auto"/>
            </w:tcBorders>
          </w:tcPr>
          <w:p w:rsidR="009912C5" w:rsidRPr="00FC18C4" w:rsidRDefault="009912C5" w:rsidP="00B94210">
            <w:pPr>
              <w:pStyle w:val="naiskr"/>
              <w:ind w:left="202"/>
              <w:jc w:val="both"/>
            </w:pPr>
            <w:r>
              <w:t>Vadlīnijas</w:t>
            </w:r>
          </w:p>
        </w:tc>
      </w:tr>
    </w:tbl>
    <w:p w:rsidR="009912C5" w:rsidRDefault="009912C5" w:rsidP="00C35032">
      <w:pPr>
        <w:jc w:val="both"/>
        <w:rPr>
          <w:b/>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448"/>
        <w:gridCol w:w="5624"/>
      </w:tblGrid>
      <w:tr w:rsidR="009912C5" w:rsidRPr="00FF63C8" w:rsidTr="00403192">
        <w:trPr>
          <w:tblCellSpacing w:w="0" w:type="dxa"/>
        </w:trPr>
        <w:tc>
          <w:tcPr>
            <w:tcW w:w="9072" w:type="dxa"/>
            <w:gridSpan w:val="2"/>
            <w:tcBorders>
              <w:top w:val="outset" w:sz="6" w:space="0" w:color="auto"/>
              <w:bottom w:val="outset" w:sz="6" w:space="0" w:color="auto"/>
            </w:tcBorders>
            <w:vAlign w:val="center"/>
          </w:tcPr>
          <w:p w:rsidR="009912C5" w:rsidRPr="00FF63C8" w:rsidRDefault="009912C5" w:rsidP="00137E88">
            <w:pPr>
              <w:rPr>
                <w:b/>
                <w:bCs/>
              </w:rPr>
            </w:pPr>
          </w:p>
          <w:p w:rsidR="009912C5" w:rsidRPr="00FF63C8" w:rsidRDefault="009912C5" w:rsidP="00137E88">
            <w:pPr>
              <w:jc w:val="center"/>
              <w:rPr>
                <w:b/>
                <w:bCs/>
              </w:rPr>
            </w:pPr>
            <w:r w:rsidRPr="00FF63C8">
              <w:rPr>
                <w:b/>
                <w:bCs/>
              </w:rPr>
              <w:t>II. Tiesību akta projekta ietekme uz sabiedrību</w:t>
            </w:r>
          </w:p>
          <w:p w:rsidR="009912C5" w:rsidRPr="00FF63C8" w:rsidRDefault="009912C5" w:rsidP="00137E88">
            <w:pPr>
              <w:jc w:val="center"/>
              <w:rPr>
                <w:b/>
                <w:bCs/>
              </w:rPr>
            </w:pPr>
          </w:p>
        </w:tc>
      </w:tr>
      <w:tr w:rsidR="009912C5" w:rsidRPr="00FF63C8" w:rsidTr="00403192">
        <w:trPr>
          <w:trHeight w:val="467"/>
          <w:tblCellSpacing w:w="0" w:type="dxa"/>
        </w:trPr>
        <w:tc>
          <w:tcPr>
            <w:tcW w:w="3448" w:type="dxa"/>
            <w:tcBorders>
              <w:top w:val="outset" w:sz="6" w:space="0" w:color="auto"/>
              <w:bottom w:val="outset" w:sz="6" w:space="0" w:color="auto"/>
              <w:right w:val="outset" w:sz="6" w:space="0" w:color="auto"/>
            </w:tcBorders>
          </w:tcPr>
          <w:p w:rsidR="009912C5" w:rsidRPr="00FF63C8" w:rsidRDefault="009912C5" w:rsidP="00137E88">
            <w:pPr>
              <w:ind w:left="31"/>
              <w:jc w:val="both"/>
            </w:pPr>
            <w:r w:rsidRPr="00FF63C8">
              <w:t>Sabiedrības mērķgrupa</w:t>
            </w:r>
          </w:p>
        </w:tc>
        <w:tc>
          <w:tcPr>
            <w:tcW w:w="5624" w:type="dxa"/>
            <w:tcBorders>
              <w:top w:val="outset" w:sz="6" w:space="0" w:color="auto"/>
              <w:left w:val="outset" w:sz="6" w:space="0" w:color="auto"/>
              <w:bottom w:val="outset" w:sz="6" w:space="0" w:color="auto"/>
            </w:tcBorders>
          </w:tcPr>
          <w:p w:rsidR="009912C5" w:rsidRPr="00FF63C8" w:rsidRDefault="009912C5" w:rsidP="00137E88">
            <w:pPr>
              <w:ind w:left="127" w:right="126"/>
              <w:jc w:val="both"/>
            </w:pPr>
            <w:r>
              <w:t xml:space="preserve">Tirgus uzraudzības iestāde,  Latvijas nacionālais akreditācijas birojs, Standartizācijas birojs, inspicēšanas institūcijas, trošu ceļu valdītāji (slēpošanas trases īpašnieki). </w:t>
            </w:r>
          </w:p>
        </w:tc>
      </w:tr>
      <w:tr w:rsidR="009912C5" w:rsidRPr="00FF63C8" w:rsidTr="00403192">
        <w:trPr>
          <w:trHeight w:val="523"/>
          <w:tblCellSpacing w:w="0" w:type="dxa"/>
        </w:trPr>
        <w:tc>
          <w:tcPr>
            <w:tcW w:w="3448" w:type="dxa"/>
            <w:tcBorders>
              <w:top w:val="outset" w:sz="6" w:space="0" w:color="auto"/>
              <w:bottom w:val="outset" w:sz="6" w:space="0" w:color="auto"/>
              <w:right w:val="outset" w:sz="6" w:space="0" w:color="auto"/>
            </w:tcBorders>
          </w:tcPr>
          <w:p w:rsidR="009912C5" w:rsidRPr="00FF63C8" w:rsidRDefault="009912C5" w:rsidP="00137E88">
            <w:pPr>
              <w:ind w:left="31" w:right="126"/>
              <w:jc w:val="both"/>
            </w:pPr>
            <w:r w:rsidRPr="00FF63C8">
              <w:t>Citas sabiedrības grupas (bez mērķgrupas), kuras tiesiskais regulējums arī ietekmē vai varētu ietekmēt</w:t>
            </w:r>
          </w:p>
        </w:tc>
        <w:tc>
          <w:tcPr>
            <w:tcW w:w="5624" w:type="dxa"/>
            <w:tcBorders>
              <w:top w:val="outset" w:sz="6" w:space="0" w:color="auto"/>
              <w:left w:val="outset" w:sz="6" w:space="0" w:color="auto"/>
              <w:bottom w:val="outset" w:sz="6" w:space="0" w:color="auto"/>
            </w:tcBorders>
          </w:tcPr>
          <w:p w:rsidR="009912C5" w:rsidRDefault="009912C5">
            <w:r w:rsidRPr="00EE0B9D">
              <w:t>Nav attiecināms.</w:t>
            </w:r>
          </w:p>
        </w:tc>
      </w:tr>
      <w:tr w:rsidR="009912C5" w:rsidRPr="00FF63C8" w:rsidTr="00403192">
        <w:trPr>
          <w:trHeight w:val="378"/>
          <w:tblCellSpacing w:w="0" w:type="dxa"/>
        </w:trPr>
        <w:tc>
          <w:tcPr>
            <w:tcW w:w="3448" w:type="dxa"/>
            <w:tcBorders>
              <w:top w:val="outset" w:sz="6" w:space="0" w:color="auto"/>
              <w:bottom w:val="outset" w:sz="6" w:space="0" w:color="auto"/>
              <w:right w:val="outset" w:sz="6" w:space="0" w:color="auto"/>
            </w:tcBorders>
          </w:tcPr>
          <w:p w:rsidR="009912C5" w:rsidRPr="00FF63C8" w:rsidRDefault="009912C5" w:rsidP="00137E88">
            <w:pPr>
              <w:ind w:left="31" w:right="126"/>
              <w:jc w:val="both"/>
            </w:pPr>
            <w:r w:rsidRPr="00FF63C8">
              <w:t>Tiesiskā regulējuma finansiālā ietekme</w:t>
            </w:r>
          </w:p>
        </w:tc>
        <w:tc>
          <w:tcPr>
            <w:tcW w:w="5624" w:type="dxa"/>
            <w:tcBorders>
              <w:top w:val="outset" w:sz="6" w:space="0" w:color="auto"/>
              <w:left w:val="outset" w:sz="6" w:space="0" w:color="auto"/>
              <w:bottom w:val="outset" w:sz="6" w:space="0" w:color="auto"/>
            </w:tcBorders>
          </w:tcPr>
          <w:p w:rsidR="009912C5" w:rsidRDefault="009912C5">
            <w:r w:rsidRPr="00EE0B9D">
              <w:t>Nav attiecināms.</w:t>
            </w:r>
          </w:p>
        </w:tc>
      </w:tr>
      <w:tr w:rsidR="009912C5" w:rsidRPr="00FF63C8" w:rsidTr="00403192">
        <w:trPr>
          <w:trHeight w:val="517"/>
          <w:tblCellSpacing w:w="0" w:type="dxa"/>
        </w:trPr>
        <w:tc>
          <w:tcPr>
            <w:tcW w:w="3448" w:type="dxa"/>
            <w:tcBorders>
              <w:top w:val="outset" w:sz="6" w:space="0" w:color="auto"/>
              <w:bottom w:val="outset" w:sz="6" w:space="0" w:color="auto"/>
              <w:right w:val="outset" w:sz="6" w:space="0" w:color="auto"/>
            </w:tcBorders>
          </w:tcPr>
          <w:p w:rsidR="009912C5" w:rsidRPr="00FF63C8" w:rsidRDefault="009912C5" w:rsidP="00137E88">
            <w:pPr>
              <w:ind w:left="31" w:right="126"/>
              <w:jc w:val="both"/>
            </w:pPr>
            <w:r w:rsidRPr="00FF63C8">
              <w:t>Tiesiskā regulējuma nefinansiālā ietekme</w:t>
            </w:r>
          </w:p>
        </w:tc>
        <w:tc>
          <w:tcPr>
            <w:tcW w:w="5624" w:type="dxa"/>
            <w:tcBorders>
              <w:top w:val="outset" w:sz="6" w:space="0" w:color="auto"/>
              <w:left w:val="outset" w:sz="6" w:space="0" w:color="auto"/>
              <w:bottom w:val="outset" w:sz="6" w:space="0" w:color="auto"/>
            </w:tcBorders>
          </w:tcPr>
          <w:p w:rsidR="009912C5" w:rsidRDefault="009912C5">
            <w:r w:rsidRPr="00EE0B9D">
              <w:t>Nav attiecināms.</w:t>
            </w:r>
          </w:p>
        </w:tc>
      </w:tr>
      <w:tr w:rsidR="009912C5" w:rsidRPr="00FF63C8" w:rsidTr="00403192">
        <w:trPr>
          <w:trHeight w:val="531"/>
          <w:tblCellSpacing w:w="0" w:type="dxa"/>
        </w:trPr>
        <w:tc>
          <w:tcPr>
            <w:tcW w:w="3448" w:type="dxa"/>
            <w:tcBorders>
              <w:top w:val="outset" w:sz="6" w:space="0" w:color="auto"/>
              <w:bottom w:val="outset" w:sz="6" w:space="0" w:color="auto"/>
              <w:right w:val="outset" w:sz="6" w:space="0" w:color="auto"/>
            </w:tcBorders>
          </w:tcPr>
          <w:p w:rsidR="009912C5" w:rsidRPr="00FF63C8" w:rsidRDefault="009912C5" w:rsidP="00137E88">
            <w:pPr>
              <w:ind w:left="31" w:right="126"/>
              <w:jc w:val="both"/>
            </w:pPr>
            <w:r w:rsidRPr="00FF63C8">
              <w:t>Administratīvās procedūras raksturojums</w:t>
            </w:r>
          </w:p>
        </w:tc>
        <w:tc>
          <w:tcPr>
            <w:tcW w:w="5624" w:type="dxa"/>
            <w:tcBorders>
              <w:top w:val="outset" w:sz="6" w:space="0" w:color="auto"/>
              <w:left w:val="outset" w:sz="6" w:space="0" w:color="auto"/>
              <w:bottom w:val="outset" w:sz="6" w:space="0" w:color="auto"/>
            </w:tcBorders>
          </w:tcPr>
          <w:p w:rsidR="009912C5" w:rsidRDefault="009912C5">
            <w:r w:rsidRPr="00EE0B9D">
              <w:t>Nav attiecināms.</w:t>
            </w:r>
          </w:p>
        </w:tc>
      </w:tr>
      <w:tr w:rsidR="009912C5" w:rsidRPr="00FF63C8" w:rsidTr="00403192">
        <w:trPr>
          <w:trHeight w:val="357"/>
          <w:tblCellSpacing w:w="0" w:type="dxa"/>
        </w:trPr>
        <w:tc>
          <w:tcPr>
            <w:tcW w:w="3448" w:type="dxa"/>
            <w:tcBorders>
              <w:top w:val="outset" w:sz="6" w:space="0" w:color="auto"/>
              <w:bottom w:val="outset" w:sz="6" w:space="0" w:color="auto"/>
              <w:right w:val="outset" w:sz="6" w:space="0" w:color="auto"/>
            </w:tcBorders>
          </w:tcPr>
          <w:p w:rsidR="009912C5" w:rsidRPr="00FF63C8" w:rsidRDefault="009912C5" w:rsidP="00137E88">
            <w:pPr>
              <w:ind w:left="31" w:right="126"/>
              <w:jc w:val="both"/>
            </w:pPr>
            <w:r w:rsidRPr="00FF63C8">
              <w:t>Administratīvo izmaksu monetārs  novērtējums</w:t>
            </w:r>
          </w:p>
        </w:tc>
        <w:tc>
          <w:tcPr>
            <w:tcW w:w="5624" w:type="dxa"/>
            <w:tcBorders>
              <w:top w:val="outset" w:sz="6" w:space="0" w:color="auto"/>
              <w:left w:val="outset" w:sz="6" w:space="0" w:color="auto"/>
              <w:bottom w:val="outset" w:sz="6" w:space="0" w:color="auto"/>
            </w:tcBorders>
          </w:tcPr>
          <w:p w:rsidR="009912C5" w:rsidRDefault="009912C5">
            <w:r w:rsidRPr="00EE0B9D">
              <w:t>Nav attiecināms.</w:t>
            </w:r>
          </w:p>
        </w:tc>
      </w:tr>
      <w:tr w:rsidR="009912C5" w:rsidRPr="00FF63C8" w:rsidTr="00403192">
        <w:trPr>
          <w:tblCellSpacing w:w="0" w:type="dxa"/>
        </w:trPr>
        <w:tc>
          <w:tcPr>
            <w:tcW w:w="3448" w:type="dxa"/>
            <w:tcBorders>
              <w:top w:val="outset" w:sz="6" w:space="0" w:color="auto"/>
              <w:bottom w:val="outset" w:sz="6" w:space="0" w:color="auto"/>
              <w:right w:val="outset" w:sz="6" w:space="0" w:color="auto"/>
            </w:tcBorders>
          </w:tcPr>
          <w:p w:rsidR="009912C5" w:rsidRPr="00FF63C8" w:rsidRDefault="009912C5" w:rsidP="00137E88">
            <w:pPr>
              <w:ind w:left="31" w:right="126"/>
              <w:jc w:val="both"/>
            </w:pPr>
            <w:r w:rsidRPr="00FF63C8">
              <w:t>Cita informācija</w:t>
            </w:r>
          </w:p>
        </w:tc>
        <w:tc>
          <w:tcPr>
            <w:tcW w:w="5624" w:type="dxa"/>
            <w:tcBorders>
              <w:top w:val="outset" w:sz="6" w:space="0" w:color="auto"/>
              <w:left w:val="outset" w:sz="6" w:space="0" w:color="auto"/>
              <w:bottom w:val="outset" w:sz="6" w:space="0" w:color="auto"/>
            </w:tcBorders>
          </w:tcPr>
          <w:p w:rsidR="009912C5" w:rsidRPr="00FF63C8" w:rsidRDefault="009912C5" w:rsidP="00137E88">
            <w:pPr>
              <w:ind w:left="95"/>
              <w:jc w:val="both"/>
            </w:pPr>
            <w:r w:rsidRPr="00FF63C8">
              <w:t>Nav.</w:t>
            </w:r>
          </w:p>
        </w:tc>
      </w:tr>
    </w:tbl>
    <w:p w:rsidR="009912C5" w:rsidRDefault="009912C5" w:rsidP="00C35032">
      <w:pPr>
        <w:jc w:val="both"/>
        <w:rPr>
          <w:b/>
          <w:u w:val="single"/>
        </w:rPr>
      </w:pPr>
    </w:p>
    <w:p w:rsidR="009912C5" w:rsidRPr="00400B34" w:rsidRDefault="009912C5" w:rsidP="00C35032">
      <w:pPr>
        <w:jc w:val="both"/>
        <w:rPr>
          <w:b/>
          <w:u w:val="single"/>
        </w:rPr>
      </w:pPr>
      <w:r w:rsidRPr="00400B34">
        <w:rPr>
          <w:b/>
          <w:u w:val="single"/>
        </w:rPr>
        <w:t>Anotācijas III</w:t>
      </w:r>
      <w:r>
        <w:rPr>
          <w:b/>
          <w:u w:val="single"/>
        </w:rPr>
        <w:t>, IV</w:t>
      </w:r>
      <w:r w:rsidRPr="00400B34">
        <w:rPr>
          <w:b/>
          <w:u w:val="single"/>
        </w:rPr>
        <w:t xml:space="preserve">  un V sadaļa – projekts šīs jomas neskar.</w:t>
      </w:r>
    </w:p>
    <w:p w:rsidR="009912C5" w:rsidRPr="002955DE" w:rsidRDefault="009912C5" w:rsidP="00C35032">
      <w:pPr>
        <w:jc w:val="both"/>
      </w:pPr>
      <w:r w:rsidRPr="002955DE">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9"/>
        <w:gridCol w:w="4678"/>
        <w:gridCol w:w="4124"/>
      </w:tblGrid>
      <w:tr w:rsidR="009912C5" w:rsidRPr="002955DE" w:rsidTr="008E37A9">
        <w:trPr>
          <w:tblCellSpacing w:w="0" w:type="dxa"/>
        </w:trPr>
        <w:tc>
          <w:tcPr>
            <w:tcW w:w="9101" w:type="dxa"/>
            <w:gridSpan w:val="3"/>
            <w:tcBorders>
              <w:top w:val="outset" w:sz="6" w:space="0" w:color="auto"/>
              <w:bottom w:val="outset" w:sz="6" w:space="0" w:color="auto"/>
            </w:tcBorders>
          </w:tcPr>
          <w:p w:rsidR="009912C5" w:rsidRPr="002955DE" w:rsidRDefault="009912C5" w:rsidP="008E37A9">
            <w:pPr>
              <w:jc w:val="both"/>
            </w:pPr>
            <w:r w:rsidRPr="002955DE">
              <w:rPr>
                <w:b/>
                <w:bCs/>
              </w:rPr>
              <w:t> VII. Tiesību akta projekta izpildes nodrošināšana un tās ietekme uz institūcijām</w:t>
            </w:r>
          </w:p>
        </w:tc>
      </w:tr>
      <w:tr w:rsidR="009912C5" w:rsidRPr="002955DE" w:rsidTr="008E37A9">
        <w:trPr>
          <w:trHeight w:val="427"/>
          <w:tblCellSpacing w:w="0" w:type="dxa"/>
        </w:trPr>
        <w:tc>
          <w:tcPr>
            <w:tcW w:w="299" w:type="dxa"/>
            <w:tcBorders>
              <w:top w:val="outset" w:sz="6" w:space="0" w:color="auto"/>
              <w:bottom w:val="outset" w:sz="6" w:space="0" w:color="auto"/>
              <w:right w:val="outset" w:sz="6" w:space="0" w:color="auto"/>
            </w:tcBorders>
          </w:tcPr>
          <w:p w:rsidR="009912C5" w:rsidRPr="002955DE" w:rsidRDefault="009912C5" w:rsidP="008E37A9">
            <w:pPr>
              <w:jc w:val="both"/>
            </w:pPr>
            <w:r w:rsidRPr="002955DE">
              <w:t> 1.</w:t>
            </w:r>
          </w:p>
        </w:tc>
        <w:tc>
          <w:tcPr>
            <w:tcW w:w="4678" w:type="dxa"/>
            <w:tcBorders>
              <w:top w:val="outset" w:sz="6" w:space="0" w:color="auto"/>
              <w:left w:val="outset" w:sz="6" w:space="0" w:color="auto"/>
              <w:bottom w:val="outset" w:sz="6" w:space="0" w:color="auto"/>
              <w:right w:val="outset" w:sz="6" w:space="0" w:color="auto"/>
            </w:tcBorders>
          </w:tcPr>
          <w:p w:rsidR="009912C5" w:rsidRPr="002955DE" w:rsidRDefault="009912C5" w:rsidP="008E37A9">
            <w:pPr>
              <w:jc w:val="both"/>
            </w:pPr>
            <w:r w:rsidRPr="002955DE">
              <w:t> Projekta izpildē iesaistītās institūcijas</w:t>
            </w:r>
          </w:p>
        </w:tc>
        <w:tc>
          <w:tcPr>
            <w:tcW w:w="4124" w:type="dxa"/>
            <w:tcBorders>
              <w:top w:val="outset" w:sz="6" w:space="0" w:color="auto"/>
              <w:left w:val="outset" w:sz="6" w:space="0" w:color="auto"/>
              <w:bottom w:val="outset" w:sz="6" w:space="0" w:color="auto"/>
            </w:tcBorders>
          </w:tcPr>
          <w:p w:rsidR="009912C5" w:rsidRPr="00FC18C4" w:rsidRDefault="009912C5" w:rsidP="00BE0925">
            <w:pPr>
              <w:ind w:left="126" w:right="140"/>
              <w:jc w:val="both"/>
            </w:pPr>
            <w:r w:rsidRPr="00FC18C4">
              <w:t>Noteikumu projekta izpildi nodrošina Ekonomikas ministrija.</w:t>
            </w:r>
            <w:r w:rsidR="00336E13">
              <w:t xml:space="preserve"> Patērētāju tiesību aizsardzības centrs.</w:t>
            </w:r>
          </w:p>
        </w:tc>
      </w:tr>
      <w:tr w:rsidR="009912C5" w:rsidRPr="002955DE" w:rsidTr="008E37A9">
        <w:trPr>
          <w:trHeight w:val="463"/>
          <w:tblCellSpacing w:w="0" w:type="dxa"/>
        </w:trPr>
        <w:tc>
          <w:tcPr>
            <w:tcW w:w="299" w:type="dxa"/>
            <w:tcBorders>
              <w:top w:val="outset" w:sz="6" w:space="0" w:color="auto"/>
              <w:bottom w:val="outset" w:sz="6" w:space="0" w:color="auto"/>
              <w:right w:val="outset" w:sz="6" w:space="0" w:color="auto"/>
            </w:tcBorders>
          </w:tcPr>
          <w:p w:rsidR="009912C5" w:rsidRPr="002955DE" w:rsidRDefault="009912C5" w:rsidP="008E37A9">
            <w:pPr>
              <w:jc w:val="both"/>
            </w:pPr>
            <w:r w:rsidRPr="002955DE">
              <w:t> 2.</w:t>
            </w:r>
          </w:p>
        </w:tc>
        <w:tc>
          <w:tcPr>
            <w:tcW w:w="4678" w:type="dxa"/>
            <w:tcBorders>
              <w:top w:val="outset" w:sz="6" w:space="0" w:color="auto"/>
              <w:left w:val="outset" w:sz="6" w:space="0" w:color="auto"/>
              <w:bottom w:val="outset" w:sz="6" w:space="0" w:color="auto"/>
              <w:right w:val="outset" w:sz="6" w:space="0" w:color="auto"/>
            </w:tcBorders>
          </w:tcPr>
          <w:p w:rsidR="009912C5" w:rsidRPr="002955DE" w:rsidRDefault="009912C5" w:rsidP="008E37A9">
            <w:pPr>
              <w:jc w:val="both"/>
            </w:pPr>
            <w:r w:rsidRPr="002955DE">
              <w:t> Projekta izpildes ietekme uz pārvaldes funkcijām</w:t>
            </w:r>
          </w:p>
        </w:tc>
        <w:tc>
          <w:tcPr>
            <w:tcW w:w="4124" w:type="dxa"/>
            <w:tcBorders>
              <w:top w:val="outset" w:sz="6" w:space="0" w:color="auto"/>
              <w:left w:val="outset" w:sz="6" w:space="0" w:color="auto"/>
              <w:bottom w:val="outset" w:sz="6" w:space="0" w:color="auto"/>
            </w:tcBorders>
          </w:tcPr>
          <w:p w:rsidR="009912C5" w:rsidRPr="002955DE" w:rsidRDefault="009912C5" w:rsidP="008E37A9">
            <w:pPr>
              <w:pStyle w:val="naisnod"/>
              <w:spacing w:before="0" w:after="0"/>
              <w:ind w:left="126" w:right="57"/>
              <w:jc w:val="left"/>
              <w:rPr>
                <w:b w:val="0"/>
              </w:rPr>
            </w:pPr>
            <w:r w:rsidRPr="002955DE">
              <w:rPr>
                <w:b w:val="0"/>
              </w:rPr>
              <w:t>Noteikumu projekts neparedz pārvaldes funkciju paplašināšanu.</w:t>
            </w:r>
          </w:p>
          <w:p w:rsidR="009912C5" w:rsidRPr="002955DE" w:rsidRDefault="009912C5" w:rsidP="008E37A9">
            <w:pPr>
              <w:jc w:val="both"/>
            </w:pPr>
          </w:p>
        </w:tc>
      </w:tr>
      <w:tr w:rsidR="009912C5" w:rsidRPr="002955DE" w:rsidTr="008E37A9">
        <w:trPr>
          <w:trHeight w:val="725"/>
          <w:tblCellSpacing w:w="0" w:type="dxa"/>
        </w:trPr>
        <w:tc>
          <w:tcPr>
            <w:tcW w:w="299" w:type="dxa"/>
            <w:tcBorders>
              <w:top w:val="outset" w:sz="6" w:space="0" w:color="auto"/>
              <w:bottom w:val="outset" w:sz="6" w:space="0" w:color="auto"/>
              <w:right w:val="outset" w:sz="6" w:space="0" w:color="auto"/>
            </w:tcBorders>
          </w:tcPr>
          <w:p w:rsidR="009912C5" w:rsidRPr="002955DE" w:rsidRDefault="009912C5" w:rsidP="008E37A9">
            <w:pPr>
              <w:jc w:val="both"/>
            </w:pPr>
            <w:r w:rsidRPr="002955DE">
              <w:lastRenderedPageBreak/>
              <w:t> 3.</w:t>
            </w:r>
          </w:p>
        </w:tc>
        <w:tc>
          <w:tcPr>
            <w:tcW w:w="4678" w:type="dxa"/>
            <w:tcBorders>
              <w:top w:val="outset" w:sz="6" w:space="0" w:color="auto"/>
              <w:left w:val="outset" w:sz="6" w:space="0" w:color="auto"/>
              <w:bottom w:val="outset" w:sz="6" w:space="0" w:color="auto"/>
              <w:right w:val="outset" w:sz="6" w:space="0" w:color="auto"/>
            </w:tcBorders>
          </w:tcPr>
          <w:p w:rsidR="009912C5" w:rsidRPr="002955DE" w:rsidRDefault="009912C5" w:rsidP="008E37A9">
            <w:pPr>
              <w:jc w:val="both"/>
            </w:pPr>
            <w:r w:rsidRPr="002955DE">
              <w:t> Projekta izpildes ietekme uz pārvaldes institucionālo struktūru.</w:t>
            </w:r>
          </w:p>
          <w:p w:rsidR="009912C5" w:rsidRPr="002955DE" w:rsidRDefault="009912C5" w:rsidP="008E37A9">
            <w:pPr>
              <w:jc w:val="both"/>
            </w:pPr>
            <w:r w:rsidRPr="002955DE">
              <w:t>Jaunu institūciju izveide</w:t>
            </w:r>
          </w:p>
        </w:tc>
        <w:tc>
          <w:tcPr>
            <w:tcW w:w="4124" w:type="dxa"/>
            <w:tcBorders>
              <w:top w:val="outset" w:sz="6" w:space="0" w:color="auto"/>
              <w:left w:val="outset" w:sz="6" w:space="0" w:color="auto"/>
              <w:bottom w:val="outset" w:sz="6" w:space="0" w:color="auto"/>
            </w:tcBorders>
          </w:tcPr>
          <w:p w:rsidR="009912C5" w:rsidRPr="002955DE" w:rsidRDefault="009912C5" w:rsidP="008E37A9">
            <w:pPr>
              <w:ind w:left="126"/>
              <w:jc w:val="both"/>
            </w:pPr>
            <w:r w:rsidRPr="002955DE">
              <w:t>Noteikumu projekts neparedz jaunu pārvaldes institūciju izveidi.</w:t>
            </w:r>
          </w:p>
        </w:tc>
      </w:tr>
      <w:tr w:rsidR="009912C5" w:rsidRPr="002955DE" w:rsidTr="008E37A9">
        <w:trPr>
          <w:trHeight w:val="780"/>
          <w:tblCellSpacing w:w="0" w:type="dxa"/>
        </w:trPr>
        <w:tc>
          <w:tcPr>
            <w:tcW w:w="299" w:type="dxa"/>
            <w:tcBorders>
              <w:top w:val="outset" w:sz="6" w:space="0" w:color="auto"/>
              <w:bottom w:val="outset" w:sz="6" w:space="0" w:color="auto"/>
              <w:right w:val="outset" w:sz="6" w:space="0" w:color="auto"/>
            </w:tcBorders>
          </w:tcPr>
          <w:p w:rsidR="009912C5" w:rsidRPr="002955DE" w:rsidRDefault="009912C5" w:rsidP="008E37A9">
            <w:pPr>
              <w:jc w:val="both"/>
            </w:pPr>
            <w:r w:rsidRPr="002955DE">
              <w:t> 4.</w:t>
            </w:r>
          </w:p>
        </w:tc>
        <w:tc>
          <w:tcPr>
            <w:tcW w:w="4678" w:type="dxa"/>
            <w:tcBorders>
              <w:top w:val="outset" w:sz="6" w:space="0" w:color="auto"/>
              <w:left w:val="outset" w:sz="6" w:space="0" w:color="auto"/>
              <w:bottom w:val="outset" w:sz="6" w:space="0" w:color="auto"/>
              <w:right w:val="outset" w:sz="6" w:space="0" w:color="auto"/>
            </w:tcBorders>
          </w:tcPr>
          <w:p w:rsidR="009912C5" w:rsidRPr="002955DE" w:rsidRDefault="009912C5" w:rsidP="008E37A9">
            <w:pPr>
              <w:jc w:val="both"/>
            </w:pPr>
            <w:r w:rsidRPr="002955DE">
              <w:t> Projekta izpildes ietekme uz pārvaldes institucionālo struktūru.</w:t>
            </w:r>
          </w:p>
          <w:p w:rsidR="009912C5" w:rsidRPr="002955DE" w:rsidRDefault="009912C5" w:rsidP="008E37A9">
            <w:pPr>
              <w:jc w:val="both"/>
            </w:pPr>
            <w:r w:rsidRPr="002955DE">
              <w:t>Esošu institūciju likvidācija</w:t>
            </w:r>
          </w:p>
        </w:tc>
        <w:tc>
          <w:tcPr>
            <w:tcW w:w="4124" w:type="dxa"/>
            <w:tcBorders>
              <w:top w:val="outset" w:sz="6" w:space="0" w:color="auto"/>
              <w:left w:val="outset" w:sz="6" w:space="0" w:color="auto"/>
              <w:bottom w:val="outset" w:sz="6" w:space="0" w:color="auto"/>
            </w:tcBorders>
          </w:tcPr>
          <w:p w:rsidR="009912C5" w:rsidRPr="002955DE" w:rsidRDefault="009912C5" w:rsidP="008E37A9">
            <w:pPr>
              <w:jc w:val="both"/>
            </w:pPr>
            <w:r w:rsidRPr="002955DE">
              <w:t> Nav attiecināms.</w:t>
            </w:r>
          </w:p>
        </w:tc>
      </w:tr>
      <w:tr w:rsidR="009912C5" w:rsidRPr="002955DE" w:rsidTr="008E37A9">
        <w:trPr>
          <w:trHeight w:val="703"/>
          <w:tblCellSpacing w:w="0" w:type="dxa"/>
        </w:trPr>
        <w:tc>
          <w:tcPr>
            <w:tcW w:w="299" w:type="dxa"/>
            <w:tcBorders>
              <w:top w:val="outset" w:sz="6" w:space="0" w:color="auto"/>
              <w:bottom w:val="outset" w:sz="6" w:space="0" w:color="auto"/>
              <w:right w:val="outset" w:sz="6" w:space="0" w:color="auto"/>
            </w:tcBorders>
          </w:tcPr>
          <w:p w:rsidR="009912C5" w:rsidRPr="002955DE" w:rsidRDefault="009912C5" w:rsidP="008E37A9">
            <w:pPr>
              <w:jc w:val="both"/>
            </w:pPr>
            <w:r w:rsidRPr="002955DE">
              <w:t> 5.</w:t>
            </w:r>
          </w:p>
        </w:tc>
        <w:tc>
          <w:tcPr>
            <w:tcW w:w="4678" w:type="dxa"/>
            <w:tcBorders>
              <w:top w:val="outset" w:sz="6" w:space="0" w:color="auto"/>
              <w:left w:val="outset" w:sz="6" w:space="0" w:color="auto"/>
              <w:bottom w:val="outset" w:sz="6" w:space="0" w:color="auto"/>
              <w:right w:val="outset" w:sz="6" w:space="0" w:color="auto"/>
            </w:tcBorders>
          </w:tcPr>
          <w:p w:rsidR="009912C5" w:rsidRPr="002955DE" w:rsidRDefault="009912C5" w:rsidP="008E37A9">
            <w:pPr>
              <w:jc w:val="both"/>
            </w:pPr>
            <w:r w:rsidRPr="002955DE">
              <w:t> Projekta izpildes ietekme uz pārvaldes institucionālo struktūru.</w:t>
            </w:r>
          </w:p>
          <w:p w:rsidR="009912C5" w:rsidRPr="002955DE" w:rsidRDefault="009912C5" w:rsidP="008E37A9">
            <w:pPr>
              <w:jc w:val="both"/>
            </w:pPr>
            <w:r w:rsidRPr="002955DE">
              <w:t>Esošu institūciju reorganizācija</w:t>
            </w:r>
          </w:p>
        </w:tc>
        <w:tc>
          <w:tcPr>
            <w:tcW w:w="4124" w:type="dxa"/>
            <w:tcBorders>
              <w:top w:val="outset" w:sz="6" w:space="0" w:color="auto"/>
              <w:left w:val="outset" w:sz="6" w:space="0" w:color="auto"/>
              <w:bottom w:val="outset" w:sz="6" w:space="0" w:color="auto"/>
            </w:tcBorders>
          </w:tcPr>
          <w:p w:rsidR="009912C5" w:rsidRPr="002955DE" w:rsidRDefault="009912C5" w:rsidP="008E37A9">
            <w:pPr>
              <w:jc w:val="both"/>
            </w:pPr>
            <w:r w:rsidRPr="002955DE">
              <w:t> Nav attiecināms.</w:t>
            </w:r>
          </w:p>
        </w:tc>
      </w:tr>
      <w:tr w:rsidR="009912C5" w:rsidRPr="002955DE" w:rsidTr="008E37A9">
        <w:trPr>
          <w:trHeight w:val="476"/>
          <w:tblCellSpacing w:w="0" w:type="dxa"/>
        </w:trPr>
        <w:tc>
          <w:tcPr>
            <w:tcW w:w="299" w:type="dxa"/>
            <w:tcBorders>
              <w:top w:val="outset" w:sz="6" w:space="0" w:color="auto"/>
              <w:bottom w:val="outset" w:sz="6" w:space="0" w:color="auto"/>
              <w:right w:val="outset" w:sz="6" w:space="0" w:color="auto"/>
            </w:tcBorders>
          </w:tcPr>
          <w:p w:rsidR="009912C5" w:rsidRPr="002955DE" w:rsidRDefault="009912C5" w:rsidP="008E37A9">
            <w:pPr>
              <w:jc w:val="both"/>
            </w:pPr>
            <w:r w:rsidRPr="002955DE">
              <w:t> 6.</w:t>
            </w:r>
          </w:p>
        </w:tc>
        <w:tc>
          <w:tcPr>
            <w:tcW w:w="4678" w:type="dxa"/>
            <w:tcBorders>
              <w:top w:val="outset" w:sz="6" w:space="0" w:color="auto"/>
              <w:left w:val="outset" w:sz="6" w:space="0" w:color="auto"/>
              <w:bottom w:val="outset" w:sz="6" w:space="0" w:color="auto"/>
              <w:right w:val="outset" w:sz="6" w:space="0" w:color="auto"/>
            </w:tcBorders>
          </w:tcPr>
          <w:p w:rsidR="009912C5" w:rsidRPr="002955DE" w:rsidRDefault="009912C5" w:rsidP="008E37A9">
            <w:pPr>
              <w:jc w:val="both"/>
            </w:pPr>
            <w:r w:rsidRPr="002955DE">
              <w:t> Cita informācija</w:t>
            </w:r>
          </w:p>
        </w:tc>
        <w:tc>
          <w:tcPr>
            <w:tcW w:w="4124" w:type="dxa"/>
            <w:tcBorders>
              <w:top w:val="outset" w:sz="6" w:space="0" w:color="auto"/>
              <w:left w:val="outset" w:sz="6" w:space="0" w:color="auto"/>
              <w:bottom w:val="outset" w:sz="6" w:space="0" w:color="auto"/>
            </w:tcBorders>
          </w:tcPr>
          <w:p w:rsidR="009912C5" w:rsidRPr="002955DE" w:rsidRDefault="009912C5" w:rsidP="008E37A9">
            <w:pPr>
              <w:jc w:val="both"/>
            </w:pPr>
            <w:r w:rsidRPr="002955DE">
              <w:t> Nav.</w:t>
            </w:r>
          </w:p>
          <w:p w:rsidR="009912C5" w:rsidRPr="002955DE" w:rsidRDefault="009912C5" w:rsidP="008E37A9">
            <w:pPr>
              <w:jc w:val="both"/>
            </w:pPr>
          </w:p>
        </w:tc>
      </w:tr>
    </w:tbl>
    <w:p w:rsidR="009912C5" w:rsidRPr="005C7EC0" w:rsidRDefault="009912C5" w:rsidP="00BC19B2">
      <w:pPr>
        <w:pStyle w:val="naisf"/>
      </w:pPr>
    </w:p>
    <w:p w:rsidR="009912C5" w:rsidRPr="009A1F05" w:rsidRDefault="009912C5" w:rsidP="008339B1">
      <w:pPr>
        <w:jc w:val="both"/>
      </w:pPr>
      <w:r w:rsidRPr="009A1F05">
        <w:t>Ekonomikas ministrs</w:t>
      </w:r>
      <w:r w:rsidRPr="009A1F05">
        <w:tab/>
      </w:r>
      <w:r w:rsidRPr="009A1F05">
        <w:tab/>
      </w:r>
      <w:r w:rsidRPr="009A1F05">
        <w:tab/>
      </w:r>
      <w:r w:rsidRPr="009A1F05">
        <w:tab/>
      </w:r>
      <w:r w:rsidRPr="009A1F05">
        <w:tab/>
      </w:r>
      <w:r w:rsidRPr="009A1F05">
        <w:tab/>
      </w:r>
      <w:r w:rsidRPr="009A1F05">
        <w:tab/>
      </w:r>
      <w:r w:rsidRPr="009A1F05">
        <w:tab/>
      </w:r>
      <w:r>
        <w:tab/>
      </w:r>
      <w:r w:rsidRPr="009A1F05">
        <w:t>D.Pavļuts</w:t>
      </w:r>
    </w:p>
    <w:p w:rsidR="009912C5" w:rsidRPr="009A1F05" w:rsidRDefault="009912C5" w:rsidP="008339B1">
      <w:pPr>
        <w:jc w:val="both"/>
      </w:pPr>
    </w:p>
    <w:p w:rsidR="009912C5" w:rsidRPr="009A1F05" w:rsidRDefault="009912C5" w:rsidP="00B94210">
      <w:r w:rsidRPr="009A1F05">
        <w:t xml:space="preserve">Vīza: </w:t>
      </w:r>
      <w:r w:rsidRPr="00FC18C4">
        <w:t>Valsts sekretār</w:t>
      </w:r>
      <w:r>
        <w:t>s</w:t>
      </w:r>
      <w:r>
        <w:tab/>
      </w:r>
      <w:r>
        <w:tab/>
      </w:r>
      <w:r>
        <w:tab/>
      </w:r>
      <w:r>
        <w:tab/>
      </w:r>
      <w:r>
        <w:tab/>
      </w:r>
      <w:r>
        <w:tab/>
      </w:r>
      <w:r>
        <w:tab/>
      </w:r>
      <w:r>
        <w:tab/>
      </w:r>
      <w:r>
        <w:tab/>
        <w:t>J</w:t>
      </w:r>
      <w:r w:rsidRPr="009A1F05">
        <w:t>.</w:t>
      </w:r>
      <w:r>
        <w:t>Pūce</w:t>
      </w:r>
    </w:p>
    <w:p w:rsidR="009912C5" w:rsidRPr="00FC18C4" w:rsidRDefault="009912C5" w:rsidP="00BC19B2">
      <w:pPr>
        <w:pStyle w:val="BodyTextIndent"/>
        <w:tabs>
          <w:tab w:val="left" w:pos="0"/>
          <w:tab w:val="left" w:pos="1701"/>
          <w:tab w:val="left" w:pos="6521"/>
        </w:tabs>
        <w:spacing w:after="0"/>
        <w:ind w:left="0"/>
      </w:pPr>
    </w:p>
    <w:p w:rsidR="00336E13" w:rsidRDefault="00336E13" w:rsidP="008339B1">
      <w:pPr>
        <w:jc w:val="both"/>
        <w:rPr>
          <w:sz w:val="20"/>
          <w:szCs w:val="20"/>
        </w:rPr>
      </w:pPr>
    </w:p>
    <w:p w:rsidR="00336E13" w:rsidRDefault="00336E13" w:rsidP="008339B1">
      <w:pPr>
        <w:jc w:val="both"/>
        <w:rPr>
          <w:sz w:val="20"/>
          <w:szCs w:val="20"/>
        </w:rPr>
      </w:pPr>
    </w:p>
    <w:p w:rsidR="00336E13" w:rsidRDefault="00336E13" w:rsidP="008339B1">
      <w:pPr>
        <w:jc w:val="both"/>
        <w:rPr>
          <w:sz w:val="20"/>
          <w:szCs w:val="20"/>
        </w:rPr>
      </w:pPr>
    </w:p>
    <w:p w:rsidR="00336E13" w:rsidRDefault="00336E13" w:rsidP="008339B1">
      <w:pPr>
        <w:jc w:val="both"/>
        <w:rPr>
          <w:sz w:val="20"/>
          <w:szCs w:val="20"/>
        </w:rPr>
      </w:pPr>
    </w:p>
    <w:p w:rsidR="00336E13" w:rsidRDefault="00336E13" w:rsidP="008339B1">
      <w:pPr>
        <w:jc w:val="both"/>
        <w:rPr>
          <w:sz w:val="20"/>
          <w:szCs w:val="20"/>
        </w:rPr>
      </w:pPr>
    </w:p>
    <w:p w:rsidR="00336E13" w:rsidRDefault="00336E13" w:rsidP="008339B1">
      <w:pPr>
        <w:jc w:val="both"/>
        <w:rPr>
          <w:sz w:val="20"/>
          <w:szCs w:val="20"/>
        </w:rPr>
      </w:pPr>
    </w:p>
    <w:p w:rsidR="00336E13" w:rsidRDefault="00336E13"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29212F" w:rsidRDefault="0029212F" w:rsidP="008339B1">
      <w:pPr>
        <w:jc w:val="both"/>
        <w:rPr>
          <w:sz w:val="20"/>
          <w:szCs w:val="20"/>
        </w:rPr>
      </w:pPr>
    </w:p>
    <w:p w:rsidR="00336E13" w:rsidRDefault="00336E13" w:rsidP="008339B1">
      <w:pPr>
        <w:jc w:val="both"/>
        <w:rPr>
          <w:sz w:val="20"/>
          <w:szCs w:val="20"/>
        </w:rPr>
      </w:pPr>
    </w:p>
    <w:p w:rsidR="00336E13" w:rsidRDefault="00336E13" w:rsidP="008339B1">
      <w:pPr>
        <w:jc w:val="both"/>
        <w:rPr>
          <w:sz w:val="20"/>
          <w:szCs w:val="20"/>
        </w:rPr>
      </w:pPr>
    </w:p>
    <w:p w:rsidR="00336E13" w:rsidRDefault="00336E13" w:rsidP="008339B1">
      <w:pPr>
        <w:jc w:val="both"/>
        <w:rPr>
          <w:sz w:val="20"/>
          <w:szCs w:val="20"/>
        </w:rPr>
      </w:pPr>
    </w:p>
    <w:p w:rsidR="009912C5" w:rsidRDefault="00474CB7" w:rsidP="008339B1">
      <w:pPr>
        <w:jc w:val="both"/>
        <w:rPr>
          <w:sz w:val="20"/>
          <w:szCs w:val="20"/>
        </w:rPr>
      </w:pPr>
      <w:r>
        <w:rPr>
          <w:sz w:val="20"/>
          <w:szCs w:val="20"/>
        </w:rPr>
        <w:t>19</w:t>
      </w:r>
      <w:r w:rsidR="009912C5" w:rsidRPr="00AF6378">
        <w:rPr>
          <w:sz w:val="20"/>
          <w:szCs w:val="20"/>
        </w:rPr>
        <w:t>.</w:t>
      </w:r>
      <w:r w:rsidR="00336E13">
        <w:rPr>
          <w:sz w:val="20"/>
          <w:szCs w:val="20"/>
        </w:rPr>
        <w:t>0</w:t>
      </w:r>
      <w:r w:rsidR="0029212F">
        <w:rPr>
          <w:sz w:val="20"/>
          <w:szCs w:val="20"/>
        </w:rPr>
        <w:t>4</w:t>
      </w:r>
      <w:r w:rsidR="009912C5">
        <w:rPr>
          <w:sz w:val="20"/>
          <w:szCs w:val="20"/>
        </w:rPr>
        <w:t>.201</w:t>
      </w:r>
      <w:r w:rsidR="00336E13">
        <w:rPr>
          <w:sz w:val="20"/>
          <w:szCs w:val="20"/>
        </w:rPr>
        <w:t>3</w:t>
      </w:r>
      <w:r w:rsidR="009912C5">
        <w:rPr>
          <w:sz w:val="20"/>
          <w:szCs w:val="20"/>
        </w:rPr>
        <w:t xml:space="preserve">. </w:t>
      </w:r>
      <w:r>
        <w:rPr>
          <w:sz w:val="20"/>
          <w:szCs w:val="20"/>
        </w:rPr>
        <w:t>10:5</w:t>
      </w:r>
      <w:r w:rsidR="0047211A">
        <w:rPr>
          <w:sz w:val="20"/>
          <w:szCs w:val="20"/>
        </w:rPr>
        <w:t>2</w:t>
      </w:r>
    </w:p>
    <w:p w:rsidR="009912C5" w:rsidRPr="00236DCA" w:rsidRDefault="004247D8" w:rsidP="008339B1">
      <w:pPr>
        <w:jc w:val="both"/>
        <w:rPr>
          <w:sz w:val="20"/>
          <w:szCs w:val="20"/>
        </w:rPr>
      </w:pPr>
      <w:r>
        <w:rPr>
          <w:sz w:val="20"/>
          <w:szCs w:val="20"/>
        </w:rPr>
        <w:t>925</w:t>
      </w:r>
    </w:p>
    <w:p w:rsidR="004247D8" w:rsidRDefault="00474CB7" w:rsidP="00B94210">
      <w:pPr>
        <w:jc w:val="both"/>
        <w:rPr>
          <w:sz w:val="20"/>
          <w:szCs w:val="20"/>
        </w:rPr>
      </w:pPr>
      <w:r>
        <w:rPr>
          <w:sz w:val="20"/>
          <w:szCs w:val="20"/>
        </w:rPr>
        <w:t>Andruko</w:t>
      </w:r>
      <w:bookmarkStart w:id="0" w:name="_GoBack"/>
      <w:bookmarkEnd w:id="0"/>
      <w:r>
        <w:rPr>
          <w:sz w:val="20"/>
          <w:szCs w:val="20"/>
        </w:rPr>
        <w:t>viča</w:t>
      </w:r>
    </w:p>
    <w:p w:rsidR="009912C5" w:rsidRDefault="009912C5" w:rsidP="00B94210">
      <w:pPr>
        <w:jc w:val="both"/>
      </w:pPr>
      <w:r w:rsidRPr="00BA07F8">
        <w:rPr>
          <w:sz w:val="20"/>
          <w:szCs w:val="20"/>
        </w:rPr>
        <w:t>67013</w:t>
      </w:r>
      <w:r w:rsidR="00474CB7">
        <w:rPr>
          <w:sz w:val="20"/>
          <w:szCs w:val="20"/>
        </w:rPr>
        <w:t>144</w:t>
      </w:r>
      <w:r>
        <w:rPr>
          <w:sz w:val="20"/>
          <w:szCs w:val="20"/>
        </w:rPr>
        <w:t xml:space="preserve">, </w:t>
      </w:r>
      <w:hyperlink r:id="rId8" w:history="1">
        <w:r w:rsidR="00474CB7" w:rsidRPr="00CB42B1">
          <w:rPr>
            <w:rStyle w:val="Hyperlink"/>
            <w:sz w:val="20"/>
            <w:szCs w:val="20"/>
          </w:rPr>
          <w:t>Natalja.Andrukovica@em.gov.lv</w:t>
        </w:r>
      </w:hyperlink>
      <w:r>
        <w:rPr>
          <w:sz w:val="20"/>
          <w:szCs w:val="20"/>
        </w:rPr>
        <w:t xml:space="preserve"> </w:t>
      </w:r>
    </w:p>
    <w:sectPr w:rsidR="009912C5" w:rsidSect="00860116">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D8" w:rsidRDefault="00BD28D8" w:rsidP="00D8025D">
      <w:pPr>
        <w:pStyle w:val="naisf"/>
      </w:pPr>
      <w:r>
        <w:separator/>
      </w:r>
    </w:p>
  </w:endnote>
  <w:endnote w:type="continuationSeparator" w:id="0">
    <w:p w:rsidR="00BD28D8" w:rsidRDefault="00BD28D8" w:rsidP="00D8025D">
      <w:pPr>
        <w:pStyle w:val="nais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C5" w:rsidRPr="00B94210" w:rsidRDefault="009912C5" w:rsidP="00B94210">
    <w:pPr>
      <w:pStyle w:val="naisc"/>
      <w:spacing w:before="0" w:after="0"/>
      <w:jc w:val="both"/>
      <w:outlineLvl w:val="0"/>
      <w:rPr>
        <w:sz w:val="20"/>
        <w:szCs w:val="20"/>
      </w:rPr>
    </w:pPr>
    <w:r w:rsidRPr="00B94210">
      <w:rPr>
        <w:sz w:val="20"/>
        <w:szCs w:val="20"/>
      </w:rPr>
      <w:t>EMAnot_</w:t>
    </w:r>
    <w:r w:rsidR="00474CB7">
      <w:rPr>
        <w:sz w:val="20"/>
        <w:szCs w:val="20"/>
      </w:rPr>
      <w:t>19</w:t>
    </w:r>
    <w:r w:rsidR="0029212F">
      <w:rPr>
        <w:sz w:val="20"/>
        <w:szCs w:val="20"/>
      </w:rPr>
      <w:t>04</w:t>
    </w:r>
    <w:r w:rsidR="00336E13">
      <w:rPr>
        <w:sz w:val="20"/>
        <w:szCs w:val="20"/>
      </w:rPr>
      <w:t>13</w:t>
    </w:r>
    <w:r w:rsidRPr="00B94210">
      <w:rPr>
        <w:sz w:val="20"/>
        <w:szCs w:val="20"/>
      </w:rPr>
      <w:t>_</w:t>
    </w:r>
    <w:r>
      <w:rPr>
        <w:sz w:val="20"/>
        <w:szCs w:val="20"/>
      </w:rPr>
      <w:t>trošuceļi</w:t>
    </w:r>
    <w:r w:rsidRPr="00B94210">
      <w:rPr>
        <w:sz w:val="20"/>
        <w:szCs w:val="20"/>
      </w:rPr>
      <w:t xml:space="preserve">; </w:t>
    </w:r>
    <w:r w:rsidRPr="00B94210">
      <w:rPr>
        <w:bCs/>
        <w:sz w:val="20"/>
        <w:szCs w:val="20"/>
      </w:rPr>
      <w:t>Ministru kabineta noteikumu projekta „</w:t>
    </w:r>
    <w:r w:rsidRPr="00B94210">
      <w:rPr>
        <w:noProof/>
        <w:sz w:val="20"/>
        <w:szCs w:val="20"/>
      </w:rPr>
      <w:t>Grozījumi Ministru kabineta 2007.gada 14.augusta noteikumos Nr.555 „</w:t>
    </w:r>
    <w:r w:rsidRPr="00B94210">
      <w:rPr>
        <w:bCs/>
        <w:sz w:val="20"/>
        <w:szCs w:val="20"/>
      </w:rPr>
      <w:t>Trošu ceļu iekārtu tehniskās uzraudzības kārtība</w:t>
    </w:r>
    <w:r w:rsidRPr="00B94210">
      <w:rPr>
        <w:noProof/>
        <w:sz w:val="20"/>
        <w:szCs w:val="20"/>
      </w:rPr>
      <w:t>”</w:t>
    </w:r>
    <w:r w:rsidRPr="00B94210">
      <w:rPr>
        <w:bCs/>
        <w:sz w:val="20"/>
        <w:szCs w:val="20"/>
      </w:rPr>
      <w:t>”</w:t>
    </w:r>
    <w:r w:rsidR="00070933">
      <w:rPr>
        <w:bCs/>
        <w:sz w:val="20"/>
        <w:szCs w:val="20"/>
      </w:rPr>
      <w:t xml:space="preserve"> </w:t>
    </w:r>
    <w:r w:rsidRPr="00B94210">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C5" w:rsidRPr="00B94210" w:rsidRDefault="009912C5" w:rsidP="00B94210">
    <w:pPr>
      <w:pStyle w:val="naisc"/>
      <w:spacing w:before="0" w:after="0"/>
      <w:jc w:val="both"/>
      <w:outlineLvl w:val="0"/>
      <w:rPr>
        <w:sz w:val="20"/>
        <w:szCs w:val="20"/>
      </w:rPr>
    </w:pPr>
    <w:r w:rsidRPr="00B94210">
      <w:rPr>
        <w:sz w:val="20"/>
        <w:szCs w:val="20"/>
      </w:rPr>
      <w:t>EMAnot_</w:t>
    </w:r>
    <w:r w:rsidR="00474CB7">
      <w:rPr>
        <w:sz w:val="20"/>
        <w:szCs w:val="20"/>
      </w:rPr>
      <w:t>19</w:t>
    </w:r>
    <w:r w:rsidR="0029212F">
      <w:rPr>
        <w:sz w:val="20"/>
        <w:szCs w:val="20"/>
      </w:rPr>
      <w:t>04</w:t>
    </w:r>
    <w:r w:rsidR="00336E13">
      <w:rPr>
        <w:sz w:val="20"/>
        <w:szCs w:val="20"/>
      </w:rPr>
      <w:t>13</w:t>
    </w:r>
    <w:r w:rsidRPr="00B94210">
      <w:rPr>
        <w:sz w:val="20"/>
        <w:szCs w:val="20"/>
      </w:rPr>
      <w:t>_</w:t>
    </w:r>
    <w:r>
      <w:rPr>
        <w:sz w:val="20"/>
        <w:szCs w:val="20"/>
      </w:rPr>
      <w:t>trošuceļi</w:t>
    </w:r>
    <w:r w:rsidRPr="00B94210">
      <w:rPr>
        <w:sz w:val="20"/>
        <w:szCs w:val="20"/>
      </w:rPr>
      <w:t xml:space="preserve">; </w:t>
    </w:r>
    <w:r w:rsidRPr="00B94210">
      <w:rPr>
        <w:bCs/>
        <w:sz w:val="20"/>
        <w:szCs w:val="20"/>
      </w:rPr>
      <w:t>Ministru kabineta noteikumu projekta „</w:t>
    </w:r>
    <w:r w:rsidRPr="00B94210">
      <w:rPr>
        <w:noProof/>
        <w:sz w:val="20"/>
        <w:szCs w:val="20"/>
      </w:rPr>
      <w:t>Grozījumi Ministru kabineta 2007.gada 14.augusta noteikumos Nr.555 „</w:t>
    </w:r>
    <w:r w:rsidRPr="00B94210">
      <w:rPr>
        <w:bCs/>
        <w:sz w:val="20"/>
        <w:szCs w:val="20"/>
      </w:rPr>
      <w:t>Trošu ceļu iekārtu tehniskās uzraudzības kārtība</w:t>
    </w:r>
    <w:r w:rsidRPr="00B94210">
      <w:rPr>
        <w:noProof/>
        <w:sz w:val="20"/>
        <w:szCs w:val="20"/>
      </w:rPr>
      <w:t>”</w:t>
    </w:r>
    <w:r w:rsidRPr="00B94210">
      <w:rPr>
        <w:bCs/>
        <w:sz w:val="20"/>
        <w:szCs w:val="20"/>
      </w:rPr>
      <w:t>”</w:t>
    </w:r>
    <w:r w:rsidR="00070933">
      <w:rPr>
        <w:bCs/>
        <w:sz w:val="20"/>
        <w:szCs w:val="20"/>
      </w:rPr>
      <w:t xml:space="preserve"> </w:t>
    </w:r>
    <w:r w:rsidRPr="00B94210">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D8" w:rsidRDefault="00BD28D8" w:rsidP="00D8025D">
      <w:pPr>
        <w:pStyle w:val="naisf"/>
      </w:pPr>
      <w:r>
        <w:separator/>
      </w:r>
    </w:p>
  </w:footnote>
  <w:footnote w:type="continuationSeparator" w:id="0">
    <w:p w:rsidR="00BD28D8" w:rsidRDefault="00BD28D8" w:rsidP="00D8025D">
      <w:pPr>
        <w:pStyle w:val="naisf"/>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C5" w:rsidRDefault="009912C5" w:rsidP="00BC19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12C5" w:rsidRDefault="00991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C5" w:rsidRDefault="009912C5" w:rsidP="00BC19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211A">
      <w:rPr>
        <w:rStyle w:val="PageNumber"/>
        <w:noProof/>
      </w:rPr>
      <w:t>4</w:t>
    </w:r>
    <w:r>
      <w:rPr>
        <w:rStyle w:val="PageNumber"/>
      </w:rPr>
      <w:fldChar w:fldCharType="end"/>
    </w:r>
  </w:p>
  <w:p w:rsidR="009912C5" w:rsidRDefault="00991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3607"/>
    <w:multiLevelType w:val="hybridMultilevel"/>
    <w:tmpl w:val="59EC3058"/>
    <w:lvl w:ilvl="0" w:tplc="6E182DAA">
      <w:start w:val="1"/>
      <w:numFmt w:val="decimal"/>
      <w:lvlText w:val="%1."/>
      <w:lvlJc w:val="left"/>
      <w:pPr>
        <w:tabs>
          <w:tab w:val="num" w:pos="735"/>
        </w:tabs>
        <w:ind w:left="735" w:hanging="360"/>
      </w:pPr>
      <w:rPr>
        <w:rFonts w:cs="Times New Roman" w:hint="default"/>
      </w:rPr>
    </w:lvl>
    <w:lvl w:ilvl="1" w:tplc="04260019" w:tentative="1">
      <w:start w:val="1"/>
      <w:numFmt w:val="lowerLetter"/>
      <w:lvlText w:val="%2."/>
      <w:lvlJc w:val="left"/>
      <w:pPr>
        <w:tabs>
          <w:tab w:val="num" w:pos="1455"/>
        </w:tabs>
        <w:ind w:left="1455" w:hanging="360"/>
      </w:pPr>
      <w:rPr>
        <w:rFonts w:cs="Times New Roman"/>
      </w:rPr>
    </w:lvl>
    <w:lvl w:ilvl="2" w:tplc="0426001B" w:tentative="1">
      <w:start w:val="1"/>
      <w:numFmt w:val="lowerRoman"/>
      <w:lvlText w:val="%3."/>
      <w:lvlJc w:val="right"/>
      <w:pPr>
        <w:tabs>
          <w:tab w:val="num" w:pos="2175"/>
        </w:tabs>
        <w:ind w:left="2175" w:hanging="180"/>
      </w:pPr>
      <w:rPr>
        <w:rFonts w:cs="Times New Roman"/>
      </w:rPr>
    </w:lvl>
    <w:lvl w:ilvl="3" w:tplc="0426000F" w:tentative="1">
      <w:start w:val="1"/>
      <w:numFmt w:val="decimal"/>
      <w:lvlText w:val="%4."/>
      <w:lvlJc w:val="left"/>
      <w:pPr>
        <w:tabs>
          <w:tab w:val="num" w:pos="2895"/>
        </w:tabs>
        <w:ind w:left="2895" w:hanging="360"/>
      </w:pPr>
      <w:rPr>
        <w:rFonts w:cs="Times New Roman"/>
      </w:rPr>
    </w:lvl>
    <w:lvl w:ilvl="4" w:tplc="04260019" w:tentative="1">
      <w:start w:val="1"/>
      <w:numFmt w:val="lowerLetter"/>
      <w:lvlText w:val="%5."/>
      <w:lvlJc w:val="left"/>
      <w:pPr>
        <w:tabs>
          <w:tab w:val="num" w:pos="3615"/>
        </w:tabs>
        <w:ind w:left="3615" w:hanging="360"/>
      </w:pPr>
      <w:rPr>
        <w:rFonts w:cs="Times New Roman"/>
      </w:rPr>
    </w:lvl>
    <w:lvl w:ilvl="5" w:tplc="0426001B" w:tentative="1">
      <w:start w:val="1"/>
      <w:numFmt w:val="lowerRoman"/>
      <w:lvlText w:val="%6."/>
      <w:lvlJc w:val="right"/>
      <w:pPr>
        <w:tabs>
          <w:tab w:val="num" w:pos="4335"/>
        </w:tabs>
        <w:ind w:left="4335" w:hanging="180"/>
      </w:pPr>
      <w:rPr>
        <w:rFonts w:cs="Times New Roman"/>
      </w:rPr>
    </w:lvl>
    <w:lvl w:ilvl="6" w:tplc="0426000F" w:tentative="1">
      <w:start w:val="1"/>
      <w:numFmt w:val="decimal"/>
      <w:lvlText w:val="%7."/>
      <w:lvlJc w:val="left"/>
      <w:pPr>
        <w:tabs>
          <w:tab w:val="num" w:pos="5055"/>
        </w:tabs>
        <w:ind w:left="5055" w:hanging="360"/>
      </w:pPr>
      <w:rPr>
        <w:rFonts w:cs="Times New Roman"/>
      </w:rPr>
    </w:lvl>
    <w:lvl w:ilvl="7" w:tplc="04260019" w:tentative="1">
      <w:start w:val="1"/>
      <w:numFmt w:val="lowerLetter"/>
      <w:lvlText w:val="%8."/>
      <w:lvlJc w:val="left"/>
      <w:pPr>
        <w:tabs>
          <w:tab w:val="num" w:pos="5775"/>
        </w:tabs>
        <w:ind w:left="5775" w:hanging="360"/>
      </w:pPr>
      <w:rPr>
        <w:rFonts w:cs="Times New Roman"/>
      </w:rPr>
    </w:lvl>
    <w:lvl w:ilvl="8" w:tplc="0426001B" w:tentative="1">
      <w:start w:val="1"/>
      <w:numFmt w:val="lowerRoman"/>
      <w:lvlText w:val="%9."/>
      <w:lvlJc w:val="right"/>
      <w:pPr>
        <w:tabs>
          <w:tab w:val="num" w:pos="6495"/>
        </w:tabs>
        <w:ind w:left="6495" w:hanging="180"/>
      </w:pPr>
      <w:rPr>
        <w:rFonts w:cs="Times New Roman"/>
      </w:rPr>
    </w:lvl>
  </w:abstractNum>
  <w:abstractNum w:abstractNumId="1">
    <w:nsid w:val="47681463"/>
    <w:multiLevelType w:val="hybridMultilevel"/>
    <w:tmpl w:val="B3C64DC0"/>
    <w:lvl w:ilvl="0" w:tplc="107E0B1E">
      <w:numFmt w:val="bullet"/>
      <w:lvlText w:val="-"/>
      <w:lvlJc w:val="left"/>
      <w:pPr>
        <w:ind w:left="562" w:hanging="360"/>
      </w:pPr>
      <w:rPr>
        <w:rFonts w:ascii="Times New Roman" w:eastAsia="Times New Roman" w:hAnsi="Times New Roman" w:hint="default"/>
        <w:color w:val="auto"/>
        <w:u w:val="none"/>
      </w:rPr>
    </w:lvl>
    <w:lvl w:ilvl="1" w:tplc="04260003" w:tentative="1">
      <w:start w:val="1"/>
      <w:numFmt w:val="bullet"/>
      <w:lvlText w:val="o"/>
      <w:lvlJc w:val="left"/>
      <w:pPr>
        <w:ind w:left="1282" w:hanging="360"/>
      </w:pPr>
      <w:rPr>
        <w:rFonts w:ascii="Courier New" w:hAnsi="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2">
    <w:nsid w:val="60BC5D25"/>
    <w:multiLevelType w:val="hybridMultilevel"/>
    <w:tmpl w:val="A300D466"/>
    <w:lvl w:ilvl="0" w:tplc="DF3CBFAC">
      <w:start w:val="1"/>
      <w:numFmt w:val="decimal"/>
      <w:lvlText w:val="%1)"/>
      <w:lvlJc w:val="left"/>
      <w:pPr>
        <w:ind w:left="1129" w:hanging="360"/>
      </w:pPr>
      <w:rPr>
        <w:rFonts w:hint="default"/>
      </w:r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9B2"/>
    <w:rsid w:val="00001FDE"/>
    <w:rsid w:val="000029F3"/>
    <w:rsid w:val="000115C5"/>
    <w:rsid w:val="0002331F"/>
    <w:rsid w:val="000245EE"/>
    <w:rsid w:val="00032A90"/>
    <w:rsid w:val="00033B0C"/>
    <w:rsid w:val="00036FF7"/>
    <w:rsid w:val="00050B75"/>
    <w:rsid w:val="000526D0"/>
    <w:rsid w:val="00056F12"/>
    <w:rsid w:val="00064EEA"/>
    <w:rsid w:val="00070933"/>
    <w:rsid w:val="0007120E"/>
    <w:rsid w:val="000726B3"/>
    <w:rsid w:val="000802C1"/>
    <w:rsid w:val="00081EAF"/>
    <w:rsid w:val="00085599"/>
    <w:rsid w:val="00091CE3"/>
    <w:rsid w:val="000A0D02"/>
    <w:rsid w:val="000B5278"/>
    <w:rsid w:val="000C15B0"/>
    <w:rsid w:val="000C617D"/>
    <w:rsid w:val="000D7ED9"/>
    <w:rsid w:val="000E0451"/>
    <w:rsid w:val="000E1E0D"/>
    <w:rsid w:val="000F0588"/>
    <w:rsid w:val="00100F98"/>
    <w:rsid w:val="00105725"/>
    <w:rsid w:val="00111A50"/>
    <w:rsid w:val="0011546E"/>
    <w:rsid w:val="00126B58"/>
    <w:rsid w:val="00131BB7"/>
    <w:rsid w:val="00131D1A"/>
    <w:rsid w:val="00137E77"/>
    <w:rsid w:val="00137E88"/>
    <w:rsid w:val="00143D33"/>
    <w:rsid w:val="0014401D"/>
    <w:rsid w:val="00152076"/>
    <w:rsid w:val="001713F7"/>
    <w:rsid w:val="00175325"/>
    <w:rsid w:val="00182F9D"/>
    <w:rsid w:val="001923B8"/>
    <w:rsid w:val="00192D2F"/>
    <w:rsid w:val="0019733F"/>
    <w:rsid w:val="001B142C"/>
    <w:rsid w:val="001D1C98"/>
    <w:rsid w:val="00202762"/>
    <w:rsid w:val="00210FCE"/>
    <w:rsid w:val="00211257"/>
    <w:rsid w:val="00222DFD"/>
    <w:rsid w:val="00226AAE"/>
    <w:rsid w:val="00230BE4"/>
    <w:rsid w:val="002332F4"/>
    <w:rsid w:val="00236DCA"/>
    <w:rsid w:val="002434AB"/>
    <w:rsid w:val="00245860"/>
    <w:rsid w:val="002600F0"/>
    <w:rsid w:val="00264056"/>
    <w:rsid w:val="002820B7"/>
    <w:rsid w:val="00285580"/>
    <w:rsid w:val="00286145"/>
    <w:rsid w:val="0029212F"/>
    <w:rsid w:val="002955DE"/>
    <w:rsid w:val="002A3A82"/>
    <w:rsid w:val="002A5B8F"/>
    <w:rsid w:val="002A687B"/>
    <w:rsid w:val="002A7DC8"/>
    <w:rsid w:val="002B42AB"/>
    <w:rsid w:val="002B4CB4"/>
    <w:rsid w:val="002D147F"/>
    <w:rsid w:val="002D159B"/>
    <w:rsid w:val="002D4AD1"/>
    <w:rsid w:val="002D6452"/>
    <w:rsid w:val="002D668F"/>
    <w:rsid w:val="002E0985"/>
    <w:rsid w:val="002E47EC"/>
    <w:rsid w:val="002E726D"/>
    <w:rsid w:val="002F02F6"/>
    <w:rsid w:val="002F4A99"/>
    <w:rsid w:val="003028E6"/>
    <w:rsid w:val="0031549D"/>
    <w:rsid w:val="00317033"/>
    <w:rsid w:val="00317BD5"/>
    <w:rsid w:val="00321C8E"/>
    <w:rsid w:val="0032386A"/>
    <w:rsid w:val="00331916"/>
    <w:rsid w:val="00334B6D"/>
    <w:rsid w:val="00336E13"/>
    <w:rsid w:val="00344152"/>
    <w:rsid w:val="00346160"/>
    <w:rsid w:val="00353456"/>
    <w:rsid w:val="003624B9"/>
    <w:rsid w:val="00362806"/>
    <w:rsid w:val="00365BBF"/>
    <w:rsid w:val="00371B65"/>
    <w:rsid w:val="0039270D"/>
    <w:rsid w:val="00395066"/>
    <w:rsid w:val="003A0262"/>
    <w:rsid w:val="003A3F7F"/>
    <w:rsid w:val="003A5134"/>
    <w:rsid w:val="003A6C89"/>
    <w:rsid w:val="003B633E"/>
    <w:rsid w:val="003B6C3B"/>
    <w:rsid w:val="003C1717"/>
    <w:rsid w:val="003C1F74"/>
    <w:rsid w:val="003D0415"/>
    <w:rsid w:val="003E15D6"/>
    <w:rsid w:val="003E2860"/>
    <w:rsid w:val="003E2DC5"/>
    <w:rsid w:val="003F7EE2"/>
    <w:rsid w:val="00400160"/>
    <w:rsid w:val="00400B34"/>
    <w:rsid w:val="00403192"/>
    <w:rsid w:val="00405C12"/>
    <w:rsid w:val="00410823"/>
    <w:rsid w:val="0042465D"/>
    <w:rsid w:val="004247D8"/>
    <w:rsid w:val="00440A59"/>
    <w:rsid w:val="004452C3"/>
    <w:rsid w:val="00460ACD"/>
    <w:rsid w:val="00462808"/>
    <w:rsid w:val="004649A6"/>
    <w:rsid w:val="0046794F"/>
    <w:rsid w:val="00467BBD"/>
    <w:rsid w:val="0047211A"/>
    <w:rsid w:val="004742C6"/>
    <w:rsid w:val="00474CB7"/>
    <w:rsid w:val="00476D7C"/>
    <w:rsid w:val="00481F59"/>
    <w:rsid w:val="00486CD9"/>
    <w:rsid w:val="00490AA7"/>
    <w:rsid w:val="0049284A"/>
    <w:rsid w:val="004A16C8"/>
    <w:rsid w:val="004A2CB5"/>
    <w:rsid w:val="004A7D31"/>
    <w:rsid w:val="004B4C9B"/>
    <w:rsid w:val="004B7E95"/>
    <w:rsid w:val="004C0C74"/>
    <w:rsid w:val="004E2119"/>
    <w:rsid w:val="004E575D"/>
    <w:rsid w:val="004E61C4"/>
    <w:rsid w:val="004F47E9"/>
    <w:rsid w:val="00503D25"/>
    <w:rsid w:val="00505AE7"/>
    <w:rsid w:val="00506B57"/>
    <w:rsid w:val="00507AA0"/>
    <w:rsid w:val="00513C39"/>
    <w:rsid w:val="00525723"/>
    <w:rsid w:val="0052617A"/>
    <w:rsid w:val="0052746D"/>
    <w:rsid w:val="005350E1"/>
    <w:rsid w:val="00537026"/>
    <w:rsid w:val="00546140"/>
    <w:rsid w:val="005478D1"/>
    <w:rsid w:val="0055163E"/>
    <w:rsid w:val="00560366"/>
    <w:rsid w:val="00562186"/>
    <w:rsid w:val="005657FC"/>
    <w:rsid w:val="005661A6"/>
    <w:rsid w:val="00571136"/>
    <w:rsid w:val="00572471"/>
    <w:rsid w:val="00577D8C"/>
    <w:rsid w:val="0058086D"/>
    <w:rsid w:val="005831A7"/>
    <w:rsid w:val="00583792"/>
    <w:rsid w:val="005C7EC0"/>
    <w:rsid w:val="005D5CDD"/>
    <w:rsid w:val="005E3601"/>
    <w:rsid w:val="005E6CE9"/>
    <w:rsid w:val="005F1AF2"/>
    <w:rsid w:val="00602DFC"/>
    <w:rsid w:val="006102DB"/>
    <w:rsid w:val="006113CD"/>
    <w:rsid w:val="00611D0E"/>
    <w:rsid w:val="006132F8"/>
    <w:rsid w:val="00613638"/>
    <w:rsid w:val="0061380E"/>
    <w:rsid w:val="006175EB"/>
    <w:rsid w:val="006340A0"/>
    <w:rsid w:val="006523E3"/>
    <w:rsid w:val="0067091E"/>
    <w:rsid w:val="00687E82"/>
    <w:rsid w:val="00690AA7"/>
    <w:rsid w:val="006A3378"/>
    <w:rsid w:val="006B0F14"/>
    <w:rsid w:val="006B749E"/>
    <w:rsid w:val="006C70D1"/>
    <w:rsid w:val="006D1FFC"/>
    <w:rsid w:val="006D6A51"/>
    <w:rsid w:val="006D71A1"/>
    <w:rsid w:val="006D7D50"/>
    <w:rsid w:val="006E0A05"/>
    <w:rsid w:val="006E0F0D"/>
    <w:rsid w:val="006E323E"/>
    <w:rsid w:val="006E3B4C"/>
    <w:rsid w:val="006E447C"/>
    <w:rsid w:val="006E5FC0"/>
    <w:rsid w:val="006E714D"/>
    <w:rsid w:val="006E71CC"/>
    <w:rsid w:val="006F57F8"/>
    <w:rsid w:val="006F7DEB"/>
    <w:rsid w:val="007020C2"/>
    <w:rsid w:val="00705DF5"/>
    <w:rsid w:val="00706B13"/>
    <w:rsid w:val="007239AD"/>
    <w:rsid w:val="00730F23"/>
    <w:rsid w:val="00735674"/>
    <w:rsid w:val="007367F4"/>
    <w:rsid w:val="00737C9C"/>
    <w:rsid w:val="00737D22"/>
    <w:rsid w:val="00740108"/>
    <w:rsid w:val="007402C0"/>
    <w:rsid w:val="0074718D"/>
    <w:rsid w:val="00762487"/>
    <w:rsid w:val="00772452"/>
    <w:rsid w:val="00782C2B"/>
    <w:rsid w:val="007A1754"/>
    <w:rsid w:val="007A46AE"/>
    <w:rsid w:val="007B2968"/>
    <w:rsid w:val="007B49A3"/>
    <w:rsid w:val="007B51A3"/>
    <w:rsid w:val="007C7EA3"/>
    <w:rsid w:val="007D4494"/>
    <w:rsid w:val="007D4F04"/>
    <w:rsid w:val="007D5C3F"/>
    <w:rsid w:val="007D77DB"/>
    <w:rsid w:val="007E215A"/>
    <w:rsid w:val="007E2687"/>
    <w:rsid w:val="007F1F5C"/>
    <w:rsid w:val="007F4137"/>
    <w:rsid w:val="00814921"/>
    <w:rsid w:val="008153E2"/>
    <w:rsid w:val="00831FF8"/>
    <w:rsid w:val="008339B1"/>
    <w:rsid w:val="00844396"/>
    <w:rsid w:val="00850984"/>
    <w:rsid w:val="00851093"/>
    <w:rsid w:val="008522C8"/>
    <w:rsid w:val="00860116"/>
    <w:rsid w:val="008602CE"/>
    <w:rsid w:val="008645DF"/>
    <w:rsid w:val="008649FF"/>
    <w:rsid w:val="00866767"/>
    <w:rsid w:val="00866A16"/>
    <w:rsid w:val="008675B3"/>
    <w:rsid w:val="00885F4C"/>
    <w:rsid w:val="008B68D4"/>
    <w:rsid w:val="008C1465"/>
    <w:rsid w:val="008D58E1"/>
    <w:rsid w:val="008E07B2"/>
    <w:rsid w:val="008E2CFF"/>
    <w:rsid w:val="008E36EC"/>
    <w:rsid w:val="008E37A9"/>
    <w:rsid w:val="008E7E81"/>
    <w:rsid w:val="008F242C"/>
    <w:rsid w:val="008F66FC"/>
    <w:rsid w:val="008F7F75"/>
    <w:rsid w:val="00900B79"/>
    <w:rsid w:val="00910C49"/>
    <w:rsid w:val="00915B9F"/>
    <w:rsid w:val="00931523"/>
    <w:rsid w:val="00933CDE"/>
    <w:rsid w:val="00935A20"/>
    <w:rsid w:val="009378D6"/>
    <w:rsid w:val="00941A52"/>
    <w:rsid w:val="00967262"/>
    <w:rsid w:val="009672A8"/>
    <w:rsid w:val="00975DAC"/>
    <w:rsid w:val="009774EB"/>
    <w:rsid w:val="009838DE"/>
    <w:rsid w:val="009854C6"/>
    <w:rsid w:val="00987A81"/>
    <w:rsid w:val="009912C5"/>
    <w:rsid w:val="009A1F05"/>
    <w:rsid w:val="009A3312"/>
    <w:rsid w:val="009A6CF3"/>
    <w:rsid w:val="009A7BDA"/>
    <w:rsid w:val="009B0BA0"/>
    <w:rsid w:val="009B0EB1"/>
    <w:rsid w:val="009B4F63"/>
    <w:rsid w:val="009C3620"/>
    <w:rsid w:val="009D1EAF"/>
    <w:rsid w:val="009D7893"/>
    <w:rsid w:val="009E01D5"/>
    <w:rsid w:val="00A04AC5"/>
    <w:rsid w:val="00A15B01"/>
    <w:rsid w:val="00A43343"/>
    <w:rsid w:val="00A437E1"/>
    <w:rsid w:val="00A476A5"/>
    <w:rsid w:val="00A552E1"/>
    <w:rsid w:val="00A601C9"/>
    <w:rsid w:val="00A67410"/>
    <w:rsid w:val="00A74ED9"/>
    <w:rsid w:val="00A8158D"/>
    <w:rsid w:val="00A87D98"/>
    <w:rsid w:val="00A953AD"/>
    <w:rsid w:val="00A95F38"/>
    <w:rsid w:val="00AA2A99"/>
    <w:rsid w:val="00AB308D"/>
    <w:rsid w:val="00AC04D8"/>
    <w:rsid w:val="00AC35AB"/>
    <w:rsid w:val="00AD3625"/>
    <w:rsid w:val="00AD68EF"/>
    <w:rsid w:val="00AD75EF"/>
    <w:rsid w:val="00AE164C"/>
    <w:rsid w:val="00AE26CC"/>
    <w:rsid w:val="00AE6E6B"/>
    <w:rsid w:val="00AF2984"/>
    <w:rsid w:val="00AF2EF8"/>
    <w:rsid w:val="00AF6378"/>
    <w:rsid w:val="00B1053B"/>
    <w:rsid w:val="00B16FDE"/>
    <w:rsid w:val="00B272F5"/>
    <w:rsid w:val="00B27C4A"/>
    <w:rsid w:val="00B47572"/>
    <w:rsid w:val="00B61531"/>
    <w:rsid w:val="00B64655"/>
    <w:rsid w:val="00B6663E"/>
    <w:rsid w:val="00B8724C"/>
    <w:rsid w:val="00B93779"/>
    <w:rsid w:val="00B93F91"/>
    <w:rsid w:val="00B94210"/>
    <w:rsid w:val="00BA07F8"/>
    <w:rsid w:val="00BB1347"/>
    <w:rsid w:val="00BB2EBA"/>
    <w:rsid w:val="00BB6780"/>
    <w:rsid w:val="00BC19B2"/>
    <w:rsid w:val="00BC46ED"/>
    <w:rsid w:val="00BC6278"/>
    <w:rsid w:val="00BD28D8"/>
    <w:rsid w:val="00BD34BD"/>
    <w:rsid w:val="00BE0925"/>
    <w:rsid w:val="00BE2F8C"/>
    <w:rsid w:val="00BE5533"/>
    <w:rsid w:val="00BE7373"/>
    <w:rsid w:val="00BF3148"/>
    <w:rsid w:val="00BF52EA"/>
    <w:rsid w:val="00BF5E64"/>
    <w:rsid w:val="00C145EB"/>
    <w:rsid w:val="00C213B9"/>
    <w:rsid w:val="00C322DD"/>
    <w:rsid w:val="00C35032"/>
    <w:rsid w:val="00C41CBC"/>
    <w:rsid w:val="00C466D9"/>
    <w:rsid w:val="00C47FF6"/>
    <w:rsid w:val="00C50EA0"/>
    <w:rsid w:val="00C620E7"/>
    <w:rsid w:val="00C62C97"/>
    <w:rsid w:val="00C63F6F"/>
    <w:rsid w:val="00C66A37"/>
    <w:rsid w:val="00C840A5"/>
    <w:rsid w:val="00C8625D"/>
    <w:rsid w:val="00C93EEC"/>
    <w:rsid w:val="00CA461A"/>
    <w:rsid w:val="00CA555E"/>
    <w:rsid w:val="00CC107E"/>
    <w:rsid w:val="00CE4307"/>
    <w:rsid w:val="00CF5087"/>
    <w:rsid w:val="00D0123E"/>
    <w:rsid w:val="00D031FE"/>
    <w:rsid w:val="00D04453"/>
    <w:rsid w:val="00D10D26"/>
    <w:rsid w:val="00D14C3F"/>
    <w:rsid w:val="00D213DD"/>
    <w:rsid w:val="00D21C20"/>
    <w:rsid w:val="00D24291"/>
    <w:rsid w:val="00D272A3"/>
    <w:rsid w:val="00D37936"/>
    <w:rsid w:val="00D37F8F"/>
    <w:rsid w:val="00D45F4E"/>
    <w:rsid w:val="00D51893"/>
    <w:rsid w:val="00D56B49"/>
    <w:rsid w:val="00D6780B"/>
    <w:rsid w:val="00D7523A"/>
    <w:rsid w:val="00D8025D"/>
    <w:rsid w:val="00D82533"/>
    <w:rsid w:val="00D87E87"/>
    <w:rsid w:val="00D96253"/>
    <w:rsid w:val="00DA5206"/>
    <w:rsid w:val="00DB08E8"/>
    <w:rsid w:val="00DB1471"/>
    <w:rsid w:val="00DC5A17"/>
    <w:rsid w:val="00DC6140"/>
    <w:rsid w:val="00DF609A"/>
    <w:rsid w:val="00E11A71"/>
    <w:rsid w:val="00E14F9C"/>
    <w:rsid w:val="00E21312"/>
    <w:rsid w:val="00E23F5B"/>
    <w:rsid w:val="00E24492"/>
    <w:rsid w:val="00E2696A"/>
    <w:rsid w:val="00E309B4"/>
    <w:rsid w:val="00E32783"/>
    <w:rsid w:val="00E502F9"/>
    <w:rsid w:val="00E50AEA"/>
    <w:rsid w:val="00E630D4"/>
    <w:rsid w:val="00E72E54"/>
    <w:rsid w:val="00E910D6"/>
    <w:rsid w:val="00EA7112"/>
    <w:rsid w:val="00EB5D44"/>
    <w:rsid w:val="00EB7982"/>
    <w:rsid w:val="00ED6498"/>
    <w:rsid w:val="00ED6FCC"/>
    <w:rsid w:val="00EE0201"/>
    <w:rsid w:val="00EE0B9D"/>
    <w:rsid w:val="00EE2583"/>
    <w:rsid w:val="00EE5916"/>
    <w:rsid w:val="00EF0935"/>
    <w:rsid w:val="00EF471B"/>
    <w:rsid w:val="00EF62B1"/>
    <w:rsid w:val="00EF7774"/>
    <w:rsid w:val="00F14F80"/>
    <w:rsid w:val="00F2236A"/>
    <w:rsid w:val="00F23F53"/>
    <w:rsid w:val="00F27331"/>
    <w:rsid w:val="00F279AD"/>
    <w:rsid w:val="00F27AF1"/>
    <w:rsid w:val="00F31608"/>
    <w:rsid w:val="00F31811"/>
    <w:rsid w:val="00F32ED3"/>
    <w:rsid w:val="00F36030"/>
    <w:rsid w:val="00F36220"/>
    <w:rsid w:val="00F4234D"/>
    <w:rsid w:val="00F435A8"/>
    <w:rsid w:val="00F460CB"/>
    <w:rsid w:val="00F4652F"/>
    <w:rsid w:val="00F50A0F"/>
    <w:rsid w:val="00F56FE6"/>
    <w:rsid w:val="00F620DF"/>
    <w:rsid w:val="00F73009"/>
    <w:rsid w:val="00F77092"/>
    <w:rsid w:val="00F94EB1"/>
    <w:rsid w:val="00FA49DA"/>
    <w:rsid w:val="00FA6C33"/>
    <w:rsid w:val="00FA7773"/>
    <w:rsid w:val="00FA7ABA"/>
    <w:rsid w:val="00FB0CBD"/>
    <w:rsid w:val="00FC18C4"/>
    <w:rsid w:val="00FC4A85"/>
    <w:rsid w:val="00FC5946"/>
    <w:rsid w:val="00FC6BBC"/>
    <w:rsid w:val="00FD0C85"/>
    <w:rsid w:val="00FD7927"/>
    <w:rsid w:val="00FE5E0F"/>
    <w:rsid w:val="00FE60AF"/>
    <w:rsid w:val="00FF2524"/>
    <w:rsid w:val="00FF6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B2"/>
    <w:rPr>
      <w:sz w:val="24"/>
      <w:szCs w:val="24"/>
    </w:rPr>
  </w:style>
  <w:style w:type="paragraph" w:styleId="Heading1">
    <w:name w:val="heading 1"/>
    <w:basedOn w:val="Normal"/>
    <w:next w:val="Normal"/>
    <w:link w:val="Heading1Char"/>
    <w:uiPriority w:val="99"/>
    <w:qFormat/>
    <w:rsid w:val="00344152"/>
    <w:pPr>
      <w:keepNext/>
      <w:jc w:val="both"/>
      <w:outlineLvl w:val="0"/>
    </w:pPr>
    <w:rPr>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4152"/>
    <w:rPr>
      <w:rFonts w:cs="Times New Roman"/>
      <w:sz w:val="28"/>
      <w:u w:val="single"/>
      <w:lang w:eastAsia="en-US"/>
    </w:rPr>
  </w:style>
  <w:style w:type="paragraph" w:customStyle="1" w:styleId="naisf">
    <w:name w:val="naisf"/>
    <w:basedOn w:val="Normal"/>
    <w:uiPriority w:val="99"/>
    <w:rsid w:val="00BC19B2"/>
    <w:pPr>
      <w:spacing w:before="75" w:after="75"/>
      <w:ind w:firstLine="375"/>
      <w:jc w:val="both"/>
    </w:pPr>
  </w:style>
  <w:style w:type="paragraph" w:customStyle="1" w:styleId="naisnod">
    <w:name w:val="naisnod"/>
    <w:basedOn w:val="Normal"/>
    <w:uiPriority w:val="99"/>
    <w:rsid w:val="00BC19B2"/>
    <w:pPr>
      <w:spacing w:before="150" w:after="150"/>
      <w:jc w:val="center"/>
    </w:pPr>
    <w:rPr>
      <w:b/>
      <w:bCs/>
    </w:rPr>
  </w:style>
  <w:style w:type="paragraph" w:customStyle="1" w:styleId="naislab">
    <w:name w:val="naislab"/>
    <w:basedOn w:val="Normal"/>
    <w:uiPriority w:val="99"/>
    <w:rsid w:val="00BC19B2"/>
    <w:pPr>
      <w:spacing w:before="75" w:after="75"/>
      <w:jc w:val="right"/>
    </w:pPr>
  </w:style>
  <w:style w:type="paragraph" w:customStyle="1" w:styleId="naiskr">
    <w:name w:val="naiskr"/>
    <w:basedOn w:val="Normal"/>
    <w:uiPriority w:val="99"/>
    <w:rsid w:val="00BC19B2"/>
    <w:pPr>
      <w:spacing w:before="75" w:after="75"/>
    </w:pPr>
  </w:style>
  <w:style w:type="paragraph" w:customStyle="1" w:styleId="naisc">
    <w:name w:val="naisc"/>
    <w:basedOn w:val="Normal"/>
    <w:uiPriority w:val="99"/>
    <w:rsid w:val="00BC19B2"/>
    <w:pPr>
      <w:spacing w:before="75" w:after="75"/>
      <w:jc w:val="center"/>
    </w:pPr>
  </w:style>
  <w:style w:type="character" w:styleId="Hyperlink">
    <w:name w:val="Hyperlink"/>
    <w:uiPriority w:val="99"/>
    <w:rsid w:val="00BC19B2"/>
    <w:rPr>
      <w:rFonts w:cs="Times New Roman"/>
      <w:color w:val="0000FF"/>
      <w:u w:val="single"/>
    </w:rPr>
  </w:style>
  <w:style w:type="paragraph" w:styleId="Header">
    <w:name w:val="header"/>
    <w:basedOn w:val="Normal"/>
    <w:link w:val="HeaderChar"/>
    <w:uiPriority w:val="99"/>
    <w:rsid w:val="00BC19B2"/>
    <w:pPr>
      <w:tabs>
        <w:tab w:val="center" w:pos="4153"/>
        <w:tab w:val="right" w:pos="8306"/>
      </w:tabs>
    </w:pPr>
  </w:style>
  <w:style w:type="character" w:customStyle="1" w:styleId="HeaderChar">
    <w:name w:val="Header Char"/>
    <w:link w:val="Header"/>
    <w:uiPriority w:val="99"/>
    <w:semiHidden/>
    <w:rsid w:val="005907F0"/>
    <w:rPr>
      <w:sz w:val="24"/>
      <w:szCs w:val="24"/>
    </w:rPr>
  </w:style>
  <w:style w:type="character" w:styleId="PageNumber">
    <w:name w:val="page number"/>
    <w:uiPriority w:val="99"/>
    <w:rsid w:val="00BC19B2"/>
    <w:rPr>
      <w:rFonts w:cs="Times New Roman"/>
    </w:rPr>
  </w:style>
  <w:style w:type="paragraph" w:styleId="Footer">
    <w:name w:val="footer"/>
    <w:basedOn w:val="Normal"/>
    <w:link w:val="FooterChar"/>
    <w:uiPriority w:val="99"/>
    <w:rsid w:val="00BC19B2"/>
    <w:pPr>
      <w:tabs>
        <w:tab w:val="center" w:pos="4153"/>
        <w:tab w:val="right" w:pos="8306"/>
      </w:tabs>
    </w:pPr>
  </w:style>
  <w:style w:type="character" w:customStyle="1" w:styleId="FooterChar">
    <w:name w:val="Footer Char"/>
    <w:link w:val="Footer"/>
    <w:uiPriority w:val="99"/>
    <w:locked/>
    <w:rsid w:val="00F31608"/>
    <w:rPr>
      <w:rFonts w:cs="Times New Roman"/>
      <w:sz w:val="24"/>
      <w:szCs w:val="24"/>
    </w:rPr>
  </w:style>
  <w:style w:type="paragraph" w:styleId="BodyTextIndent3">
    <w:name w:val="Body Text Indent 3"/>
    <w:basedOn w:val="Normal"/>
    <w:link w:val="BodyTextIndent3Char"/>
    <w:uiPriority w:val="99"/>
    <w:rsid w:val="00BC19B2"/>
    <w:pPr>
      <w:spacing w:after="120"/>
      <w:ind w:left="283"/>
    </w:pPr>
    <w:rPr>
      <w:sz w:val="16"/>
      <w:szCs w:val="16"/>
      <w:lang w:val="en-US" w:eastAsia="en-US"/>
    </w:rPr>
  </w:style>
  <w:style w:type="character" w:customStyle="1" w:styleId="BodyTextIndent3Char">
    <w:name w:val="Body Text Indent 3 Char"/>
    <w:link w:val="BodyTextIndent3"/>
    <w:uiPriority w:val="99"/>
    <w:semiHidden/>
    <w:locked/>
    <w:rsid w:val="00BC19B2"/>
    <w:rPr>
      <w:rFonts w:cs="Times New Roman"/>
      <w:sz w:val="16"/>
      <w:szCs w:val="16"/>
      <w:lang w:val="en-US" w:eastAsia="en-US" w:bidi="ar-SA"/>
    </w:rPr>
  </w:style>
  <w:style w:type="paragraph" w:styleId="BodyTextIndent">
    <w:name w:val="Body Text Indent"/>
    <w:basedOn w:val="Normal"/>
    <w:link w:val="BodyTextIndentChar"/>
    <w:uiPriority w:val="99"/>
    <w:rsid w:val="00BC19B2"/>
    <w:pPr>
      <w:spacing w:after="120"/>
      <w:ind w:left="283"/>
    </w:pPr>
  </w:style>
  <w:style w:type="character" w:customStyle="1" w:styleId="BodyTextIndentChar">
    <w:name w:val="Body Text Indent Char"/>
    <w:link w:val="BodyTextIndent"/>
    <w:uiPriority w:val="99"/>
    <w:semiHidden/>
    <w:locked/>
    <w:rsid w:val="00BC19B2"/>
    <w:rPr>
      <w:rFonts w:cs="Times New Roman"/>
      <w:sz w:val="24"/>
      <w:szCs w:val="24"/>
      <w:lang w:val="lv-LV" w:eastAsia="lv-LV" w:bidi="ar-SA"/>
    </w:rPr>
  </w:style>
  <w:style w:type="table" w:styleId="TableGrid">
    <w:name w:val="Table Grid"/>
    <w:basedOn w:val="TableNormal"/>
    <w:uiPriority w:val="99"/>
    <w:rsid w:val="00ED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6E0F0D"/>
    <w:rPr>
      <w:rFonts w:cs="Times New Roman"/>
      <w:color w:val="800080"/>
      <w:u w:val="single"/>
    </w:rPr>
  </w:style>
  <w:style w:type="paragraph" w:customStyle="1" w:styleId="Default">
    <w:name w:val="Default"/>
    <w:uiPriority w:val="99"/>
    <w:rsid w:val="008645DF"/>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semiHidden/>
    <w:rsid w:val="007402C0"/>
    <w:rPr>
      <w:rFonts w:ascii="Tahoma" w:hAnsi="Tahoma" w:cs="Tahoma"/>
      <w:sz w:val="16"/>
      <w:szCs w:val="16"/>
    </w:rPr>
  </w:style>
  <w:style w:type="character" w:customStyle="1" w:styleId="BalloonTextChar">
    <w:name w:val="Balloon Text Char"/>
    <w:link w:val="BalloonText"/>
    <w:uiPriority w:val="99"/>
    <w:semiHidden/>
    <w:rsid w:val="005907F0"/>
    <w:rPr>
      <w:sz w:val="0"/>
      <w:szCs w:val="0"/>
    </w:rPr>
  </w:style>
  <w:style w:type="character" w:customStyle="1" w:styleId="apple-style-span">
    <w:name w:val="apple-style-span"/>
    <w:uiPriority w:val="99"/>
    <w:rsid w:val="007A1754"/>
    <w:rPr>
      <w:rFonts w:cs="Times New Roman"/>
    </w:rPr>
  </w:style>
  <w:style w:type="paragraph" w:styleId="DocumentMap">
    <w:name w:val="Document Map"/>
    <w:basedOn w:val="Normal"/>
    <w:link w:val="DocumentMapChar"/>
    <w:uiPriority w:val="99"/>
    <w:semiHidden/>
    <w:rsid w:val="00C66A37"/>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5907F0"/>
    <w:rPr>
      <w:sz w:val="0"/>
      <w:szCs w:val="0"/>
    </w:rPr>
  </w:style>
  <w:style w:type="paragraph" w:styleId="Title">
    <w:name w:val="Title"/>
    <w:basedOn w:val="Normal"/>
    <w:link w:val="TitleChar"/>
    <w:uiPriority w:val="99"/>
    <w:qFormat/>
    <w:rsid w:val="008339B1"/>
    <w:pPr>
      <w:jc w:val="center"/>
    </w:pPr>
    <w:rPr>
      <w:sz w:val="32"/>
      <w:lang w:eastAsia="en-US"/>
    </w:rPr>
  </w:style>
  <w:style w:type="character" w:customStyle="1" w:styleId="TitleChar">
    <w:name w:val="Title Char"/>
    <w:link w:val="Title"/>
    <w:uiPriority w:val="99"/>
    <w:locked/>
    <w:rsid w:val="008339B1"/>
    <w:rPr>
      <w:rFonts w:cs="Times New Roman"/>
      <w:sz w:val="24"/>
      <w:szCs w:val="24"/>
      <w:lang w:eastAsia="en-US"/>
    </w:rPr>
  </w:style>
  <w:style w:type="character" w:styleId="CommentReference">
    <w:name w:val="annotation reference"/>
    <w:uiPriority w:val="99"/>
    <w:rsid w:val="003E2DC5"/>
    <w:rPr>
      <w:rFonts w:cs="Times New Roman"/>
      <w:sz w:val="16"/>
      <w:szCs w:val="16"/>
    </w:rPr>
  </w:style>
  <w:style w:type="paragraph" w:styleId="CommentText">
    <w:name w:val="annotation text"/>
    <w:basedOn w:val="Normal"/>
    <w:link w:val="CommentTextChar"/>
    <w:uiPriority w:val="99"/>
    <w:rsid w:val="003E2DC5"/>
    <w:rPr>
      <w:sz w:val="20"/>
      <w:szCs w:val="20"/>
    </w:rPr>
  </w:style>
  <w:style w:type="character" w:customStyle="1" w:styleId="CommentTextChar">
    <w:name w:val="Comment Text Char"/>
    <w:link w:val="CommentText"/>
    <w:uiPriority w:val="99"/>
    <w:locked/>
    <w:rsid w:val="003E2DC5"/>
    <w:rPr>
      <w:rFonts w:cs="Times New Roman"/>
    </w:rPr>
  </w:style>
  <w:style w:type="paragraph" w:styleId="CommentSubject">
    <w:name w:val="annotation subject"/>
    <w:basedOn w:val="CommentText"/>
    <w:next w:val="CommentText"/>
    <w:link w:val="CommentSubjectChar"/>
    <w:uiPriority w:val="99"/>
    <w:rsid w:val="003E2DC5"/>
    <w:rPr>
      <w:b/>
      <w:bCs/>
    </w:rPr>
  </w:style>
  <w:style w:type="character" w:customStyle="1" w:styleId="CommentSubjectChar">
    <w:name w:val="Comment Subject Char"/>
    <w:link w:val="CommentSubject"/>
    <w:uiPriority w:val="99"/>
    <w:locked/>
    <w:rsid w:val="003E2DC5"/>
    <w:rPr>
      <w:rFonts w:cs="Times New Roman"/>
      <w:b/>
      <w:bCs/>
    </w:rPr>
  </w:style>
  <w:style w:type="paragraph" w:styleId="ListParagraph">
    <w:name w:val="List Paragraph"/>
    <w:basedOn w:val="Normal"/>
    <w:uiPriority w:val="99"/>
    <w:qFormat/>
    <w:rsid w:val="00560366"/>
    <w:pPr>
      <w:ind w:left="720"/>
      <w:contextualSpacing/>
    </w:pPr>
  </w:style>
  <w:style w:type="character" w:customStyle="1" w:styleId="st1">
    <w:name w:val="st1"/>
    <w:uiPriority w:val="99"/>
    <w:rsid w:val="00DC61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28394">
      <w:marLeft w:val="0"/>
      <w:marRight w:val="0"/>
      <w:marTop w:val="0"/>
      <w:marBottom w:val="0"/>
      <w:divBdr>
        <w:top w:val="none" w:sz="0" w:space="0" w:color="auto"/>
        <w:left w:val="none" w:sz="0" w:space="0" w:color="auto"/>
        <w:bottom w:val="none" w:sz="0" w:space="0" w:color="auto"/>
        <w:right w:val="none" w:sz="0" w:space="0" w:color="auto"/>
      </w:divBdr>
    </w:div>
    <w:div w:id="762528395">
      <w:marLeft w:val="0"/>
      <w:marRight w:val="0"/>
      <w:marTop w:val="0"/>
      <w:marBottom w:val="0"/>
      <w:divBdr>
        <w:top w:val="none" w:sz="0" w:space="0" w:color="auto"/>
        <w:left w:val="none" w:sz="0" w:space="0" w:color="auto"/>
        <w:bottom w:val="none" w:sz="0" w:space="0" w:color="auto"/>
        <w:right w:val="none" w:sz="0" w:space="0" w:color="auto"/>
      </w:divBdr>
    </w:div>
    <w:div w:id="762528396">
      <w:marLeft w:val="0"/>
      <w:marRight w:val="0"/>
      <w:marTop w:val="0"/>
      <w:marBottom w:val="0"/>
      <w:divBdr>
        <w:top w:val="none" w:sz="0" w:space="0" w:color="auto"/>
        <w:left w:val="none" w:sz="0" w:space="0" w:color="auto"/>
        <w:bottom w:val="none" w:sz="0" w:space="0" w:color="auto"/>
        <w:right w:val="none" w:sz="0" w:space="0" w:color="auto"/>
      </w:divBdr>
    </w:div>
    <w:div w:id="762528397">
      <w:marLeft w:val="0"/>
      <w:marRight w:val="0"/>
      <w:marTop w:val="0"/>
      <w:marBottom w:val="0"/>
      <w:divBdr>
        <w:top w:val="none" w:sz="0" w:space="0" w:color="auto"/>
        <w:left w:val="none" w:sz="0" w:space="0" w:color="auto"/>
        <w:bottom w:val="none" w:sz="0" w:space="0" w:color="auto"/>
        <w:right w:val="none" w:sz="0" w:space="0" w:color="auto"/>
      </w:divBdr>
    </w:div>
    <w:div w:id="762528398">
      <w:marLeft w:val="0"/>
      <w:marRight w:val="0"/>
      <w:marTop w:val="0"/>
      <w:marBottom w:val="0"/>
      <w:divBdr>
        <w:top w:val="none" w:sz="0" w:space="0" w:color="auto"/>
        <w:left w:val="none" w:sz="0" w:space="0" w:color="auto"/>
        <w:bottom w:val="none" w:sz="0" w:space="0" w:color="auto"/>
        <w:right w:val="none" w:sz="0" w:space="0" w:color="auto"/>
      </w:divBdr>
    </w:div>
    <w:div w:id="762528399">
      <w:marLeft w:val="0"/>
      <w:marRight w:val="0"/>
      <w:marTop w:val="0"/>
      <w:marBottom w:val="0"/>
      <w:divBdr>
        <w:top w:val="none" w:sz="0" w:space="0" w:color="auto"/>
        <w:left w:val="none" w:sz="0" w:space="0" w:color="auto"/>
        <w:bottom w:val="none" w:sz="0" w:space="0" w:color="auto"/>
        <w:right w:val="none" w:sz="0" w:space="0" w:color="auto"/>
      </w:divBdr>
    </w:div>
    <w:div w:id="762528400">
      <w:marLeft w:val="0"/>
      <w:marRight w:val="0"/>
      <w:marTop w:val="0"/>
      <w:marBottom w:val="0"/>
      <w:divBdr>
        <w:top w:val="none" w:sz="0" w:space="0" w:color="auto"/>
        <w:left w:val="none" w:sz="0" w:space="0" w:color="auto"/>
        <w:bottom w:val="none" w:sz="0" w:space="0" w:color="auto"/>
        <w:right w:val="none" w:sz="0" w:space="0" w:color="auto"/>
      </w:divBdr>
    </w:div>
    <w:div w:id="10705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ja.Andrukovica@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4</Pages>
  <Words>4939</Words>
  <Characters>2816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Ministru kabineta 2007.gada 14.augusta noteikumos Nr.555 „Trošu ceļu iekārtu tehniskās uzraudzības kārtība”</vt:lpstr>
    </vt:vector>
  </TitlesOfParts>
  <Company>Ekonomikas ministrija</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14.augusta noteikumos Nr.555 „Trošu ceļu iekārtu tehniskās uzraudzības kārtība”</dc:title>
  <dc:subject>Anotācija</dc:subject>
  <dc:creator>Nataļja Andrukoviča</dc:creator>
  <cp:keywords/>
  <dc:description>67013144; Natalja.Andrukovica@em.gov.lv</dc:description>
  <cp:lastModifiedBy>Nataļja Andrukoviča</cp:lastModifiedBy>
  <cp:revision>65</cp:revision>
  <cp:lastPrinted>2013-04-19T07:52:00Z</cp:lastPrinted>
  <dcterms:created xsi:type="dcterms:W3CDTF">2012-06-22T06:32:00Z</dcterms:created>
  <dcterms:modified xsi:type="dcterms:W3CDTF">2013-04-19T07:52:00Z</dcterms:modified>
</cp:coreProperties>
</file>