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Default="00BB09C5" w:rsidP="00F22471">
      <w:pPr>
        <w:pStyle w:val="BodyText"/>
        <w:jc w:val="center"/>
        <w:rPr>
          <w:b/>
          <w:sz w:val="26"/>
          <w:szCs w:val="26"/>
        </w:rPr>
      </w:pPr>
      <w:bookmarkStart w:id="0" w:name="OLE_LINK3"/>
      <w:bookmarkStart w:id="1" w:name="OLE_LINK1"/>
      <w:bookmarkStart w:id="2" w:name="OLE_LINK2"/>
      <w:r w:rsidRPr="00235168">
        <w:rPr>
          <w:b/>
          <w:sz w:val="26"/>
          <w:szCs w:val="26"/>
        </w:rPr>
        <w:t xml:space="preserve">Ministru kabineta </w:t>
      </w:r>
      <w:r w:rsidR="00C83591" w:rsidRPr="00235168">
        <w:rPr>
          <w:b/>
          <w:sz w:val="26"/>
          <w:szCs w:val="26"/>
        </w:rPr>
        <w:t>noteikumu</w:t>
      </w:r>
      <w:r w:rsidR="001764E7" w:rsidRPr="00235168">
        <w:rPr>
          <w:b/>
          <w:sz w:val="26"/>
          <w:szCs w:val="26"/>
        </w:rPr>
        <w:t xml:space="preserve"> </w:t>
      </w:r>
      <w:r w:rsidRPr="00235168">
        <w:rPr>
          <w:b/>
          <w:sz w:val="26"/>
          <w:szCs w:val="26"/>
        </w:rPr>
        <w:t xml:space="preserve">projekta </w:t>
      </w:r>
      <w:r w:rsidR="00092473">
        <w:rPr>
          <w:b/>
          <w:sz w:val="26"/>
          <w:szCs w:val="26"/>
        </w:rPr>
        <w:t>„</w:t>
      </w:r>
      <w:r w:rsidR="00092473" w:rsidRPr="00092473">
        <w:rPr>
          <w:b/>
          <w:sz w:val="26"/>
          <w:szCs w:val="26"/>
        </w:rPr>
        <w:t xml:space="preserve">Grozījumi Ministru kabineta 2011.gada 6.septembra noteikumos Nr.698 „Noteikumi par </w:t>
      </w:r>
      <w:proofErr w:type="spellStart"/>
      <w:r w:rsidR="00092473" w:rsidRPr="00092473">
        <w:rPr>
          <w:b/>
          <w:sz w:val="26"/>
          <w:szCs w:val="26"/>
        </w:rPr>
        <w:t>mikroaizdevumiem</w:t>
      </w:r>
      <w:proofErr w:type="spellEnd"/>
      <w:r w:rsidR="00092473" w:rsidRPr="00092473">
        <w:rPr>
          <w:b/>
          <w:sz w:val="26"/>
          <w:szCs w:val="26"/>
        </w:rPr>
        <w:t xml:space="preserve"> un grantiem Latvijas un Šveices sadarbības programmas individuālā projekta </w:t>
      </w:r>
      <w:r w:rsidR="00FB553F">
        <w:rPr>
          <w:b/>
          <w:sz w:val="26"/>
          <w:szCs w:val="26"/>
        </w:rPr>
        <w:t>„</w:t>
      </w:r>
      <w:proofErr w:type="spellStart"/>
      <w:r w:rsidR="00092473" w:rsidRPr="00092473">
        <w:rPr>
          <w:b/>
          <w:sz w:val="26"/>
          <w:szCs w:val="26"/>
        </w:rPr>
        <w:t>Mikrokreditēšanas</w:t>
      </w:r>
      <w:proofErr w:type="spellEnd"/>
      <w:r w:rsidR="00092473" w:rsidRPr="00092473">
        <w:rPr>
          <w:b/>
          <w:sz w:val="26"/>
          <w:szCs w:val="26"/>
        </w:rPr>
        <w:t xml:space="preserve"> programma</w:t>
      </w:r>
      <w:r w:rsidR="00FB553F">
        <w:rPr>
          <w:b/>
          <w:sz w:val="26"/>
          <w:szCs w:val="26"/>
        </w:rPr>
        <w:t>”</w:t>
      </w:r>
      <w:r w:rsidR="00092473" w:rsidRPr="00092473">
        <w:rPr>
          <w:b/>
          <w:sz w:val="26"/>
          <w:szCs w:val="26"/>
        </w:rPr>
        <w:t xml:space="preserve"> ietvaros”</w:t>
      </w:r>
      <w:r w:rsidR="00092473">
        <w:rPr>
          <w:b/>
          <w:sz w:val="26"/>
          <w:szCs w:val="26"/>
        </w:rPr>
        <w:t xml:space="preserve"> </w:t>
      </w:r>
      <w:r w:rsidR="003000F0" w:rsidRPr="00235168">
        <w:rPr>
          <w:b/>
          <w:sz w:val="26"/>
          <w:szCs w:val="26"/>
        </w:rPr>
        <w:t xml:space="preserve">sākotnējās ietekmes novērtējuma </w:t>
      </w:r>
      <w:smartTag w:uri="schemas-tilde-lv/tildestengine" w:element="veidnes">
        <w:smartTagPr>
          <w:attr w:name="id" w:val="-1"/>
          <w:attr w:name="baseform" w:val="ziņojums"/>
          <w:attr w:name="text" w:val="ziņojums"/>
        </w:smartTagPr>
        <w:r w:rsidR="003000F0" w:rsidRPr="00235168">
          <w:rPr>
            <w:b/>
            <w:sz w:val="26"/>
            <w:szCs w:val="26"/>
          </w:rPr>
          <w:t>ziņojums</w:t>
        </w:r>
      </w:smartTag>
      <w:r w:rsidR="00E73425" w:rsidRPr="00235168">
        <w:rPr>
          <w:b/>
          <w:sz w:val="26"/>
          <w:szCs w:val="26"/>
        </w:rPr>
        <w:t xml:space="preserve"> </w:t>
      </w:r>
      <w:r w:rsidR="003000F0" w:rsidRPr="00235168">
        <w:rPr>
          <w:b/>
          <w:sz w:val="26"/>
          <w:szCs w:val="26"/>
        </w:rPr>
        <w:t>(</w:t>
      </w:r>
      <w:r w:rsidR="00E73425" w:rsidRPr="00235168">
        <w:rPr>
          <w:b/>
          <w:sz w:val="26"/>
          <w:szCs w:val="26"/>
        </w:rPr>
        <w:t>anotācija</w:t>
      </w:r>
      <w:r w:rsidR="003000F0" w:rsidRPr="00235168">
        <w:rPr>
          <w:b/>
          <w:sz w:val="26"/>
          <w:szCs w:val="26"/>
        </w:rPr>
        <w:t>)</w:t>
      </w:r>
    </w:p>
    <w:p w:rsidR="00B84C4B" w:rsidRPr="00235168" w:rsidRDefault="00B84C4B" w:rsidP="00F22471">
      <w:pPr>
        <w:pStyle w:val="BodyText"/>
        <w:jc w:val="center"/>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235168"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235168" w:rsidRDefault="00A31FDC" w:rsidP="00F22471">
            <w:pPr>
              <w:ind w:firstLine="720"/>
              <w:jc w:val="both"/>
              <w:rPr>
                <w:rFonts w:eastAsia="Times New Roman"/>
                <w:b/>
                <w:sz w:val="26"/>
                <w:szCs w:val="26"/>
                <w:lang w:val="lv-LV" w:eastAsia="lv-LV"/>
              </w:rPr>
            </w:pPr>
            <w:r w:rsidRPr="00235168">
              <w:rPr>
                <w:rFonts w:eastAsia="Times New Roman"/>
                <w:b/>
                <w:sz w:val="26"/>
                <w:szCs w:val="26"/>
                <w:lang w:val="lv-LV" w:eastAsia="lv-LV"/>
              </w:rPr>
              <w:t>I.Tiesību akta projekta izstrādes nepieciešamība</w:t>
            </w:r>
          </w:p>
        </w:tc>
      </w:tr>
      <w:tr w:rsidR="00A31FDC" w:rsidRPr="00235168" w:rsidTr="00A4363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092473" w:rsidRDefault="00092473" w:rsidP="00457CC8">
            <w:pPr>
              <w:jc w:val="both"/>
              <w:rPr>
                <w:sz w:val="26"/>
                <w:szCs w:val="26"/>
                <w:lang w:val="lv-LV"/>
              </w:rPr>
            </w:pPr>
            <w:r w:rsidRPr="00092473">
              <w:rPr>
                <w:sz w:val="26"/>
                <w:szCs w:val="26"/>
                <w:lang w:val="lv-LV"/>
              </w:rPr>
              <w:t xml:space="preserve">Ministru kabineta </w:t>
            </w:r>
            <w:r>
              <w:rPr>
                <w:sz w:val="26"/>
                <w:szCs w:val="26"/>
                <w:lang w:val="lv-LV"/>
              </w:rPr>
              <w:t>2011.gada 6.septembra noteikumi</w:t>
            </w:r>
            <w:r w:rsidRPr="00092473">
              <w:rPr>
                <w:sz w:val="26"/>
                <w:szCs w:val="26"/>
                <w:lang w:val="lv-LV"/>
              </w:rPr>
              <w:t xml:space="preserve"> Nr.698 „Noteikumi par </w:t>
            </w:r>
            <w:proofErr w:type="spellStart"/>
            <w:r w:rsidRPr="00092473">
              <w:rPr>
                <w:sz w:val="26"/>
                <w:szCs w:val="26"/>
                <w:lang w:val="lv-LV"/>
              </w:rPr>
              <w:t>mikroaizdevumiem</w:t>
            </w:r>
            <w:proofErr w:type="spellEnd"/>
            <w:r w:rsidRPr="00092473">
              <w:rPr>
                <w:sz w:val="26"/>
                <w:szCs w:val="26"/>
                <w:lang w:val="lv-LV"/>
              </w:rPr>
              <w:t xml:space="preserve"> un grantiem Latvijas un Šveices sadarbības programmas individuālā projekta </w:t>
            </w:r>
            <w:r w:rsidR="00FB553F">
              <w:rPr>
                <w:sz w:val="26"/>
                <w:szCs w:val="26"/>
                <w:lang w:val="lv-LV"/>
              </w:rPr>
              <w:t>„</w:t>
            </w:r>
            <w:proofErr w:type="spellStart"/>
            <w:r w:rsidRPr="00092473">
              <w:rPr>
                <w:sz w:val="26"/>
                <w:szCs w:val="26"/>
                <w:lang w:val="lv-LV"/>
              </w:rPr>
              <w:t>Mikrokreditēšanas</w:t>
            </w:r>
            <w:proofErr w:type="spellEnd"/>
            <w:r w:rsidRPr="00092473">
              <w:rPr>
                <w:sz w:val="26"/>
                <w:szCs w:val="26"/>
                <w:lang w:val="lv-LV"/>
              </w:rPr>
              <w:t xml:space="preserve"> programma</w:t>
            </w:r>
            <w:r w:rsidR="00FB553F">
              <w:rPr>
                <w:sz w:val="26"/>
                <w:szCs w:val="26"/>
                <w:lang w:val="lv-LV"/>
              </w:rPr>
              <w:t>”</w:t>
            </w:r>
            <w:r w:rsidRPr="00092473">
              <w:rPr>
                <w:sz w:val="26"/>
                <w:szCs w:val="26"/>
                <w:lang w:val="lv-LV"/>
              </w:rPr>
              <w:t xml:space="preserve"> ietvaros” </w:t>
            </w:r>
            <w:r>
              <w:rPr>
                <w:sz w:val="26"/>
                <w:szCs w:val="26"/>
                <w:lang w:val="lv-LV"/>
              </w:rPr>
              <w:t xml:space="preserve">(turpmāk – MK noteikumi Nr.698) ir izstrādāti </w:t>
            </w:r>
            <w:r w:rsidRPr="00235168">
              <w:rPr>
                <w:sz w:val="26"/>
                <w:szCs w:val="26"/>
                <w:lang w:val="lv-LV"/>
              </w:rPr>
              <w:t>pamatojoties uz</w:t>
            </w:r>
            <w:r>
              <w:rPr>
                <w:sz w:val="26"/>
                <w:szCs w:val="26"/>
                <w:lang w:val="lv-LV"/>
              </w:rPr>
              <w:t xml:space="preserve"> </w:t>
            </w:r>
            <w:r w:rsidRPr="00092473">
              <w:rPr>
                <w:sz w:val="26"/>
                <w:szCs w:val="26"/>
                <w:lang w:val="lv-LV"/>
              </w:rPr>
              <w:t>Ministru kabineta iekārtas likuma 31.panta pirmās daļas 3.</w:t>
            </w:r>
            <w:r w:rsidR="00511C7D">
              <w:rPr>
                <w:sz w:val="26"/>
                <w:szCs w:val="26"/>
                <w:lang w:val="lv-LV"/>
              </w:rPr>
              <w:t xml:space="preserve">punktu, kā arī pamatojoties uz </w:t>
            </w:r>
            <w:r w:rsidRPr="00092473">
              <w:rPr>
                <w:sz w:val="26"/>
                <w:szCs w:val="26"/>
                <w:lang w:val="lv-LV"/>
              </w:rPr>
              <w:t>2010.gada 1.jūnija Ministru kabineta sē</w:t>
            </w:r>
            <w:r w:rsidR="00511C7D">
              <w:rPr>
                <w:sz w:val="26"/>
                <w:szCs w:val="26"/>
                <w:lang w:val="lv-LV"/>
              </w:rPr>
              <w:t>des protokola Nr.28 39.§ 2.</w:t>
            </w:r>
            <w:r w:rsidRPr="00092473">
              <w:rPr>
                <w:sz w:val="26"/>
                <w:szCs w:val="26"/>
                <w:lang w:val="lv-LV"/>
              </w:rPr>
              <w:t>punktu.</w:t>
            </w:r>
          </w:p>
          <w:p w:rsidR="00B84C4B" w:rsidRPr="00092473" w:rsidRDefault="00092473" w:rsidP="00092473">
            <w:pPr>
              <w:jc w:val="both"/>
              <w:rPr>
                <w:sz w:val="26"/>
                <w:szCs w:val="26"/>
                <w:lang w:val="lv-LV"/>
              </w:rPr>
            </w:pPr>
            <w:r>
              <w:rPr>
                <w:sz w:val="26"/>
                <w:szCs w:val="26"/>
                <w:lang w:val="lv-LV"/>
              </w:rPr>
              <w:t>Šie grozījumi MK noteikumos Nr.698 ir izstrādāti pamatojoties uz</w:t>
            </w:r>
            <w:r w:rsidR="0081539E">
              <w:rPr>
                <w:sz w:val="26"/>
                <w:szCs w:val="26"/>
                <w:lang w:val="lv-LV"/>
              </w:rPr>
              <w:t xml:space="preserve"> </w:t>
            </w:r>
            <w:r w:rsidR="0081539E" w:rsidRPr="0081539E">
              <w:rPr>
                <w:sz w:val="26"/>
                <w:szCs w:val="26"/>
                <w:lang w:val="lv-LV"/>
              </w:rPr>
              <w:t xml:space="preserve">Ministru kabineta iekārtas likuma 31.panta pirmās daļas 3.punktu, </w:t>
            </w:r>
            <w:r>
              <w:rPr>
                <w:sz w:val="26"/>
                <w:szCs w:val="26"/>
                <w:lang w:val="lv-LV"/>
              </w:rPr>
              <w:t xml:space="preserve"> </w:t>
            </w:r>
            <w:proofErr w:type="spellStart"/>
            <w:r w:rsidRPr="00092473">
              <w:rPr>
                <w:i/>
                <w:sz w:val="26"/>
                <w:szCs w:val="26"/>
                <w:lang w:val="lv-LV"/>
              </w:rPr>
              <w:t>Euro</w:t>
            </w:r>
            <w:proofErr w:type="spellEnd"/>
            <w:r w:rsidRPr="00092473">
              <w:rPr>
                <w:i/>
                <w:sz w:val="26"/>
                <w:szCs w:val="26"/>
                <w:lang w:val="lv-LV"/>
              </w:rPr>
              <w:t xml:space="preserve"> </w:t>
            </w:r>
            <w:proofErr w:type="spellStart"/>
            <w:r w:rsidRPr="00340E1F">
              <w:rPr>
                <w:sz w:val="26"/>
                <w:szCs w:val="26"/>
              </w:rPr>
              <w:t>ieviešanas</w:t>
            </w:r>
            <w:proofErr w:type="spellEnd"/>
            <w:r w:rsidRPr="00340E1F">
              <w:rPr>
                <w:sz w:val="26"/>
                <w:szCs w:val="26"/>
              </w:rPr>
              <w:t xml:space="preserve"> </w:t>
            </w:r>
            <w:proofErr w:type="spellStart"/>
            <w:r w:rsidRPr="00340E1F">
              <w:rPr>
                <w:sz w:val="26"/>
                <w:szCs w:val="26"/>
              </w:rPr>
              <w:t>kār</w:t>
            </w:r>
            <w:r>
              <w:rPr>
                <w:sz w:val="26"/>
                <w:szCs w:val="26"/>
              </w:rPr>
              <w:t>tības</w:t>
            </w:r>
            <w:proofErr w:type="spellEnd"/>
            <w:r>
              <w:rPr>
                <w:sz w:val="26"/>
                <w:szCs w:val="26"/>
              </w:rPr>
              <w:t xml:space="preserve"> </w:t>
            </w:r>
            <w:proofErr w:type="spellStart"/>
            <w:r>
              <w:rPr>
                <w:sz w:val="26"/>
                <w:szCs w:val="26"/>
              </w:rPr>
              <w:t>likuma</w:t>
            </w:r>
            <w:proofErr w:type="spellEnd"/>
            <w:r>
              <w:rPr>
                <w:sz w:val="26"/>
                <w:szCs w:val="26"/>
              </w:rPr>
              <w:t xml:space="preserve"> 30.panta </w:t>
            </w:r>
            <w:proofErr w:type="spellStart"/>
            <w:r>
              <w:rPr>
                <w:sz w:val="26"/>
                <w:szCs w:val="26"/>
              </w:rPr>
              <w:t>pirmā</w:t>
            </w:r>
            <w:proofErr w:type="spellEnd"/>
            <w:r>
              <w:rPr>
                <w:sz w:val="26"/>
                <w:szCs w:val="26"/>
              </w:rPr>
              <w:t xml:space="preserve"> </w:t>
            </w:r>
            <w:proofErr w:type="spellStart"/>
            <w:r>
              <w:rPr>
                <w:sz w:val="26"/>
                <w:szCs w:val="26"/>
              </w:rPr>
              <w:t>daļu</w:t>
            </w:r>
            <w:proofErr w:type="spellEnd"/>
            <w:r>
              <w:rPr>
                <w:sz w:val="26"/>
                <w:szCs w:val="26"/>
              </w:rPr>
              <w:t xml:space="preserve"> un </w:t>
            </w:r>
            <w:proofErr w:type="spellStart"/>
            <w:r w:rsidRPr="00340E1F">
              <w:rPr>
                <w:sz w:val="26"/>
                <w:szCs w:val="26"/>
              </w:rPr>
              <w:t>Ministru</w:t>
            </w:r>
            <w:proofErr w:type="spellEnd"/>
            <w:r w:rsidRPr="00340E1F">
              <w:rPr>
                <w:sz w:val="26"/>
                <w:szCs w:val="26"/>
              </w:rPr>
              <w:t xml:space="preserve"> </w:t>
            </w:r>
            <w:proofErr w:type="spellStart"/>
            <w:r w:rsidRPr="00340E1F">
              <w:rPr>
                <w:sz w:val="26"/>
                <w:szCs w:val="26"/>
              </w:rPr>
              <w:t>kabineta</w:t>
            </w:r>
            <w:proofErr w:type="spellEnd"/>
            <w:r w:rsidRPr="00340E1F">
              <w:rPr>
                <w:sz w:val="26"/>
                <w:szCs w:val="26"/>
              </w:rPr>
              <w:t xml:space="preserve"> 2012.gada 27.jūnija </w:t>
            </w:r>
            <w:proofErr w:type="spellStart"/>
            <w:r w:rsidRPr="00340E1F">
              <w:rPr>
                <w:sz w:val="26"/>
                <w:szCs w:val="26"/>
              </w:rPr>
              <w:t>rīkojuma</w:t>
            </w:r>
            <w:proofErr w:type="spellEnd"/>
            <w:r w:rsidRPr="00340E1F">
              <w:rPr>
                <w:sz w:val="26"/>
                <w:szCs w:val="26"/>
              </w:rPr>
              <w:t xml:space="preserve"> Nr.282 „Par „</w:t>
            </w:r>
            <w:proofErr w:type="spellStart"/>
            <w:r w:rsidRPr="00340E1F">
              <w:rPr>
                <w:sz w:val="26"/>
                <w:szCs w:val="26"/>
              </w:rPr>
              <w:t>Koncepciju</w:t>
            </w:r>
            <w:proofErr w:type="spellEnd"/>
            <w:r w:rsidRPr="00340E1F">
              <w:rPr>
                <w:sz w:val="26"/>
                <w:szCs w:val="26"/>
              </w:rPr>
              <w:t xml:space="preserve"> par </w:t>
            </w:r>
            <w:proofErr w:type="spellStart"/>
            <w:r w:rsidRPr="00340E1F">
              <w:rPr>
                <w:sz w:val="26"/>
                <w:szCs w:val="26"/>
              </w:rPr>
              <w:t>normatīvo</w:t>
            </w:r>
            <w:proofErr w:type="spellEnd"/>
            <w:r w:rsidRPr="00340E1F">
              <w:rPr>
                <w:sz w:val="26"/>
                <w:szCs w:val="26"/>
              </w:rPr>
              <w:t xml:space="preserve"> </w:t>
            </w:r>
            <w:proofErr w:type="spellStart"/>
            <w:r w:rsidRPr="00340E1F">
              <w:rPr>
                <w:sz w:val="26"/>
                <w:szCs w:val="26"/>
              </w:rPr>
              <w:t>aktu</w:t>
            </w:r>
            <w:proofErr w:type="spellEnd"/>
            <w:r w:rsidRPr="00340E1F">
              <w:rPr>
                <w:sz w:val="26"/>
                <w:szCs w:val="26"/>
              </w:rPr>
              <w:t xml:space="preserve"> </w:t>
            </w:r>
            <w:proofErr w:type="spellStart"/>
            <w:r w:rsidRPr="00340E1F">
              <w:rPr>
                <w:sz w:val="26"/>
                <w:szCs w:val="26"/>
              </w:rPr>
              <w:t>sakārtošanu</w:t>
            </w:r>
            <w:proofErr w:type="spellEnd"/>
            <w:r w:rsidRPr="00340E1F">
              <w:rPr>
                <w:sz w:val="26"/>
                <w:szCs w:val="26"/>
              </w:rPr>
              <w:t xml:space="preserve"> </w:t>
            </w:r>
            <w:proofErr w:type="spellStart"/>
            <w:r w:rsidRPr="00340E1F">
              <w:rPr>
                <w:sz w:val="26"/>
                <w:szCs w:val="26"/>
              </w:rPr>
              <w:t>sais</w:t>
            </w:r>
            <w:r w:rsidR="00DD3D24">
              <w:rPr>
                <w:sz w:val="26"/>
                <w:szCs w:val="26"/>
              </w:rPr>
              <w:t>tībā</w:t>
            </w:r>
            <w:proofErr w:type="spellEnd"/>
            <w:r w:rsidR="00DD3D24">
              <w:rPr>
                <w:sz w:val="26"/>
                <w:szCs w:val="26"/>
              </w:rPr>
              <w:t xml:space="preserve"> </w:t>
            </w:r>
            <w:proofErr w:type="spellStart"/>
            <w:r w:rsidR="00DD3D24">
              <w:rPr>
                <w:sz w:val="26"/>
                <w:szCs w:val="26"/>
              </w:rPr>
              <w:t>ar</w:t>
            </w:r>
            <w:proofErr w:type="spellEnd"/>
            <w:r w:rsidR="00DD3D24">
              <w:rPr>
                <w:sz w:val="26"/>
                <w:szCs w:val="26"/>
              </w:rPr>
              <w:t xml:space="preserve"> </w:t>
            </w:r>
            <w:proofErr w:type="spellStart"/>
            <w:r w:rsidR="00DD3D24">
              <w:rPr>
                <w:sz w:val="26"/>
                <w:szCs w:val="26"/>
              </w:rPr>
              <w:t>eiro</w:t>
            </w:r>
            <w:proofErr w:type="spellEnd"/>
            <w:r w:rsidR="00DD3D24">
              <w:rPr>
                <w:sz w:val="26"/>
                <w:szCs w:val="26"/>
              </w:rPr>
              <w:t xml:space="preserve"> </w:t>
            </w:r>
            <w:proofErr w:type="spellStart"/>
            <w:r w:rsidR="00DD3D24">
              <w:rPr>
                <w:sz w:val="26"/>
                <w:szCs w:val="26"/>
              </w:rPr>
              <w:t>ieviešanu</w:t>
            </w:r>
            <w:proofErr w:type="spellEnd"/>
            <w:r w:rsidR="00DD3D24">
              <w:rPr>
                <w:sz w:val="26"/>
                <w:szCs w:val="26"/>
              </w:rPr>
              <w:t xml:space="preserve"> </w:t>
            </w:r>
            <w:proofErr w:type="spellStart"/>
            <w:r w:rsidR="00DD3D24">
              <w:rPr>
                <w:sz w:val="26"/>
                <w:szCs w:val="26"/>
              </w:rPr>
              <w:t>Latvijā</w:t>
            </w:r>
            <w:proofErr w:type="spellEnd"/>
            <w:r w:rsidR="00DD3D24">
              <w:rPr>
                <w:sz w:val="26"/>
                <w:szCs w:val="26"/>
              </w:rPr>
              <w:t>”</w:t>
            </w:r>
            <w:r w:rsidRPr="00340E1F">
              <w:rPr>
                <w:sz w:val="26"/>
                <w:szCs w:val="26"/>
              </w:rPr>
              <w:t xml:space="preserve"> 7.1.apakšpunktu</w:t>
            </w:r>
            <w:r>
              <w:rPr>
                <w:sz w:val="26"/>
                <w:szCs w:val="26"/>
              </w:rPr>
              <w:t xml:space="preserve">, </w:t>
            </w:r>
            <w:proofErr w:type="spellStart"/>
            <w:r>
              <w:rPr>
                <w:sz w:val="26"/>
                <w:szCs w:val="26"/>
              </w:rPr>
              <w:t>kā</w:t>
            </w:r>
            <w:proofErr w:type="spellEnd"/>
            <w:r>
              <w:rPr>
                <w:sz w:val="26"/>
                <w:szCs w:val="26"/>
              </w:rPr>
              <w:t xml:space="preserve"> </w:t>
            </w:r>
            <w:proofErr w:type="spellStart"/>
            <w:r>
              <w:rPr>
                <w:sz w:val="26"/>
                <w:szCs w:val="26"/>
              </w:rPr>
              <w:t>arī</w:t>
            </w:r>
            <w:proofErr w:type="spellEnd"/>
            <w:r>
              <w:rPr>
                <w:sz w:val="26"/>
                <w:szCs w:val="26"/>
              </w:rPr>
              <w:t xml:space="preserve"> </w:t>
            </w:r>
            <w:proofErr w:type="spellStart"/>
            <w:r>
              <w:rPr>
                <w:sz w:val="26"/>
                <w:szCs w:val="26"/>
              </w:rPr>
              <w:t>ņemot</w:t>
            </w:r>
            <w:proofErr w:type="spellEnd"/>
            <w:r>
              <w:rPr>
                <w:sz w:val="26"/>
                <w:szCs w:val="26"/>
              </w:rPr>
              <w:t xml:space="preserve"> </w:t>
            </w:r>
            <w:proofErr w:type="spellStart"/>
            <w:r>
              <w:rPr>
                <w:sz w:val="26"/>
                <w:szCs w:val="26"/>
              </w:rPr>
              <w:t>vērā</w:t>
            </w:r>
            <w:proofErr w:type="spellEnd"/>
            <w:r>
              <w:rPr>
                <w:sz w:val="26"/>
                <w:szCs w:val="26"/>
              </w:rPr>
              <w:t xml:space="preserve"> </w:t>
            </w:r>
            <w:proofErr w:type="spellStart"/>
            <w:r>
              <w:rPr>
                <w:sz w:val="26"/>
                <w:szCs w:val="26"/>
              </w:rPr>
              <w:t>Komisijas</w:t>
            </w:r>
            <w:proofErr w:type="spellEnd"/>
            <w:r>
              <w:rPr>
                <w:sz w:val="26"/>
                <w:szCs w:val="26"/>
              </w:rPr>
              <w:t xml:space="preserve"> </w:t>
            </w:r>
            <w:proofErr w:type="spellStart"/>
            <w:r>
              <w:rPr>
                <w:sz w:val="26"/>
                <w:szCs w:val="26"/>
              </w:rPr>
              <w:t>Regulu</w:t>
            </w:r>
            <w:proofErr w:type="spellEnd"/>
            <w:r w:rsidR="00511C7D">
              <w:rPr>
                <w:sz w:val="26"/>
                <w:szCs w:val="26"/>
              </w:rPr>
              <w:t xml:space="preserve"> (EK) Nr.1998/2006 (2006.gada 15.</w:t>
            </w:r>
            <w:r w:rsidRPr="00340E1F">
              <w:rPr>
                <w:sz w:val="26"/>
                <w:szCs w:val="26"/>
              </w:rPr>
              <w:t>d</w:t>
            </w:r>
            <w:r w:rsidR="00511C7D">
              <w:rPr>
                <w:sz w:val="26"/>
                <w:szCs w:val="26"/>
              </w:rPr>
              <w:t xml:space="preserve">ecembris) par </w:t>
            </w:r>
            <w:proofErr w:type="spellStart"/>
            <w:r w:rsidR="00511C7D">
              <w:rPr>
                <w:sz w:val="26"/>
                <w:szCs w:val="26"/>
              </w:rPr>
              <w:t>Līguma</w:t>
            </w:r>
            <w:proofErr w:type="spellEnd"/>
            <w:r w:rsidR="00511C7D">
              <w:rPr>
                <w:sz w:val="26"/>
                <w:szCs w:val="26"/>
              </w:rPr>
              <w:t xml:space="preserve"> 87. un 88.</w:t>
            </w:r>
            <w:r w:rsidRPr="00340E1F">
              <w:rPr>
                <w:sz w:val="26"/>
                <w:szCs w:val="26"/>
              </w:rPr>
              <w:t xml:space="preserve">panta </w:t>
            </w:r>
            <w:proofErr w:type="spellStart"/>
            <w:r w:rsidRPr="00340E1F">
              <w:rPr>
                <w:sz w:val="26"/>
                <w:szCs w:val="26"/>
              </w:rPr>
              <w:t>piemērošanu</w:t>
            </w:r>
            <w:proofErr w:type="spellEnd"/>
            <w:r w:rsidRPr="00340E1F">
              <w:rPr>
                <w:sz w:val="26"/>
                <w:szCs w:val="26"/>
              </w:rPr>
              <w:t xml:space="preserve"> </w:t>
            </w:r>
            <w:r w:rsidRPr="00511C7D">
              <w:rPr>
                <w:i/>
                <w:sz w:val="26"/>
                <w:szCs w:val="26"/>
              </w:rPr>
              <w:t xml:space="preserve">de </w:t>
            </w:r>
            <w:proofErr w:type="spellStart"/>
            <w:r w:rsidRPr="00511C7D">
              <w:rPr>
                <w:i/>
                <w:sz w:val="26"/>
                <w:szCs w:val="26"/>
              </w:rPr>
              <w:t>minimis</w:t>
            </w:r>
            <w:proofErr w:type="spellEnd"/>
            <w:r w:rsidRPr="00340E1F">
              <w:rPr>
                <w:sz w:val="26"/>
                <w:szCs w:val="26"/>
              </w:rPr>
              <w:t xml:space="preserve"> </w:t>
            </w:r>
            <w:proofErr w:type="spellStart"/>
            <w:r w:rsidRPr="00340E1F">
              <w:rPr>
                <w:sz w:val="26"/>
                <w:szCs w:val="26"/>
              </w:rPr>
              <w:t>atbalstam</w:t>
            </w:r>
            <w:proofErr w:type="spellEnd"/>
            <w:r w:rsidRPr="00340E1F">
              <w:rPr>
                <w:sz w:val="26"/>
                <w:szCs w:val="26"/>
              </w:rPr>
              <w:t xml:space="preserve"> (</w:t>
            </w:r>
            <w:proofErr w:type="spellStart"/>
            <w:r w:rsidRPr="00340E1F">
              <w:rPr>
                <w:sz w:val="26"/>
                <w:szCs w:val="26"/>
              </w:rPr>
              <w:t>turpmāk</w:t>
            </w:r>
            <w:proofErr w:type="spellEnd"/>
            <w:r w:rsidRPr="00340E1F">
              <w:rPr>
                <w:sz w:val="26"/>
                <w:szCs w:val="26"/>
              </w:rPr>
              <w:t xml:space="preserve"> – </w:t>
            </w:r>
            <w:proofErr w:type="spellStart"/>
            <w:r w:rsidRPr="00340E1F">
              <w:rPr>
                <w:sz w:val="26"/>
                <w:szCs w:val="26"/>
              </w:rPr>
              <w:t>Regula</w:t>
            </w:r>
            <w:proofErr w:type="spellEnd"/>
            <w:r w:rsidRPr="00340E1F">
              <w:rPr>
                <w:sz w:val="26"/>
                <w:szCs w:val="26"/>
              </w:rPr>
              <w:t xml:space="preserve"> </w:t>
            </w:r>
            <w:r>
              <w:rPr>
                <w:sz w:val="26"/>
                <w:szCs w:val="26"/>
              </w:rPr>
              <w:t>Nr.</w:t>
            </w:r>
            <w:r w:rsidRPr="00340E1F">
              <w:rPr>
                <w:sz w:val="26"/>
                <w:szCs w:val="26"/>
              </w:rPr>
              <w:t>1998/2006)</w:t>
            </w:r>
            <w:r>
              <w:rPr>
                <w:sz w:val="26"/>
                <w:szCs w:val="26"/>
              </w:rPr>
              <w:t xml:space="preserve"> un </w:t>
            </w:r>
            <w:proofErr w:type="spellStart"/>
            <w:r>
              <w:rPr>
                <w:sz w:val="26"/>
                <w:szCs w:val="26"/>
              </w:rPr>
              <w:t>Komisijas</w:t>
            </w:r>
            <w:proofErr w:type="spellEnd"/>
            <w:r>
              <w:rPr>
                <w:sz w:val="26"/>
                <w:szCs w:val="26"/>
              </w:rPr>
              <w:t xml:space="preserve"> </w:t>
            </w:r>
            <w:proofErr w:type="spellStart"/>
            <w:r>
              <w:rPr>
                <w:sz w:val="26"/>
                <w:szCs w:val="26"/>
              </w:rPr>
              <w:t>Regulu</w:t>
            </w:r>
            <w:proofErr w:type="spellEnd"/>
            <w:r>
              <w:rPr>
                <w:sz w:val="26"/>
                <w:szCs w:val="26"/>
              </w:rPr>
              <w:t xml:space="preserve"> (EK) Nr. 1535/2007 (2007.gada 20.decembris) par EK </w:t>
            </w:r>
            <w:proofErr w:type="spellStart"/>
            <w:r>
              <w:rPr>
                <w:sz w:val="26"/>
                <w:szCs w:val="26"/>
              </w:rPr>
              <w:t>līguma</w:t>
            </w:r>
            <w:proofErr w:type="spellEnd"/>
            <w:r>
              <w:rPr>
                <w:sz w:val="26"/>
                <w:szCs w:val="26"/>
              </w:rPr>
              <w:t xml:space="preserve"> 87. un 88.panta </w:t>
            </w:r>
            <w:proofErr w:type="spellStart"/>
            <w:r>
              <w:rPr>
                <w:sz w:val="26"/>
                <w:szCs w:val="26"/>
              </w:rPr>
              <w:t>piemērošanu</w:t>
            </w:r>
            <w:proofErr w:type="spellEnd"/>
            <w:r>
              <w:rPr>
                <w:sz w:val="26"/>
                <w:szCs w:val="26"/>
              </w:rPr>
              <w:t xml:space="preserve"> </w:t>
            </w:r>
            <w:r w:rsidRPr="00511C7D">
              <w:rPr>
                <w:i/>
                <w:sz w:val="26"/>
                <w:szCs w:val="26"/>
              </w:rPr>
              <w:t xml:space="preserve">de </w:t>
            </w:r>
            <w:proofErr w:type="spellStart"/>
            <w:r w:rsidRPr="00511C7D">
              <w:rPr>
                <w:i/>
                <w:sz w:val="26"/>
                <w:szCs w:val="26"/>
              </w:rPr>
              <w:t>minimis</w:t>
            </w:r>
            <w:proofErr w:type="spellEnd"/>
            <w:r>
              <w:rPr>
                <w:sz w:val="26"/>
                <w:szCs w:val="26"/>
              </w:rPr>
              <w:t xml:space="preserve"> </w:t>
            </w:r>
            <w:proofErr w:type="spellStart"/>
            <w:r>
              <w:rPr>
                <w:sz w:val="26"/>
                <w:szCs w:val="26"/>
              </w:rPr>
              <w:t>atbalstam</w:t>
            </w:r>
            <w:proofErr w:type="spellEnd"/>
            <w:r>
              <w:rPr>
                <w:sz w:val="26"/>
                <w:szCs w:val="26"/>
              </w:rPr>
              <w:t xml:space="preserve"> </w:t>
            </w:r>
            <w:proofErr w:type="spellStart"/>
            <w:r>
              <w:rPr>
                <w:sz w:val="26"/>
                <w:szCs w:val="26"/>
              </w:rPr>
              <w:t>lauksaimniecības</w:t>
            </w:r>
            <w:proofErr w:type="spellEnd"/>
            <w:r>
              <w:rPr>
                <w:sz w:val="26"/>
                <w:szCs w:val="26"/>
              </w:rPr>
              <w:t xml:space="preserve"> </w:t>
            </w:r>
            <w:proofErr w:type="spellStart"/>
            <w:r>
              <w:rPr>
                <w:sz w:val="26"/>
                <w:szCs w:val="26"/>
              </w:rPr>
              <w:t>produktu</w:t>
            </w:r>
            <w:proofErr w:type="spellEnd"/>
            <w:r>
              <w:rPr>
                <w:sz w:val="26"/>
                <w:szCs w:val="26"/>
              </w:rPr>
              <w:t xml:space="preserve"> </w:t>
            </w:r>
            <w:proofErr w:type="spellStart"/>
            <w:r>
              <w:rPr>
                <w:sz w:val="26"/>
                <w:szCs w:val="26"/>
              </w:rPr>
              <w:t>ražošanas</w:t>
            </w:r>
            <w:proofErr w:type="spellEnd"/>
            <w:r>
              <w:rPr>
                <w:sz w:val="26"/>
                <w:szCs w:val="26"/>
              </w:rPr>
              <w:t xml:space="preserve"> </w:t>
            </w:r>
            <w:proofErr w:type="spellStart"/>
            <w:r>
              <w:rPr>
                <w:sz w:val="26"/>
                <w:szCs w:val="26"/>
              </w:rPr>
              <w:t>nozarē</w:t>
            </w:r>
            <w:proofErr w:type="spellEnd"/>
            <w:r>
              <w:rPr>
                <w:sz w:val="26"/>
                <w:szCs w:val="26"/>
              </w:rPr>
              <w:t xml:space="preserve"> (</w:t>
            </w:r>
            <w:proofErr w:type="spellStart"/>
            <w:r>
              <w:rPr>
                <w:sz w:val="26"/>
                <w:szCs w:val="26"/>
              </w:rPr>
              <w:t>turpmāk</w:t>
            </w:r>
            <w:proofErr w:type="spellEnd"/>
            <w:r>
              <w:rPr>
                <w:sz w:val="26"/>
                <w:szCs w:val="26"/>
              </w:rPr>
              <w:t xml:space="preserve"> </w:t>
            </w:r>
            <w:proofErr w:type="spellStart"/>
            <w:r>
              <w:rPr>
                <w:sz w:val="26"/>
                <w:szCs w:val="26"/>
              </w:rPr>
              <w:t>Regula</w:t>
            </w:r>
            <w:proofErr w:type="spellEnd"/>
            <w:r>
              <w:rPr>
                <w:sz w:val="26"/>
                <w:szCs w:val="26"/>
              </w:rPr>
              <w:t xml:space="preserve"> Nr.1535/2007).</w:t>
            </w:r>
          </w:p>
        </w:tc>
      </w:tr>
      <w:tr w:rsidR="00A31FDC" w:rsidRPr="00235168" w:rsidTr="00A4363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Pašreizējā situācija un problēmas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092473" w:rsidRDefault="00092473" w:rsidP="00457CC8">
            <w:pPr>
              <w:ind w:firstLine="567"/>
              <w:jc w:val="both"/>
              <w:rPr>
                <w:rFonts w:eastAsia="Times New Roman"/>
                <w:bCs/>
                <w:sz w:val="26"/>
                <w:szCs w:val="26"/>
              </w:rPr>
            </w:pPr>
            <w:r>
              <w:rPr>
                <w:rFonts w:eastAsia="Times New Roman"/>
                <w:bCs/>
                <w:sz w:val="26"/>
                <w:szCs w:val="26"/>
              </w:rPr>
              <w:t>2</w:t>
            </w:r>
            <w:r w:rsidRPr="00092473">
              <w:rPr>
                <w:rFonts w:eastAsia="Times New Roman"/>
                <w:bCs/>
                <w:sz w:val="26"/>
                <w:szCs w:val="26"/>
              </w:rPr>
              <w:t xml:space="preserve">007.gada 20.decembrī </w:t>
            </w:r>
            <w:proofErr w:type="spellStart"/>
            <w:r w:rsidRPr="00092473">
              <w:rPr>
                <w:rFonts w:eastAsia="Times New Roman"/>
                <w:bCs/>
                <w:sz w:val="26"/>
                <w:szCs w:val="26"/>
              </w:rPr>
              <w:t>tika</w:t>
            </w:r>
            <w:proofErr w:type="spellEnd"/>
            <w:r w:rsidRPr="00092473">
              <w:rPr>
                <w:rFonts w:eastAsia="Times New Roman"/>
                <w:bCs/>
                <w:sz w:val="26"/>
                <w:szCs w:val="26"/>
              </w:rPr>
              <w:t xml:space="preserve"> </w:t>
            </w:r>
            <w:proofErr w:type="spellStart"/>
            <w:r w:rsidRPr="00092473">
              <w:rPr>
                <w:rFonts w:eastAsia="Times New Roman"/>
                <w:bCs/>
                <w:sz w:val="26"/>
                <w:szCs w:val="26"/>
              </w:rPr>
              <w:t>noslēgts</w:t>
            </w:r>
            <w:proofErr w:type="spellEnd"/>
            <w:r w:rsidRPr="00092473">
              <w:rPr>
                <w:rFonts w:eastAsia="Times New Roman"/>
                <w:bCs/>
                <w:sz w:val="26"/>
                <w:szCs w:val="26"/>
              </w:rPr>
              <w:t xml:space="preserve"> </w:t>
            </w:r>
            <w:proofErr w:type="spellStart"/>
            <w:r w:rsidRPr="00092473">
              <w:rPr>
                <w:rFonts w:eastAsia="Times New Roman"/>
                <w:bCs/>
                <w:sz w:val="26"/>
                <w:szCs w:val="26"/>
              </w:rPr>
              <w:t>ietvarlīgums</w:t>
            </w:r>
            <w:proofErr w:type="spellEnd"/>
            <w:r w:rsidRPr="00092473">
              <w:rPr>
                <w:rFonts w:eastAsia="Times New Roman"/>
                <w:bCs/>
                <w:sz w:val="26"/>
                <w:szCs w:val="26"/>
              </w:rPr>
              <w:t xml:space="preserve"> </w:t>
            </w:r>
            <w:proofErr w:type="spellStart"/>
            <w:r w:rsidRPr="00092473">
              <w:rPr>
                <w:rFonts w:eastAsia="Times New Roman"/>
                <w:bCs/>
                <w:sz w:val="26"/>
                <w:szCs w:val="26"/>
              </w:rPr>
              <w:t>starp</w:t>
            </w:r>
            <w:proofErr w:type="spellEnd"/>
            <w:r w:rsidRPr="00092473">
              <w:rPr>
                <w:rFonts w:eastAsia="Times New Roman"/>
                <w:bCs/>
                <w:sz w:val="26"/>
                <w:szCs w:val="26"/>
              </w:rPr>
              <w:t xml:space="preserve"> </w:t>
            </w:r>
            <w:proofErr w:type="spellStart"/>
            <w:r w:rsidRPr="00092473">
              <w:rPr>
                <w:rFonts w:eastAsia="Times New Roman"/>
                <w:bCs/>
                <w:sz w:val="26"/>
                <w:szCs w:val="26"/>
              </w:rPr>
              <w:t>Latvijas</w:t>
            </w:r>
            <w:proofErr w:type="spellEnd"/>
            <w:r w:rsidRPr="00092473">
              <w:rPr>
                <w:rFonts w:eastAsia="Times New Roman"/>
                <w:bCs/>
                <w:sz w:val="26"/>
                <w:szCs w:val="26"/>
              </w:rPr>
              <w:t xml:space="preserve"> </w:t>
            </w:r>
            <w:proofErr w:type="spellStart"/>
            <w:r w:rsidRPr="00092473">
              <w:rPr>
                <w:rFonts w:eastAsia="Times New Roman"/>
                <w:bCs/>
                <w:sz w:val="26"/>
                <w:szCs w:val="26"/>
              </w:rPr>
              <w:t>Republiku</w:t>
            </w:r>
            <w:proofErr w:type="spellEnd"/>
            <w:r w:rsidRPr="00092473">
              <w:rPr>
                <w:rFonts w:eastAsia="Times New Roman"/>
                <w:bCs/>
                <w:sz w:val="26"/>
                <w:szCs w:val="26"/>
              </w:rPr>
              <w:t xml:space="preserve"> un </w:t>
            </w:r>
            <w:proofErr w:type="spellStart"/>
            <w:r w:rsidRPr="00092473">
              <w:rPr>
                <w:rFonts w:eastAsia="Times New Roman"/>
                <w:bCs/>
                <w:sz w:val="26"/>
                <w:szCs w:val="26"/>
              </w:rPr>
              <w:t>Šveices</w:t>
            </w:r>
            <w:proofErr w:type="spellEnd"/>
            <w:r w:rsidRPr="00092473">
              <w:rPr>
                <w:rFonts w:eastAsia="Times New Roman"/>
                <w:bCs/>
                <w:sz w:val="26"/>
                <w:szCs w:val="26"/>
              </w:rPr>
              <w:t xml:space="preserve"> </w:t>
            </w:r>
            <w:proofErr w:type="spellStart"/>
            <w:r w:rsidRPr="00092473">
              <w:rPr>
                <w:rFonts w:eastAsia="Times New Roman"/>
                <w:bCs/>
                <w:sz w:val="26"/>
                <w:szCs w:val="26"/>
              </w:rPr>
              <w:t>Konfederācijas</w:t>
            </w:r>
            <w:proofErr w:type="spellEnd"/>
            <w:r w:rsidRPr="00092473">
              <w:rPr>
                <w:rFonts w:eastAsia="Times New Roman"/>
                <w:bCs/>
                <w:sz w:val="26"/>
                <w:szCs w:val="26"/>
              </w:rPr>
              <w:t xml:space="preserve"> </w:t>
            </w:r>
            <w:proofErr w:type="spellStart"/>
            <w:r w:rsidRPr="00092473">
              <w:rPr>
                <w:rFonts w:eastAsia="Times New Roman"/>
                <w:bCs/>
                <w:sz w:val="26"/>
                <w:szCs w:val="26"/>
              </w:rPr>
              <w:t>padomi</w:t>
            </w:r>
            <w:proofErr w:type="spellEnd"/>
            <w:r w:rsidRPr="00092473">
              <w:rPr>
                <w:rFonts w:eastAsia="Times New Roman"/>
                <w:bCs/>
                <w:sz w:val="26"/>
                <w:szCs w:val="26"/>
              </w:rPr>
              <w:t xml:space="preserve"> par </w:t>
            </w:r>
            <w:proofErr w:type="spellStart"/>
            <w:r w:rsidRPr="00092473">
              <w:rPr>
                <w:rFonts w:eastAsia="Times New Roman"/>
                <w:bCs/>
                <w:sz w:val="26"/>
                <w:szCs w:val="26"/>
              </w:rPr>
              <w:t>Latvijas</w:t>
            </w:r>
            <w:proofErr w:type="spellEnd"/>
            <w:r w:rsidRPr="00092473">
              <w:rPr>
                <w:rFonts w:eastAsia="Times New Roman"/>
                <w:bCs/>
                <w:sz w:val="26"/>
                <w:szCs w:val="26"/>
              </w:rPr>
              <w:t xml:space="preserve"> un </w:t>
            </w:r>
            <w:proofErr w:type="spellStart"/>
            <w:r w:rsidRPr="00092473">
              <w:rPr>
                <w:rFonts w:eastAsia="Times New Roman"/>
                <w:bCs/>
                <w:sz w:val="26"/>
                <w:szCs w:val="26"/>
              </w:rPr>
              <w:t>Šveices</w:t>
            </w:r>
            <w:proofErr w:type="spellEnd"/>
            <w:r w:rsidRPr="00092473">
              <w:rPr>
                <w:rFonts w:eastAsia="Times New Roman"/>
                <w:bCs/>
                <w:sz w:val="26"/>
                <w:szCs w:val="26"/>
              </w:rPr>
              <w:t xml:space="preserve"> </w:t>
            </w:r>
            <w:proofErr w:type="spellStart"/>
            <w:r w:rsidRPr="00092473">
              <w:rPr>
                <w:rFonts w:eastAsia="Times New Roman"/>
                <w:bCs/>
                <w:sz w:val="26"/>
                <w:szCs w:val="26"/>
              </w:rPr>
              <w:t>sadarbības</w:t>
            </w:r>
            <w:proofErr w:type="spellEnd"/>
            <w:r w:rsidRPr="00092473">
              <w:rPr>
                <w:rFonts w:eastAsia="Times New Roman"/>
                <w:bCs/>
                <w:sz w:val="26"/>
                <w:szCs w:val="26"/>
              </w:rPr>
              <w:t xml:space="preserve"> </w:t>
            </w:r>
            <w:proofErr w:type="spellStart"/>
            <w:r w:rsidRPr="00092473">
              <w:rPr>
                <w:rFonts w:eastAsia="Times New Roman"/>
                <w:bCs/>
                <w:sz w:val="26"/>
                <w:szCs w:val="26"/>
              </w:rPr>
              <w:t>programmas</w:t>
            </w:r>
            <w:proofErr w:type="spellEnd"/>
            <w:r w:rsidRPr="00092473">
              <w:rPr>
                <w:rFonts w:eastAsia="Times New Roman"/>
                <w:bCs/>
                <w:sz w:val="26"/>
                <w:szCs w:val="26"/>
              </w:rPr>
              <w:t xml:space="preserve"> </w:t>
            </w:r>
            <w:proofErr w:type="spellStart"/>
            <w:r w:rsidRPr="00092473">
              <w:rPr>
                <w:rFonts w:eastAsia="Times New Roman"/>
                <w:bCs/>
                <w:sz w:val="26"/>
                <w:szCs w:val="26"/>
              </w:rPr>
              <w:t>īstenošanu</w:t>
            </w:r>
            <w:proofErr w:type="spellEnd"/>
            <w:r w:rsidRPr="00092473">
              <w:rPr>
                <w:rFonts w:eastAsia="Times New Roman"/>
                <w:bCs/>
                <w:sz w:val="26"/>
                <w:szCs w:val="26"/>
              </w:rPr>
              <w:t xml:space="preserve"> </w:t>
            </w:r>
            <w:proofErr w:type="spellStart"/>
            <w:r w:rsidRPr="00092473">
              <w:rPr>
                <w:rFonts w:eastAsia="Times New Roman"/>
                <w:bCs/>
                <w:sz w:val="26"/>
                <w:szCs w:val="26"/>
              </w:rPr>
              <w:t>ekonomisko</w:t>
            </w:r>
            <w:proofErr w:type="spellEnd"/>
            <w:r w:rsidRPr="00092473">
              <w:rPr>
                <w:rFonts w:eastAsia="Times New Roman"/>
                <w:bCs/>
                <w:sz w:val="26"/>
                <w:szCs w:val="26"/>
              </w:rPr>
              <w:t xml:space="preserve"> un </w:t>
            </w:r>
            <w:proofErr w:type="spellStart"/>
            <w:r w:rsidRPr="00092473">
              <w:rPr>
                <w:rFonts w:eastAsia="Times New Roman"/>
                <w:bCs/>
                <w:sz w:val="26"/>
                <w:szCs w:val="26"/>
              </w:rPr>
              <w:t>sociālo</w:t>
            </w:r>
            <w:proofErr w:type="spellEnd"/>
            <w:r w:rsidRPr="00092473">
              <w:rPr>
                <w:rFonts w:eastAsia="Times New Roman"/>
                <w:bCs/>
                <w:sz w:val="26"/>
                <w:szCs w:val="26"/>
              </w:rPr>
              <w:t xml:space="preserve"> </w:t>
            </w:r>
            <w:proofErr w:type="spellStart"/>
            <w:r w:rsidRPr="00092473">
              <w:rPr>
                <w:rFonts w:eastAsia="Times New Roman"/>
                <w:bCs/>
                <w:sz w:val="26"/>
                <w:szCs w:val="26"/>
              </w:rPr>
              <w:t>atšķirtību</w:t>
            </w:r>
            <w:proofErr w:type="spellEnd"/>
            <w:r w:rsidRPr="00092473">
              <w:rPr>
                <w:rFonts w:eastAsia="Times New Roman"/>
                <w:bCs/>
                <w:sz w:val="26"/>
                <w:szCs w:val="26"/>
              </w:rPr>
              <w:t xml:space="preserve"> </w:t>
            </w:r>
            <w:proofErr w:type="spellStart"/>
            <w:r w:rsidRPr="00092473">
              <w:rPr>
                <w:rFonts w:eastAsia="Times New Roman"/>
                <w:bCs/>
                <w:sz w:val="26"/>
                <w:szCs w:val="26"/>
              </w:rPr>
              <w:t>samazināšanai</w:t>
            </w:r>
            <w:proofErr w:type="spellEnd"/>
            <w:r w:rsidRPr="00092473">
              <w:rPr>
                <w:rFonts w:eastAsia="Times New Roman"/>
                <w:bCs/>
                <w:sz w:val="26"/>
                <w:szCs w:val="26"/>
              </w:rPr>
              <w:t xml:space="preserve"> </w:t>
            </w:r>
            <w:proofErr w:type="spellStart"/>
            <w:r w:rsidRPr="00092473">
              <w:rPr>
                <w:rFonts w:eastAsia="Times New Roman"/>
                <w:bCs/>
                <w:sz w:val="26"/>
                <w:szCs w:val="26"/>
              </w:rPr>
              <w:t>paplašinātajā</w:t>
            </w:r>
            <w:proofErr w:type="spellEnd"/>
            <w:r w:rsidRPr="00092473">
              <w:rPr>
                <w:rFonts w:eastAsia="Times New Roman"/>
                <w:bCs/>
                <w:sz w:val="26"/>
                <w:szCs w:val="26"/>
              </w:rPr>
              <w:t xml:space="preserve"> </w:t>
            </w:r>
            <w:proofErr w:type="spellStart"/>
            <w:r w:rsidRPr="00092473">
              <w:rPr>
                <w:rFonts w:eastAsia="Times New Roman"/>
                <w:bCs/>
                <w:sz w:val="26"/>
                <w:szCs w:val="26"/>
              </w:rPr>
              <w:t>Eiropas</w:t>
            </w:r>
            <w:proofErr w:type="spellEnd"/>
            <w:r w:rsidRPr="00092473">
              <w:rPr>
                <w:rFonts w:eastAsia="Times New Roman"/>
                <w:bCs/>
                <w:sz w:val="26"/>
                <w:szCs w:val="26"/>
              </w:rPr>
              <w:t xml:space="preserve"> </w:t>
            </w:r>
            <w:proofErr w:type="spellStart"/>
            <w:r w:rsidRPr="00092473">
              <w:rPr>
                <w:rFonts w:eastAsia="Times New Roman"/>
                <w:bCs/>
                <w:sz w:val="26"/>
                <w:szCs w:val="26"/>
              </w:rPr>
              <w:t>Savienībā</w:t>
            </w:r>
            <w:proofErr w:type="spellEnd"/>
            <w:r w:rsidRPr="00092473">
              <w:rPr>
                <w:rFonts w:eastAsia="Times New Roman"/>
                <w:bCs/>
                <w:sz w:val="26"/>
                <w:szCs w:val="26"/>
              </w:rPr>
              <w:t xml:space="preserve">. </w:t>
            </w:r>
            <w:proofErr w:type="spellStart"/>
            <w:r w:rsidRPr="00092473">
              <w:rPr>
                <w:rFonts w:eastAsia="Times New Roman"/>
                <w:bCs/>
                <w:sz w:val="26"/>
                <w:szCs w:val="26"/>
              </w:rPr>
              <w:t>Līdz</w:t>
            </w:r>
            <w:proofErr w:type="spellEnd"/>
            <w:r w:rsidRPr="00092473">
              <w:rPr>
                <w:rFonts w:eastAsia="Times New Roman"/>
                <w:bCs/>
                <w:sz w:val="26"/>
                <w:szCs w:val="26"/>
              </w:rPr>
              <w:t xml:space="preserve"> </w:t>
            </w:r>
            <w:proofErr w:type="spellStart"/>
            <w:r w:rsidRPr="00092473">
              <w:rPr>
                <w:rFonts w:eastAsia="Times New Roman"/>
                <w:bCs/>
                <w:sz w:val="26"/>
                <w:szCs w:val="26"/>
              </w:rPr>
              <w:t>ar</w:t>
            </w:r>
            <w:proofErr w:type="spellEnd"/>
            <w:r w:rsidRPr="00092473">
              <w:rPr>
                <w:rFonts w:eastAsia="Times New Roman"/>
                <w:bCs/>
                <w:sz w:val="26"/>
                <w:szCs w:val="26"/>
              </w:rPr>
              <w:t xml:space="preserve"> to, </w:t>
            </w:r>
            <w:proofErr w:type="spellStart"/>
            <w:r w:rsidRPr="00092473">
              <w:rPr>
                <w:rFonts w:eastAsia="Times New Roman"/>
                <w:bCs/>
                <w:sz w:val="26"/>
                <w:szCs w:val="26"/>
              </w:rPr>
              <w:t>Latvijai</w:t>
            </w:r>
            <w:proofErr w:type="spellEnd"/>
            <w:r w:rsidRPr="00092473">
              <w:rPr>
                <w:rFonts w:eastAsia="Times New Roman"/>
                <w:bCs/>
                <w:sz w:val="26"/>
                <w:szCs w:val="26"/>
              </w:rPr>
              <w:t xml:space="preserve"> </w:t>
            </w:r>
            <w:proofErr w:type="spellStart"/>
            <w:r w:rsidRPr="00092473">
              <w:rPr>
                <w:rFonts w:eastAsia="Times New Roman"/>
                <w:bCs/>
                <w:sz w:val="26"/>
                <w:szCs w:val="26"/>
              </w:rPr>
              <w:t>kā</w:t>
            </w:r>
            <w:proofErr w:type="spellEnd"/>
            <w:r w:rsidRPr="00092473">
              <w:rPr>
                <w:rFonts w:eastAsia="Times New Roman"/>
                <w:bCs/>
                <w:sz w:val="26"/>
                <w:szCs w:val="26"/>
              </w:rPr>
              <w:t xml:space="preserve"> </w:t>
            </w:r>
            <w:proofErr w:type="spellStart"/>
            <w:r w:rsidRPr="00092473">
              <w:rPr>
                <w:rFonts w:eastAsia="Times New Roman"/>
                <w:bCs/>
                <w:sz w:val="26"/>
                <w:szCs w:val="26"/>
              </w:rPr>
              <w:t>vienai</w:t>
            </w:r>
            <w:proofErr w:type="spellEnd"/>
            <w:r w:rsidRPr="00092473">
              <w:rPr>
                <w:rFonts w:eastAsia="Times New Roman"/>
                <w:bCs/>
                <w:sz w:val="26"/>
                <w:szCs w:val="26"/>
              </w:rPr>
              <w:t xml:space="preserve"> no </w:t>
            </w:r>
            <w:proofErr w:type="spellStart"/>
            <w:r w:rsidRPr="00092473">
              <w:rPr>
                <w:rFonts w:eastAsia="Times New Roman"/>
                <w:bCs/>
                <w:sz w:val="26"/>
                <w:szCs w:val="26"/>
              </w:rPr>
              <w:t>jaunajām</w:t>
            </w:r>
            <w:proofErr w:type="spellEnd"/>
            <w:r w:rsidRPr="00092473">
              <w:rPr>
                <w:rFonts w:eastAsia="Times New Roman"/>
                <w:bCs/>
                <w:sz w:val="26"/>
                <w:szCs w:val="26"/>
              </w:rPr>
              <w:t xml:space="preserve"> </w:t>
            </w:r>
            <w:proofErr w:type="spellStart"/>
            <w:r w:rsidRPr="00092473">
              <w:rPr>
                <w:rFonts w:eastAsia="Times New Roman"/>
                <w:bCs/>
                <w:sz w:val="26"/>
                <w:szCs w:val="26"/>
              </w:rPr>
              <w:t>Eiropas</w:t>
            </w:r>
            <w:proofErr w:type="spellEnd"/>
            <w:r w:rsidRPr="00092473">
              <w:rPr>
                <w:rFonts w:eastAsia="Times New Roman"/>
                <w:bCs/>
                <w:sz w:val="26"/>
                <w:szCs w:val="26"/>
              </w:rPr>
              <w:t xml:space="preserve"> </w:t>
            </w:r>
            <w:proofErr w:type="spellStart"/>
            <w:r w:rsidRPr="00092473">
              <w:rPr>
                <w:rFonts w:eastAsia="Times New Roman"/>
                <w:bCs/>
                <w:sz w:val="26"/>
                <w:szCs w:val="26"/>
              </w:rPr>
              <w:t>Savienības</w:t>
            </w:r>
            <w:proofErr w:type="spellEnd"/>
            <w:r w:rsidRPr="00092473">
              <w:rPr>
                <w:rFonts w:eastAsia="Times New Roman"/>
                <w:bCs/>
                <w:sz w:val="26"/>
                <w:szCs w:val="26"/>
              </w:rPr>
              <w:t xml:space="preserve"> </w:t>
            </w:r>
            <w:proofErr w:type="spellStart"/>
            <w:r w:rsidRPr="00092473">
              <w:rPr>
                <w:rFonts w:eastAsia="Times New Roman"/>
                <w:bCs/>
                <w:sz w:val="26"/>
                <w:szCs w:val="26"/>
              </w:rPr>
              <w:t>dalībvalstīm</w:t>
            </w:r>
            <w:proofErr w:type="spellEnd"/>
            <w:r w:rsidRPr="00092473">
              <w:rPr>
                <w:rFonts w:eastAsia="Times New Roman"/>
                <w:bCs/>
                <w:sz w:val="26"/>
                <w:szCs w:val="26"/>
              </w:rPr>
              <w:t xml:space="preserve"> </w:t>
            </w:r>
            <w:proofErr w:type="spellStart"/>
            <w:r w:rsidRPr="00092473">
              <w:rPr>
                <w:rFonts w:eastAsia="Times New Roman"/>
                <w:bCs/>
                <w:sz w:val="26"/>
                <w:szCs w:val="26"/>
              </w:rPr>
              <w:t>paredzētais</w:t>
            </w:r>
            <w:proofErr w:type="spellEnd"/>
            <w:r w:rsidRPr="00092473">
              <w:rPr>
                <w:rFonts w:eastAsia="Times New Roman"/>
                <w:bCs/>
                <w:sz w:val="26"/>
                <w:szCs w:val="26"/>
              </w:rPr>
              <w:t xml:space="preserve"> </w:t>
            </w:r>
            <w:proofErr w:type="spellStart"/>
            <w:r w:rsidRPr="00092473">
              <w:rPr>
                <w:rFonts w:eastAsia="Times New Roman"/>
                <w:bCs/>
                <w:sz w:val="26"/>
                <w:szCs w:val="26"/>
              </w:rPr>
              <w:t>finanšu</w:t>
            </w:r>
            <w:proofErr w:type="spellEnd"/>
            <w:r w:rsidRPr="00092473">
              <w:rPr>
                <w:rFonts w:eastAsia="Times New Roman"/>
                <w:bCs/>
                <w:sz w:val="26"/>
                <w:szCs w:val="26"/>
              </w:rPr>
              <w:t xml:space="preserve"> </w:t>
            </w:r>
            <w:proofErr w:type="spellStart"/>
            <w:r w:rsidRPr="00092473">
              <w:rPr>
                <w:rFonts w:eastAsia="Times New Roman"/>
                <w:bCs/>
                <w:sz w:val="26"/>
                <w:szCs w:val="26"/>
              </w:rPr>
              <w:t>palīdzības</w:t>
            </w:r>
            <w:proofErr w:type="spellEnd"/>
            <w:r w:rsidRPr="00092473">
              <w:rPr>
                <w:rFonts w:eastAsia="Times New Roman"/>
                <w:bCs/>
                <w:sz w:val="26"/>
                <w:szCs w:val="26"/>
              </w:rPr>
              <w:t xml:space="preserve"> </w:t>
            </w:r>
            <w:proofErr w:type="spellStart"/>
            <w:r w:rsidRPr="00092473">
              <w:rPr>
                <w:rFonts w:eastAsia="Times New Roman"/>
                <w:bCs/>
                <w:sz w:val="26"/>
                <w:szCs w:val="26"/>
              </w:rPr>
              <w:t>apjoms</w:t>
            </w:r>
            <w:proofErr w:type="spellEnd"/>
            <w:r w:rsidRPr="00092473">
              <w:rPr>
                <w:rFonts w:eastAsia="Times New Roman"/>
                <w:bCs/>
                <w:sz w:val="26"/>
                <w:szCs w:val="26"/>
              </w:rPr>
              <w:t xml:space="preserve"> </w:t>
            </w:r>
            <w:proofErr w:type="spellStart"/>
            <w:r w:rsidRPr="00092473">
              <w:rPr>
                <w:rFonts w:eastAsia="Times New Roman"/>
                <w:bCs/>
                <w:sz w:val="26"/>
                <w:szCs w:val="26"/>
              </w:rPr>
              <w:t>neto</w:t>
            </w:r>
            <w:proofErr w:type="spellEnd"/>
            <w:r w:rsidRPr="00092473">
              <w:rPr>
                <w:rFonts w:eastAsia="Times New Roman"/>
                <w:bCs/>
                <w:sz w:val="26"/>
                <w:szCs w:val="26"/>
              </w:rPr>
              <w:t xml:space="preserve"> </w:t>
            </w:r>
            <w:proofErr w:type="spellStart"/>
            <w:r w:rsidRPr="00092473">
              <w:rPr>
                <w:rFonts w:eastAsia="Times New Roman"/>
                <w:bCs/>
                <w:sz w:val="26"/>
                <w:szCs w:val="26"/>
              </w:rPr>
              <w:t>ir</w:t>
            </w:r>
            <w:proofErr w:type="spellEnd"/>
            <w:r w:rsidRPr="00092473">
              <w:rPr>
                <w:rFonts w:eastAsia="Times New Roman"/>
                <w:bCs/>
                <w:sz w:val="26"/>
                <w:szCs w:val="26"/>
              </w:rPr>
              <w:t xml:space="preserve"> 56,9 </w:t>
            </w:r>
            <w:proofErr w:type="spellStart"/>
            <w:r w:rsidRPr="00092473">
              <w:rPr>
                <w:rFonts w:eastAsia="Times New Roman"/>
                <w:bCs/>
                <w:sz w:val="26"/>
                <w:szCs w:val="26"/>
              </w:rPr>
              <w:t>milj</w:t>
            </w:r>
            <w:proofErr w:type="spellEnd"/>
            <w:r w:rsidRPr="00092473">
              <w:rPr>
                <w:rFonts w:eastAsia="Times New Roman"/>
                <w:bCs/>
                <w:sz w:val="26"/>
                <w:szCs w:val="26"/>
              </w:rPr>
              <w:t xml:space="preserve">. </w:t>
            </w:r>
            <w:proofErr w:type="spellStart"/>
            <w:r w:rsidRPr="00092473">
              <w:rPr>
                <w:rFonts w:eastAsia="Times New Roman"/>
                <w:bCs/>
                <w:sz w:val="26"/>
                <w:szCs w:val="26"/>
              </w:rPr>
              <w:t>Šveices</w:t>
            </w:r>
            <w:proofErr w:type="spellEnd"/>
            <w:r w:rsidRPr="00092473">
              <w:rPr>
                <w:rFonts w:eastAsia="Times New Roman"/>
                <w:bCs/>
                <w:sz w:val="26"/>
                <w:szCs w:val="26"/>
              </w:rPr>
              <w:t xml:space="preserve"> </w:t>
            </w:r>
            <w:proofErr w:type="spellStart"/>
            <w:r w:rsidRPr="00092473">
              <w:rPr>
                <w:rFonts w:eastAsia="Times New Roman"/>
                <w:bCs/>
                <w:sz w:val="26"/>
                <w:szCs w:val="26"/>
              </w:rPr>
              <w:t>franku</w:t>
            </w:r>
            <w:proofErr w:type="spellEnd"/>
            <w:r w:rsidR="00F1704E">
              <w:rPr>
                <w:rFonts w:eastAsia="Times New Roman"/>
                <w:bCs/>
                <w:sz w:val="26"/>
                <w:szCs w:val="26"/>
              </w:rPr>
              <w:t xml:space="preserve"> (</w:t>
            </w:r>
            <w:proofErr w:type="spellStart"/>
            <w:r w:rsidR="00F1704E">
              <w:rPr>
                <w:rFonts w:eastAsia="Times New Roman"/>
                <w:bCs/>
                <w:sz w:val="26"/>
                <w:szCs w:val="26"/>
              </w:rPr>
              <w:t>turpmāk</w:t>
            </w:r>
            <w:proofErr w:type="spellEnd"/>
            <w:r w:rsidR="00F1704E">
              <w:rPr>
                <w:rFonts w:eastAsia="Times New Roman"/>
                <w:bCs/>
                <w:sz w:val="26"/>
                <w:szCs w:val="26"/>
              </w:rPr>
              <w:t xml:space="preserve"> – CHF)</w:t>
            </w:r>
            <w:r w:rsidRPr="00092473">
              <w:rPr>
                <w:rFonts w:eastAsia="Times New Roman"/>
                <w:bCs/>
                <w:sz w:val="26"/>
                <w:szCs w:val="26"/>
              </w:rPr>
              <w:t xml:space="preserve">, </w:t>
            </w:r>
            <w:proofErr w:type="spellStart"/>
            <w:r w:rsidRPr="00092473">
              <w:rPr>
                <w:rFonts w:eastAsia="Times New Roman"/>
                <w:bCs/>
                <w:sz w:val="26"/>
                <w:szCs w:val="26"/>
              </w:rPr>
              <w:t>kuru</w:t>
            </w:r>
            <w:proofErr w:type="spellEnd"/>
            <w:r w:rsidRPr="00092473">
              <w:rPr>
                <w:rFonts w:eastAsia="Times New Roman"/>
                <w:bCs/>
                <w:sz w:val="26"/>
                <w:szCs w:val="26"/>
              </w:rPr>
              <w:t xml:space="preserve"> </w:t>
            </w:r>
            <w:proofErr w:type="spellStart"/>
            <w:r w:rsidRPr="00092473">
              <w:rPr>
                <w:rFonts w:eastAsia="Times New Roman"/>
                <w:bCs/>
                <w:sz w:val="26"/>
                <w:szCs w:val="26"/>
              </w:rPr>
              <w:t>plānots</w:t>
            </w:r>
            <w:proofErr w:type="spellEnd"/>
            <w:r w:rsidRPr="00092473">
              <w:rPr>
                <w:rFonts w:eastAsia="Times New Roman"/>
                <w:bCs/>
                <w:sz w:val="26"/>
                <w:szCs w:val="26"/>
              </w:rPr>
              <w:t xml:space="preserve"> </w:t>
            </w:r>
            <w:proofErr w:type="spellStart"/>
            <w:r w:rsidRPr="00092473">
              <w:rPr>
                <w:rFonts w:eastAsia="Times New Roman"/>
                <w:bCs/>
                <w:sz w:val="26"/>
                <w:szCs w:val="26"/>
              </w:rPr>
              <w:t>apgūt</w:t>
            </w:r>
            <w:proofErr w:type="spellEnd"/>
            <w:r w:rsidRPr="00092473">
              <w:rPr>
                <w:rFonts w:eastAsia="Times New Roman"/>
                <w:bCs/>
                <w:sz w:val="26"/>
                <w:szCs w:val="26"/>
              </w:rPr>
              <w:t xml:space="preserve"> </w:t>
            </w:r>
            <w:proofErr w:type="spellStart"/>
            <w:r w:rsidRPr="00092473">
              <w:rPr>
                <w:rFonts w:eastAsia="Times New Roman"/>
                <w:bCs/>
                <w:sz w:val="26"/>
                <w:szCs w:val="26"/>
              </w:rPr>
              <w:t>ar</w:t>
            </w:r>
            <w:proofErr w:type="spellEnd"/>
            <w:r w:rsidRPr="00092473">
              <w:rPr>
                <w:rFonts w:eastAsia="Times New Roman"/>
                <w:bCs/>
                <w:sz w:val="26"/>
                <w:szCs w:val="26"/>
              </w:rPr>
              <w:t xml:space="preserve"> </w:t>
            </w:r>
            <w:proofErr w:type="spellStart"/>
            <w:r w:rsidRPr="00092473">
              <w:rPr>
                <w:rFonts w:eastAsia="Times New Roman"/>
                <w:bCs/>
                <w:sz w:val="26"/>
                <w:szCs w:val="26"/>
              </w:rPr>
              <w:t>Latvijas</w:t>
            </w:r>
            <w:proofErr w:type="spellEnd"/>
            <w:r w:rsidRPr="00092473">
              <w:rPr>
                <w:rFonts w:eastAsia="Times New Roman"/>
                <w:bCs/>
                <w:sz w:val="26"/>
                <w:szCs w:val="26"/>
              </w:rPr>
              <w:t xml:space="preserve"> – </w:t>
            </w:r>
            <w:proofErr w:type="spellStart"/>
            <w:r w:rsidRPr="00092473">
              <w:rPr>
                <w:rFonts w:eastAsia="Times New Roman"/>
                <w:bCs/>
                <w:sz w:val="26"/>
                <w:szCs w:val="26"/>
              </w:rPr>
              <w:t>Šveices</w:t>
            </w:r>
            <w:proofErr w:type="spellEnd"/>
            <w:r w:rsidRPr="00092473">
              <w:rPr>
                <w:rFonts w:eastAsia="Times New Roman"/>
                <w:bCs/>
                <w:sz w:val="26"/>
                <w:szCs w:val="26"/>
              </w:rPr>
              <w:t xml:space="preserve"> </w:t>
            </w:r>
            <w:proofErr w:type="spellStart"/>
            <w:r w:rsidRPr="00092473">
              <w:rPr>
                <w:rFonts w:eastAsia="Times New Roman"/>
                <w:bCs/>
                <w:sz w:val="26"/>
                <w:szCs w:val="26"/>
              </w:rPr>
              <w:t>sadarbības</w:t>
            </w:r>
            <w:proofErr w:type="spellEnd"/>
            <w:r w:rsidRPr="00092473">
              <w:rPr>
                <w:rFonts w:eastAsia="Times New Roman"/>
                <w:bCs/>
                <w:sz w:val="26"/>
                <w:szCs w:val="26"/>
              </w:rPr>
              <w:t xml:space="preserve"> </w:t>
            </w:r>
            <w:proofErr w:type="spellStart"/>
            <w:r w:rsidRPr="00092473">
              <w:rPr>
                <w:rFonts w:eastAsia="Times New Roman"/>
                <w:bCs/>
                <w:sz w:val="26"/>
                <w:szCs w:val="26"/>
              </w:rPr>
              <w:t>programmas</w:t>
            </w:r>
            <w:proofErr w:type="spellEnd"/>
            <w:r w:rsidRPr="00092473">
              <w:rPr>
                <w:rFonts w:eastAsia="Times New Roman"/>
                <w:bCs/>
                <w:sz w:val="26"/>
                <w:szCs w:val="26"/>
              </w:rPr>
              <w:t xml:space="preserve"> </w:t>
            </w:r>
            <w:proofErr w:type="spellStart"/>
            <w:r w:rsidRPr="00092473">
              <w:rPr>
                <w:rFonts w:eastAsia="Times New Roman"/>
                <w:bCs/>
                <w:sz w:val="26"/>
                <w:szCs w:val="26"/>
              </w:rPr>
              <w:t>palīdzību</w:t>
            </w:r>
            <w:proofErr w:type="spellEnd"/>
            <w:r w:rsidRPr="00092473">
              <w:rPr>
                <w:rFonts w:eastAsia="Times New Roman"/>
                <w:bCs/>
                <w:sz w:val="26"/>
                <w:szCs w:val="26"/>
              </w:rPr>
              <w:t>.</w:t>
            </w:r>
          </w:p>
          <w:p w:rsidR="00716874" w:rsidRDefault="00092473" w:rsidP="00716874">
            <w:pPr>
              <w:ind w:firstLine="567"/>
              <w:jc w:val="both"/>
              <w:rPr>
                <w:rFonts w:eastAsia="Times New Roman"/>
                <w:bCs/>
                <w:sz w:val="26"/>
                <w:szCs w:val="26"/>
              </w:rPr>
            </w:pPr>
            <w:proofErr w:type="spellStart"/>
            <w:r w:rsidRPr="00092473">
              <w:rPr>
                <w:rFonts w:eastAsia="Times New Roman"/>
                <w:bCs/>
                <w:sz w:val="26"/>
                <w:szCs w:val="26"/>
              </w:rPr>
              <w:t>Latvijas</w:t>
            </w:r>
            <w:proofErr w:type="spellEnd"/>
            <w:r w:rsidRPr="00092473">
              <w:rPr>
                <w:rFonts w:eastAsia="Times New Roman"/>
                <w:bCs/>
                <w:sz w:val="26"/>
                <w:szCs w:val="26"/>
              </w:rPr>
              <w:t xml:space="preserve"> - </w:t>
            </w:r>
            <w:proofErr w:type="spellStart"/>
            <w:r w:rsidRPr="00092473">
              <w:rPr>
                <w:rFonts w:eastAsia="Times New Roman"/>
                <w:bCs/>
                <w:sz w:val="26"/>
                <w:szCs w:val="26"/>
              </w:rPr>
              <w:t>Šveices</w:t>
            </w:r>
            <w:proofErr w:type="spellEnd"/>
            <w:r w:rsidRPr="00092473">
              <w:rPr>
                <w:rFonts w:eastAsia="Times New Roman"/>
                <w:bCs/>
                <w:sz w:val="26"/>
                <w:szCs w:val="26"/>
              </w:rPr>
              <w:t xml:space="preserve"> </w:t>
            </w:r>
            <w:proofErr w:type="spellStart"/>
            <w:r w:rsidRPr="00092473">
              <w:rPr>
                <w:rFonts w:eastAsia="Times New Roman"/>
                <w:bCs/>
                <w:sz w:val="26"/>
                <w:szCs w:val="26"/>
              </w:rPr>
              <w:t>sadarbības</w:t>
            </w:r>
            <w:proofErr w:type="spellEnd"/>
            <w:r w:rsidRPr="00092473">
              <w:rPr>
                <w:rFonts w:eastAsia="Times New Roman"/>
                <w:bCs/>
                <w:sz w:val="26"/>
                <w:szCs w:val="26"/>
              </w:rPr>
              <w:t xml:space="preserve"> </w:t>
            </w:r>
            <w:proofErr w:type="spellStart"/>
            <w:r w:rsidRPr="00092473">
              <w:rPr>
                <w:rFonts w:eastAsia="Times New Roman"/>
                <w:bCs/>
                <w:sz w:val="26"/>
                <w:szCs w:val="26"/>
              </w:rPr>
              <w:t>programma</w:t>
            </w:r>
            <w:proofErr w:type="spellEnd"/>
            <w:r w:rsidRPr="00092473">
              <w:rPr>
                <w:rFonts w:eastAsia="Times New Roman"/>
                <w:bCs/>
                <w:sz w:val="26"/>
                <w:szCs w:val="26"/>
              </w:rPr>
              <w:t xml:space="preserve"> </w:t>
            </w:r>
            <w:proofErr w:type="spellStart"/>
            <w:r w:rsidRPr="00092473">
              <w:rPr>
                <w:rFonts w:eastAsia="Times New Roman"/>
                <w:bCs/>
                <w:sz w:val="26"/>
                <w:szCs w:val="26"/>
              </w:rPr>
              <w:t>ir</w:t>
            </w:r>
            <w:proofErr w:type="spellEnd"/>
            <w:r w:rsidRPr="00092473">
              <w:rPr>
                <w:rFonts w:eastAsia="Times New Roman"/>
                <w:bCs/>
                <w:sz w:val="26"/>
                <w:szCs w:val="26"/>
              </w:rPr>
              <w:t xml:space="preserve"> </w:t>
            </w:r>
            <w:proofErr w:type="spellStart"/>
            <w:r w:rsidRPr="00092473">
              <w:rPr>
                <w:rFonts w:eastAsia="Times New Roman"/>
                <w:bCs/>
                <w:sz w:val="26"/>
                <w:szCs w:val="26"/>
              </w:rPr>
              <w:t>finansiālās</w:t>
            </w:r>
            <w:proofErr w:type="spellEnd"/>
            <w:r w:rsidRPr="00092473">
              <w:rPr>
                <w:rFonts w:eastAsia="Times New Roman"/>
                <w:bCs/>
                <w:sz w:val="26"/>
                <w:szCs w:val="26"/>
              </w:rPr>
              <w:t xml:space="preserve"> </w:t>
            </w:r>
            <w:proofErr w:type="spellStart"/>
            <w:r w:rsidRPr="00092473">
              <w:rPr>
                <w:rFonts w:eastAsia="Times New Roman"/>
                <w:bCs/>
                <w:sz w:val="26"/>
                <w:szCs w:val="26"/>
              </w:rPr>
              <w:t>palīdzības</w:t>
            </w:r>
            <w:proofErr w:type="spellEnd"/>
            <w:r w:rsidRPr="00092473">
              <w:rPr>
                <w:rFonts w:eastAsia="Times New Roman"/>
                <w:bCs/>
                <w:sz w:val="26"/>
                <w:szCs w:val="26"/>
              </w:rPr>
              <w:t xml:space="preserve"> instruments, </w:t>
            </w:r>
            <w:proofErr w:type="spellStart"/>
            <w:r w:rsidRPr="00092473">
              <w:rPr>
                <w:rFonts w:eastAsia="Times New Roman"/>
                <w:bCs/>
                <w:sz w:val="26"/>
                <w:szCs w:val="26"/>
              </w:rPr>
              <w:t>kas</w:t>
            </w:r>
            <w:proofErr w:type="spellEnd"/>
            <w:r w:rsidRPr="00092473">
              <w:rPr>
                <w:rFonts w:eastAsia="Times New Roman"/>
                <w:bCs/>
                <w:sz w:val="26"/>
                <w:szCs w:val="26"/>
              </w:rPr>
              <w:t xml:space="preserve"> </w:t>
            </w:r>
            <w:proofErr w:type="spellStart"/>
            <w:r w:rsidRPr="00092473">
              <w:rPr>
                <w:rFonts w:eastAsia="Times New Roman"/>
                <w:bCs/>
                <w:sz w:val="26"/>
                <w:szCs w:val="26"/>
              </w:rPr>
              <w:t>ir</w:t>
            </w:r>
            <w:proofErr w:type="spellEnd"/>
            <w:r w:rsidRPr="00092473">
              <w:rPr>
                <w:rFonts w:eastAsia="Times New Roman"/>
                <w:bCs/>
                <w:sz w:val="26"/>
                <w:szCs w:val="26"/>
              </w:rPr>
              <w:t xml:space="preserve"> </w:t>
            </w:r>
            <w:proofErr w:type="spellStart"/>
            <w:r w:rsidRPr="00092473">
              <w:rPr>
                <w:rFonts w:eastAsia="Times New Roman"/>
                <w:bCs/>
                <w:sz w:val="26"/>
                <w:szCs w:val="26"/>
              </w:rPr>
              <w:t>izmantojams</w:t>
            </w:r>
            <w:proofErr w:type="spellEnd"/>
            <w:r w:rsidRPr="00092473">
              <w:rPr>
                <w:rFonts w:eastAsia="Times New Roman"/>
                <w:bCs/>
                <w:sz w:val="26"/>
                <w:szCs w:val="26"/>
              </w:rPr>
              <w:t xml:space="preserve"> </w:t>
            </w:r>
            <w:proofErr w:type="spellStart"/>
            <w:r w:rsidRPr="00092473">
              <w:rPr>
                <w:rFonts w:eastAsia="Times New Roman"/>
                <w:bCs/>
                <w:sz w:val="26"/>
                <w:szCs w:val="26"/>
              </w:rPr>
              <w:t>papildus</w:t>
            </w:r>
            <w:proofErr w:type="spellEnd"/>
            <w:r w:rsidRPr="00092473">
              <w:rPr>
                <w:rFonts w:eastAsia="Times New Roman"/>
                <w:bCs/>
                <w:sz w:val="26"/>
                <w:szCs w:val="26"/>
              </w:rPr>
              <w:t xml:space="preserve"> </w:t>
            </w:r>
            <w:proofErr w:type="spellStart"/>
            <w:r w:rsidRPr="00092473">
              <w:rPr>
                <w:rFonts w:eastAsia="Times New Roman"/>
                <w:bCs/>
                <w:sz w:val="26"/>
                <w:szCs w:val="26"/>
              </w:rPr>
              <w:t>Eiropas</w:t>
            </w:r>
            <w:proofErr w:type="spellEnd"/>
            <w:r w:rsidRPr="00092473">
              <w:rPr>
                <w:rFonts w:eastAsia="Times New Roman"/>
                <w:bCs/>
                <w:sz w:val="26"/>
                <w:szCs w:val="26"/>
              </w:rPr>
              <w:t xml:space="preserve"> </w:t>
            </w:r>
            <w:proofErr w:type="spellStart"/>
            <w:r w:rsidRPr="00092473">
              <w:rPr>
                <w:rFonts w:eastAsia="Times New Roman"/>
                <w:bCs/>
                <w:sz w:val="26"/>
                <w:szCs w:val="26"/>
              </w:rPr>
              <w:t>Savienības</w:t>
            </w:r>
            <w:proofErr w:type="spellEnd"/>
            <w:r w:rsidRPr="00092473">
              <w:rPr>
                <w:rFonts w:eastAsia="Times New Roman"/>
                <w:bCs/>
                <w:sz w:val="26"/>
                <w:szCs w:val="26"/>
              </w:rPr>
              <w:t xml:space="preserve"> </w:t>
            </w:r>
            <w:proofErr w:type="spellStart"/>
            <w:r w:rsidRPr="00092473">
              <w:rPr>
                <w:rFonts w:eastAsia="Times New Roman"/>
                <w:bCs/>
                <w:sz w:val="26"/>
                <w:szCs w:val="26"/>
              </w:rPr>
              <w:t>struktūrfondu</w:t>
            </w:r>
            <w:proofErr w:type="spellEnd"/>
            <w:r w:rsidRPr="00092473">
              <w:rPr>
                <w:rFonts w:eastAsia="Times New Roman"/>
                <w:bCs/>
                <w:sz w:val="26"/>
                <w:szCs w:val="26"/>
              </w:rPr>
              <w:t xml:space="preserve"> un </w:t>
            </w:r>
            <w:proofErr w:type="spellStart"/>
            <w:r w:rsidRPr="00092473">
              <w:rPr>
                <w:rFonts w:eastAsia="Times New Roman"/>
                <w:bCs/>
                <w:sz w:val="26"/>
                <w:szCs w:val="26"/>
              </w:rPr>
              <w:t>Kohēzijas</w:t>
            </w:r>
            <w:proofErr w:type="spellEnd"/>
            <w:r w:rsidRPr="00092473">
              <w:rPr>
                <w:rFonts w:eastAsia="Times New Roman"/>
                <w:bCs/>
                <w:sz w:val="26"/>
                <w:szCs w:val="26"/>
              </w:rPr>
              <w:t xml:space="preserve"> </w:t>
            </w:r>
            <w:proofErr w:type="spellStart"/>
            <w:r w:rsidRPr="00092473">
              <w:rPr>
                <w:rFonts w:eastAsia="Times New Roman"/>
                <w:bCs/>
                <w:sz w:val="26"/>
                <w:szCs w:val="26"/>
              </w:rPr>
              <w:t>fonda</w:t>
            </w:r>
            <w:proofErr w:type="spellEnd"/>
            <w:r w:rsidRPr="00092473">
              <w:rPr>
                <w:rFonts w:eastAsia="Times New Roman"/>
                <w:bCs/>
                <w:sz w:val="26"/>
                <w:szCs w:val="26"/>
              </w:rPr>
              <w:t xml:space="preserve"> </w:t>
            </w:r>
            <w:proofErr w:type="spellStart"/>
            <w:r w:rsidRPr="00092473">
              <w:rPr>
                <w:rFonts w:eastAsia="Times New Roman"/>
                <w:bCs/>
                <w:sz w:val="26"/>
                <w:szCs w:val="26"/>
              </w:rPr>
              <w:t>finanšu</w:t>
            </w:r>
            <w:proofErr w:type="spellEnd"/>
            <w:r w:rsidRPr="00092473">
              <w:rPr>
                <w:rFonts w:eastAsia="Times New Roman"/>
                <w:bCs/>
                <w:sz w:val="26"/>
                <w:szCs w:val="26"/>
              </w:rPr>
              <w:t xml:space="preserve"> </w:t>
            </w:r>
            <w:proofErr w:type="spellStart"/>
            <w:r w:rsidRPr="00092473">
              <w:rPr>
                <w:rFonts w:eastAsia="Times New Roman"/>
                <w:bCs/>
                <w:sz w:val="26"/>
                <w:szCs w:val="26"/>
              </w:rPr>
              <w:t>palīdzībai</w:t>
            </w:r>
            <w:proofErr w:type="spellEnd"/>
            <w:r w:rsidRPr="00092473">
              <w:rPr>
                <w:rFonts w:eastAsia="Times New Roman"/>
                <w:bCs/>
                <w:sz w:val="26"/>
                <w:szCs w:val="26"/>
              </w:rPr>
              <w:t xml:space="preserve">, </w:t>
            </w:r>
            <w:proofErr w:type="spellStart"/>
            <w:r w:rsidRPr="00092473">
              <w:rPr>
                <w:rFonts w:eastAsia="Times New Roman"/>
                <w:bCs/>
                <w:sz w:val="26"/>
                <w:szCs w:val="26"/>
              </w:rPr>
              <w:t>kā</w:t>
            </w:r>
            <w:proofErr w:type="spellEnd"/>
            <w:r w:rsidRPr="00092473">
              <w:rPr>
                <w:rFonts w:eastAsia="Times New Roman"/>
                <w:bCs/>
                <w:sz w:val="26"/>
                <w:szCs w:val="26"/>
              </w:rPr>
              <w:t xml:space="preserve"> </w:t>
            </w:r>
            <w:proofErr w:type="spellStart"/>
            <w:r w:rsidRPr="00092473">
              <w:rPr>
                <w:rFonts w:eastAsia="Times New Roman"/>
                <w:bCs/>
                <w:sz w:val="26"/>
                <w:szCs w:val="26"/>
              </w:rPr>
              <w:t>arī</w:t>
            </w:r>
            <w:proofErr w:type="spellEnd"/>
            <w:r w:rsidRPr="00092473">
              <w:rPr>
                <w:rFonts w:eastAsia="Times New Roman"/>
                <w:bCs/>
                <w:sz w:val="26"/>
                <w:szCs w:val="26"/>
              </w:rPr>
              <w:t xml:space="preserve"> </w:t>
            </w:r>
            <w:proofErr w:type="spellStart"/>
            <w:r w:rsidRPr="00092473">
              <w:rPr>
                <w:rFonts w:eastAsia="Times New Roman"/>
                <w:bCs/>
                <w:sz w:val="26"/>
                <w:szCs w:val="26"/>
              </w:rPr>
              <w:t>Eiropas</w:t>
            </w:r>
            <w:proofErr w:type="spellEnd"/>
            <w:r w:rsidRPr="00092473">
              <w:rPr>
                <w:rFonts w:eastAsia="Times New Roman"/>
                <w:bCs/>
                <w:sz w:val="26"/>
                <w:szCs w:val="26"/>
              </w:rPr>
              <w:t xml:space="preserve"> </w:t>
            </w:r>
            <w:proofErr w:type="spellStart"/>
            <w:r w:rsidRPr="00092473">
              <w:rPr>
                <w:rFonts w:eastAsia="Times New Roman"/>
                <w:bCs/>
                <w:sz w:val="26"/>
                <w:szCs w:val="26"/>
              </w:rPr>
              <w:t>Ekonomikas</w:t>
            </w:r>
            <w:proofErr w:type="spellEnd"/>
            <w:r w:rsidRPr="00092473">
              <w:rPr>
                <w:rFonts w:eastAsia="Times New Roman"/>
                <w:bCs/>
                <w:sz w:val="26"/>
                <w:szCs w:val="26"/>
              </w:rPr>
              <w:t xml:space="preserve"> </w:t>
            </w:r>
            <w:proofErr w:type="spellStart"/>
            <w:r w:rsidRPr="00092473">
              <w:rPr>
                <w:rFonts w:eastAsia="Times New Roman"/>
                <w:bCs/>
                <w:sz w:val="26"/>
                <w:szCs w:val="26"/>
              </w:rPr>
              <w:t>zonas</w:t>
            </w:r>
            <w:proofErr w:type="spellEnd"/>
            <w:r w:rsidRPr="00092473">
              <w:rPr>
                <w:rFonts w:eastAsia="Times New Roman"/>
                <w:bCs/>
                <w:sz w:val="26"/>
                <w:szCs w:val="26"/>
              </w:rPr>
              <w:t xml:space="preserve"> un </w:t>
            </w:r>
            <w:proofErr w:type="spellStart"/>
            <w:r w:rsidRPr="00092473">
              <w:rPr>
                <w:rFonts w:eastAsia="Times New Roman"/>
                <w:bCs/>
                <w:sz w:val="26"/>
                <w:szCs w:val="26"/>
              </w:rPr>
              <w:t>Norvēģijas</w:t>
            </w:r>
            <w:proofErr w:type="spellEnd"/>
            <w:r w:rsidRPr="00092473">
              <w:rPr>
                <w:rFonts w:eastAsia="Times New Roman"/>
                <w:bCs/>
                <w:sz w:val="26"/>
                <w:szCs w:val="26"/>
              </w:rPr>
              <w:t xml:space="preserve"> </w:t>
            </w:r>
            <w:proofErr w:type="spellStart"/>
            <w:r w:rsidRPr="00092473">
              <w:rPr>
                <w:rFonts w:eastAsia="Times New Roman"/>
                <w:bCs/>
                <w:sz w:val="26"/>
                <w:szCs w:val="26"/>
              </w:rPr>
              <w:t>finanšu</w:t>
            </w:r>
            <w:proofErr w:type="spellEnd"/>
            <w:r w:rsidRPr="00092473">
              <w:rPr>
                <w:rFonts w:eastAsia="Times New Roman"/>
                <w:bCs/>
                <w:sz w:val="26"/>
                <w:szCs w:val="26"/>
              </w:rPr>
              <w:t xml:space="preserve"> </w:t>
            </w:r>
            <w:proofErr w:type="spellStart"/>
            <w:r w:rsidRPr="00092473">
              <w:rPr>
                <w:rFonts w:eastAsia="Times New Roman"/>
                <w:bCs/>
                <w:sz w:val="26"/>
                <w:szCs w:val="26"/>
              </w:rPr>
              <w:t>instrumentu</w:t>
            </w:r>
            <w:proofErr w:type="spellEnd"/>
            <w:r w:rsidRPr="00092473">
              <w:rPr>
                <w:rFonts w:eastAsia="Times New Roman"/>
                <w:bCs/>
                <w:sz w:val="26"/>
                <w:szCs w:val="26"/>
              </w:rPr>
              <w:t xml:space="preserve"> </w:t>
            </w:r>
            <w:proofErr w:type="spellStart"/>
            <w:r w:rsidRPr="00092473">
              <w:rPr>
                <w:rFonts w:eastAsia="Times New Roman"/>
                <w:bCs/>
                <w:sz w:val="26"/>
                <w:szCs w:val="26"/>
              </w:rPr>
              <w:t>palīdzībai</w:t>
            </w:r>
            <w:proofErr w:type="spellEnd"/>
            <w:r w:rsidRPr="00092473">
              <w:rPr>
                <w:rFonts w:eastAsia="Times New Roman"/>
                <w:bCs/>
                <w:sz w:val="26"/>
                <w:szCs w:val="26"/>
              </w:rPr>
              <w:t xml:space="preserve">. </w:t>
            </w:r>
            <w:proofErr w:type="spellStart"/>
            <w:r w:rsidRPr="00092473">
              <w:rPr>
                <w:rFonts w:eastAsia="Times New Roman"/>
                <w:bCs/>
                <w:sz w:val="26"/>
                <w:szCs w:val="26"/>
              </w:rPr>
              <w:t>Šveices</w:t>
            </w:r>
            <w:proofErr w:type="spellEnd"/>
            <w:r w:rsidRPr="00092473">
              <w:rPr>
                <w:rFonts w:eastAsia="Times New Roman"/>
                <w:bCs/>
                <w:sz w:val="26"/>
                <w:szCs w:val="26"/>
              </w:rPr>
              <w:t xml:space="preserve"> </w:t>
            </w:r>
            <w:proofErr w:type="spellStart"/>
            <w:r w:rsidRPr="00092473">
              <w:rPr>
                <w:rFonts w:eastAsia="Times New Roman"/>
                <w:bCs/>
                <w:sz w:val="26"/>
                <w:szCs w:val="26"/>
              </w:rPr>
              <w:t>finanšu</w:t>
            </w:r>
            <w:proofErr w:type="spellEnd"/>
            <w:r w:rsidRPr="00092473">
              <w:rPr>
                <w:rFonts w:eastAsia="Times New Roman"/>
                <w:bCs/>
                <w:sz w:val="26"/>
                <w:szCs w:val="26"/>
              </w:rPr>
              <w:t xml:space="preserve"> </w:t>
            </w:r>
            <w:proofErr w:type="spellStart"/>
            <w:r w:rsidRPr="00092473">
              <w:rPr>
                <w:rFonts w:eastAsia="Times New Roman"/>
                <w:bCs/>
                <w:sz w:val="26"/>
                <w:szCs w:val="26"/>
              </w:rPr>
              <w:t>palīdzība</w:t>
            </w:r>
            <w:proofErr w:type="spellEnd"/>
            <w:r w:rsidRPr="00092473">
              <w:rPr>
                <w:rFonts w:eastAsia="Times New Roman"/>
                <w:bCs/>
                <w:sz w:val="26"/>
                <w:szCs w:val="26"/>
              </w:rPr>
              <w:t xml:space="preserve"> </w:t>
            </w:r>
            <w:proofErr w:type="spellStart"/>
            <w:r w:rsidRPr="00092473">
              <w:rPr>
                <w:rFonts w:eastAsia="Times New Roman"/>
                <w:bCs/>
                <w:sz w:val="26"/>
                <w:szCs w:val="26"/>
              </w:rPr>
              <w:t>papildina</w:t>
            </w:r>
            <w:proofErr w:type="spellEnd"/>
            <w:r w:rsidRPr="00092473">
              <w:rPr>
                <w:rFonts w:eastAsia="Times New Roman"/>
                <w:bCs/>
                <w:sz w:val="26"/>
                <w:szCs w:val="26"/>
              </w:rPr>
              <w:t xml:space="preserve"> </w:t>
            </w:r>
            <w:proofErr w:type="spellStart"/>
            <w:r w:rsidRPr="00092473">
              <w:rPr>
                <w:rFonts w:eastAsia="Times New Roman"/>
                <w:bCs/>
                <w:sz w:val="26"/>
                <w:szCs w:val="26"/>
              </w:rPr>
              <w:t>šīs</w:t>
            </w:r>
            <w:proofErr w:type="spellEnd"/>
            <w:r w:rsidRPr="00092473">
              <w:rPr>
                <w:rFonts w:eastAsia="Times New Roman"/>
                <w:bCs/>
                <w:sz w:val="26"/>
                <w:szCs w:val="26"/>
              </w:rPr>
              <w:t xml:space="preserve"> </w:t>
            </w:r>
            <w:proofErr w:type="spellStart"/>
            <w:r w:rsidRPr="00092473">
              <w:rPr>
                <w:rFonts w:eastAsia="Times New Roman"/>
                <w:bCs/>
                <w:sz w:val="26"/>
                <w:szCs w:val="26"/>
              </w:rPr>
              <w:t>programmas</w:t>
            </w:r>
            <w:proofErr w:type="spellEnd"/>
            <w:r w:rsidRPr="00092473">
              <w:rPr>
                <w:rFonts w:eastAsia="Times New Roman"/>
                <w:bCs/>
                <w:sz w:val="26"/>
                <w:szCs w:val="26"/>
              </w:rPr>
              <w:t xml:space="preserve"> un </w:t>
            </w:r>
            <w:proofErr w:type="spellStart"/>
            <w:r w:rsidRPr="00092473">
              <w:rPr>
                <w:rFonts w:eastAsia="Times New Roman"/>
                <w:bCs/>
                <w:sz w:val="26"/>
                <w:szCs w:val="26"/>
              </w:rPr>
              <w:t>koncentrējas</w:t>
            </w:r>
            <w:proofErr w:type="spellEnd"/>
            <w:r w:rsidRPr="00092473">
              <w:rPr>
                <w:rFonts w:eastAsia="Times New Roman"/>
                <w:bCs/>
                <w:sz w:val="26"/>
                <w:szCs w:val="26"/>
              </w:rPr>
              <w:t xml:space="preserve">, </w:t>
            </w:r>
            <w:proofErr w:type="spellStart"/>
            <w:r w:rsidRPr="00092473">
              <w:rPr>
                <w:rFonts w:eastAsia="Times New Roman"/>
                <w:bCs/>
                <w:sz w:val="26"/>
                <w:szCs w:val="26"/>
              </w:rPr>
              <w:t>galvenokārt</w:t>
            </w:r>
            <w:proofErr w:type="spellEnd"/>
            <w:r w:rsidRPr="00092473">
              <w:rPr>
                <w:rFonts w:eastAsia="Times New Roman"/>
                <w:bCs/>
                <w:sz w:val="26"/>
                <w:szCs w:val="26"/>
              </w:rPr>
              <w:t xml:space="preserve">, </w:t>
            </w:r>
            <w:proofErr w:type="spellStart"/>
            <w:r w:rsidRPr="00092473">
              <w:rPr>
                <w:rFonts w:eastAsia="Times New Roman"/>
                <w:bCs/>
                <w:sz w:val="26"/>
                <w:szCs w:val="26"/>
              </w:rPr>
              <w:t>uz</w:t>
            </w:r>
            <w:proofErr w:type="spellEnd"/>
            <w:r w:rsidRPr="00092473">
              <w:rPr>
                <w:rFonts w:eastAsia="Times New Roman"/>
                <w:bCs/>
                <w:sz w:val="26"/>
                <w:szCs w:val="26"/>
              </w:rPr>
              <w:t xml:space="preserve"> </w:t>
            </w:r>
            <w:proofErr w:type="spellStart"/>
            <w:r w:rsidRPr="00092473">
              <w:rPr>
                <w:rFonts w:eastAsia="Times New Roman"/>
                <w:bCs/>
                <w:sz w:val="26"/>
                <w:szCs w:val="26"/>
              </w:rPr>
              <w:t>tiem</w:t>
            </w:r>
            <w:proofErr w:type="spellEnd"/>
            <w:r w:rsidRPr="00092473">
              <w:rPr>
                <w:rFonts w:eastAsia="Times New Roman"/>
                <w:bCs/>
                <w:sz w:val="26"/>
                <w:szCs w:val="26"/>
              </w:rPr>
              <w:t xml:space="preserve"> </w:t>
            </w:r>
            <w:proofErr w:type="spellStart"/>
            <w:r w:rsidRPr="00092473">
              <w:rPr>
                <w:rFonts w:eastAsia="Times New Roman"/>
                <w:bCs/>
                <w:sz w:val="26"/>
                <w:szCs w:val="26"/>
              </w:rPr>
              <w:t>projektiem</w:t>
            </w:r>
            <w:proofErr w:type="spellEnd"/>
            <w:r w:rsidRPr="00092473">
              <w:rPr>
                <w:rFonts w:eastAsia="Times New Roman"/>
                <w:bCs/>
                <w:sz w:val="26"/>
                <w:szCs w:val="26"/>
              </w:rPr>
              <w:t xml:space="preserve">, </w:t>
            </w:r>
            <w:proofErr w:type="spellStart"/>
            <w:r w:rsidRPr="00092473">
              <w:rPr>
                <w:rFonts w:eastAsia="Times New Roman"/>
                <w:bCs/>
                <w:sz w:val="26"/>
                <w:szCs w:val="26"/>
              </w:rPr>
              <w:t>kuri</w:t>
            </w:r>
            <w:proofErr w:type="spellEnd"/>
            <w:r w:rsidRPr="00092473">
              <w:rPr>
                <w:rFonts w:eastAsia="Times New Roman"/>
                <w:bCs/>
                <w:sz w:val="26"/>
                <w:szCs w:val="26"/>
              </w:rPr>
              <w:t xml:space="preserve"> </w:t>
            </w:r>
            <w:proofErr w:type="spellStart"/>
            <w:r w:rsidRPr="00092473">
              <w:rPr>
                <w:rFonts w:eastAsia="Times New Roman"/>
                <w:bCs/>
                <w:sz w:val="26"/>
                <w:szCs w:val="26"/>
              </w:rPr>
              <w:t>netiek</w:t>
            </w:r>
            <w:proofErr w:type="spellEnd"/>
            <w:r w:rsidRPr="00092473">
              <w:rPr>
                <w:rFonts w:eastAsia="Times New Roman"/>
                <w:bCs/>
                <w:sz w:val="26"/>
                <w:szCs w:val="26"/>
              </w:rPr>
              <w:t xml:space="preserve"> </w:t>
            </w:r>
            <w:proofErr w:type="spellStart"/>
            <w:r w:rsidRPr="00092473">
              <w:rPr>
                <w:rFonts w:eastAsia="Times New Roman"/>
                <w:bCs/>
                <w:sz w:val="26"/>
                <w:szCs w:val="26"/>
              </w:rPr>
              <w:t>finansēti</w:t>
            </w:r>
            <w:proofErr w:type="spellEnd"/>
            <w:r w:rsidRPr="00092473">
              <w:rPr>
                <w:rFonts w:eastAsia="Times New Roman"/>
                <w:bCs/>
                <w:sz w:val="26"/>
                <w:szCs w:val="26"/>
              </w:rPr>
              <w:t xml:space="preserve"> </w:t>
            </w:r>
            <w:proofErr w:type="spellStart"/>
            <w:r w:rsidRPr="00092473">
              <w:rPr>
                <w:rFonts w:eastAsia="Times New Roman"/>
                <w:bCs/>
                <w:sz w:val="26"/>
                <w:szCs w:val="26"/>
              </w:rPr>
              <w:t>vai</w:t>
            </w:r>
            <w:proofErr w:type="spellEnd"/>
            <w:r w:rsidRPr="00092473">
              <w:rPr>
                <w:rFonts w:eastAsia="Times New Roman"/>
                <w:bCs/>
                <w:sz w:val="26"/>
                <w:szCs w:val="26"/>
              </w:rPr>
              <w:t xml:space="preserve"> </w:t>
            </w:r>
            <w:proofErr w:type="spellStart"/>
            <w:r w:rsidRPr="00092473">
              <w:rPr>
                <w:rFonts w:eastAsia="Times New Roman"/>
                <w:bCs/>
                <w:sz w:val="26"/>
                <w:szCs w:val="26"/>
              </w:rPr>
              <w:t>tiek</w:t>
            </w:r>
            <w:proofErr w:type="spellEnd"/>
            <w:r w:rsidRPr="00092473">
              <w:rPr>
                <w:rFonts w:eastAsia="Times New Roman"/>
                <w:bCs/>
                <w:sz w:val="26"/>
                <w:szCs w:val="26"/>
              </w:rPr>
              <w:t xml:space="preserve"> </w:t>
            </w:r>
            <w:proofErr w:type="spellStart"/>
            <w:r w:rsidRPr="00092473">
              <w:rPr>
                <w:rFonts w:eastAsia="Times New Roman"/>
                <w:bCs/>
                <w:sz w:val="26"/>
                <w:szCs w:val="26"/>
              </w:rPr>
              <w:t>daļēji</w:t>
            </w:r>
            <w:proofErr w:type="spellEnd"/>
            <w:r w:rsidRPr="00092473">
              <w:rPr>
                <w:rFonts w:eastAsia="Times New Roman"/>
                <w:bCs/>
                <w:sz w:val="26"/>
                <w:szCs w:val="26"/>
              </w:rPr>
              <w:t xml:space="preserve"> </w:t>
            </w:r>
            <w:proofErr w:type="spellStart"/>
            <w:r w:rsidRPr="00092473">
              <w:rPr>
                <w:rFonts w:eastAsia="Times New Roman"/>
                <w:bCs/>
                <w:sz w:val="26"/>
                <w:szCs w:val="26"/>
              </w:rPr>
              <w:t>finansēti</w:t>
            </w:r>
            <w:proofErr w:type="spellEnd"/>
            <w:r w:rsidRPr="00092473">
              <w:rPr>
                <w:rFonts w:eastAsia="Times New Roman"/>
                <w:bCs/>
                <w:sz w:val="26"/>
                <w:szCs w:val="26"/>
              </w:rPr>
              <w:t xml:space="preserve"> no </w:t>
            </w:r>
            <w:proofErr w:type="spellStart"/>
            <w:r w:rsidRPr="00092473">
              <w:rPr>
                <w:rFonts w:eastAsia="Times New Roman"/>
                <w:bCs/>
                <w:sz w:val="26"/>
                <w:szCs w:val="26"/>
              </w:rPr>
              <w:t>citiem</w:t>
            </w:r>
            <w:proofErr w:type="spellEnd"/>
            <w:r w:rsidRPr="00092473">
              <w:rPr>
                <w:rFonts w:eastAsia="Times New Roman"/>
                <w:bCs/>
                <w:sz w:val="26"/>
                <w:szCs w:val="26"/>
              </w:rPr>
              <w:t xml:space="preserve"> </w:t>
            </w:r>
            <w:proofErr w:type="spellStart"/>
            <w:r w:rsidRPr="00092473">
              <w:rPr>
                <w:rFonts w:eastAsia="Times New Roman"/>
                <w:bCs/>
                <w:sz w:val="26"/>
                <w:szCs w:val="26"/>
              </w:rPr>
              <w:t>finanšu</w:t>
            </w:r>
            <w:proofErr w:type="spellEnd"/>
            <w:r w:rsidRPr="00092473">
              <w:rPr>
                <w:rFonts w:eastAsia="Times New Roman"/>
                <w:bCs/>
                <w:sz w:val="26"/>
                <w:szCs w:val="26"/>
              </w:rPr>
              <w:t xml:space="preserve"> </w:t>
            </w:r>
            <w:proofErr w:type="spellStart"/>
            <w:r w:rsidRPr="00092473">
              <w:rPr>
                <w:rFonts w:eastAsia="Times New Roman"/>
                <w:bCs/>
                <w:sz w:val="26"/>
                <w:szCs w:val="26"/>
              </w:rPr>
              <w:t>avotiem</w:t>
            </w:r>
            <w:proofErr w:type="spellEnd"/>
            <w:r w:rsidRPr="00092473">
              <w:rPr>
                <w:rFonts w:eastAsia="Times New Roman"/>
                <w:bCs/>
                <w:sz w:val="26"/>
                <w:szCs w:val="26"/>
              </w:rPr>
              <w:t>.</w:t>
            </w:r>
          </w:p>
          <w:p w:rsidR="00F60C28" w:rsidRDefault="00F60C28" w:rsidP="00716874">
            <w:pPr>
              <w:ind w:firstLine="567"/>
              <w:jc w:val="both"/>
              <w:rPr>
                <w:rFonts w:eastAsia="Times New Roman"/>
                <w:bCs/>
                <w:sz w:val="26"/>
                <w:szCs w:val="26"/>
              </w:rPr>
            </w:pPr>
            <w:proofErr w:type="spellStart"/>
            <w:r>
              <w:rPr>
                <w:rFonts w:eastAsia="Times New Roman"/>
                <w:bCs/>
                <w:sz w:val="26"/>
                <w:szCs w:val="26"/>
              </w:rPr>
              <w:lastRenderedPageBreak/>
              <w:t>Saskaņā</w:t>
            </w:r>
            <w:proofErr w:type="spellEnd"/>
            <w:r>
              <w:rPr>
                <w:rFonts w:eastAsia="Times New Roman"/>
                <w:bCs/>
                <w:sz w:val="26"/>
                <w:szCs w:val="26"/>
              </w:rPr>
              <w:t xml:space="preserve"> </w:t>
            </w:r>
            <w:proofErr w:type="spellStart"/>
            <w:r>
              <w:rPr>
                <w:rFonts w:eastAsia="Times New Roman"/>
                <w:bCs/>
                <w:sz w:val="26"/>
                <w:szCs w:val="26"/>
              </w:rPr>
              <w:t>ar</w:t>
            </w:r>
            <w:proofErr w:type="spellEnd"/>
            <w:r>
              <w:rPr>
                <w:rFonts w:eastAsia="Times New Roman"/>
                <w:bCs/>
                <w:sz w:val="26"/>
                <w:szCs w:val="26"/>
              </w:rPr>
              <w:t xml:space="preserve"> MK </w:t>
            </w:r>
            <w:proofErr w:type="spellStart"/>
            <w:r>
              <w:rPr>
                <w:rFonts w:eastAsia="Times New Roman"/>
                <w:bCs/>
                <w:sz w:val="26"/>
                <w:szCs w:val="26"/>
              </w:rPr>
              <w:t>noteikumiem</w:t>
            </w:r>
            <w:proofErr w:type="spellEnd"/>
            <w:r>
              <w:rPr>
                <w:rFonts w:eastAsia="Times New Roman"/>
                <w:bCs/>
                <w:sz w:val="26"/>
                <w:szCs w:val="26"/>
              </w:rPr>
              <w:t xml:space="preserve"> Nr.698 </w:t>
            </w:r>
            <w:proofErr w:type="spellStart"/>
            <w:r>
              <w:rPr>
                <w:rFonts w:eastAsia="Times New Roman"/>
                <w:bCs/>
                <w:sz w:val="26"/>
                <w:szCs w:val="26"/>
              </w:rPr>
              <w:t>kopējais</w:t>
            </w:r>
            <w:proofErr w:type="spellEnd"/>
            <w:r>
              <w:rPr>
                <w:rFonts w:eastAsia="Times New Roman"/>
                <w:bCs/>
                <w:sz w:val="26"/>
                <w:szCs w:val="26"/>
              </w:rPr>
              <w:t xml:space="preserve"> </w:t>
            </w:r>
            <w:proofErr w:type="spellStart"/>
            <w:r>
              <w:rPr>
                <w:rFonts w:eastAsia="Times New Roman"/>
                <w:bCs/>
                <w:sz w:val="26"/>
                <w:szCs w:val="26"/>
              </w:rPr>
              <w:t>aizdevuma</w:t>
            </w:r>
            <w:proofErr w:type="spellEnd"/>
            <w:r>
              <w:rPr>
                <w:rFonts w:eastAsia="Times New Roman"/>
                <w:bCs/>
                <w:sz w:val="26"/>
                <w:szCs w:val="26"/>
              </w:rPr>
              <w:t xml:space="preserve"> </w:t>
            </w:r>
            <w:proofErr w:type="spellStart"/>
            <w:r>
              <w:rPr>
                <w:rFonts w:eastAsia="Times New Roman"/>
                <w:bCs/>
                <w:sz w:val="26"/>
                <w:szCs w:val="26"/>
              </w:rPr>
              <w:t>fonda</w:t>
            </w:r>
            <w:proofErr w:type="spellEnd"/>
            <w:r>
              <w:rPr>
                <w:rFonts w:eastAsia="Times New Roman"/>
                <w:bCs/>
                <w:sz w:val="26"/>
                <w:szCs w:val="26"/>
              </w:rPr>
              <w:t xml:space="preserve"> </w:t>
            </w:r>
            <w:proofErr w:type="spellStart"/>
            <w:r>
              <w:rPr>
                <w:rFonts w:eastAsia="Times New Roman"/>
                <w:bCs/>
                <w:sz w:val="26"/>
                <w:szCs w:val="26"/>
              </w:rPr>
              <w:t>apmērs</w:t>
            </w:r>
            <w:proofErr w:type="spellEnd"/>
            <w:r>
              <w:rPr>
                <w:rFonts w:eastAsia="Times New Roman"/>
                <w:bCs/>
                <w:sz w:val="26"/>
                <w:szCs w:val="26"/>
              </w:rPr>
              <w:t xml:space="preserve"> </w:t>
            </w:r>
            <w:proofErr w:type="spellStart"/>
            <w:r>
              <w:rPr>
                <w:rFonts w:eastAsia="Times New Roman"/>
                <w:bCs/>
                <w:sz w:val="26"/>
                <w:szCs w:val="26"/>
              </w:rPr>
              <w:t>bija</w:t>
            </w:r>
            <w:proofErr w:type="spellEnd"/>
            <w:r>
              <w:rPr>
                <w:rFonts w:eastAsia="Times New Roman"/>
                <w:bCs/>
                <w:sz w:val="26"/>
                <w:szCs w:val="26"/>
              </w:rPr>
              <w:t xml:space="preserve"> 8 339 288 CHF (</w:t>
            </w:r>
            <w:proofErr w:type="spellStart"/>
            <w:r>
              <w:rPr>
                <w:rFonts w:eastAsia="Times New Roman"/>
                <w:bCs/>
                <w:sz w:val="26"/>
                <w:szCs w:val="26"/>
              </w:rPr>
              <w:t>aptuveni</w:t>
            </w:r>
            <w:proofErr w:type="spellEnd"/>
            <w:r>
              <w:rPr>
                <w:rFonts w:eastAsia="Times New Roman"/>
                <w:bCs/>
                <w:sz w:val="26"/>
                <w:szCs w:val="26"/>
              </w:rPr>
              <w:t xml:space="preserve"> 4 745 055 </w:t>
            </w:r>
            <w:proofErr w:type="spellStart"/>
            <w:r>
              <w:rPr>
                <w:rFonts w:eastAsia="Times New Roman"/>
                <w:bCs/>
                <w:sz w:val="26"/>
                <w:szCs w:val="26"/>
              </w:rPr>
              <w:t>latu</w:t>
            </w:r>
            <w:proofErr w:type="spellEnd"/>
            <w:r>
              <w:rPr>
                <w:rFonts w:eastAsia="Times New Roman"/>
                <w:bCs/>
                <w:sz w:val="26"/>
                <w:szCs w:val="26"/>
              </w:rPr>
              <w:t>),</w:t>
            </w:r>
            <w:r w:rsidR="00236989">
              <w:rPr>
                <w:rFonts w:eastAsia="Times New Roman"/>
                <w:bCs/>
                <w:sz w:val="26"/>
                <w:szCs w:val="26"/>
              </w:rPr>
              <w:t xml:space="preserve"> </w:t>
            </w:r>
            <w:proofErr w:type="spellStart"/>
            <w:r w:rsidR="00236989">
              <w:rPr>
                <w:rFonts w:eastAsia="Times New Roman"/>
                <w:bCs/>
                <w:sz w:val="26"/>
                <w:szCs w:val="26"/>
              </w:rPr>
              <w:t>kas</w:t>
            </w:r>
            <w:proofErr w:type="spellEnd"/>
            <w:r w:rsidR="00236989">
              <w:rPr>
                <w:rFonts w:eastAsia="Times New Roman"/>
                <w:bCs/>
                <w:sz w:val="26"/>
                <w:szCs w:val="26"/>
              </w:rPr>
              <w:t xml:space="preserve"> </w:t>
            </w:r>
            <w:proofErr w:type="spellStart"/>
            <w:r w:rsidR="00236989">
              <w:rPr>
                <w:rFonts w:eastAsia="Times New Roman"/>
                <w:bCs/>
                <w:sz w:val="26"/>
                <w:szCs w:val="26"/>
              </w:rPr>
              <w:t>iedalās</w:t>
            </w:r>
            <w:proofErr w:type="spellEnd"/>
            <w:r w:rsidR="00236989">
              <w:rPr>
                <w:rFonts w:eastAsia="Times New Roman"/>
                <w:bCs/>
                <w:sz w:val="26"/>
                <w:szCs w:val="26"/>
              </w:rPr>
              <w:t xml:space="preserve"> </w:t>
            </w:r>
            <w:proofErr w:type="spellStart"/>
            <w:r w:rsidR="00236989">
              <w:rPr>
                <w:rFonts w:eastAsia="Times New Roman"/>
                <w:bCs/>
                <w:sz w:val="26"/>
                <w:szCs w:val="26"/>
              </w:rPr>
              <w:t>Latvijas</w:t>
            </w:r>
            <w:proofErr w:type="spellEnd"/>
            <w:r w:rsidR="00236989">
              <w:rPr>
                <w:rFonts w:eastAsia="Times New Roman"/>
                <w:bCs/>
                <w:sz w:val="26"/>
                <w:szCs w:val="26"/>
              </w:rPr>
              <w:t xml:space="preserve"> un </w:t>
            </w:r>
            <w:proofErr w:type="spellStart"/>
            <w:r w:rsidR="00236989">
              <w:rPr>
                <w:rFonts w:eastAsia="Times New Roman"/>
                <w:bCs/>
                <w:sz w:val="26"/>
                <w:szCs w:val="26"/>
              </w:rPr>
              <w:t>Šveices</w:t>
            </w:r>
            <w:proofErr w:type="spellEnd"/>
            <w:r w:rsidR="00236989">
              <w:rPr>
                <w:rFonts w:eastAsia="Times New Roman"/>
                <w:bCs/>
                <w:sz w:val="26"/>
                <w:szCs w:val="26"/>
              </w:rPr>
              <w:t xml:space="preserve"> </w:t>
            </w:r>
            <w:proofErr w:type="spellStart"/>
            <w:r w:rsidR="00236989">
              <w:rPr>
                <w:rFonts w:eastAsia="Times New Roman"/>
                <w:bCs/>
                <w:sz w:val="26"/>
                <w:szCs w:val="26"/>
              </w:rPr>
              <w:t>sadarbības</w:t>
            </w:r>
            <w:proofErr w:type="spellEnd"/>
            <w:r w:rsidR="00236989">
              <w:rPr>
                <w:rFonts w:eastAsia="Times New Roman"/>
                <w:bCs/>
                <w:sz w:val="26"/>
                <w:szCs w:val="26"/>
              </w:rPr>
              <w:t xml:space="preserve"> </w:t>
            </w:r>
            <w:proofErr w:type="spellStart"/>
            <w:r w:rsidR="00236989">
              <w:rPr>
                <w:rFonts w:eastAsia="Times New Roman"/>
                <w:bCs/>
                <w:sz w:val="26"/>
                <w:szCs w:val="26"/>
              </w:rPr>
              <w:t>programmas</w:t>
            </w:r>
            <w:proofErr w:type="spellEnd"/>
            <w:r w:rsidR="00236989">
              <w:rPr>
                <w:rFonts w:eastAsia="Times New Roman"/>
                <w:bCs/>
                <w:sz w:val="26"/>
                <w:szCs w:val="26"/>
              </w:rPr>
              <w:t xml:space="preserve"> </w:t>
            </w:r>
            <w:proofErr w:type="spellStart"/>
            <w:r w:rsidR="00236989">
              <w:rPr>
                <w:rFonts w:eastAsia="Times New Roman"/>
                <w:bCs/>
                <w:sz w:val="26"/>
                <w:szCs w:val="26"/>
              </w:rPr>
              <w:t>finansējumā</w:t>
            </w:r>
            <w:proofErr w:type="spellEnd"/>
            <w:r w:rsidR="00236989">
              <w:rPr>
                <w:rFonts w:eastAsia="Times New Roman"/>
                <w:bCs/>
                <w:sz w:val="26"/>
                <w:szCs w:val="26"/>
              </w:rPr>
              <w:t xml:space="preserve"> 6 815 110 CHF (3 877 798 </w:t>
            </w:r>
            <w:proofErr w:type="spellStart"/>
            <w:r w:rsidR="00236989">
              <w:rPr>
                <w:rFonts w:eastAsia="Times New Roman"/>
                <w:bCs/>
                <w:sz w:val="26"/>
                <w:szCs w:val="26"/>
              </w:rPr>
              <w:t>latu</w:t>
            </w:r>
            <w:proofErr w:type="spellEnd"/>
            <w:r w:rsidR="00236989">
              <w:rPr>
                <w:rFonts w:eastAsia="Times New Roman"/>
                <w:bCs/>
                <w:sz w:val="26"/>
                <w:szCs w:val="26"/>
              </w:rPr>
              <w:t>) un VAS “</w:t>
            </w:r>
            <w:proofErr w:type="spellStart"/>
            <w:r w:rsidR="00236989">
              <w:rPr>
                <w:rFonts w:eastAsia="Times New Roman"/>
                <w:bCs/>
                <w:sz w:val="26"/>
                <w:szCs w:val="26"/>
              </w:rPr>
              <w:t>Latvijas</w:t>
            </w:r>
            <w:proofErr w:type="spellEnd"/>
            <w:r w:rsidR="00236989">
              <w:rPr>
                <w:rFonts w:eastAsia="Times New Roman"/>
                <w:bCs/>
                <w:sz w:val="26"/>
                <w:szCs w:val="26"/>
              </w:rPr>
              <w:t xml:space="preserve"> </w:t>
            </w:r>
            <w:proofErr w:type="spellStart"/>
            <w:r w:rsidR="00236989">
              <w:rPr>
                <w:rFonts w:eastAsia="Times New Roman"/>
                <w:bCs/>
                <w:sz w:val="26"/>
                <w:szCs w:val="26"/>
              </w:rPr>
              <w:t>Hipotēku</w:t>
            </w:r>
            <w:proofErr w:type="spellEnd"/>
            <w:r w:rsidR="00236989">
              <w:rPr>
                <w:rFonts w:eastAsia="Times New Roman"/>
                <w:bCs/>
                <w:sz w:val="26"/>
                <w:szCs w:val="26"/>
              </w:rPr>
              <w:t xml:space="preserve"> un </w:t>
            </w:r>
            <w:proofErr w:type="spellStart"/>
            <w:r w:rsidR="00236989">
              <w:rPr>
                <w:rFonts w:eastAsia="Times New Roman"/>
                <w:bCs/>
                <w:sz w:val="26"/>
                <w:szCs w:val="26"/>
              </w:rPr>
              <w:t>zemes</w:t>
            </w:r>
            <w:proofErr w:type="spellEnd"/>
            <w:r w:rsidR="00236989">
              <w:rPr>
                <w:rFonts w:eastAsia="Times New Roman"/>
                <w:bCs/>
                <w:sz w:val="26"/>
                <w:szCs w:val="26"/>
              </w:rPr>
              <w:t xml:space="preserve"> </w:t>
            </w:r>
            <w:proofErr w:type="spellStart"/>
            <w:r w:rsidR="00236989">
              <w:rPr>
                <w:rFonts w:eastAsia="Times New Roman"/>
                <w:bCs/>
                <w:sz w:val="26"/>
                <w:szCs w:val="26"/>
              </w:rPr>
              <w:t>banka</w:t>
            </w:r>
            <w:proofErr w:type="spellEnd"/>
            <w:r w:rsidR="00236989">
              <w:rPr>
                <w:rFonts w:eastAsia="Times New Roman"/>
                <w:bCs/>
                <w:sz w:val="26"/>
                <w:szCs w:val="26"/>
              </w:rPr>
              <w:t>”</w:t>
            </w:r>
            <w:r w:rsidR="00FB553F">
              <w:rPr>
                <w:rFonts w:eastAsia="Times New Roman"/>
                <w:bCs/>
                <w:sz w:val="26"/>
                <w:szCs w:val="26"/>
              </w:rPr>
              <w:t xml:space="preserve"> (</w:t>
            </w:r>
            <w:proofErr w:type="spellStart"/>
            <w:r w:rsidR="00FB553F">
              <w:rPr>
                <w:rFonts w:eastAsia="Times New Roman"/>
                <w:bCs/>
                <w:sz w:val="26"/>
                <w:szCs w:val="26"/>
              </w:rPr>
              <w:t>turpmāk</w:t>
            </w:r>
            <w:proofErr w:type="spellEnd"/>
            <w:r w:rsidR="00FB553F">
              <w:rPr>
                <w:rFonts w:eastAsia="Times New Roman"/>
                <w:bCs/>
                <w:sz w:val="26"/>
                <w:szCs w:val="26"/>
              </w:rPr>
              <w:t xml:space="preserve"> – LHZB)</w:t>
            </w:r>
            <w:r w:rsidR="00236989">
              <w:rPr>
                <w:rFonts w:eastAsia="Times New Roman"/>
                <w:bCs/>
                <w:sz w:val="26"/>
                <w:szCs w:val="26"/>
              </w:rPr>
              <w:t xml:space="preserve"> </w:t>
            </w:r>
            <w:proofErr w:type="spellStart"/>
            <w:r w:rsidR="00236989">
              <w:rPr>
                <w:rFonts w:eastAsia="Times New Roman"/>
                <w:bCs/>
                <w:sz w:val="26"/>
                <w:szCs w:val="26"/>
              </w:rPr>
              <w:t>finansējuma</w:t>
            </w:r>
            <w:proofErr w:type="spellEnd"/>
            <w:r w:rsidR="00236989">
              <w:rPr>
                <w:rFonts w:eastAsia="Times New Roman"/>
                <w:bCs/>
                <w:sz w:val="26"/>
                <w:szCs w:val="26"/>
              </w:rPr>
              <w:t xml:space="preserve"> 1 524 178 CHF 867 257 </w:t>
            </w:r>
            <w:proofErr w:type="spellStart"/>
            <w:r w:rsidR="00236989">
              <w:rPr>
                <w:rFonts w:eastAsia="Times New Roman"/>
                <w:bCs/>
                <w:sz w:val="26"/>
                <w:szCs w:val="26"/>
              </w:rPr>
              <w:t>latu</w:t>
            </w:r>
            <w:proofErr w:type="spellEnd"/>
            <w:r w:rsidR="00236989">
              <w:rPr>
                <w:rFonts w:eastAsia="Times New Roman"/>
                <w:bCs/>
                <w:sz w:val="26"/>
                <w:szCs w:val="26"/>
              </w:rPr>
              <w:t xml:space="preserve">) </w:t>
            </w:r>
            <w:proofErr w:type="spellStart"/>
            <w:r w:rsidR="00236989">
              <w:rPr>
                <w:rFonts w:eastAsia="Times New Roman"/>
                <w:bCs/>
                <w:sz w:val="26"/>
                <w:szCs w:val="26"/>
              </w:rPr>
              <w:t>apmērā</w:t>
            </w:r>
            <w:proofErr w:type="spellEnd"/>
            <w:r w:rsidR="00236989">
              <w:rPr>
                <w:rFonts w:eastAsia="Times New Roman"/>
                <w:bCs/>
                <w:sz w:val="26"/>
                <w:szCs w:val="26"/>
              </w:rPr>
              <w:t xml:space="preserve">. </w:t>
            </w:r>
            <w:proofErr w:type="spellStart"/>
            <w:r w:rsidR="00236989">
              <w:rPr>
                <w:rFonts w:eastAsia="Times New Roman"/>
                <w:bCs/>
                <w:sz w:val="26"/>
                <w:szCs w:val="26"/>
              </w:rPr>
              <w:t>Aizdevumu</w:t>
            </w:r>
            <w:proofErr w:type="spellEnd"/>
            <w:r w:rsidR="00236989">
              <w:rPr>
                <w:rFonts w:eastAsia="Times New Roman"/>
                <w:bCs/>
                <w:sz w:val="26"/>
                <w:szCs w:val="26"/>
              </w:rPr>
              <w:t xml:space="preserve"> </w:t>
            </w:r>
            <w:proofErr w:type="spellStart"/>
            <w:r w:rsidR="00236989">
              <w:rPr>
                <w:rFonts w:eastAsia="Times New Roman"/>
                <w:bCs/>
                <w:sz w:val="26"/>
                <w:szCs w:val="26"/>
              </w:rPr>
              <w:t>fondā</w:t>
            </w:r>
            <w:proofErr w:type="spellEnd"/>
            <w:r w:rsidR="00236989">
              <w:rPr>
                <w:rFonts w:eastAsia="Times New Roman"/>
                <w:bCs/>
                <w:sz w:val="26"/>
                <w:szCs w:val="26"/>
              </w:rPr>
              <w:t xml:space="preserve"> </w:t>
            </w:r>
            <w:proofErr w:type="spellStart"/>
            <w:r w:rsidR="00236989">
              <w:rPr>
                <w:rFonts w:eastAsia="Times New Roman"/>
                <w:bCs/>
                <w:sz w:val="26"/>
                <w:szCs w:val="26"/>
              </w:rPr>
              <w:t>ietilpst</w:t>
            </w:r>
            <w:proofErr w:type="spellEnd"/>
            <w:r w:rsidR="00236989">
              <w:rPr>
                <w:rFonts w:eastAsia="Times New Roman"/>
                <w:bCs/>
                <w:sz w:val="26"/>
                <w:szCs w:val="26"/>
              </w:rPr>
              <w:t xml:space="preserve"> </w:t>
            </w:r>
            <w:proofErr w:type="spellStart"/>
            <w:r w:rsidR="00B8141A">
              <w:rPr>
                <w:rFonts w:eastAsia="Times New Roman"/>
                <w:bCs/>
                <w:sz w:val="26"/>
                <w:szCs w:val="26"/>
              </w:rPr>
              <w:t>arī</w:t>
            </w:r>
            <w:proofErr w:type="spellEnd"/>
            <w:r w:rsidR="00B8141A">
              <w:rPr>
                <w:rFonts w:eastAsia="Times New Roman"/>
                <w:bCs/>
                <w:sz w:val="26"/>
                <w:szCs w:val="26"/>
              </w:rPr>
              <w:t xml:space="preserve"> </w:t>
            </w:r>
            <w:r>
              <w:rPr>
                <w:rFonts w:eastAsia="Times New Roman"/>
                <w:bCs/>
                <w:sz w:val="26"/>
                <w:szCs w:val="26"/>
              </w:rPr>
              <w:t>718 400 CHF (</w:t>
            </w:r>
            <w:proofErr w:type="spellStart"/>
            <w:r>
              <w:rPr>
                <w:rFonts w:eastAsia="Times New Roman"/>
                <w:bCs/>
                <w:sz w:val="26"/>
                <w:szCs w:val="26"/>
              </w:rPr>
              <w:t>aptuveni</w:t>
            </w:r>
            <w:proofErr w:type="spellEnd"/>
            <w:r>
              <w:rPr>
                <w:rFonts w:eastAsia="Times New Roman"/>
                <w:bCs/>
                <w:sz w:val="26"/>
                <w:szCs w:val="26"/>
              </w:rPr>
              <w:t xml:space="preserve"> 408 770 </w:t>
            </w:r>
            <w:proofErr w:type="spellStart"/>
            <w:r>
              <w:rPr>
                <w:rFonts w:eastAsia="Times New Roman"/>
                <w:bCs/>
                <w:sz w:val="26"/>
                <w:szCs w:val="26"/>
              </w:rPr>
              <w:t>latu</w:t>
            </w:r>
            <w:proofErr w:type="spellEnd"/>
            <w:r>
              <w:rPr>
                <w:rFonts w:eastAsia="Times New Roman"/>
                <w:bCs/>
                <w:sz w:val="26"/>
                <w:szCs w:val="26"/>
              </w:rPr>
              <w:t xml:space="preserve">) </w:t>
            </w:r>
            <w:proofErr w:type="spellStart"/>
            <w:r>
              <w:rPr>
                <w:rFonts w:eastAsia="Times New Roman"/>
                <w:bCs/>
                <w:sz w:val="26"/>
                <w:szCs w:val="26"/>
              </w:rPr>
              <w:t>finansējums</w:t>
            </w:r>
            <w:proofErr w:type="spellEnd"/>
            <w:r>
              <w:rPr>
                <w:rFonts w:eastAsia="Times New Roman"/>
                <w:bCs/>
                <w:sz w:val="26"/>
                <w:szCs w:val="26"/>
              </w:rPr>
              <w:t xml:space="preserve"> </w:t>
            </w:r>
            <w:proofErr w:type="spellStart"/>
            <w:r>
              <w:rPr>
                <w:rFonts w:eastAsia="Times New Roman"/>
                <w:bCs/>
                <w:sz w:val="26"/>
                <w:szCs w:val="26"/>
              </w:rPr>
              <w:t>grantiem</w:t>
            </w:r>
            <w:proofErr w:type="spellEnd"/>
            <w:r w:rsidR="00236989">
              <w:rPr>
                <w:rFonts w:eastAsia="Times New Roman"/>
                <w:bCs/>
                <w:sz w:val="26"/>
                <w:szCs w:val="26"/>
              </w:rPr>
              <w:t xml:space="preserve">, </w:t>
            </w:r>
            <w:proofErr w:type="spellStart"/>
            <w:r>
              <w:rPr>
                <w:rFonts w:eastAsia="Times New Roman"/>
                <w:bCs/>
                <w:sz w:val="26"/>
                <w:szCs w:val="26"/>
              </w:rPr>
              <w:t>kas</w:t>
            </w:r>
            <w:proofErr w:type="spellEnd"/>
            <w:r>
              <w:rPr>
                <w:rFonts w:eastAsia="Times New Roman"/>
                <w:bCs/>
                <w:sz w:val="26"/>
                <w:szCs w:val="26"/>
              </w:rPr>
              <w:t xml:space="preserve"> 100% </w:t>
            </w:r>
            <w:proofErr w:type="spellStart"/>
            <w:r>
              <w:rPr>
                <w:rFonts w:eastAsia="Times New Roman"/>
                <w:bCs/>
                <w:sz w:val="26"/>
                <w:szCs w:val="26"/>
              </w:rPr>
              <w:t>apmērā</w:t>
            </w:r>
            <w:proofErr w:type="spellEnd"/>
            <w:r>
              <w:rPr>
                <w:rFonts w:eastAsia="Times New Roman"/>
                <w:bCs/>
                <w:sz w:val="26"/>
                <w:szCs w:val="26"/>
              </w:rPr>
              <w:t xml:space="preserve"> </w:t>
            </w:r>
            <w:proofErr w:type="spellStart"/>
            <w:r>
              <w:rPr>
                <w:rFonts w:eastAsia="Times New Roman"/>
                <w:bCs/>
                <w:sz w:val="26"/>
                <w:szCs w:val="26"/>
              </w:rPr>
              <w:t>tika</w:t>
            </w:r>
            <w:proofErr w:type="spellEnd"/>
            <w:r>
              <w:rPr>
                <w:rFonts w:eastAsia="Times New Roman"/>
                <w:bCs/>
                <w:sz w:val="26"/>
                <w:szCs w:val="26"/>
              </w:rPr>
              <w:t xml:space="preserve"> </w:t>
            </w:r>
            <w:proofErr w:type="spellStart"/>
            <w:r>
              <w:rPr>
                <w:rFonts w:eastAsia="Times New Roman"/>
                <w:bCs/>
                <w:sz w:val="26"/>
                <w:szCs w:val="26"/>
              </w:rPr>
              <w:t>finansēts</w:t>
            </w:r>
            <w:proofErr w:type="spellEnd"/>
            <w:r>
              <w:rPr>
                <w:rFonts w:eastAsia="Times New Roman"/>
                <w:bCs/>
                <w:sz w:val="26"/>
                <w:szCs w:val="26"/>
              </w:rPr>
              <w:t xml:space="preserve"> </w:t>
            </w:r>
            <w:proofErr w:type="spellStart"/>
            <w:r>
              <w:rPr>
                <w:rFonts w:eastAsia="Times New Roman"/>
                <w:bCs/>
                <w:sz w:val="26"/>
                <w:szCs w:val="26"/>
              </w:rPr>
              <w:t>programmas</w:t>
            </w:r>
            <w:proofErr w:type="spellEnd"/>
            <w:r>
              <w:rPr>
                <w:rFonts w:eastAsia="Times New Roman"/>
                <w:bCs/>
                <w:sz w:val="26"/>
                <w:szCs w:val="26"/>
              </w:rPr>
              <w:t xml:space="preserve"> </w:t>
            </w:r>
            <w:proofErr w:type="spellStart"/>
            <w:r>
              <w:rPr>
                <w:rFonts w:eastAsia="Times New Roman"/>
                <w:bCs/>
                <w:sz w:val="26"/>
                <w:szCs w:val="26"/>
              </w:rPr>
              <w:t>ietvaros</w:t>
            </w:r>
            <w:proofErr w:type="spellEnd"/>
            <w:r>
              <w:rPr>
                <w:rFonts w:eastAsia="Times New Roman"/>
                <w:bCs/>
                <w:sz w:val="26"/>
                <w:szCs w:val="26"/>
              </w:rPr>
              <w:t>.</w:t>
            </w:r>
          </w:p>
          <w:p w:rsidR="00B820E5" w:rsidRDefault="00092473" w:rsidP="00B820E5">
            <w:pPr>
              <w:ind w:firstLine="567"/>
              <w:jc w:val="both"/>
              <w:rPr>
                <w:rFonts w:eastAsia="Times New Roman"/>
                <w:bCs/>
                <w:sz w:val="26"/>
                <w:szCs w:val="26"/>
              </w:rPr>
            </w:pPr>
            <w:proofErr w:type="spellStart"/>
            <w:r>
              <w:rPr>
                <w:rFonts w:eastAsia="Times New Roman"/>
                <w:bCs/>
                <w:sz w:val="26"/>
                <w:szCs w:val="26"/>
              </w:rPr>
              <w:t>Ņemot</w:t>
            </w:r>
            <w:proofErr w:type="spellEnd"/>
            <w:r>
              <w:rPr>
                <w:rFonts w:eastAsia="Times New Roman"/>
                <w:bCs/>
                <w:sz w:val="26"/>
                <w:szCs w:val="26"/>
              </w:rPr>
              <w:t xml:space="preserve"> </w:t>
            </w:r>
            <w:proofErr w:type="spellStart"/>
            <w:r>
              <w:rPr>
                <w:rFonts w:eastAsia="Times New Roman"/>
                <w:bCs/>
                <w:sz w:val="26"/>
                <w:szCs w:val="26"/>
              </w:rPr>
              <w:t>vērā</w:t>
            </w:r>
            <w:proofErr w:type="spellEnd"/>
            <w:r>
              <w:rPr>
                <w:rFonts w:eastAsia="Times New Roman"/>
                <w:bCs/>
                <w:sz w:val="26"/>
                <w:szCs w:val="26"/>
              </w:rPr>
              <w:t xml:space="preserve"> MK </w:t>
            </w:r>
            <w:proofErr w:type="spellStart"/>
            <w:r>
              <w:rPr>
                <w:rFonts w:eastAsia="Times New Roman"/>
                <w:bCs/>
                <w:sz w:val="26"/>
                <w:szCs w:val="26"/>
              </w:rPr>
              <w:t>noteikumu</w:t>
            </w:r>
            <w:proofErr w:type="spellEnd"/>
            <w:r>
              <w:rPr>
                <w:rFonts w:eastAsia="Times New Roman"/>
                <w:bCs/>
                <w:sz w:val="26"/>
                <w:szCs w:val="26"/>
              </w:rPr>
              <w:t xml:space="preserve"> Nr.698 </w:t>
            </w:r>
            <w:proofErr w:type="spellStart"/>
            <w:r>
              <w:rPr>
                <w:rFonts w:eastAsia="Times New Roman"/>
                <w:bCs/>
                <w:sz w:val="26"/>
                <w:szCs w:val="26"/>
              </w:rPr>
              <w:t>regulējumu</w:t>
            </w:r>
            <w:proofErr w:type="spellEnd"/>
            <w:r>
              <w:rPr>
                <w:rFonts w:eastAsia="Times New Roman"/>
                <w:bCs/>
                <w:sz w:val="26"/>
                <w:szCs w:val="26"/>
              </w:rPr>
              <w:t>, 2011.gada</w:t>
            </w:r>
            <w:r w:rsidR="00F60C28">
              <w:rPr>
                <w:rFonts w:eastAsia="Times New Roman"/>
                <w:bCs/>
                <w:sz w:val="26"/>
                <w:szCs w:val="26"/>
              </w:rPr>
              <w:t xml:space="preserve"> 27.</w:t>
            </w:r>
            <w:r w:rsidRPr="00F60C28">
              <w:rPr>
                <w:rFonts w:eastAsia="Times New Roman"/>
                <w:bCs/>
                <w:sz w:val="26"/>
                <w:szCs w:val="26"/>
              </w:rPr>
              <w:t xml:space="preserve">septembrī </w:t>
            </w:r>
            <w:proofErr w:type="spellStart"/>
            <w:r w:rsidRPr="00F60C28">
              <w:rPr>
                <w:rFonts w:eastAsia="Times New Roman"/>
                <w:bCs/>
                <w:sz w:val="26"/>
                <w:szCs w:val="26"/>
              </w:rPr>
              <w:t>tika</w:t>
            </w:r>
            <w:proofErr w:type="spellEnd"/>
            <w:r>
              <w:rPr>
                <w:rFonts w:eastAsia="Times New Roman"/>
                <w:bCs/>
                <w:sz w:val="26"/>
                <w:szCs w:val="26"/>
              </w:rPr>
              <w:t xml:space="preserve"> </w:t>
            </w:r>
            <w:proofErr w:type="spellStart"/>
            <w:r w:rsidR="00716874">
              <w:rPr>
                <w:rFonts w:eastAsia="Times New Roman"/>
                <w:bCs/>
                <w:sz w:val="26"/>
                <w:szCs w:val="26"/>
              </w:rPr>
              <w:t>noslēgts</w:t>
            </w:r>
            <w:proofErr w:type="spellEnd"/>
            <w:r w:rsidR="00716874">
              <w:rPr>
                <w:rFonts w:eastAsia="Times New Roman"/>
                <w:bCs/>
                <w:sz w:val="26"/>
                <w:szCs w:val="26"/>
              </w:rPr>
              <w:t xml:space="preserve"> </w:t>
            </w:r>
            <w:proofErr w:type="spellStart"/>
            <w:r w:rsidR="00511C7D">
              <w:rPr>
                <w:rFonts w:eastAsia="Times New Roman"/>
                <w:bCs/>
                <w:sz w:val="26"/>
                <w:szCs w:val="26"/>
              </w:rPr>
              <w:t>trīspusējs</w:t>
            </w:r>
            <w:proofErr w:type="spellEnd"/>
            <w:r w:rsidR="00511C7D">
              <w:rPr>
                <w:rFonts w:eastAsia="Times New Roman"/>
                <w:bCs/>
                <w:sz w:val="26"/>
                <w:szCs w:val="26"/>
              </w:rPr>
              <w:t xml:space="preserve"> </w:t>
            </w:r>
            <w:proofErr w:type="spellStart"/>
            <w:r w:rsidR="00511C7D">
              <w:rPr>
                <w:rFonts w:eastAsia="Times New Roman"/>
                <w:bCs/>
                <w:sz w:val="26"/>
                <w:szCs w:val="26"/>
              </w:rPr>
              <w:t>līgums</w:t>
            </w:r>
            <w:proofErr w:type="spellEnd"/>
            <w:r w:rsidR="00511C7D">
              <w:rPr>
                <w:rFonts w:eastAsia="Times New Roman"/>
                <w:bCs/>
                <w:sz w:val="26"/>
                <w:szCs w:val="26"/>
              </w:rPr>
              <w:t xml:space="preserve"> par </w:t>
            </w:r>
            <w:proofErr w:type="spellStart"/>
            <w:r w:rsidR="00511C7D" w:rsidRPr="00511C7D">
              <w:rPr>
                <w:rFonts w:eastAsia="Times New Roman"/>
                <w:bCs/>
                <w:sz w:val="26"/>
                <w:szCs w:val="26"/>
              </w:rPr>
              <w:t>Latvijas</w:t>
            </w:r>
            <w:proofErr w:type="spellEnd"/>
            <w:r w:rsidR="00511C7D" w:rsidRPr="00511C7D">
              <w:rPr>
                <w:rFonts w:eastAsia="Times New Roman"/>
                <w:bCs/>
                <w:sz w:val="26"/>
                <w:szCs w:val="26"/>
              </w:rPr>
              <w:t xml:space="preserve"> un </w:t>
            </w:r>
            <w:proofErr w:type="spellStart"/>
            <w:r w:rsidR="00511C7D" w:rsidRPr="00511C7D">
              <w:rPr>
                <w:rFonts w:eastAsia="Times New Roman"/>
                <w:bCs/>
                <w:sz w:val="26"/>
                <w:szCs w:val="26"/>
              </w:rPr>
              <w:t>Šveices</w:t>
            </w:r>
            <w:proofErr w:type="spellEnd"/>
            <w:r w:rsidR="00511C7D" w:rsidRPr="00511C7D">
              <w:rPr>
                <w:rFonts w:eastAsia="Times New Roman"/>
                <w:bCs/>
                <w:sz w:val="26"/>
                <w:szCs w:val="26"/>
              </w:rPr>
              <w:t xml:space="preserve"> </w:t>
            </w:r>
            <w:proofErr w:type="spellStart"/>
            <w:r w:rsidR="00511C7D" w:rsidRPr="00511C7D">
              <w:rPr>
                <w:rFonts w:eastAsia="Times New Roman"/>
                <w:bCs/>
                <w:sz w:val="26"/>
                <w:szCs w:val="26"/>
              </w:rPr>
              <w:t>sadarbības</w:t>
            </w:r>
            <w:proofErr w:type="spellEnd"/>
            <w:r w:rsidR="00511C7D" w:rsidRPr="00511C7D">
              <w:rPr>
                <w:rFonts w:eastAsia="Times New Roman"/>
                <w:bCs/>
                <w:sz w:val="26"/>
                <w:szCs w:val="26"/>
              </w:rPr>
              <w:t xml:space="preserve"> </w:t>
            </w:r>
            <w:proofErr w:type="spellStart"/>
            <w:r w:rsidR="00511C7D" w:rsidRPr="00511C7D">
              <w:rPr>
                <w:rFonts w:eastAsia="Times New Roman"/>
                <w:bCs/>
                <w:sz w:val="26"/>
                <w:szCs w:val="26"/>
              </w:rPr>
              <w:t>programmas</w:t>
            </w:r>
            <w:proofErr w:type="spellEnd"/>
            <w:r w:rsidR="00511C7D" w:rsidRPr="00511C7D">
              <w:rPr>
                <w:rFonts w:eastAsia="Times New Roman"/>
                <w:bCs/>
                <w:sz w:val="26"/>
                <w:szCs w:val="26"/>
              </w:rPr>
              <w:t xml:space="preserve"> </w:t>
            </w:r>
            <w:proofErr w:type="spellStart"/>
            <w:r w:rsidR="00511C7D" w:rsidRPr="00511C7D">
              <w:rPr>
                <w:rFonts w:eastAsia="Times New Roman"/>
                <w:bCs/>
                <w:sz w:val="26"/>
                <w:szCs w:val="26"/>
              </w:rPr>
              <w:t>indi</w:t>
            </w:r>
            <w:r w:rsidR="00511C7D">
              <w:rPr>
                <w:rFonts w:eastAsia="Times New Roman"/>
                <w:bCs/>
                <w:sz w:val="26"/>
                <w:szCs w:val="26"/>
              </w:rPr>
              <w:t>viduālā</w:t>
            </w:r>
            <w:proofErr w:type="spellEnd"/>
            <w:r w:rsidR="00511C7D">
              <w:rPr>
                <w:rFonts w:eastAsia="Times New Roman"/>
                <w:bCs/>
                <w:sz w:val="26"/>
                <w:szCs w:val="26"/>
              </w:rPr>
              <w:t xml:space="preserve"> </w:t>
            </w:r>
            <w:proofErr w:type="spellStart"/>
            <w:r w:rsidR="00511C7D">
              <w:rPr>
                <w:rFonts w:eastAsia="Times New Roman"/>
                <w:bCs/>
                <w:sz w:val="26"/>
                <w:szCs w:val="26"/>
              </w:rPr>
              <w:t>projekta</w:t>
            </w:r>
            <w:proofErr w:type="spellEnd"/>
            <w:r w:rsidR="00511C7D">
              <w:rPr>
                <w:rFonts w:eastAsia="Times New Roman"/>
                <w:bCs/>
                <w:sz w:val="26"/>
                <w:szCs w:val="26"/>
              </w:rPr>
              <w:t xml:space="preserve"> “</w:t>
            </w:r>
            <w:proofErr w:type="spellStart"/>
            <w:r w:rsidR="00511C7D">
              <w:rPr>
                <w:rFonts w:eastAsia="Times New Roman"/>
                <w:bCs/>
                <w:sz w:val="26"/>
                <w:szCs w:val="26"/>
              </w:rPr>
              <w:t>Mikrokreditēšanas</w:t>
            </w:r>
            <w:proofErr w:type="spellEnd"/>
            <w:r w:rsidR="00511C7D">
              <w:rPr>
                <w:rFonts w:eastAsia="Times New Roman"/>
                <w:bCs/>
                <w:sz w:val="26"/>
                <w:szCs w:val="26"/>
              </w:rPr>
              <w:t xml:space="preserve"> </w:t>
            </w:r>
            <w:proofErr w:type="spellStart"/>
            <w:r w:rsidR="00511C7D">
              <w:rPr>
                <w:rFonts w:eastAsia="Times New Roman"/>
                <w:bCs/>
                <w:sz w:val="26"/>
                <w:szCs w:val="26"/>
              </w:rPr>
              <w:t>programma</w:t>
            </w:r>
            <w:proofErr w:type="spellEnd"/>
            <w:r w:rsidR="00511C7D">
              <w:rPr>
                <w:rFonts w:eastAsia="Times New Roman"/>
                <w:bCs/>
                <w:sz w:val="26"/>
                <w:szCs w:val="26"/>
              </w:rPr>
              <w:t>” (</w:t>
            </w:r>
            <w:proofErr w:type="spellStart"/>
            <w:r w:rsidR="00511C7D">
              <w:rPr>
                <w:rFonts w:eastAsia="Times New Roman"/>
                <w:bCs/>
                <w:sz w:val="26"/>
                <w:szCs w:val="26"/>
              </w:rPr>
              <w:t>turpmāk</w:t>
            </w:r>
            <w:proofErr w:type="spellEnd"/>
            <w:r w:rsidR="00511C7D">
              <w:rPr>
                <w:rFonts w:eastAsia="Times New Roman"/>
                <w:bCs/>
                <w:sz w:val="26"/>
                <w:szCs w:val="26"/>
              </w:rPr>
              <w:t xml:space="preserve"> – </w:t>
            </w:r>
            <w:proofErr w:type="spellStart"/>
            <w:r w:rsidR="00511C7D">
              <w:rPr>
                <w:rFonts w:eastAsia="Times New Roman"/>
                <w:bCs/>
                <w:sz w:val="26"/>
                <w:szCs w:val="26"/>
              </w:rPr>
              <w:t>programma</w:t>
            </w:r>
            <w:proofErr w:type="spellEnd"/>
            <w:r w:rsidR="00511C7D">
              <w:rPr>
                <w:rFonts w:eastAsia="Times New Roman"/>
                <w:bCs/>
                <w:sz w:val="26"/>
                <w:szCs w:val="26"/>
              </w:rPr>
              <w:t xml:space="preserve">) </w:t>
            </w:r>
            <w:proofErr w:type="spellStart"/>
            <w:r w:rsidR="00511C7D">
              <w:rPr>
                <w:rFonts w:eastAsia="Times New Roman"/>
                <w:bCs/>
                <w:sz w:val="26"/>
                <w:szCs w:val="26"/>
              </w:rPr>
              <w:t>ieviešanu</w:t>
            </w:r>
            <w:proofErr w:type="spellEnd"/>
            <w:r w:rsidR="00511C7D">
              <w:rPr>
                <w:rFonts w:eastAsia="Times New Roman"/>
                <w:bCs/>
                <w:sz w:val="26"/>
                <w:szCs w:val="26"/>
              </w:rPr>
              <w:t xml:space="preserve"> </w:t>
            </w:r>
            <w:proofErr w:type="spellStart"/>
            <w:r w:rsidR="00511C7D">
              <w:rPr>
                <w:rFonts w:eastAsia="Times New Roman"/>
                <w:bCs/>
                <w:sz w:val="26"/>
                <w:szCs w:val="26"/>
              </w:rPr>
              <w:t>starp</w:t>
            </w:r>
            <w:proofErr w:type="spellEnd"/>
            <w:r>
              <w:rPr>
                <w:rFonts w:eastAsia="Times New Roman"/>
                <w:bCs/>
                <w:sz w:val="26"/>
                <w:szCs w:val="26"/>
              </w:rPr>
              <w:t xml:space="preserve"> </w:t>
            </w:r>
            <w:proofErr w:type="spellStart"/>
            <w:r>
              <w:rPr>
                <w:rFonts w:eastAsia="Times New Roman"/>
                <w:bCs/>
                <w:sz w:val="26"/>
                <w:szCs w:val="26"/>
              </w:rPr>
              <w:t>Centrālo</w:t>
            </w:r>
            <w:proofErr w:type="spellEnd"/>
            <w:r w:rsidRPr="00092473">
              <w:rPr>
                <w:rFonts w:eastAsia="Times New Roman"/>
                <w:bCs/>
                <w:sz w:val="26"/>
                <w:szCs w:val="26"/>
              </w:rPr>
              <w:t xml:space="preserve"> </w:t>
            </w:r>
            <w:proofErr w:type="spellStart"/>
            <w:r w:rsidRPr="00092473">
              <w:rPr>
                <w:rFonts w:eastAsia="Times New Roman"/>
                <w:bCs/>
                <w:sz w:val="26"/>
                <w:szCs w:val="26"/>
              </w:rPr>
              <w:t>finanšu</w:t>
            </w:r>
            <w:proofErr w:type="spellEnd"/>
            <w:r w:rsidRPr="00092473">
              <w:rPr>
                <w:rFonts w:eastAsia="Times New Roman"/>
                <w:bCs/>
                <w:sz w:val="26"/>
                <w:szCs w:val="26"/>
              </w:rPr>
              <w:t xml:space="preserve"> un </w:t>
            </w:r>
            <w:proofErr w:type="spellStart"/>
            <w:r>
              <w:rPr>
                <w:rFonts w:eastAsia="Times New Roman"/>
                <w:bCs/>
                <w:sz w:val="26"/>
                <w:szCs w:val="26"/>
              </w:rPr>
              <w:t>līgumu</w:t>
            </w:r>
            <w:proofErr w:type="spellEnd"/>
            <w:r>
              <w:rPr>
                <w:rFonts w:eastAsia="Times New Roman"/>
                <w:bCs/>
                <w:sz w:val="26"/>
                <w:szCs w:val="26"/>
              </w:rPr>
              <w:t xml:space="preserve"> </w:t>
            </w:r>
            <w:proofErr w:type="spellStart"/>
            <w:r>
              <w:rPr>
                <w:rFonts w:eastAsia="Times New Roman"/>
                <w:bCs/>
                <w:sz w:val="26"/>
                <w:szCs w:val="26"/>
              </w:rPr>
              <w:t>aģentūru</w:t>
            </w:r>
            <w:proofErr w:type="spellEnd"/>
            <w:r>
              <w:rPr>
                <w:rFonts w:eastAsia="Times New Roman"/>
                <w:bCs/>
                <w:sz w:val="26"/>
                <w:szCs w:val="26"/>
              </w:rPr>
              <w:t xml:space="preserve"> (</w:t>
            </w:r>
            <w:proofErr w:type="spellStart"/>
            <w:r>
              <w:rPr>
                <w:rFonts w:eastAsia="Times New Roman"/>
                <w:bCs/>
                <w:sz w:val="26"/>
                <w:szCs w:val="26"/>
              </w:rPr>
              <w:t>turpmāk</w:t>
            </w:r>
            <w:proofErr w:type="spellEnd"/>
            <w:r>
              <w:rPr>
                <w:rFonts w:eastAsia="Times New Roman"/>
                <w:bCs/>
                <w:sz w:val="26"/>
                <w:szCs w:val="26"/>
              </w:rPr>
              <w:t xml:space="preserve"> – CFLA), </w:t>
            </w:r>
            <w:proofErr w:type="spellStart"/>
            <w:r>
              <w:rPr>
                <w:rFonts w:eastAsia="Times New Roman"/>
                <w:bCs/>
                <w:sz w:val="26"/>
                <w:szCs w:val="26"/>
              </w:rPr>
              <w:t>Ekonomikas</w:t>
            </w:r>
            <w:proofErr w:type="spellEnd"/>
            <w:r>
              <w:rPr>
                <w:rFonts w:eastAsia="Times New Roman"/>
                <w:bCs/>
                <w:sz w:val="26"/>
                <w:szCs w:val="26"/>
              </w:rPr>
              <w:t xml:space="preserve"> </w:t>
            </w:r>
            <w:proofErr w:type="spellStart"/>
            <w:r>
              <w:rPr>
                <w:rFonts w:eastAsia="Times New Roman"/>
                <w:bCs/>
                <w:sz w:val="26"/>
                <w:szCs w:val="26"/>
              </w:rPr>
              <w:t>ministriju</w:t>
            </w:r>
            <w:proofErr w:type="spellEnd"/>
            <w:r>
              <w:rPr>
                <w:rFonts w:eastAsia="Times New Roman"/>
                <w:bCs/>
                <w:sz w:val="26"/>
                <w:szCs w:val="26"/>
              </w:rPr>
              <w:t xml:space="preserve"> (</w:t>
            </w:r>
            <w:proofErr w:type="spellStart"/>
            <w:r>
              <w:rPr>
                <w:rFonts w:eastAsia="Times New Roman"/>
                <w:bCs/>
                <w:sz w:val="26"/>
                <w:szCs w:val="26"/>
              </w:rPr>
              <w:t>turpmāk</w:t>
            </w:r>
            <w:proofErr w:type="spellEnd"/>
            <w:r>
              <w:rPr>
                <w:rFonts w:eastAsia="Times New Roman"/>
                <w:bCs/>
                <w:sz w:val="26"/>
                <w:szCs w:val="26"/>
              </w:rPr>
              <w:t xml:space="preserve"> – EM) un </w:t>
            </w:r>
            <w:r w:rsidR="00F1704E">
              <w:rPr>
                <w:rFonts w:eastAsia="Times New Roman"/>
                <w:bCs/>
                <w:sz w:val="26"/>
                <w:szCs w:val="26"/>
              </w:rPr>
              <w:t>LHZB</w:t>
            </w:r>
            <w:r w:rsidR="00716874">
              <w:rPr>
                <w:rFonts w:eastAsia="Times New Roman"/>
                <w:bCs/>
                <w:sz w:val="26"/>
                <w:szCs w:val="26"/>
              </w:rPr>
              <w:t>.</w:t>
            </w:r>
          </w:p>
          <w:p w:rsidR="001E6651" w:rsidRDefault="001E6651" w:rsidP="001E6651">
            <w:pPr>
              <w:ind w:firstLine="567"/>
              <w:jc w:val="both"/>
              <w:rPr>
                <w:rFonts w:eastAsia="Times New Roman"/>
                <w:bCs/>
                <w:sz w:val="26"/>
                <w:szCs w:val="26"/>
              </w:rPr>
            </w:pPr>
            <w:r>
              <w:rPr>
                <w:rFonts w:eastAsia="Times New Roman"/>
                <w:bCs/>
                <w:sz w:val="26"/>
                <w:szCs w:val="26"/>
              </w:rPr>
              <w:t xml:space="preserve">2012.gada </w:t>
            </w:r>
            <w:proofErr w:type="spellStart"/>
            <w:r>
              <w:rPr>
                <w:rFonts w:eastAsia="Times New Roman"/>
                <w:bCs/>
                <w:sz w:val="26"/>
                <w:szCs w:val="26"/>
              </w:rPr>
              <w:t>vidū</w:t>
            </w:r>
            <w:proofErr w:type="spellEnd"/>
            <w:r>
              <w:rPr>
                <w:rFonts w:eastAsia="Times New Roman"/>
                <w:bCs/>
                <w:sz w:val="26"/>
                <w:szCs w:val="26"/>
              </w:rPr>
              <w:t xml:space="preserve"> no </w:t>
            </w:r>
            <w:proofErr w:type="spellStart"/>
            <w:r>
              <w:rPr>
                <w:rFonts w:eastAsia="Times New Roman"/>
                <w:bCs/>
                <w:sz w:val="26"/>
                <w:szCs w:val="26"/>
              </w:rPr>
              <w:t>Šveices</w:t>
            </w:r>
            <w:proofErr w:type="spellEnd"/>
            <w:r>
              <w:rPr>
                <w:rFonts w:eastAsia="Times New Roman"/>
                <w:bCs/>
                <w:sz w:val="26"/>
                <w:szCs w:val="26"/>
              </w:rPr>
              <w:t xml:space="preserve"> </w:t>
            </w:r>
            <w:proofErr w:type="spellStart"/>
            <w:r>
              <w:rPr>
                <w:rFonts w:eastAsia="Times New Roman"/>
                <w:bCs/>
                <w:sz w:val="26"/>
                <w:szCs w:val="26"/>
              </w:rPr>
              <w:t>sadarbības</w:t>
            </w:r>
            <w:proofErr w:type="spellEnd"/>
            <w:r>
              <w:rPr>
                <w:rFonts w:eastAsia="Times New Roman"/>
                <w:bCs/>
                <w:sz w:val="26"/>
                <w:szCs w:val="26"/>
              </w:rPr>
              <w:t xml:space="preserve"> </w:t>
            </w:r>
            <w:proofErr w:type="spellStart"/>
            <w:r>
              <w:rPr>
                <w:rFonts w:eastAsia="Times New Roman"/>
                <w:bCs/>
                <w:sz w:val="26"/>
                <w:szCs w:val="26"/>
              </w:rPr>
              <w:t>programmas</w:t>
            </w:r>
            <w:proofErr w:type="spellEnd"/>
            <w:r>
              <w:rPr>
                <w:rFonts w:eastAsia="Times New Roman"/>
                <w:bCs/>
                <w:sz w:val="26"/>
                <w:szCs w:val="26"/>
              </w:rPr>
              <w:t xml:space="preserve"> </w:t>
            </w:r>
            <w:proofErr w:type="spellStart"/>
            <w:r>
              <w:rPr>
                <w:rFonts w:eastAsia="Times New Roman"/>
                <w:bCs/>
                <w:sz w:val="26"/>
                <w:szCs w:val="26"/>
              </w:rPr>
              <w:t>neapgūtajiem</w:t>
            </w:r>
            <w:proofErr w:type="spellEnd"/>
            <w:r>
              <w:rPr>
                <w:rFonts w:eastAsia="Times New Roman"/>
                <w:bCs/>
                <w:sz w:val="26"/>
                <w:szCs w:val="26"/>
              </w:rPr>
              <w:t xml:space="preserve"> </w:t>
            </w:r>
            <w:proofErr w:type="spellStart"/>
            <w:r>
              <w:rPr>
                <w:rFonts w:eastAsia="Times New Roman"/>
                <w:bCs/>
                <w:sz w:val="26"/>
                <w:szCs w:val="26"/>
              </w:rPr>
              <w:t>līdzekļiem</w:t>
            </w:r>
            <w:proofErr w:type="spellEnd"/>
            <w:r>
              <w:rPr>
                <w:rFonts w:eastAsia="Times New Roman"/>
                <w:bCs/>
                <w:sz w:val="26"/>
                <w:szCs w:val="26"/>
              </w:rPr>
              <w:t xml:space="preserve"> </w:t>
            </w:r>
            <w:proofErr w:type="spellStart"/>
            <w:r>
              <w:rPr>
                <w:rFonts w:eastAsia="Times New Roman"/>
                <w:bCs/>
                <w:sz w:val="26"/>
                <w:szCs w:val="26"/>
              </w:rPr>
              <w:t>bija</w:t>
            </w:r>
            <w:proofErr w:type="spellEnd"/>
            <w:r>
              <w:rPr>
                <w:rFonts w:eastAsia="Times New Roman"/>
                <w:bCs/>
                <w:sz w:val="26"/>
                <w:szCs w:val="26"/>
              </w:rPr>
              <w:t xml:space="preserve"> </w:t>
            </w:r>
            <w:proofErr w:type="spellStart"/>
            <w:r>
              <w:rPr>
                <w:rFonts w:eastAsia="Times New Roman"/>
                <w:bCs/>
                <w:sz w:val="26"/>
                <w:szCs w:val="26"/>
              </w:rPr>
              <w:t>piedāvājums</w:t>
            </w:r>
            <w:proofErr w:type="spellEnd"/>
            <w:r>
              <w:rPr>
                <w:rFonts w:eastAsia="Times New Roman"/>
                <w:bCs/>
                <w:sz w:val="26"/>
                <w:szCs w:val="26"/>
              </w:rPr>
              <w:t xml:space="preserve"> </w:t>
            </w:r>
            <w:proofErr w:type="spellStart"/>
            <w:r>
              <w:rPr>
                <w:rFonts w:eastAsia="Times New Roman"/>
                <w:bCs/>
                <w:sz w:val="26"/>
                <w:szCs w:val="26"/>
              </w:rPr>
              <w:t>palielināt</w:t>
            </w:r>
            <w:proofErr w:type="spellEnd"/>
            <w:r>
              <w:rPr>
                <w:rFonts w:eastAsia="Times New Roman"/>
                <w:bCs/>
                <w:sz w:val="26"/>
                <w:szCs w:val="26"/>
              </w:rPr>
              <w:t xml:space="preserve"> </w:t>
            </w:r>
            <w:proofErr w:type="spellStart"/>
            <w:r>
              <w:rPr>
                <w:rFonts w:eastAsia="Times New Roman"/>
                <w:bCs/>
                <w:sz w:val="26"/>
                <w:szCs w:val="26"/>
              </w:rPr>
              <w:t>fonda</w:t>
            </w:r>
            <w:proofErr w:type="spellEnd"/>
            <w:r>
              <w:rPr>
                <w:rFonts w:eastAsia="Times New Roman"/>
                <w:bCs/>
                <w:sz w:val="26"/>
                <w:szCs w:val="26"/>
              </w:rPr>
              <w:t xml:space="preserve"> </w:t>
            </w:r>
            <w:proofErr w:type="spellStart"/>
            <w:r>
              <w:rPr>
                <w:rFonts w:eastAsia="Times New Roman"/>
                <w:bCs/>
                <w:sz w:val="26"/>
                <w:szCs w:val="26"/>
              </w:rPr>
              <w:t>apjomu</w:t>
            </w:r>
            <w:proofErr w:type="spellEnd"/>
            <w:r>
              <w:rPr>
                <w:rFonts w:eastAsia="Times New Roman"/>
                <w:bCs/>
                <w:sz w:val="26"/>
                <w:szCs w:val="26"/>
              </w:rPr>
              <w:t xml:space="preserve"> par 252 363 </w:t>
            </w:r>
            <w:proofErr w:type="spellStart"/>
            <w:r>
              <w:rPr>
                <w:rFonts w:eastAsia="Times New Roman"/>
                <w:bCs/>
                <w:sz w:val="26"/>
                <w:szCs w:val="26"/>
              </w:rPr>
              <w:t>latiem</w:t>
            </w:r>
            <w:proofErr w:type="spellEnd"/>
            <w:r>
              <w:rPr>
                <w:rFonts w:eastAsia="Times New Roman"/>
                <w:bCs/>
                <w:sz w:val="26"/>
                <w:szCs w:val="26"/>
              </w:rPr>
              <w:t xml:space="preserve"> (444 </w:t>
            </w:r>
            <w:proofErr w:type="spellStart"/>
            <w:r>
              <w:rPr>
                <w:rFonts w:eastAsia="Times New Roman"/>
                <w:bCs/>
                <w:sz w:val="26"/>
                <w:szCs w:val="26"/>
              </w:rPr>
              <w:t>tūkst</w:t>
            </w:r>
            <w:proofErr w:type="spellEnd"/>
            <w:r>
              <w:rPr>
                <w:rFonts w:eastAsia="Times New Roman"/>
                <w:bCs/>
                <w:sz w:val="26"/>
                <w:szCs w:val="26"/>
              </w:rPr>
              <w:t xml:space="preserve">. CHF), LHZB </w:t>
            </w:r>
            <w:proofErr w:type="spellStart"/>
            <w:r>
              <w:rPr>
                <w:rFonts w:eastAsia="Times New Roman"/>
                <w:bCs/>
                <w:sz w:val="26"/>
                <w:szCs w:val="26"/>
              </w:rPr>
              <w:t>palielinot</w:t>
            </w:r>
            <w:proofErr w:type="spellEnd"/>
            <w:r>
              <w:rPr>
                <w:rFonts w:eastAsia="Times New Roman"/>
                <w:bCs/>
                <w:sz w:val="26"/>
                <w:szCs w:val="26"/>
              </w:rPr>
              <w:t xml:space="preserve"> </w:t>
            </w:r>
            <w:proofErr w:type="spellStart"/>
            <w:r>
              <w:rPr>
                <w:rFonts w:eastAsia="Times New Roman"/>
                <w:bCs/>
                <w:sz w:val="26"/>
                <w:szCs w:val="26"/>
              </w:rPr>
              <w:t>savu</w:t>
            </w:r>
            <w:proofErr w:type="spellEnd"/>
            <w:r>
              <w:rPr>
                <w:rFonts w:eastAsia="Times New Roman"/>
                <w:bCs/>
                <w:sz w:val="26"/>
                <w:szCs w:val="26"/>
              </w:rPr>
              <w:t xml:space="preserve"> </w:t>
            </w:r>
            <w:proofErr w:type="spellStart"/>
            <w:r>
              <w:rPr>
                <w:rFonts w:eastAsia="Times New Roman"/>
                <w:bCs/>
                <w:sz w:val="26"/>
                <w:szCs w:val="26"/>
              </w:rPr>
              <w:t>daļu</w:t>
            </w:r>
            <w:proofErr w:type="spellEnd"/>
            <w:r>
              <w:rPr>
                <w:rFonts w:eastAsia="Times New Roman"/>
                <w:bCs/>
                <w:sz w:val="26"/>
                <w:szCs w:val="26"/>
              </w:rPr>
              <w:t xml:space="preserve"> par 52 917 </w:t>
            </w:r>
            <w:proofErr w:type="spellStart"/>
            <w:r>
              <w:rPr>
                <w:rFonts w:eastAsia="Times New Roman"/>
                <w:bCs/>
                <w:sz w:val="26"/>
                <w:szCs w:val="26"/>
              </w:rPr>
              <w:t>latiem</w:t>
            </w:r>
            <w:proofErr w:type="spellEnd"/>
            <w:r>
              <w:rPr>
                <w:rFonts w:eastAsia="Times New Roman"/>
                <w:bCs/>
                <w:sz w:val="26"/>
                <w:szCs w:val="26"/>
              </w:rPr>
              <w:t xml:space="preserve"> (93 </w:t>
            </w:r>
            <w:proofErr w:type="spellStart"/>
            <w:r>
              <w:rPr>
                <w:rFonts w:eastAsia="Times New Roman"/>
                <w:bCs/>
                <w:sz w:val="26"/>
                <w:szCs w:val="26"/>
              </w:rPr>
              <w:t>tūkst.CHF</w:t>
            </w:r>
            <w:proofErr w:type="spellEnd"/>
            <w:r>
              <w:rPr>
                <w:rFonts w:eastAsia="Times New Roman"/>
                <w:bCs/>
                <w:sz w:val="26"/>
                <w:szCs w:val="26"/>
              </w:rPr>
              <w:t>).</w:t>
            </w:r>
          </w:p>
          <w:p w:rsidR="00B820E5" w:rsidRDefault="00F1704E" w:rsidP="00511C7D">
            <w:pPr>
              <w:ind w:firstLine="567"/>
              <w:jc w:val="both"/>
              <w:rPr>
                <w:rFonts w:eastAsia="Times New Roman"/>
                <w:bCs/>
                <w:sz w:val="26"/>
                <w:szCs w:val="26"/>
              </w:rPr>
            </w:pPr>
            <w:r>
              <w:rPr>
                <w:rFonts w:eastAsia="Times New Roman"/>
                <w:bCs/>
                <w:sz w:val="26"/>
                <w:szCs w:val="26"/>
              </w:rPr>
              <w:t>2011</w:t>
            </w:r>
            <w:r w:rsidR="00511C7D">
              <w:rPr>
                <w:rFonts w:eastAsia="Times New Roman"/>
                <w:bCs/>
                <w:sz w:val="26"/>
                <w:szCs w:val="26"/>
              </w:rPr>
              <w:t>.gada</w:t>
            </w:r>
            <w:r>
              <w:rPr>
                <w:rFonts w:eastAsia="Times New Roman"/>
                <w:bCs/>
                <w:sz w:val="26"/>
                <w:szCs w:val="26"/>
              </w:rPr>
              <w:t xml:space="preserve"> 29.oktobrī </w:t>
            </w:r>
            <w:proofErr w:type="spellStart"/>
            <w:r>
              <w:rPr>
                <w:rFonts w:eastAsia="Times New Roman"/>
                <w:bCs/>
                <w:sz w:val="26"/>
                <w:szCs w:val="26"/>
              </w:rPr>
              <w:t>tika</w:t>
            </w:r>
            <w:proofErr w:type="spellEnd"/>
            <w:r>
              <w:rPr>
                <w:rFonts w:eastAsia="Times New Roman"/>
                <w:bCs/>
                <w:sz w:val="26"/>
                <w:szCs w:val="26"/>
              </w:rPr>
              <w:t xml:space="preserve"> </w:t>
            </w:r>
            <w:proofErr w:type="spellStart"/>
            <w:r>
              <w:rPr>
                <w:rFonts w:eastAsia="Times New Roman"/>
                <w:bCs/>
                <w:sz w:val="26"/>
                <w:szCs w:val="26"/>
              </w:rPr>
              <w:t>noslēgti</w:t>
            </w:r>
            <w:proofErr w:type="spellEnd"/>
            <w:r>
              <w:rPr>
                <w:rFonts w:eastAsia="Times New Roman"/>
                <w:bCs/>
                <w:sz w:val="26"/>
                <w:szCs w:val="26"/>
              </w:rPr>
              <w:t xml:space="preserve"> </w:t>
            </w:r>
            <w:proofErr w:type="spellStart"/>
            <w:r>
              <w:rPr>
                <w:rFonts w:eastAsia="Times New Roman"/>
                <w:bCs/>
                <w:sz w:val="26"/>
                <w:szCs w:val="26"/>
              </w:rPr>
              <w:t>līguma</w:t>
            </w:r>
            <w:proofErr w:type="spellEnd"/>
            <w:r>
              <w:rPr>
                <w:rFonts w:eastAsia="Times New Roman"/>
                <w:bCs/>
                <w:sz w:val="26"/>
                <w:szCs w:val="26"/>
              </w:rPr>
              <w:t xml:space="preserve"> </w:t>
            </w:r>
            <w:proofErr w:type="spellStart"/>
            <w:r>
              <w:rPr>
                <w:rFonts w:eastAsia="Times New Roman"/>
                <w:bCs/>
                <w:sz w:val="26"/>
                <w:szCs w:val="26"/>
              </w:rPr>
              <w:t>grozījumi</w:t>
            </w:r>
            <w:proofErr w:type="spellEnd"/>
            <w:r>
              <w:rPr>
                <w:rFonts w:eastAsia="Times New Roman"/>
                <w:bCs/>
                <w:sz w:val="26"/>
                <w:szCs w:val="26"/>
              </w:rPr>
              <w:t xml:space="preserve">, </w:t>
            </w:r>
            <w:proofErr w:type="spellStart"/>
            <w:r>
              <w:rPr>
                <w:rFonts w:eastAsia="Times New Roman"/>
                <w:bCs/>
                <w:sz w:val="26"/>
                <w:szCs w:val="26"/>
              </w:rPr>
              <w:t>kurā</w:t>
            </w:r>
            <w:proofErr w:type="spellEnd"/>
            <w:r>
              <w:rPr>
                <w:rFonts w:eastAsia="Times New Roman"/>
                <w:bCs/>
                <w:sz w:val="26"/>
                <w:szCs w:val="26"/>
              </w:rPr>
              <w:t xml:space="preserve"> </w:t>
            </w:r>
            <w:proofErr w:type="spellStart"/>
            <w:r>
              <w:rPr>
                <w:rFonts w:eastAsia="Times New Roman"/>
                <w:bCs/>
                <w:sz w:val="26"/>
                <w:szCs w:val="26"/>
              </w:rPr>
              <w:t>tika</w:t>
            </w:r>
            <w:proofErr w:type="spellEnd"/>
            <w:r>
              <w:rPr>
                <w:rFonts w:eastAsia="Times New Roman"/>
                <w:bCs/>
                <w:sz w:val="26"/>
                <w:szCs w:val="26"/>
              </w:rPr>
              <w:t xml:space="preserve"> </w:t>
            </w:r>
            <w:proofErr w:type="spellStart"/>
            <w:r>
              <w:rPr>
                <w:rFonts w:eastAsia="Times New Roman"/>
                <w:bCs/>
                <w:sz w:val="26"/>
                <w:szCs w:val="26"/>
              </w:rPr>
              <w:t>atrunāti</w:t>
            </w:r>
            <w:proofErr w:type="spellEnd"/>
            <w:r>
              <w:rPr>
                <w:rFonts w:eastAsia="Times New Roman"/>
                <w:bCs/>
                <w:sz w:val="26"/>
                <w:szCs w:val="26"/>
              </w:rPr>
              <w:t xml:space="preserve"> </w:t>
            </w:r>
            <w:proofErr w:type="spellStart"/>
            <w:r>
              <w:rPr>
                <w:rFonts w:eastAsia="Times New Roman"/>
                <w:bCs/>
                <w:sz w:val="26"/>
                <w:szCs w:val="26"/>
              </w:rPr>
              <w:t>papildus</w:t>
            </w:r>
            <w:proofErr w:type="spellEnd"/>
            <w:r>
              <w:rPr>
                <w:rFonts w:eastAsia="Times New Roman"/>
                <w:bCs/>
                <w:sz w:val="26"/>
                <w:szCs w:val="26"/>
              </w:rPr>
              <w:t xml:space="preserve"> </w:t>
            </w:r>
            <w:proofErr w:type="spellStart"/>
            <w:r>
              <w:rPr>
                <w:rFonts w:eastAsia="Times New Roman"/>
                <w:bCs/>
                <w:sz w:val="26"/>
                <w:szCs w:val="26"/>
              </w:rPr>
              <w:t>finansējuma</w:t>
            </w:r>
            <w:proofErr w:type="spellEnd"/>
            <w:r>
              <w:rPr>
                <w:rFonts w:eastAsia="Times New Roman"/>
                <w:bCs/>
                <w:sz w:val="26"/>
                <w:szCs w:val="26"/>
              </w:rPr>
              <w:t xml:space="preserve"> </w:t>
            </w:r>
            <w:proofErr w:type="spellStart"/>
            <w:r>
              <w:rPr>
                <w:rFonts w:eastAsia="Times New Roman"/>
                <w:bCs/>
                <w:sz w:val="26"/>
                <w:szCs w:val="26"/>
              </w:rPr>
              <w:t>pieprasījum</w:t>
            </w:r>
            <w:r w:rsidR="001E6651">
              <w:rPr>
                <w:rFonts w:eastAsia="Times New Roman"/>
                <w:bCs/>
                <w:sz w:val="26"/>
                <w:szCs w:val="26"/>
              </w:rPr>
              <w:t>a</w:t>
            </w:r>
            <w:proofErr w:type="spellEnd"/>
            <w:r w:rsidR="001E6651">
              <w:rPr>
                <w:rFonts w:eastAsia="Times New Roman"/>
                <w:bCs/>
                <w:sz w:val="26"/>
                <w:szCs w:val="26"/>
              </w:rPr>
              <w:t xml:space="preserve"> </w:t>
            </w:r>
            <w:proofErr w:type="spellStart"/>
            <w:r w:rsidR="001E6651">
              <w:rPr>
                <w:rFonts w:eastAsia="Times New Roman"/>
                <w:bCs/>
                <w:sz w:val="26"/>
                <w:szCs w:val="26"/>
              </w:rPr>
              <w:t>nosacījumi</w:t>
            </w:r>
            <w:proofErr w:type="spellEnd"/>
            <w:r w:rsidR="001E6651">
              <w:rPr>
                <w:rFonts w:eastAsia="Times New Roman"/>
                <w:bCs/>
                <w:sz w:val="26"/>
                <w:szCs w:val="26"/>
              </w:rPr>
              <w:t xml:space="preserve">, </w:t>
            </w:r>
            <w:proofErr w:type="spellStart"/>
            <w:r w:rsidR="001E6651">
              <w:rPr>
                <w:rFonts w:eastAsia="Times New Roman"/>
                <w:bCs/>
                <w:sz w:val="26"/>
                <w:szCs w:val="26"/>
              </w:rPr>
              <w:t>kas</w:t>
            </w:r>
            <w:proofErr w:type="spellEnd"/>
            <w:r w:rsidR="001E6651">
              <w:rPr>
                <w:rFonts w:eastAsia="Times New Roman"/>
                <w:bCs/>
                <w:sz w:val="26"/>
                <w:szCs w:val="26"/>
              </w:rPr>
              <w:t xml:space="preserve"> </w:t>
            </w:r>
            <w:proofErr w:type="spellStart"/>
            <w:r w:rsidR="001E6651">
              <w:rPr>
                <w:rFonts w:eastAsia="Times New Roman"/>
                <w:bCs/>
                <w:sz w:val="26"/>
                <w:szCs w:val="26"/>
              </w:rPr>
              <w:t>jāveic</w:t>
            </w:r>
            <w:proofErr w:type="spellEnd"/>
            <w:r w:rsidR="001E6651">
              <w:rPr>
                <w:rFonts w:eastAsia="Times New Roman"/>
                <w:bCs/>
                <w:sz w:val="26"/>
                <w:szCs w:val="26"/>
              </w:rPr>
              <w:t xml:space="preserve"> LHZB, </w:t>
            </w:r>
            <w:proofErr w:type="spellStart"/>
            <w:r w:rsidR="001E6651">
              <w:rPr>
                <w:rFonts w:eastAsia="Times New Roman"/>
                <w:bCs/>
                <w:sz w:val="26"/>
                <w:szCs w:val="26"/>
              </w:rPr>
              <w:t>l</w:t>
            </w:r>
            <w:r>
              <w:rPr>
                <w:rFonts w:eastAsia="Times New Roman"/>
                <w:bCs/>
                <w:sz w:val="26"/>
                <w:szCs w:val="26"/>
              </w:rPr>
              <w:t>ai</w:t>
            </w:r>
            <w:proofErr w:type="spellEnd"/>
            <w:r>
              <w:rPr>
                <w:rFonts w:eastAsia="Times New Roman"/>
                <w:bCs/>
                <w:sz w:val="26"/>
                <w:szCs w:val="26"/>
              </w:rPr>
              <w:t xml:space="preserve"> </w:t>
            </w:r>
            <w:proofErr w:type="spellStart"/>
            <w:r>
              <w:rPr>
                <w:rFonts w:eastAsia="Times New Roman"/>
                <w:bCs/>
                <w:sz w:val="26"/>
                <w:szCs w:val="26"/>
              </w:rPr>
              <w:t>varētu</w:t>
            </w:r>
            <w:proofErr w:type="spellEnd"/>
            <w:r>
              <w:rPr>
                <w:rFonts w:eastAsia="Times New Roman"/>
                <w:bCs/>
                <w:sz w:val="26"/>
                <w:szCs w:val="26"/>
              </w:rPr>
              <w:t xml:space="preserve"> </w:t>
            </w:r>
            <w:proofErr w:type="spellStart"/>
            <w:r w:rsidRPr="00F1704E">
              <w:rPr>
                <w:rFonts w:eastAsia="Times New Roman"/>
                <w:bCs/>
                <w:sz w:val="26"/>
                <w:szCs w:val="26"/>
              </w:rPr>
              <w:t>pieprasīt</w:t>
            </w:r>
            <w:proofErr w:type="spellEnd"/>
            <w:r w:rsidRPr="00F1704E">
              <w:rPr>
                <w:rFonts w:eastAsia="Times New Roman"/>
                <w:bCs/>
                <w:sz w:val="26"/>
                <w:szCs w:val="26"/>
              </w:rPr>
              <w:t xml:space="preserve"> </w:t>
            </w:r>
            <w:proofErr w:type="spellStart"/>
            <w:r w:rsidRPr="00F1704E">
              <w:rPr>
                <w:rFonts w:eastAsia="Times New Roman"/>
                <w:bCs/>
                <w:sz w:val="26"/>
                <w:szCs w:val="26"/>
              </w:rPr>
              <w:t>papildus</w:t>
            </w:r>
            <w:proofErr w:type="spellEnd"/>
            <w:r w:rsidRPr="00F1704E">
              <w:rPr>
                <w:rFonts w:eastAsia="Times New Roman"/>
                <w:bCs/>
                <w:sz w:val="26"/>
                <w:szCs w:val="26"/>
              </w:rPr>
              <w:t xml:space="preserve"> </w:t>
            </w:r>
            <w:proofErr w:type="spellStart"/>
            <w:r w:rsidRPr="00F1704E">
              <w:rPr>
                <w:rFonts w:eastAsia="Times New Roman"/>
                <w:bCs/>
                <w:sz w:val="26"/>
                <w:szCs w:val="26"/>
              </w:rPr>
              <w:t>finansējumu</w:t>
            </w:r>
            <w:proofErr w:type="spellEnd"/>
            <w:r>
              <w:rPr>
                <w:rFonts w:eastAsia="Times New Roman"/>
                <w:bCs/>
                <w:sz w:val="26"/>
                <w:szCs w:val="26"/>
              </w:rPr>
              <w:t xml:space="preserve">. To </w:t>
            </w:r>
            <w:proofErr w:type="spellStart"/>
            <w:r>
              <w:rPr>
                <w:rFonts w:eastAsia="Times New Roman"/>
                <w:bCs/>
                <w:sz w:val="26"/>
                <w:szCs w:val="26"/>
              </w:rPr>
              <w:t>varēja</w:t>
            </w:r>
            <w:proofErr w:type="spellEnd"/>
            <w:r>
              <w:rPr>
                <w:rFonts w:eastAsia="Times New Roman"/>
                <w:bCs/>
                <w:sz w:val="26"/>
                <w:szCs w:val="26"/>
              </w:rPr>
              <w:t xml:space="preserve"> </w:t>
            </w:r>
            <w:proofErr w:type="spellStart"/>
            <w:r>
              <w:rPr>
                <w:rFonts w:eastAsia="Times New Roman"/>
                <w:bCs/>
                <w:sz w:val="26"/>
                <w:szCs w:val="26"/>
              </w:rPr>
              <w:t>veikt</w:t>
            </w:r>
            <w:proofErr w:type="spellEnd"/>
            <w:r>
              <w:rPr>
                <w:rFonts w:eastAsia="Times New Roman"/>
                <w:bCs/>
                <w:sz w:val="26"/>
                <w:szCs w:val="26"/>
              </w:rPr>
              <w:t xml:space="preserve">, </w:t>
            </w:r>
            <w:proofErr w:type="spellStart"/>
            <w:r>
              <w:rPr>
                <w:rFonts w:eastAsia="Times New Roman"/>
                <w:bCs/>
                <w:sz w:val="26"/>
                <w:szCs w:val="26"/>
              </w:rPr>
              <w:t>ja</w:t>
            </w:r>
            <w:proofErr w:type="spellEnd"/>
            <w:r>
              <w:rPr>
                <w:rFonts w:eastAsia="Times New Roman"/>
                <w:bCs/>
                <w:sz w:val="26"/>
                <w:szCs w:val="26"/>
              </w:rPr>
              <w:t xml:space="preserve"> </w:t>
            </w:r>
            <w:proofErr w:type="spellStart"/>
            <w:r>
              <w:rPr>
                <w:rFonts w:eastAsia="Times New Roman"/>
                <w:bCs/>
                <w:sz w:val="26"/>
                <w:szCs w:val="26"/>
              </w:rPr>
              <w:t>pamatfinansējums</w:t>
            </w:r>
            <w:proofErr w:type="spellEnd"/>
            <w:r>
              <w:rPr>
                <w:rFonts w:eastAsia="Times New Roman"/>
                <w:bCs/>
                <w:sz w:val="26"/>
                <w:szCs w:val="26"/>
              </w:rPr>
              <w:t xml:space="preserve"> </w:t>
            </w:r>
            <w:proofErr w:type="spellStart"/>
            <w:r>
              <w:rPr>
                <w:rFonts w:eastAsia="Times New Roman"/>
                <w:bCs/>
                <w:sz w:val="26"/>
                <w:szCs w:val="26"/>
              </w:rPr>
              <w:t>ir</w:t>
            </w:r>
            <w:proofErr w:type="spellEnd"/>
            <w:r>
              <w:rPr>
                <w:rFonts w:eastAsia="Times New Roman"/>
                <w:bCs/>
                <w:sz w:val="26"/>
                <w:szCs w:val="26"/>
              </w:rPr>
              <w:t xml:space="preserve"> </w:t>
            </w:r>
            <w:proofErr w:type="spellStart"/>
            <w:r>
              <w:rPr>
                <w:rFonts w:eastAsia="Times New Roman"/>
                <w:bCs/>
                <w:sz w:val="26"/>
                <w:szCs w:val="26"/>
              </w:rPr>
              <w:t>apgūts</w:t>
            </w:r>
            <w:proofErr w:type="spellEnd"/>
            <w:r>
              <w:rPr>
                <w:rFonts w:eastAsia="Times New Roman"/>
                <w:bCs/>
                <w:sz w:val="26"/>
                <w:szCs w:val="26"/>
              </w:rPr>
              <w:t xml:space="preserve"> 95% </w:t>
            </w:r>
            <w:proofErr w:type="spellStart"/>
            <w:r>
              <w:rPr>
                <w:rFonts w:eastAsia="Times New Roman"/>
                <w:bCs/>
                <w:sz w:val="26"/>
                <w:szCs w:val="26"/>
              </w:rPr>
              <w:t>apmērā</w:t>
            </w:r>
            <w:proofErr w:type="spellEnd"/>
            <w:r>
              <w:rPr>
                <w:rFonts w:eastAsia="Times New Roman"/>
                <w:bCs/>
                <w:sz w:val="26"/>
                <w:szCs w:val="26"/>
              </w:rPr>
              <w:t>.</w:t>
            </w:r>
          </w:p>
          <w:p w:rsidR="00511C7D" w:rsidRDefault="00F1704E" w:rsidP="00511C7D">
            <w:pPr>
              <w:ind w:firstLine="567"/>
              <w:jc w:val="both"/>
              <w:rPr>
                <w:rFonts w:eastAsia="Times New Roman"/>
                <w:bCs/>
                <w:sz w:val="26"/>
                <w:szCs w:val="26"/>
              </w:rPr>
            </w:pPr>
            <w:proofErr w:type="spellStart"/>
            <w:r>
              <w:rPr>
                <w:rFonts w:eastAsia="Times New Roman"/>
                <w:bCs/>
                <w:sz w:val="26"/>
                <w:szCs w:val="26"/>
              </w:rPr>
              <w:t>Tādējādi</w:t>
            </w:r>
            <w:proofErr w:type="spellEnd"/>
            <w:r>
              <w:rPr>
                <w:rFonts w:eastAsia="Times New Roman"/>
                <w:bCs/>
                <w:sz w:val="26"/>
                <w:szCs w:val="26"/>
              </w:rPr>
              <w:t xml:space="preserve"> LHZB 2013.gada </w:t>
            </w:r>
            <w:proofErr w:type="spellStart"/>
            <w:r>
              <w:rPr>
                <w:rFonts w:eastAsia="Times New Roman"/>
                <w:bCs/>
                <w:sz w:val="26"/>
                <w:szCs w:val="26"/>
              </w:rPr>
              <w:t>maijā</w:t>
            </w:r>
            <w:proofErr w:type="spellEnd"/>
            <w:r>
              <w:rPr>
                <w:rFonts w:eastAsia="Times New Roman"/>
                <w:bCs/>
                <w:sz w:val="26"/>
                <w:szCs w:val="26"/>
              </w:rPr>
              <w:t xml:space="preserve"> </w:t>
            </w:r>
            <w:proofErr w:type="spellStart"/>
            <w:r>
              <w:rPr>
                <w:rFonts w:eastAsia="Times New Roman"/>
                <w:bCs/>
                <w:sz w:val="26"/>
                <w:szCs w:val="26"/>
              </w:rPr>
              <w:t>informēja</w:t>
            </w:r>
            <w:proofErr w:type="spellEnd"/>
            <w:r>
              <w:rPr>
                <w:rFonts w:eastAsia="Times New Roman"/>
                <w:bCs/>
                <w:sz w:val="26"/>
                <w:szCs w:val="26"/>
              </w:rPr>
              <w:t xml:space="preserve"> CFLA par </w:t>
            </w:r>
            <w:proofErr w:type="spellStart"/>
            <w:r>
              <w:rPr>
                <w:rFonts w:eastAsia="Times New Roman"/>
                <w:bCs/>
                <w:sz w:val="26"/>
                <w:szCs w:val="26"/>
              </w:rPr>
              <w:t>piešķirto</w:t>
            </w:r>
            <w:proofErr w:type="spellEnd"/>
            <w:r>
              <w:rPr>
                <w:rFonts w:eastAsia="Times New Roman"/>
                <w:bCs/>
                <w:sz w:val="26"/>
                <w:szCs w:val="26"/>
              </w:rPr>
              <w:t xml:space="preserve"> </w:t>
            </w:r>
            <w:proofErr w:type="spellStart"/>
            <w:r>
              <w:rPr>
                <w:rFonts w:eastAsia="Times New Roman"/>
                <w:bCs/>
                <w:sz w:val="26"/>
                <w:szCs w:val="26"/>
              </w:rPr>
              <w:t>finansējumu</w:t>
            </w:r>
            <w:proofErr w:type="spellEnd"/>
            <w:r>
              <w:rPr>
                <w:rFonts w:eastAsia="Times New Roman"/>
                <w:bCs/>
                <w:sz w:val="26"/>
                <w:szCs w:val="26"/>
              </w:rPr>
              <w:t xml:space="preserve"> 95% </w:t>
            </w:r>
            <w:proofErr w:type="spellStart"/>
            <w:r>
              <w:rPr>
                <w:rFonts w:eastAsia="Times New Roman"/>
                <w:bCs/>
                <w:sz w:val="26"/>
                <w:szCs w:val="26"/>
              </w:rPr>
              <w:t>apmērā</w:t>
            </w:r>
            <w:proofErr w:type="spellEnd"/>
            <w:r>
              <w:rPr>
                <w:rFonts w:eastAsia="Times New Roman"/>
                <w:bCs/>
                <w:sz w:val="26"/>
                <w:szCs w:val="26"/>
              </w:rPr>
              <w:t xml:space="preserve"> un </w:t>
            </w:r>
            <w:proofErr w:type="spellStart"/>
            <w:r>
              <w:rPr>
                <w:rFonts w:eastAsia="Times New Roman"/>
                <w:bCs/>
                <w:sz w:val="26"/>
                <w:szCs w:val="26"/>
              </w:rPr>
              <w:t>maija</w:t>
            </w:r>
            <w:proofErr w:type="spellEnd"/>
            <w:r>
              <w:rPr>
                <w:rFonts w:eastAsia="Times New Roman"/>
                <w:bCs/>
                <w:sz w:val="26"/>
                <w:szCs w:val="26"/>
              </w:rPr>
              <w:t xml:space="preserve"> </w:t>
            </w:r>
            <w:proofErr w:type="spellStart"/>
            <w:r>
              <w:rPr>
                <w:rFonts w:eastAsia="Times New Roman"/>
                <w:bCs/>
                <w:sz w:val="26"/>
                <w:szCs w:val="26"/>
              </w:rPr>
              <w:t>beigās</w:t>
            </w:r>
            <w:proofErr w:type="spellEnd"/>
            <w:r>
              <w:rPr>
                <w:rFonts w:eastAsia="Times New Roman"/>
                <w:bCs/>
                <w:sz w:val="26"/>
                <w:szCs w:val="26"/>
              </w:rPr>
              <w:t xml:space="preserve"> </w:t>
            </w:r>
            <w:proofErr w:type="spellStart"/>
            <w:r>
              <w:rPr>
                <w:rFonts w:eastAsia="Times New Roman"/>
                <w:bCs/>
                <w:sz w:val="26"/>
                <w:szCs w:val="26"/>
              </w:rPr>
              <w:t>izskaitīja</w:t>
            </w:r>
            <w:proofErr w:type="spellEnd"/>
            <w:r>
              <w:rPr>
                <w:rFonts w:eastAsia="Times New Roman"/>
                <w:bCs/>
                <w:sz w:val="26"/>
                <w:szCs w:val="26"/>
              </w:rPr>
              <w:t xml:space="preserve"> </w:t>
            </w:r>
            <w:proofErr w:type="spellStart"/>
            <w:r>
              <w:rPr>
                <w:rFonts w:eastAsia="Times New Roman"/>
                <w:bCs/>
                <w:sz w:val="26"/>
                <w:szCs w:val="26"/>
              </w:rPr>
              <w:t>aizdevumu</w:t>
            </w:r>
            <w:proofErr w:type="spellEnd"/>
            <w:r>
              <w:rPr>
                <w:rFonts w:eastAsia="Times New Roman"/>
                <w:bCs/>
                <w:sz w:val="26"/>
                <w:szCs w:val="26"/>
              </w:rPr>
              <w:t xml:space="preserve"> </w:t>
            </w:r>
            <w:proofErr w:type="spellStart"/>
            <w:r>
              <w:rPr>
                <w:rFonts w:eastAsia="Times New Roman"/>
                <w:bCs/>
                <w:sz w:val="26"/>
                <w:szCs w:val="26"/>
              </w:rPr>
              <w:t>fondā</w:t>
            </w:r>
            <w:proofErr w:type="spellEnd"/>
            <w:r>
              <w:rPr>
                <w:rFonts w:eastAsia="Times New Roman"/>
                <w:bCs/>
                <w:sz w:val="26"/>
                <w:szCs w:val="26"/>
              </w:rPr>
              <w:t xml:space="preserve"> </w:t>
            </w:r>
            <w:proofErr w:type="spellStart"/>
            <w:r>
              <w:rPr>
                <w:rFonts w:eastAsia="Times New Roman"/>
                <w:bCs/>
                <w:sz w:val="26"/>
                <w:szCs w:val="26"/>
              </w:rPr>
              <w:t>papildus</w:t>
            </w:r>
            <w:proofErr w:type="spellEnd"/>
            <w:r>
              <w:rPr>
                <w:rFonts w:eastAsia="Times New Roman"/>
                <w:bCs/>
                <w:sz w:val="26"/>
                <w:szCs w:val="26"/>
              </w:rPr>
              <w:t xml:space="preserve"> </w:t>
            </w:r>
            <w:r w:rsidR="00B820E5">
              <w:rPr>
                <w:rFonts w:eastAsia="Times New Roman"/>
                <w:bCs/>
                <w:sz w:val="26"/>
                <w:szCs w:val="26"/>
              </w:rPr>
              <w:t xml:space="preserve">52 917 </w:t>
            </w:r>
            <w:proofErr w:type="spellStart"/>
            <w:r w:rsidR="00B820E5">
              <w:rPr>
                <w:rFonts w:eastAsia="Times New Roman"/>
                <w:bCs/>
                <w:sz w:val="26"/>
                <w:szCs w:val="26"/>
              </w:rPr>
              <w:t>latus</w:t>
            </w:r>
            <w:proofErr w:type="spellEnd"/>
            <w:r w:rsidR="00B820E5">
              <w:rPr>
                <w:rFonts w:eastAsia="Times New Roman"/>
                <w:bCs/>
                <w:sz w:val="26"/>
                <w:szCs w:val="26"/>
              </w:rPr>
              <w:t xml:space="preserve"> (</w:t>
            </w:r>
            <w:r>
              <w:rPr>
                <w:rFonts w:eastAsia="Times New Roman"/>
                <w:bCs/>
                <w:sz w:val="26"/>
                <w:szCs w:val="26"/>
              </w:rPr>
              <w:t xml:space="preserve">93 </w:t>
            </w:r>
            <w:proofErr w:type="spellStart"/>
            <w:r>
              <w:rPr>
                <w:rFonts w:eastAsia="Times New Roman"/>
                <w:bCs/>
                <w:sz w:val="26"/>
                <w:szCs w:val="26"/>
              </w:rPr>
              <w:t>tūkst</w:t>
            </w:r>
            <w:proofErr w:type="spellEnd"/>
            <w:r>
              <w:rPr>
                <w:rFonts w:eastAsia="Times New Roman"/>
                <w:bCs/>
                <w:sz w:val="26"/>
                <w:szCs w:val="26"/>
              </w:rPr>
              <w:t>. CHF</w:t>
            </w:r>
            <w:r w:rsidR="00B820E5">
              <w:rPr>
                <w:rFonts w:eastAsia="Times New Roman"/>
                <w:bCs/>
                <w:sz w:val="26"/>
                <w:szCs w:val="26"/>
              </w:rPr>
              <w:t>)</w:t>
            </w:r>
            <w:r>
              <w:rPr>
                <w:rFonts w:eastAsia="Times New Roman"/>
                <w:bCs/>
                <w:sz w:val="26"/>
                <w:szCs w:val="26"/>
              </w:rPr>
              <w:t xml:space="preserve"> un </w:t>
            </w:r>
            <w:proofErr w:type="spellStart"/>
            <w:r>
              <w:rPr>
                <w:rFonts w:eastAsia="Times New Roman"/>
                <w:bCs/>
                <w:sz w:val="26"/>
                <w:szCs w:val="26"/>
              </w:rPr>
              <w:t>iesniedza</w:t>
            </w:r>
            <w:proofErr w:type="spellEnd"/>
            <w:r>
              <w:rPr>
                <w:rFonts w:eastAsia="Times New Roman"/>
                <w:bCs/>
                <w:sz w:val="26"/>
                <w:szCs w:val="26"/>
              </w:rPr>
              <w:t xml:space="preserve"> </w:t>
            </w:r>
            <w:proofErr w:type="spellStart"/>
            <w:r>
              <w:rPr>
                <w:rFonts w:eastAsia="Times New Roman"/>
                <w:bCs/>
                <w:sz w:val="26"/>
                <w:szCs w:val="26"/>
              </w:rPr>
              <w:t>pieprasījumu</w:t>
            </w:r>
            <w:proofErr w:type="spellEnd"/>
            <w:r>
              <w:rPr>
                <w:rFonts w:eastAsia="Times New Roman"/>
                <w:bCs/>
                <w:sz w:val="26"/>
                <w:szCs w:val="26"/>
              </w:rPr>
              <w:t xml:space="preserve"> CFLA. 2013.gada 8.jūlijā CFLA </w:t>
            </w:r>
            <w:proofErr w:type="spellStart"/>
            <w:r>
              <w:rPr>
                <w:rFonts w:eastAsia="Times New Roman"/>
                <w:bCs/>
                <w:sz w:val="26"/>
                <w:szCs w:val="26"/>
              </w:rPr>
              <w:t>ieskaitīja</w:t>
            </w:r>
            <w:proofErr w:type="spellEnd"/>
            <w:r>
              <w:rPr>
                <w:rFonts w:eastAsia="Times New Roman"/>
                <w:bCs/>
                <w:sz w:val="26"/>
                <w:szCs w:val="26"/>
              </w:rPr>
              <w:t xml:space="preserve"> </w:t>
            </w:r>
            <w:proofErr w:type="spellStart"/>
            <w:r>
              <w:rPr>
                <w:rFonts w:eastAsia="Times New Roman"/>
                <w:bCs/>
                <w:sz w:val="26"/>
                <w:szCs w:val="26"/>
              </w:rPr>
              <w:t>aizdevumu</w:t>
            </w:r>
            <w:proofErr w:type="spellEnd"/>
            <w:r>
              <w:rPr>
                <w:rFonts w:eastAsia="Times New Roman"/>
                <w:bCs/>
                <w:sz w:val="26"/>
                <w:szCs w:val="26"/>
              </w:rPr>
              <w:t xml:space="preserve"> </w:t>
            </w:r>
            <w:proofErr w:type="spellStart"/>
            <w:r>
              <w:rPr>
                <w:rFonts w:eastAsia="Times New Roman"/>
                <w:bCs/>
                <w:sz w:val="26"/>
                <w:szCs w:val="26"/>
              </w:rPr>
              <w:t>fondā</w:t>
            </w:r>
            <w:proofErr w:type="spellEnd"/>
            <w:r>
              <w:rPr>
                <w:rFonts w:eastAsia="Times New Roman"/>
                <w:bCs/>
                <w:sz w:val="26"/>
                <w:szCs w:val="26"/>
              </w:rPr>
              <w:t xml:space="preserve"> </w:t>
            </w:r>
            <w:r w:rsidR="00B820E5">
              <w:rPr>
                <w:rFonts w:eastAsia="Times New Roman"/>
                <w:bCs/>
                <w:sz w:val="26"/>
                <w:szCs w:val="26"/>
              </w:rPr>
              <w:t xml:space="preserve">252 363 </w:t>
            </w:r>
            <w:proofErr w:type="spellStart"/>
            <w:r w:rsidR="00B820E5">
              <w:rPr>
                <w:rFonts w:eastAsia="Times New Roman"/>
                <w:bCs/>
                <w:sz w:val="26"/>
                <w:szCs w:val="26"/>
              </w:rPr>
              <w:t>latus</w:t>
            </w:r>
            <w:proofErr w:type="spellEnd"/>
            <w:r w:rsidR="00B820E5">
              <w:rPr>
                <w:rFonts w:eastAsia="Times New Roman"/>
                <w:bCs/>
                <w:sz w:val="26"/>
                <w:szCs w:val="26"/>
              </w:rPr>
              <w:t xml:space="preserve"> (444 </w:t>
            </w:r>
            <w:proofErr w:type="spellStart"/>
            <w:r w:rsidR="00B820E5">
              <w:rPr>
                <w:rFonts w:eastAsia="Times New Roman"/>
                <w:bCs/>
                <w:sz w:val="26"/>
                <w:szCs w:val="26"/>
              </w:rPr>
              <w:t>tūkst</w:t>
            </w:r>
            <w:proofErr w:type="spellEnd"/>
            <w:r w:rsidR="00B820E5">
              <w:rPr>
                <w:rFonts w:eastAsia="Times New Roman"/>
                <w:bCs/>
                <w:sz w:val="26"/>
                <w:szCs w:val="26"/>
              </w:rPr>
              <w:t xml:space="preserve">. CHF). </w:t>
            </w:r>
            <w:proofErr w:type="spellStart"/>
            <w:r w:rsidR="008B3A38">
              <w:rPr>
                <w:rFonts w:eastAsia="Times New Roman"/>
                <w:bCs/>
                <w:sz w:val="26"/>
                <w:szCs w:val="26"/>
              </w:rPr>
              <w:t>Ņemot</w:t>
            </w:r>
            <w:proofErr w:type="spellEnd"/>
            <w:r w:rsidR="008B3A38">
              <w:rPr>
                <w:rFonts w:eastAsia="Times New Roman"/>
                <w:bCs/>
                <w:sz w:val="26"/>
                <w:szCs w:val="26"/>
              </w:rPr>
              <w:t xml:space="preserve"> </w:t>
            </w:r>
            <w:proofErr w:type="spellStart"/>
            <w:r w:rsidR="008B3A38">
              <w:rPr>
                <w:rFonts w:eastAsia="Times New Roman"/>
                <w:bCs/>
                <w:sz w:val="26"/>
                <w:szCs w:val="26"/>
              </w:rPr>
              <w:t>vērā</w:t>
            </w:r>
            <w:proofErr w:type="spellEnd"/>
            <w:r w:rsidR="008B3A38">
              <w:rPr>
                <w:rFonts w:eastAsia="Times New Roman"/>
                <w:bCs/>
                <w:sz w:val="26"/>
                <w:szCs w:val="26"/>
              </w:rPr>
              <w:t xml:space="preserve"> </w:t>
            </w:r>
            <w:proofErr w:type="spellStart"/>
            <w:r w:rsidR="008B3A38">
              <w:rPr>
                <w:rFonts w:eastAsia="Times New Roman"/>
                <w:bCs/>
                <w:sz w:val="26"/>
                <w:szCs w:val="26"/>
              </w:rPr>
              <w:t>iepriekšminēto</w:t>
            </w:r>
            <w:proofErr w:type="spellEnd"/>
            <w:r w:rsidR="008B3A38">
              <w:rPr>
                <w:rFonts w:eastAsia="Times New Roman"/>
                <w:bCs/>
                <w:sz w:val="26"/>
                <w:szCs w:val="26"/>
              </w:rPr>
              <w:t xml:space="preserve">, </w:t>
            </w:r>
            <w:proofErr w:type="spellStart"/>
            <w:r w:rsidR="008B3A38">
              <w:rPr>
                <w:rFonts w:eastAsia="Times New Roman"/>
                <w:bCs/>
                <w:sz w:val="26"/>
                <w:szCs w:val="26"/>
              </w:rPr>
              <w:t>nepieciešams</w:t>
            </w:r>
            <w:proofErr w:type="spellEnd"/>
            <w:r w:rsidR="008B3A38">
              <w:rPr>
                <w:rFonts w:eastAsia="Times New Roman"/>
                <w:bCs/>
                <w:sz w:val="26"/>
                <w:szCs w:val="26"/>
              </w:rPr>
              <w:t xml:space="preserve"> </w:t>
            </w:r>
            <w:proofErr w:type="spellStart"/>
            <w:r w:rsidR="008B3A38">
              <w:rPr>
                <w:rFonts w:eastAsia="Times New Roman"/>
                <w:bCs/>
                <w:sz w:val="26"/>
                <w:szCs w:val="26"/>
              </w:rPr>
              <w:t>veikt</w:t>
            </w:r>
            <w:proofErr w:type="spellEnd"/>
            <w:r w:rsidR="008B3A38">
              <w:rPr>
                <w:rFonts w:eastAsia="Times New Roman"/>
                <w:bCs/>
                <w:sz w:val="26"/>
                <w:szCs w:val="26"/>
              </w:rPr>
              <w:t xml:space="preserve"> </w:t>
            </w:r>
            <w:proofErr w:type="spellStart"/>
            <w:r w:rsidR="008B3A38">
              <w:rPr>
                <w:rFonts w:eastAsia="Times New Roman"/>
                <w:bCs/>
                <w:sz w:val="26"/>
                <w:szCs w:val="26"/>
              </w:rPr>
              <w:t>grozījumus</w:t>
            </w:r>
            <w:proofErr w:type="spellEnd"/>
            <w:r w:rsidR="00DD3D24">
              <w:rPr>
                <w:rFonts w:eastAsia="Times New Roman"/>
                <w:bCs/>
                <w:sz w:val="26"/>
                <w:szCs w:val="26"/>
              </w:rPr>
              <w:t>,</w:t>
            </w:r>
            <w:r w:rsidR="008B3A38">
              <w:rPr>
                <w:rFonts w:eastAsia="Times New Roman"/>
                <w:bCs/>
                <w:sz w:val="26"/>
                <w:szCs w:val="26"/>
              </w:rPr>
              <w:t xml:space="preserve"> </w:t>
            </w:r>
            <w:proofErr w:type="spellStart"/>
            <w:r w:rsidR="008B3A38">
              <w:rPr>
                <w:rFonts w:eastAsia="Times New Roman"/>
                <w:bCs/>
                <w:sz w:val="26"/>
                <w:szCs w:val="26"/>
              </w:rPr>
              <w:t>palielinot</w:t>
            </w:r>
            <w:proofErr w:type="spellEnd"/>
            <w:r w:rsidR="008B3A38">
              <w:rPr>
                <w:rFonts w:eastAsia="Times New Roman"/>
                <w:bCs/>
                <w:sz w:val="26"/>
                <w:szCs w:val="26"/>
              </w:rPr>
              <w:t xml:space="preserve"> </w:t>
            </w:r>
            <w:proofErr w:type="spellStart"/>
            <w:r w:rsidR="008B3A38">
              <w:rPr>
                <w:rFonts w:eastAsia="Times New Roman"/>
                <w:bCs/>
                <w:sz w:val="26"/>
                <w:szCs w:val="26"/>
              </w:rPr>
              <w:t>kopējo</w:t>
            </w:r>
            <w:proofErr w:type="spellEnd"/>
            <w:r w:rsidR="008B3A38">
              <w:rPr>
                <w:rFonts w:eastAsia="Times New Roman"/>
                <w:bCs/>
                <w:sz w:val="26"/>
                <w:szCs w:val="26"/>
              </w:rPr>
              <w:t xml:space="preserve"> </w:t>
            </w:r>
            <w:proofErr w:type="spellStart"/>
            <w:r w:rsidR="008B3A38">
              <w:rPr>
                <w:rFonts w:eastAsia="Times New Roman"/>
                <w:bCs/>
                <w:sz w:val="26"/>
                <w:szCs w:val="26"/>
              </w:rPr>
              <w:t>pieejamo</w:t>
            </w:r>
            <w:proofErr w:type="spellEnd"/>
            <w:r w:rsidR="008B3A38">
              <w:rPr>
                <w:rFonts w:eastAsia="Times New Roman"/>
                <w:bCs/>
                <w:sz w:val="26"/>
                <w:szCs w:val="26"/>
              </w:rPr>
              <w:t xml:space="preserve"> </w:t>
            </w:r>
            <w:proofErr w:type="spellStart"/>
            <w:r w:rsidR="008B3A38">
              <w:rPr>
                <w:rFonts w:eastAsia="Times New Roman"/>
                <w:bCs/>
                <w:sz w:val="26"/>
                <w:szCs w:val="26"/>
              </w:rPr>
              <w:t>finansējumu</w:t>
            </w:r>
            <w:proofErr w:type="spellEnd"/>
            <w:r w:rsidR="008B3A38">
              <w:rPr>
                <w:rFonts w:eastAsia="Times New Roman"/>
                <w:bCs/>
                <w:sz w:val="26"/>
                <w:szCs w:val="26"/>
              </w:rPr>
              <w:t xml:space="preserve"> </w:t>
            </w:r>
            <w:proofErr w:type="spellStart"/>
            <w:r w:rsidR="008B3A38">
              <w:rPr>
                <w:rFonts w:eastAsia="Times New Roman"/>
                <w:bCs/>
                <w:sz w:val="26"/>
                <w:szCs w:val="26"/>
              </w:rPr>
              <w:t>programmas</w:t>
            </w:r>
            <w:proofErr w:type="spellEnd"/>
            <w:r w:rsidR="008B3A38">
              <w:rPr>
                <w:rFonts w:eastAsia="Times New Roman"/>
                <w:bCs/>
                <w:sz w:val="26"/>
                <w:szCs w:val="26"/>
              </w:rPr>
              <w:t xml:space="preserve"> </w:t>
            </w:r>
            <w:proofErr w:type="spellStart"/>
            <w:r w:rsidR="008B3A38">
              <w:rPr>
                <w:rFonts w:eastAsia="Times New Roman"/>
                <w:bCs/>
                <w:sz w:val="26"/>
                <w:szCs w:val="26"/>
              </w:rPr>
              <w:t>ietvaros</w:t>
            </w:r>
            <w:proofErr w:type="spellEnd"/>
            <w:r w:rsidR="008B3A38">
              <w:rPr>
                <w:rFonts w:eastAsia="Times New Roman"/>
                <w:bCs/>
                <w:sz w:val="26"/>
                <w:szCs w:val="26"/>
              </w:rPr>
              <w:t>.</w:t>
            </w:r>
          </w:p>
          <w:p w:rsidR="00716874" w:rsidRDefault="00716874" w:rsidP="00457CC8">
            <w:pPr>
              <w:ind w:firstLine="567"/>
              <w:jc w:val="both"/>
              <w:rPr>
                <w:rFonts w:eastAsia="Times New Roman"/>
                <w:bCs/>
                <w:sz w:val="26"/>
                <w:szCs w:val="26"/>
              </w:rPr>
            </w:pPr>
            <w:proofErr w:type="spellStart"/>
            <w:r>
              <w:rPr>
                <w:rFonts w:eastAsia="Times New Roman"/>
                <w:bCs/>
                <w:sz w:val="26"/>
                <w:szCs w:val="26"/>
              </w:rPr>
              <w:t>Potenciālajiem</w:t>
            </w:r>
            <w:proofErr w:type="spellEnd"/>
            <w:r>
              <w:rPr>
                <w:rFonts w:eastAsia="Times New Roman"/>
                <w:bCs/>
                <w:sz w:val="26"/>
                <w:szCs w:val="26"/>
              </w:rPr>
              <w:t xml:space="preserve"> </w:t>
            </w:r>
            <w:proofErr w:type="spellStart"/>
            <w:r>
              <w:rPr>
                <w:rFonts w:eastAsia="Times New Roman"/>
                <w:bCs/>
                <w:sz w:val="26"/>
                <w:szCs w:val="26"/>
              </w:rPr>
              <w:t>finansiālā</w:t>
            </w:r>
            <w:proofErr w:type="spellEnd"/>
            <w:r>
              <w:rPr>
                <w:rFonts w:eastAsia="Times New Roman"/>
                <w:bCs/>
                <w:sz w:val="26"/>
                <w:szCs w:val="26"/>
              </w:rPr>
              <w:t xml:space="preserve"> </w:t>
            </w:r>
            <w:proofErr w:type="spellStart"/>
            <w:r>
              <w:rPr>
                <w:rFonts w:eastAsia="Times New Roman"/>
                <w:bCs/>
                <w:sz w:val="26"/>
                <w:szCs w:val="26"/>
              </w:rPr>
              <w:t>atbalsta</w:t>
            </w:r>
            <w:proofErr w:type="spellEnd"/>
            <w:r>
              <w:rPr>
                <w:rFonts w:eastAsia="Times New Roman"/>
                <w:bCs/>
                <w:sz w:val="26"/>
                <w:szCs w:val="26"/>
              </w:rPr>
              <w:t xml:space="preserve"> </w:t>
            </w:r>
            <w:proofErr w:type="spellStart"/>
            <w:r>
              <w:rPr>
                <w:rFonts w:eastAsia="Times New Roman"/>
                <w:bCs/>
                <w:sz w:val="26"/>
                <w:szCs w:val="26"/>
              </w:rPr>
              <w:t>saņēmējiem</w:t>
            </w:r>
            <w:proofErr w:type="spellEnd"/>
            <w:r>
              <w:rPr>
                <w:rFonts w:eastAsia="Times New Roman"/>
                <w:bCs/>
                <w:sz w:val="26"/>
                <w:szCs w:val="26"/>
              </w:rPr>
              <w:t xml:space="preserve"> </w:t>
            </w:r>
            <w:proofErr w:type="spellStart"/>
            <w:r w:rsidR="00511C7D">
              <w:rPr>
                <w:rFonts w:eastAsia="Times New Roman"/>
                <w:bCs/>
                <w:sz w:val="26"/>
                <w:szCs w:val="26"/>
              </w:rPr>
              <w:t>programmas</w:t>
            </w:r>
            <w:proofErr w:type="spellEnd"/>
            <w:r w:rsidR="00511C7D">
              <w:rPr>
                <w:rFonts w:eastAsia="Times New Roman"/>
                <w:bCs/>
                <w:sz w:val="26"/>
                <w:szCs w:val="26"/>
              </w:rPr>
              <w:t xml:space="preserve"> </w:t>
            </w:r>
            <w:proofErr w:type="spellStart"/>
            <w:r>
              <w:rPr>
                <w:rFonts w:eastAsia="Times New Roman"/>
                <w:bCs/>
                <w:sz w:val="26"/>
                <w:szCs w:val="26"/>
              </w:rPr>
              <w:t>ietvaros</w:t>
            </w:r>
            <w:proofErr w:type="spellEnd"/>
            <w:r>
              <w:rPr>
                <w:rFonts w:eastAsia="Times New Roman"/>
                <w:bCs/>
                <w:sz w:val="26"/>
                <w:szCs w:val="26"/>
              </w:rPr>
              <w:t xml:space="preserve"> </w:t>
            </w:r>
            <w:proofErr w:type="spellStart"/>
            <w:r>
              <w:rPr>
                <w:rFonts w:eastAsia="Times New Roman"/>
                <w:bCs/>
                <w:sz w:val="26"/>
                <w:szCs w:val="26"/>
              </w:rPr>
              <w:t>ir</w:t>
            </w:r>
            <w:proofErr w:type="spellEnd"/>
            <w:r>
              <w:rPr>
                <w:rFonts w:eastAsia="Times New Roman"/>
                <w:bCs/>
                <w:sz w:val="26"/>
                <w:szCs w:val="26"/>
              </w:rPr>
              <w:t xml:space="preserve"> </w:t>
            </w:r>
            <w:proofErr w:type="spellStart"/>
            <w:r>
              <w:rPr>
                <w:rFonts w:eastAsia="Times New Roman"/>
                <w:bCs/>
                <w:sz w:val="26"/>
                <w:szCs w:val="26"/>
              </w:rPr>
              <w:t>iespēja</w:t>
            </w:r>
            <w:proofErr w:type="spellEnd"/>
            <w:r>
              <w:rPr>
                <w:rFonts w:eastAsia="Times New Roman"/>
                <w:bCs/>
                <w:sz w:val="26"/>
                <w:szCs w:val="26"/>
              </w:rPr>
              <w:t xml:space="preserve"> </w:t>
            </w:r>
            <w:proofErr w:type="spellStart"/>
            <w:r>
              <w:rPr>
                <w:rFonts w:eastAsia="Times New Roman"/>
                <w:bCs/>
                <w:sz w:val="26"/>
                <w:szCs w:val="26"/>
              </w:rPr>
              <w:t>saņemt</w:t>
            </w:r>
            <w:proofErr w:type="spellEnd"/>
            <w:r>
              <w:rPr>
                <w:rFonts w:eastAsia="Times New Roman"/>
                <w:bCs/>
                <w:sz w:val="26"/>
                <w:szCs w:val="26"/>
              </w:rPr>
              <w:t xml:space="preserve"> </w:t>
            </w:r>
            <w:proofErr w:type="spellStart"/>
            <w:r>
              <w:rPr>
                <w:rFonts w:eastAsia="Times New Roman"/>
                <w:bCs/>
                <w:sz w:val="26"/>
                <w:szCs w:val="26"/>
              </w:rPr>
              <w:t>aizdevumu</w:t>
            </w:r>
            <w:proofErr w:type="spellEnd"/>
            <w:r>
              <w:rPr>
                <w:rFonts w:eastAsia="Times New Roman"/>
                <w:bCs/>
                <w:sz w:val="26"/>
                <w:szCs w:val="26"/>
              </w:rPr>
              <w:t xml:space="preserve"> </w:t>
            </w:r>
            <w:proofErr w:type="spellStart"/>
            <w:r>
              <w:rPr>
                <w:rFonts w:eastAsia="Times New Roman"/>
                <w:bCs/>
                <w:sz w:val="26"/>
                <w:szCs w:val="26"/>
              </w:rPr>
              <w:t>līdz</w:t>
            </w:r>
            <w:proofErr w:type="spellEnd"/>
            <w:r>
              <w:rPr>
                <w:rFonts w:eastAsia="Times New Roman"/>
                <w:bCs/>
                <w:sz w:val="26"/>
                <w:szCs w:val="26"/>
              </w:rPr>
              <w:t xml:space="preserve"> 10 000 </w:t>
            </w:r>
            <w:proofErr w:type="spellStart"/>
            <w:r>
              <w:rPr>
                <w:rFonts w:eastAsia="Times New Roman"/>
                <w:bCs/>
                <w:sz w:val="26"/>
                <w:szCs w:val="26"/>
              </w:rPr>
              <w:t>latu</w:t>
            </w:r>
            <w:proofErr w:type="spellEnd"/>
            <w:r>
              <w:rPr>
                <w:rFonts w:eastAsia="Times New Roman"/>
                <w:bCs/>
                <w:sz w:val="26"/>
                <w:szCs w:val="26"/>
              </w:rPr>
              <w:t xml:space="preserve"> </w:t>
            </w:r>
            <w:proofErr w:type="spellStart"/>
            <w:r>
              <w:rPr>
                <w:rFonts w:eastAsia="Times New Roman"/>
                <w:bCs/>
                <w:sz w:val="26"/>
                <w:szCs w:val="26"/>
              </w:rPr>
              <w:t>apmēram</w:t>
            </w:r>
            <w:proofErr w:type="spellEnd"/>
            <w:r>
              <w:rPr>
                <w:rFonts w:eastAsia="Times New Roman"/>
                <w:bCs/>
                <w:sz w:val="26"/>
                <w:szCs w:val="26"/>
              </w:rPr>
              <w:t xml:space="preserve">, </w:t>
            </w:r>
            <w:proofErr w:type="spellStart"/>
            <w:r>
              <w:rPr>
                <w:rFonts w:eastAsia="Times New Roman"/>
                <w:bCs/>
                <w:sz w:val="26"/>
                <w:szCs w:val="26"/>
              </w:rPr>
              <w:t>kā</w:t>
            </w:r>
            <w:proofErr w:type="spellEnd"/>
            <w:r>
              <w:rPr>
                <w:rFonts w:eastAsia="Times New Roman"/>
                <w:bCs/>
                <w:sz w:val="26"/>
                <w:szCs w:val="26"/>
              </w:rPr>
              <w:t xml:space="preserve"> </w:t>
            </w:r>
            <w:proofErr w:type="spellStart"/>
            <w:r>
              <w:rPr>
                <w:rFonts w:eastAsia="Times New Roman"/>
                <w:bCs/>
                <w:sz w:val="26"/>
                <w:szCs w:val="26"/>
              </w:rPr>
              <w:t>arī</w:t>
            </w:r>
            <w:proofErr w:type="spellEnd"/>
            <w:r>
              <w:rPr>
                <w:rFonts w:eastAsia="Times New Roman"/>
                <w:bCs/>
                <w:sz w:val="26"/>
                <w:szCs w:val="26"/>
              </w:rPr>
              <w:t xml:space="preserve"> </w:t>
            </w:r>
            <w:proofErr w:type="spellStart"/>
            <w:r>
              <w:rPr>
                <w:rFonts w:eastAsia="Times New Roman"/>
                <w:bCs/>
                <w:sz w:val="26"/>
                <w:szCs w:val="26"/>
              </w:rPr>
              <w:t>bija</w:t>
            </w:r>
            <w:proofErr w:type="spellEnd"/>
            <w:r>
              <w:rPr>
                <w:rFonts w:eastAsia="Times New Roman"/>
                <w:bCs/>
                <w:sz w:val="26"/>
                <w:szCs w:val="26"/>
              </w:rPr>
              <w:t xml:space="preserve"> </w:t>
            </w:r>
            <w:proofErr w:type="spellStart"/>
            <w:r>
              <w:rPr>
                <w:rFonts w:eastAsia="Times New Roman"/>
                <w:bCs/>
                <w:sz w:val="26"/>
                <w:szCs w:val="26"/>
              </w:rPr>
              <w:t>iespēja</w:t>
            </w:r>
            <w:proofErr w:type="spellEnd"/>
            <w:r>
              <w:rPr>
                <w:rFonts w:eastAsia="Times New Roman"/>
                <w:bCs/>
                <w:sz w:val="26"/>
                <w:szCs w:val="26"/>
              </w:rPr>
              <w:t xml:space="preserve"> </w:t>
            </w:r>
            <w:proofErr w:type="spellStart"/>
            <w:r>
              <w:rPr>
                <w:rFonts w:eastAsia="Times New Roman"/>
                <w:bCs/>
                <w:sz w:val="26"/>
                <w:szCs w:val="26"/>
              </w:rPr>
              <w:t>saņemt</w:t>
            </w:r>
            <w:proofErr w:type="spellEnd"/>
            <w:r>
              <w:rPr>
                <w:rFonts w:eastAsia="Times New Roman"/>
                <w:bCs/>
                <w:sz w:val="26"/>
                <w:szCs w:val="26"/>
              </w:rPr>
              <w:t xml:space="preserve"> </w:t>
            </w:r>
            <w:proofErr w:type="spellStart"/>
            <w:r>
              <w:rPr>
                <w:rFonts w:eastAsia="Times New Roman"/>
                <w:bCs/>
                <w:sz w:val="26"/>
                <w:szCs w:val="26"/>
              </w:rPr>
              <w:t>grantu</w:t>
            </w:r>
            <w:proofErr w:type="spellEnd"/>
            <w:r>
              <w:rPr>
                <w:rFonts w:eastAsia="Times New Roman"/>
                <w:bCs/>
                <w:sz w:val="26"/>
                <w:szCs w:val="26"/>
              </w:rPr>
              <w:t xml:space="preserve"> 500-750 </w:t>
            </w:r>
            <w:proofErr w:type="spellStart"/>
            <w:r>
              <w:rPr>
                <w:rFonts w:eastAsia="Times New Roman"/>
                <w:bCs/>
                <w:sz w:val="26"/>
                <w:szCs w:val="26"/>
              </w:rPr>
              <w:t>latu</w:t>
            </w:r>
            <w:proofErr w:type="spellEnd"/>
            <w:r>
              <w:rPr>
                <w:rFonts w:eastAsia="Times New Roman"/>
                <w:bCs/>
                <w:sz w:val="26"/>
                <w:szCs w:val="26"/>
              </w:rPr>
              <w:t xml:space="preserve"> </w:t>
            </w:r>
            <w:proofErr w:type="spellStart"/>
            <w:r>
              <w:rPr>
                <w:rFonts w:eastAsia="Times New Roman"/>
                <w:bCs/>
                <w:sz w:val="26"/>
                <w:szCs w:val="26"/>
              </w:rPr>
              <w:t>apmērā</w:t>
            </w:r>
            <w:proofErr w:type="spellEnd"/>
            <w:r>
              <w:rPr>
                <w:rFonts w:eastAsia="Times New Roman"/>
                <w:bCs/>
                <w:sz w:val="26"/>
                <w:szCs w:val="26"/>
              </w:rPr>
              <w:t xml:space="preserve"> </w:t>
            </w:r>
            <w:proofErr w:type="spellStart"/>
            <w:r>
              <w:rPr>
                <w:rFonts w:eastAsia="Times New Roman"/>
                <w:bCs/>
                <w:sz w:val="26"/>
                <w:szCs w:val="26"/>
              </w:rPr>
              <w:t>otrajā</w:t>
            </w:r>
            <w:proofErr w:type="spellEnd"/>
            <w:r>
              <w:rPr>
                <w:rFonts w:eastAsia="Times New Roman"/>
                <w:bCs/>
                <w:sz w:val="26"/>
                <w:szCs w:val="26"/>
              </w:rPr>
              <w:t xml:space="preserve"> </w:t>
            </w:r>
            <w:proofErr w:type="spellStart"/>
            <w:r>
              <w:rPr>
                <w:rFonts w:eastAsia="Times New Roman"/>
                <w:bCs/>
                <w:sz w:val="26"/>
                <w:szCs w:val="26"/>
              </w:rPr>
              <w:t>gadā</w:t>
            </w:r>
            <w:proofErr w:type="spellEnd"/>
            <w:r>
              <w:rPr>
                <w:rFonts w:eastAsia="Times New Roman"/>
                <w:bCs/>
                <w:sz w:val="26"/>
                <w:szCs w:val="26"/>
              </w:rPr>
              <w:t xml:space="preserve"> </w:t>
            </w:r>
            <w:proofErr w:type="spellStart"/>
            <w:r>
              <w:rPr>
                <w:rFonts w:eastAsia="Times New Roman"/>
                <w:bCs/>
                <w:sz w:val="26"/>
                <w:szCs w:val="26"/>
              </w:rPr>
              <w:t>pēc</w:t>
            </w:r>
            <w:proofErr w:type="spellEnd"/>
            <w:r>
              <w:rPr>
                <w:rFonts w:eastAsia="Times New Roman"/>
                <w:bCs/>
                <w:sz w:val="26"/>
                <w:szCs w:val="26"/>
              </w:rPr>
              <w:t xml:space="preserve"> </w:t>
            </w:r>
            <w:proofErr w:type="spellStart"/>
            <w:r>
              <w:rPr>
                <w:rFonts w:eastAsia="Times New Roman"/>
                <w:bCs/>
                <w:sz w:val="26"/>
                <w:szCs w:val="26"/>
              </w:rPr>
              <w:t>veiksmīgas</w:t>
            </w:r>
            <w:proofErr w:type="spellEnd"/>
            <w:r>
              <w:rPr>
                <w:rFonts w:eastAsia="Times New Roman"/>
                <w:bCs/>
                <w:sz w:val="26"/>
                <w:szCs w:val="26"/>
              </w:rPr>
              <w:t xml:space="preserve"> </w:t>
            </w:r>
            <w:proofErr w:type="spellStart"/>
            <w:r>
              <w:rPr>
                <w:rFonts w:eastAsia="Times New Roman"/>
                <w:bCs/>
                <w:sz w:val="26"/>
                <w:szCs w:val="26"/>
              </w:rPr>
              <w:t>projekta</w:t>
            </w:r>
            <w:proofErr w:type="spellEnd"/>
            <w:r>
              <w:rPr>
                <w:rFonts w:eastAsia="Times New Roman"/>
                <w:bCs/>
                <w:sz w:val="26"/>
                <w:szCs w:val="26"/>
              </w:rPr>
              <w:t xml:space="preserve"> </w:t>
            </w:r>
            <w:proofErr w:type="spellStart"/>
            <w:r>
              <w:rPr>
                <w:rFonts w:eastAsia="Times New Roman"/>
                <w:bCs/>
                <w:sz w:val="26"/>
                <w:szCs w:val="26"/>
              </w:rPr>
              <w:t>realizācijas</w:t>
            </w:r>
            <w:proofErr w:type="spellEnd"/>
            <w:r>
              <w:rPr>
                <w:rFonts w:eastAsia="Times New Roman"/>
                <w:bCs/>
                <w:sz w:val="26"/>
                <w:szCs w:val="26"/>
              </w:rPr>
              <w:t>.</w:t>
            </w:r>
          </w:p>
          <w:p w:rsidR="00E237AA" w:rsidRDefault="00716874" w:rsidP="00457CC8">
            <w:pPr>
              <w:ind w:firstLine="567"/>
              <w:jc w:val="both"/>
              <w:rPr>
                <w:rFonts w:eastAsia="Times New Roman"/>
                <w:bCs/>
                <w:sz w:val="26"/>
                <w:szCs w:val="26"/>
              </w:rPr>
            </w:pPr>
            <w:proofErr w:type="spellStart"/>
            <w:r>
              <w:rPr>
                <w:rFonts w:eastAsia="Times New Roman"/>
                <w:bCs/>
                <w:sz w:val="26"/>
                <w:szCs w:val="26"/>
              </w:rPr>
              <w:t>Pieejamā</w:t>
            </w:r>
            <w:proofErr w:type="spellEnd"/>
            <w:r>
              <w:rPr>
                <w:rFonts w:eastAsia="Times New Roman"/>
                <w:bCs/>
                <w:sz w:val="26"/>
                <w:szCs w:val="26"/>
              </w:rPr>
              <w:t xml:space="preserve"> </w:t>
            </w:r>
            <w:proofErr w:type="spellStart"/>
            <w:r>
              <w:rPr>
                <w:rFonts w:eastAsia="Times New Roman"/>
                <w:bCs/>
                <w:sz w:val="26"/>
                <w:szCs w:val="26"/>
              </w:rPr>
              <w:t>finansējuma</w:t>
            </w:r>
            <w:proofErr w:type="spellEnd"/>
            <w:r>
              <w:rPr>
                <w:rFonts w:eastAsia="Times New Roman"/>
                <w:bCs/>
                <w:sz w:val="26"/>
                <w:szCs w:val="26"/>
              </w:rPr>
              <w:t xml:space="preserve"> </w:t>
            </w:r>
            <w:proofErr w:type="spellStart"/>
            <w:r>
              <w:rPr>
                <w:rFonts w:eastAsia="Times New Roman"/>
                <w:bCs/>
                <w:sz w:val="26"/>
                <w:szCs w:val="26"/>
              </w:rPr>
              <w:t>ietvaros</w:t>
            </w:r>
            <w:proofErr w:type="spellEnd"/>
            <w:r>
              <w:rPr>
                <w:rFonts w:eastAsia="Times New Roman"/>
                <w:bCs/>
                <w:sz w:val="26"/>
                <w:szCs w:val="26"/>
              </w:rPr>
              <w:t xml:space="preserve"> </w:t>
            </w:r>
            <w:proofErr w:type="spellStart"/>
            <w:r>
              <w:rPr>
                <w:rFonts w:eastAsia="Times New Roman"/>
                <w:bCs/>
                <w:sz w:val="26"/>
                <w:szCs w:val="26"/>
              </w:rPr>
              <w:t>finasiālais</w:t>
            </w:r>
            <w:proofErr w:type="spellEnd"/>
            <w:r>
              <w:rPr>
                <w:rFonts w:eastAsia="Times New Roman"/>
                <w:bCs/>
                <w:sz w:val="26"/>
                <w:szCs w:val="26"/>
              </w:rPr>
              <w:t xml:space="preserve"> </w:t>
            </w:r>
            <w:proofErr w:type="spellStart"/>
            <w:r>
              <w:rPr>
                <w:rFonts w:eastAsia="Times New Roman"/>
                <w:bCs/>
                <w:sz w:val="26"/>
                <w:szCs w:val="26"/>
              </w:rPr>
              <w:t>atbalsts</w:t>
            </w:r>
            <w:proofErr w:type="spellEnd"/>
            <w:r w:rsidR="00511C7D">
              <w:rPr>
                <w:rFonts w:eastAsia="Times New Roman"/>
                <w:bCs/>
                <w:sz w:val="26"/>
                <w:szCs w:val="26"/>
              </w:rPr>
              <w:t xml:space="preserve"> </w:t>
            </w:r>
            <w:proofErr w:type="spellStart"/>
            <w:r w:rsidR="00511C7D">
              <w:rPr>
                <w:rFonts w:eastAsia="Times New Roman"/>
                <w:bCs/>
                <w:sz w:val="26"/>
                <w:szCs w:val="26"/>
              </w:rPr>
              <w:t>programmas</w:t>
            </w:r>
            <w:proofErr w:type="spellEnd"/>
            <w:r w:rsidR="00511C7D">
              <w:rPr>
                <w:rFonts w:eastAsia="Times New Roman"/>
                <w:bCs/>
                <w:sz w:val="26"/>
                <w:szCs w:val="26"/>
              </w:rPr>
              <w:t xml:space="preserve"> </w:t>
            </w:r>
            <w:proofErr w:type="spellStart"/>
            <w:r w:rsidR="00511C7D">
              <w:rPr>
                <w:rFonts w:eastAsia="Times New Roman"/>
                <w:bCs/>
                <w:sz w:val="26"/>
                <w:szCs w:val="26"/>
              </w:rPr>
              <w:t>ietvaros</w:t>
            </w:r>
            <w:proofErr w:type="spellEnd"/>
            <w:r w:rsidR="00511C7D">
              <w:rPr>
                <w:rFonts w:eastAsia="Times New Roman"/>
                <w:bCs/>
                <w:sz w:val="26"/>
                <w:szCs w:val="26"/>
              </w:rPr>
              <w:t xml:space="preserve"> </w:t>
            </w:r>
            <w:proofErr w:type="spellStart"/>
            <w:r w:rsidR="00511C7D">
              <w:rPr>
                <w:rFonts w:eastAsia="Times New Roman"/>
                <w:bCs/>
                <w:sz w:val="26"/>
                <w:szCs w:val="26"/>
              </w:rPr>
              <w:t>ir</w:t>
            </w:r>
            <w:proofErr w:type="spellEnd"/>
            <w:r>
              <w:rPr>
                <w:rFonts w:eastAsia="Times New Roman"/>
                <w:bCs/>
                <w:sz w:val="26"/>
                <w:szCs w:val="26"/>
              </w:rPr>
              <w:t xml:space="preserve"> </w:t>
            </w:r>
            <w:proofErr w:type="spellStart"/>
            <w:r>
              <w:rPr>
                <w:rFonts w:eastAsia="Times New Roman"/>
                <w:bCs/>
                <w:sz w:val="26"/>
                <w:szCs w:val="26"/>
              </w:rPr>
              <w:t>piešķirts</w:t>
            </w:r>
            <w:proofErr w:type="spellEnd"/>
            <w:r>
              <w:rPr>
                <w:rFonts w:eastAsia="Times New Roman"/>
                <w:bCs/>
                <w:sz w:val="26"/>
                <w:szCs w:val="26"/>
              </w:rPr>
              <w:t xml:space="preserve"> 800 </w:t>
            </w:r>
            <w:proofErr w:type="spellStart"/>
            <w:r>
              <w:rPr>
                <w:rFonts w:eastAsia="Times New Roman"/>
                <w:bCs/>
                <w:sz w:val="26"/>
                <w:szCs w:val="26"/>
              </w:rPr>
              <w:t>mikrouzņēmumu</w:t>
            </w:r>
            <w:proofErr w:type="spellEnd"/>
            <w:r>
              <w:rPr>
                <w:rFonts w:eastAsia="Times New Roman"/>
                <w:bCs/>
                <w:sz w:val="26"/>
                <w:szCs w:val="26"/>
              </w:rPr>
              <w:t xml:space="preserve"> </w:t>
            </w:r>
            <w:proofErr w:type="spellStart"/>
            <w:r>
              <w:rPr>
                <w:rFonts w:eastAsia="Times New Roman"/>
                <w:bCs/>
                <w:sz w:val="26"/>
                <w:szCs w:val="26"/>
              </w:rPr>
              <w:t>biznesa</w:t>
            </w:r>
            <w:proofErr w:type="spellEnd"/>
            <w:r>
              <w:rPr>
                <w:rFonts w:eastAsia="Times New Roman"/>
                <w:bCs/>
                <w:sz w:val="26"/>
                <w:szCs w:val="26"/>
              </w:rPr>
              <w:t xml:space="preserve"> </w:t>
            </w:r>
            <w:proofErr w:type="spellStart"/>
            <w:r>
              <w:rPr>
                <w:rFonts w:eastAsia="Times New Roman"/>
                <w:bCs/>
                <w:sz w:val="26"/>
                <w:szCs w:val="26"/>
              </w:rPr>
              <w:t>projektu</w:t>
            </w:r>
            <w:proofErr w:type="spellEnd"/>
            <w:r>
              <w:rPr>
                <w:rFonts w:eastAsia="Times New Roman"/>
                <w:bCs/>
                <w:sz w:val="26"/>
                <w:szCs w:val="26"/>
              </w:rPr>
              <w:t xml:space="preserve"> </w:t>
            </w:r>
            <w:proofErr w:type="spellStart"/>
            <w:r>
              <w:rPr>
                <w:rFonts w:eastAsia="Times New Roman"/>
                <w:bCs/>
                <w:sz w:val="26"/>
                <w:szCs w:val="26"/>
              </w:rPr>
              <w:t>īstenošanai</w:t>
            </w:r>
            <w:proofErr w:type="spellEnd"/>
            <w:r>
              <w:rPr>
                <w:rFonts w:eastAsia="Times New Roman"/>
                <w:bCs/>
                <w:sz w:val="26"/>
                <w:szCs w:val="26"/>
              </w:rPr>
              <w:t xml:space="preserve">, t.sk. 642 </w:t>
            </w:r>
            <w:proofErr w:type="spellStart"/>
            <w:r>
              <w:rPr>
                <w:rFonts w:eastAsia="Times New Roman"/>
                <w:bCs/>
                <w:sz w:val="26"/>
                <w:szCs w:val="26"/>
              </w:rPr>
              <w:t>gadījumos</w:t>
            </w:r>
            <w:proofErr w:type="spellEnd"/>
            <w:r>
              <w:rPr>
                <w:rFonts w:eastAsia="Times New Roman"/>
                <w:bCs/>
                <w:sz w:val="26"/>
                <w:szCs w:val="26"/>
              </w:rPr>
              <w:t xml:space="preserve"> </w:t>
            </w:r>
            <w:proofErr w:type="spellStart"/>
            <w:r>
              <w:rPr>
                <w:rFonts w:eastAsia="Times New Roman"/>
                <w:bCs/>
                <w:sz w:val="26"/>
                <w:szCs w:val="26"/>
              </w:rPr>
              <w:t>līdztekus</w:t>
            </w:r>
            <w:proofErr w:type="spellEnd"/>
            <w:r>
              <w:rPr>
                <w:rFonts w:eastAsia="Times New Roman"/>
                <w:bCs/>
                <w:sz w:val="26"/>
                <w:szCs w:val="26"/>
              </w:rPr>
              <w:t xml:space="preserve"> </w:t>
            </w:r>
            <w:proofErr w:type="spellStart"/>
            <w:r>
              <w:rPr>
                <w:rFonts w:eastAsia="Times New Roman"/>
                <w:bCs/>
                <w:sz w:val="26"/>
                <w:szCs w:val="26"/>
              </w:rPr>
              <w:t>aizdevumam</w:t>
            </w:r>
            <w:proofErr w:type="spellEnd"/>
            <w:r>
              <w:rPr>
                <w:rFonts w:eastAsia="Times New Roman"/>
                <w:bCs/>
                <w:sz w:val="26"/>
                <w:szCs w:val="26"/>
              </w:rPr>
              <w:t xml:space="preserve"> </w:t>
            </w:r>
            <w:proofErr w:type="spellStart"/>
            <w:r>
              <w:rPr>
                <w:rFonts w:eastAsia="Times New Roman"/>
                <w:bCs/>
                <w:sz w:val="26"/>
                <w:szCs w:val="26"/>
              </w:rPr>
              <w:t>piešķirts</w:t>
            </w:r>
            <w:proofErr w:type="spellEnd"/>
            <w:r>
              <w:rPr>
                <w:rFonts w:eastAsia="Times New Roman"/>
                <w:bCs/>
                <w:sz w:val="26"/>
                <w:szCs w:val="26"/>
              </w:rPr>
              <w:t xml:space="preserve"> grants. </w:t>
            </w:r>
            <w:proofErr w:type="spellStart"/>
            <w:r w:rsidRPr="00716874">
              <w:rPr>
                <w:rFonts w:eastAsia="Times New Roman"/>
                <w:bCs/>
                <w:sz w:val="26"/>
                <w:szCs w:val="26"/>
              </w:rPr>
              <w:t>Programmas</w:t>
            </w:r>
            <w:proofErr w:type="spellEnd"/>
            <w:r w:rsidRPr="00716874">
              <w:rPr>
                <w:rFonts w:eastAsia="Times New Roman"/>
                <w:bCs/>
                <w:sz w:val="26"/>
                <w:szCs w:val="26"/>
              </w:rPr>
              <w:t xml:space="preserve"> </w:t>
            </w:r>
            <w:proofErr w:type="spellStart"/>
            <w:r w:rsidRPr="00716874">
              <w:rPr>
                <w:rFonts w:eastAsia="Times New Roman"/>
                <w:bCs/>
                <w:sz w:val="26"/>
                <w:szCs w:val="26"/>
              </w:rPr>
              <w:t>atbalstīto</w:t>
            </w:r>
            <w:proofErr w:type="spellEnd"/>
            <w:r w:rsidRPr="00716874">
              <w:rPr>
                <w:rFonts w:eastAsia="Times New Roman"/>
                <w:bCs/>
                <w:sz w:val="26"/>
                <w:szCs w:val="26"/>
              </w:rPr>
              <w:t xml:space="preserve"> </w:t>
            </w:r>
            <w:proofErr w:type="spellStart"/>
            <w:r w:rsidRPr="00716874">
              <w:rPr>
                <w:rFonts w:eastAsia="Times New Roman"/>
                <w:bCs/>
                <w:sz w:val="26"/>
                <w:szCs w:val="26"/>
              </w:rPr>
              <w:t>projektu</w:t>
            </w:r>
            <w:proofErr w:type="spellEnd"/>
            <w:r w:rsidRPr="00716874">
              <w:rPr>
                <w:rFonts w:eastAsia="Times New Roman"/>
                <w:bCs/>
                <w:sz w:val="26"/>
                <w:szCs w:val="26"/>
              </w:rPr>
              <w:t xml:space="preserve"> </w:t>
            </w:r>
            <w:proofErr w:type="spellStart"/>
            <w:r w:rsidRPr="00716874">
              <w:rPr>
                <w:rFonts w:eastAsia="Times New Roman"/>
                <w:bCs/>
                <w:sz w:val="26"/>
                <w:szCs w:val="26"/>
              </w:rPr>
              <w:t>biznesa</w:t>
            </w:r>
            <w:proofErr w:type="spellEnd"/>
            <w:r w:rsidRPr="00716874">
              <w:rPr>
                <w:rFonts w:eastAsia="Times New Roman"/>
                <w:bCs/>
                <w:sz w:val="26"/>
                <w:szCs w:val="26"/>
              </w:rPr>
              <w:t xml:space="preserve"> </w:t>
            </w:r>
            <w:proofErr w:type="spellStart"/>
            <w:r w:rsidRPr="00716874">
              <w:rPr>
                <w:rFonts w:eastAsia="Times New Roman"/>
                <w:bCs/>
                <w:sz w:val="26"/>
                <w:szCs w:val="26"/>
              </w:rPr>
              <w:t>plāni</w:t>
            </w:r>
            <w:proofErr w:type="spellEnd"/>
            <w:r w:rsidRPr="00716874">
              <w:rPr>
                <w:rFonts w:eastAsia="Times New Roman"/>
                <w:bCs/>
                <w:sz w:val="26"/>
                <w:szCs w:val="26"/>
              </w:rPr>
              <w:t xml:space="preserve"> </w:t>
            </w:r>
            <w:proofErr w:type="spellStart"/>
            <w:r w:rsidRPr="00716874">
              <w:rPr>
                <w:rFonts w:eastAsia="Times New Roman"/>
                <w:bCs/>
                <w:sz w:val="26"/>
                <w:szCs w:val="26"/>
              </w:rPr>
              <w:t>paredz</w:t>
            </w:r>
            <w:proofErr w:type="spellEnd"/>
            <w:r w:rsidRPr="00716874">
              <w:rPr>
                <w:rFonts w:eastAsia="Times New Roman"/>
                <w:bCs/>
                <w:sz w:val="26"/>
                <w:szCs w:val="26"/>
              </w:rPr>
              <w:t xml:space="preserve">, </w:t>
            </w:r>
            <w:proofErr w:type="spellStart"/>
            <w:r w:rsidRPr="00716874">
              <w:rPr>
                <w:rFonts w:eastAsia="Times New Roman"/>
                <w:bCs/>
                <w:sz w:val="26"/>
                <w:szCs w:val="26"/>
              </w:rPr>
              <w:t>ka</w:t>
            </w:r>
            <w:proofErr w:type="spellEnd"/>
            <w:r w:rsidRPr="00716874">
              <w:rPr>
                <w:rFonts w:eastAsia="Times New Roman"/>
                <w:bCs/>
                <w:sz w:val="26"/>
                <w:szCs w:val="26"/>
              </w:rPr>
              <w:t xml:space="preserve"> </w:t>
            </w:r>
            <w:proofErr w:type="spellStart"/>
            <w:r w:rsidRPr="00716874">
              <w:rPr>
                <w:rFonts w:eastAsia="Times New Roman"/>
                <w:bCs/>
                <w:sz w:val="26"/>
                <w:szCs w:val="26"/>
              </w:rPr>
              <w:t>tiks</w:t>
            </w:r>
            <w:proofErr w:type="spellEnd"/>
            <w:r w:rsidRPr="00716874">
              <w:rPr>
                <w:rFonts w:eastAsia="Times New Roman"/>
                <w:bCs/>
                <w:sz w:val="26"/>
                <w:szCs w:val="26"/>
              </w:rPr>
              <w:t xml:space="preserve"> </w:t>
            </w:r>
            <w:proofErr w:type="spellStart"/>
            <w:r w:rsidRPr="00716874">
              <w:rPr>
                <w:rFonts w:eastAsia="Times New Roman"/>
                <w:bCs/>
                <w:sz w:val="26"/>
                <w:szCs w:val="26"/>
              </w:rPr>
              <w:t>saglabātas</w:t>
            </w:r>
            <w:proofErr w:type="spellEnd"/>
            <w:r w:rsidRPr="00716874">
              <w:rPr>
                <w:rFonts w:eastAsia="Times New Roman"/>
                <w:bCs/>
                <w:sz w:val="26"/>
                <w:szCs w:val="26"/>
              </w:rPr>
              <w:t xml:space="preserve"> 1500 un no </w:t>
            </w:r>
            <w:proofErr w:type="spellStart"/>
            <w:r w:rsidRPr="00716874">
              <w:rPr>
                <w:rFonts w:eastAsia="Times New Roman"/>
                <w:bCs/>
                <w:sz w:val="26"/>
                <w:szCs w:val="26"/>
              </w:rPr>
              <w:t>jauna</w:t>
            </w:r>
            <w:proofErr w:type="spellEnd"/>
            <w:r w:rsidRPr="00716874">
              <w:rPr>
                <w:rFonts w:eastAsia="Times New Roman"/>
                <w:bCs/>
                <w:sz w:val="26"/>
                <w:szCs w:val="26"/>
              </w:rPr>
              <w:t xml:space="preserve"> </w:t>
            </w:r>
            <w:proofErr w:type="spellStart"/>
            <w:r w:rsidRPr="00716874">
              <w:rPr>
                <w:rFonts w:eastAsia="Times New Roman"/>
                <w:bCs/>
                <w:sz w:val="26"/>
                <w:szCs w:val="26"/>
              </w:rPr>
              <w:t>izveidotas</w:t>
            </w:r>
            <w:proofErr w:type="spellEnd"/>
            <w:r w:rsidRPr="00716874">
              <w:rPr>
                <w:rFonts w:eastAsia="Times New Roman"/>
                <w:bCs/>
                <w:sz w:val="26"/>
                <w:szCs w:val="26"/>
              </w:rPr>
              <w:t xml:space="preserve"> 400 </w:t>
            </w:r>
            <w:proofErr w:type="spellStart"/>
            <w:r w:rsidRPr="00716874">
              <w:rPr>
                <w:rFonts w:eastAsia="Times New Roman"/>
                <w:bCs/>
                <w:sz w:val="26"/>
                <w:szCs w:val="26"/>
              </w:rPr>
              <w:t>darba</w:t>
            </w:r>
            <w:proofErr w:type="spellEnd"/>
            <w:r w:rsidRPr="00716874">
              <w:rPr>
                <w:rFonts w:eastAsia="Times New Roman"/>
                <w:bCs/>
                <w:sz w:val="26"/>
                <w:szCs w:val="26"/>
              </w:rPr>
              <w:t xml:space="preserve"> </w:t>
            </w:r>
            <w:proofErr w:type="spellStart"/>
            <w:r w:rsidRPr="00716874">
              <w:rPr>
                <w:rFonts w:eastAsia="Times New Roman"/>
                <w:bCs/>
                <w:sz w:val="26"/>
                <w:szCs w:val="26"/>
              </w:rPr>
              <w:t>vietas</w:t>
            </w:r>
            <w:proofErr w:type="spellEnd"/>
            <w:r w:rsidRPr="00716874">
              <w:rPr>
                <w:rFonts w:eastAsia="Times New Roman"/>
                <w:bCs/>
                <w:sz w:val="26"/>
                <w:szCs w:val="26"/>
              </w:rPr>
              <w:t xml:space="preserve">. </w:t>
            </w:r>
          </w:p>
          <w:p w:rsidR="00E237AA" w:rsidRDefault="00E237AA" w:rsidP="00E237AA">
            <w:pPr>
              <w:ind w:firstLine="567"/>
              <w:jc w:val="both"/>
              <w:rPr>
                <w:sz w:val="26"/>
                <w:szCs w:val="26"/>
                <w:lang w:val="lv-LV"/>
              </w:rPr>
            </w:pPr>
            <w:proofErr w:type="spellStart"/>
            <w:r>
              <w:rPr>
                <w:rFonts w:eastAsia="Times New Roman"/>
                <w:bCs/>
                <w:sz w:val="26"/>
                <w:szCs w:val="26"/>
              </w:rPr>
              <w:t>Ņemot</w:t>
            </w:r>
            <w:proofErr w:type="spellEnd"/>
            <w:r>
              <w:rPr>
                <w:rFonts w:eastAsia="Times New Roman"/>
                <w:bCs/>
                <w:sz w:val="26"/>
                <w:szCs w:val="26"/>
              </w:rPr>
              <w:t xml:space="preserve"> </w:t>
            </w:r>
            <w:proofErr w:type="spellStart"/>
            <w:r>
              <w:rPr>
                <w:rFonts w:eastAsia="Times New Roman"/>
                <w:bCs/>
                <w:sz w:val="26"/>
                <w:szCs w:val="26"/>
              </w:rPr>
              <w:t>vērā</w:t>
            </w:r>
            <w:proofErr w:type="spellEnd"/>
            <w:r>
              <w:rPr>
                <w:rFonts w:eastAsia="Times New Roman"/>
                <w:bCs/>
                <w:sz w:val="26"/>
                <w:szCs w:val="26"/>
              </w:rPr>
              <w:t xml:space="preserve"> </w:t>
            </w:r>
            <w:proofErr w:type="spellStart"/>
            <w:r>
              <w:rPr>
                <w:rFonts w:eastAsia="Times New Roman"/>
                <w:bCs/>
                <w:sz w:val="26"/>
                <w:szCs w:val="26"/>
              </w:rPr>
              <w:t>veiksmīgo</w:t>
            </w:r>
            <w:proofErr w:type="spellEnd"/>
            <w:r>
              <w:rPr>
                <w:rFonts w:eastAsia="Times New Roman"/>
                <w:bCs/>
                <w:sz w:val="26"/>
                <w:szCs w:val="26"/>
              </w:rPr>
              <w:t xml:space="preserve"> </w:t>
            </w:r>
            <w:proofErr w:type="spellStart"/>
            <w:r>
              <w:rPr>
                <w:rFonts w:eastAsia="Times New Roman"/>
                <w:bCs/>
                <w:sz w:val="26"/>
                <w:szCs w:val="26"/>
              </w:rPr>
              <w:t>programmas</w:t>
            </w:r>
            <w:proofErr w:type="spellEnd"/>
            <w:r>
              <w:rPr>
                <w:rFonts w:eastAsia="Times New Roman"/>
                <w:bCs/>
                <w:sz w:val="26"/>
                <w:szCs w:val="26"/>
              </w:rPr>
              <w:t xml:space="preserve"> </w:t>
            </w:r>
            <w:proofErr w:type="spellStart"/>
            <w:r>
              <w:rPr>
                <w:rFonts w:eastAsia="Times New Roman"/>
                <w:bCs/>
                <w:sz w:val="26"/>
                <w:szCs w:val="26"/>
              </w:rPr>
              <w:t>īstenošanu</w:t>
            </w:r>
            <w:proofErr w:type="spellEnd"/>
            <w:r>
              <w:rPr>
                <w:rFonts w:eastAsia="Times New Roman"/>
                <w:bCs/>
                <w:sz w:val="26"/>
                <w:szCs w:val="26"/>
              </w:rPr>
              <w:t xml:space="preserve">, </w:t>
            </w:r>
            <w:proofErr w:type="spellStart"/>
            <w:r>
              <w:rPr>
                <w:rFonts w:eastAsia="Times New Roman"/>
                <w:bCs/>
                <w:sz w:val="26"/>
                <w:szCs w:val="26"/>
              </w:rPr>
              <w:t>ir</w:t>
            </w:r>
            <w:proofErr w:type="spellEnd"/>
            <w:r>
              <w:rPr>
                <w:rFonts w:eastAsia="Times New Roman"/>
                <w:bCs/>
                <w:sz w:val="26"/>
                <w:szCs w:val="26"/>
              </w:rPr>
              <w:t xml:space="preserve"> </w:t>
            </w:r>
            <w:proofErr w:type="spellStart"/>
            <w:r>
              <w:rPr>
                <w:rFonts w:eastAsia="Times New Roman"/>
                <w:bCs/>
                <w:sz w:val="26"/>
                <w:szCs w:val="26"/>
              </w:rPr>
              <w:t>nepieciešams</w:t>
            </w:r>
            <w:proofErr w:type="spellEnd"/>
            <w:r>
              <w:rPr>
                <w:rFonts w:eastAsia="Times New Roman"/>
                <w:bCs/>
                <w:sz w:val="26"/>
                <w:szCs w:val="26"/>
              </w:rPr>
              <w:t xml:space="preserve"> </w:t>
            </w:r>
            <w:proofErr w:type="spellStart"/>
            <w:r>
              <w:rPr>
                <w:rFonts w:eastAsia="Times New Roman"/>
                <w:bCs/>
                <w:sz w:val="26"/>
                <w:szCs w:val="26"/>
              </w:rPr>
              <w:t>tās</w:t>
            </w:r>
            <w:proofErr w:type="spellEnd"/>
            <w:r>
              <w:rPr>
                <w:rFonts w:eastAsia="Times New Roman"/>
                <w:bCs/>
                <w:sz w:val="26"/>
                <w:szCs w:val="26"/>
              </w:rPr>
              <w:t xml:space="preserve"> </w:t>
            </w:r>
            <w:proofErr w:type="spellStart"/>
            <w:r>
              <w:rPr>
                <w:rFonts w:eastAsia="Times New Roman"/>
                <w:bCs/>
                <w:sz w:val="26"/>
                <w:szCs w:val="26"/>
              </w:rPr>
              <w:t>pagarinājums</w:t>
            </w:r>
            <w:proofErr w:type="spellEnd"/>
            <w:r>
              <w:rPr>
                <w:rFonts w:eastAsia="Times New Roman"/>
                <w:bCs/>
                <w:sz w:val="26"/>
                <w:szCs w:val="26"/>
              </w:rPr>
              <w:t xml:space="preserve">. </w:t>
            </w:r>
            <w:r>
              <w:rPr>
                <w:sz w:val="26"/>
                <w:szCs w:val="26"/>
                <w:lang w:val="lv-LV"/>
              </w:rPr>
              <w:t>Šobrīd MK noteikumu Nr.698 24.punkts nosaka šo termiņu līdz 2013.gada 31.decembrim, ņemot vērā Regulas 1998/2006 6.pantu, kas nosaka, ka Regulu Nr.1998/2006 piemēro no 2007.gada 1.janvāra līdz 2013.gada 31.decembrim, k</w:t>
            </w:r>
            <w:r w:rsidR="00901246">
              <w:rPr>
                <w:sz w:val="26"/>
                <w:szCs w:val="26"/>
                <w:lang w:val="lv-LV"/>
              </w:rPr>
              <w:t>ā arī ņemot vērā Regulas Nr.1535</w:t>
            </w:r>
            <w:r>
              <w:rPr>
                <w:sz w:val="26"/>
                <w:szCs w:val="26"/>
                <w:lang w:val="lv-LV"/>
              </w:rPr>
              <w:t>/2007 7.p</w:t>
            </w:r>
            <w:r w:rsidR="00901246">
              <w:rPr>
                <w:sz w:val="26"/>
                <w:szCs w:val="26"/>
                <w:lang w:val="lv-LV"/>
              </w:rPr>
              <w:t xml:space="preserve">antu, </w:t>
            </w:r>
            <w:r w:rsidR="00901246">
              <w:rPr>
                <w:sz w:val="26"/>
                <w:szCs w:val="26"/>
                <w:lang w:val="lv-LV"/>
              </w:rPr>
              <w:lastRenderedPageBreak/>
              <w:t>kas nosaka, ka Regulu Nr.1535</w:t>
            </w:r>
            <w:r>
              <w:rPr>
                <w:sz w:val="26"/>
                <w:szCs w:val="26"/>
                <w:lang w:val="lv-LV"/>
              </w:rPr>
              <w:t>/2007 piem</w:t>
            </w:r>
            <w:r w:rsidR="00511C7D">
              <w:rPr>
                <w:sz w:val="26"/>
                <w:szCs w:val="26"/>
                <w:lang w:val="lv-LV"/>
              </w:rPr>
              <w:t>ēro no 2008</w:t>
            </w:r>
            <w:r>
              <w:rPr>
                <w:sz w:val="26"/>
                <w:szCs w:val="26"/>
                <w:lang w:val="lv-LV"/>
              </w:rPr>
              <w:t>.gada 1.janvāra līdz 2013.gada 31.decembrim. Ņemot vērā, ka jaunās Regulas, kas regulē</w:t>
            </w:r>
            <w:r w:rsidR="00901246">
              <w:rPr>
                <w:sz w:val="26"/>
                <w:szCs w:val="26"/>
                <w:lang w:val="lv-LV"/>
              </w:rPr>
              <w:t>s</w:t>
            </w:r>
            <w:r>
              <w:rPr>
                <w:sz w:val="26"/>
                <w:szCs w:val="26"/>
                <w:lang w:val="lv-LV"/>
              </w:rPr>
              <w:t xml:space="preserve"> </w:t>
            </w:r>
            <w:proofErr w:type="spellStart"/>
            <w:r w:rsidRPr="004C64F4">
              <w:rPr>
                <w:i/>
                <w:sz w:val="26"/>
                <w:szCs w:val="26"/>
                <w:lang w:val="lv-LV"/>
              </w:rPr>
              <w:t>de</w:t>
            </w:r>
            <w:proofErr w:type="spellEnd"/>
            <w:r w:rsidRPr="004C64F4">
              <w:rPr>
                <w:i/>
                <w:sz w:val="26"/>
                <w:szCs w:val="26"/>
                <w:lang w:val="lv-LV"/>
              </w:rPr>
              <w:t xml:space="preserve"> </w:t>
            </w:r>
            <w:proofErr w:type="spellStart"/>
            <w:r w:rsidRPr="004C64F4">
              <w:rPr>
                <w:i/>
                <w:sz w:val="26"/>
                <w:szCs w:val="26"/>
                <w:lang w:val="lv-LV"/>
              </w:rPr>
              <w:t>minimis</w:t>
            </w:r>
            <w:proofErr w:type="spellEnd"/>
            <w:r>
              <w:rPr>
                <w:sz w:val="26"/>
                <w:szCs w:val="26"/>
                <w:lang w:val="lv-LV"/>
              </w:rPr>
              <w:t xml:space="preserve"> atbalstu, vēl ir izstrādes stadijā, lai nodrošinātu </w:t>
            </w:r>
            <w:proofErr w:type="spellStart"/>
            <w:r w:rsidR="00901246">
              <w:rPr>
                <w:sz w:val="26"/>
                <w:szCs w:val="26"/>
                <w:lang w:val="lv-LV"/>
              </w:rPr>
              <w:t>mikro</w:t>
            </w:r>
            <w:r>
              <w:rPr>
                <w:sz w:val="26"/>
                <w:szCs w:val="26"/>
                <w:lang w:val="lv-LV"/>
              </w:rPr>
              <w:t>aizdevumu</w:t>
            </w:r>
            <w:proofErr w:type="spellEnd"/>
            <w:r>
              <w:rPr>
                <w:sz w:val="26"/>
                <w:szCs w:val="26"/>
                <w:lang w:val="lv-LV"/>
              </w:rPr>
              <w:t xml:space="preserve"> pieejamību </w:t>
            </w:r>
            <w:proofErr w:type="spellStart"/>
            <w:r>
              <w:rPr>
                <w:sz w:val="26"/>
                <w:szCs w:val="26"/>
                <w:lang w:val="lv-LV"/>
              </w:rPr>
              <w:t>mikrouzņēmumiem</w:t>
            </w:r>
            <w:proofErr w:type="spellEnd"/>
            <w:r>
              <w:rPr>
                <w:sz w:val="26"/>
                <w:szCs w:val="26"/>
                <w:lang w:val="lv-LV"/>
              </w:rPr>
              <w:t xml:space="preserve"> vai saimnieciskās darbības uzsācējiem pēc 2013.gada, nepieciešams pagarināt atbalsta piešķiršanas termiņu atbilstoši Regulas Nr.1998/2006 </w:t>
            </w:r>
            <w:r w:rsidRPr="001537AB">
              <w:rPr>
                <w:sz w:val="26"/>
                <w:szCs w:val="26"/>
                <w:lang w:val="lv-LV"/>
              </w:rPr>
              <w:t>5.p</w:t>
            </w:r>
            <w:r w:rsidR="00901246">
              <w:rPr>
                <w:sz w:val="26"/>
                <w:szCs w:val="26"/>
                <w:lang w:val="lv-LV"/>
              </w:rPr>
              <w:t>anta 3.punktam un Regulas Nr.1535</w:t>
            </w:r>
            <w:r>
              <w:rPr>
                <w:sz w:val="26"/>
                <w:szCs w:val="26"/>
                <w:lang w:val="lv-LV"/>
              </w:rPr>
              <w:t xml:space="preserve">/2007 6.panta 3.punktam, kas nosaka, ka </w:t>
            </w:r>
            <w:r w:rsidRPr="001537AB">
              <w:rPr>
                <w:sz w:val="26"/>
                <w:szCs w:val="26"/>
                <w:lang w:val="lv-LV"/>
              </w:rPr>
              <w:t xml:space="preserve">regulas spēkā esamības laika beigās </w:t>
            </w:r>
            <w:r w:rsidRPr="001537AB">
              <w:rPr>
                <w:sz w:val="26"/>
                <w:szCs w:val="26"/>
                <w:lang w:val="lv-LV"/>
              </w:rPr>
              <w:t xml:space="preserve">jebkuru </w:t>
            </w:r>
            <w:proofErr w:type="spellStart"/>
            <w:r w:rsidRPr="004C64F4">
              <w:rPr>
                <w:i/>
                <w:sz w:val="26"/>
                <w:szCs w:val="26"/>
                <w:lang w:val="lv-LV"/>
              </w:rPr>
              <w:t>de</w:t>
            </w:r>
            <w:proofErr w:type="spellEnd"/>
            <w:r w:rsidRPr="004C64F4">
              <w:rPr>
                <w:i/>
                <w:sz w:val="26"/>
                <w:szCs w:val="26"/>
                <w:lang w:val="lv-LV"/>
              </w:rPr>
              <w:t xml:space="preserve"> </w:t>
            </w:r>
            <w:proofErr w:type="spellStart"/>
            <w:r w:rsidRPr="004C64F4">
              <w:rPr>
                <w:i/>
                <w:sz w:val="26"/>
                <w:szCs w:val="26"/>
                <w:lang w:val="lv-LV"/>
              </w:rPr>
              <w:t>minimis</w:t>
            </w:r>
            <w:proofErr w:type="spellEnd"/>
            <w:r w:rsidR="00901246">
              <w:rPr>
                <w:sz w:val="26"/>
                <w:szCs w:val="26"/>
                <w:lang w:val="lv-LV"/>
              </w:rPr>
              <w:t xml:space="preserve"> atbalstu, kurš atbilst šo regulu</w:t>
            </w:r>
            <w:r w:rsidRPr="001537AB">
              <w:rPr>
                <w:sz w:val="26"/>
                <w:szCs w:val="26"/>
                <w:lang w:val="lv-LV"/>
              </w:rPr>
              <w:t xml:space="preserve"> nosacījumiem, var likumīgi īs</w:t>
            </w:r>
            <w:r>
              <w:rPr>
                <w:sz w:val="26"/>
                <w:szCs w:val="26"/>
                <w:lang w:val="lv-LV"/>
              </w:rPr>
              <w:t xml:space="preserve">tenot turpmākajos sešos mēnešos, proti, </w:t>
            </w:r>
            <w:r w:rsidRPr="008E54FE">
              <w:rPr>
                <w:sz w:val="26"/>
                <w:szCs w:val="26"/>
                <w:u w:val="single"/>
                <w:lang w:val="lv-LV"/>
              </w:rPr>
              <w:t>līdz 2014.gada 30.jūnijam</w:t>
            </w:r>
            <w:r>
              <w:rPr>
                <w:sz w:val="26"/>
                <w:szCs w:val="26"/>
                <w:lang w:val="lv-LV"/>
              </w:rPr>
              <w:t xml:space="preserve">. Attiecīgā pieeja </w:t>
            </w:r>
            <w:r w:rsidR="002428B8">
              <w:rPr>
                <w:sz w:val="26"/>
                <w:szCs w:val="26"/>
                <w:lang w:val="lv-LV"/>
              </w:rPr>
              <w:t xml:space="preserve">saistībā par Regulas Nr.1998/2006 termiņa pagarinājumu </w:t>
            </w:r>
            <w:r>
              <w:rPr>
                <w:sz w:val="26"/>
                <w:szCs w:val="26"/>
                <w:lang w:val="lv-LV"/>
              </w:rPr>
              <w:t xml:space="preserve">ar elektroniskā pasta vēstuli saskaņota </w:t>
            </w:r>
            <w:r w:rsidR="002428B8">
              <w:rPr>
                <w:sz w:val="26"/>
                <w:szCs w:val="26"/>
                <w:lang w:val="lv-LV"/>
              </w:rPr>
              <w:t xml:space="preserve">ir </w:t>
            </w:r>
            <w:r>
              <w:rPr>
                <w:sz w:val="26"/>
                <w:szCs w:val="26"/>
                <w:lang w:val="lv-LV"/>
              </w:rPr>
              <w:t xml:space="preserve">ar Eiropas Komisijas </w:t>
            </w:r>
            <w:r w:rsidRPr="004C64F4">
              <w:rPr>
                <w:i/>
                <w:sz w:val="26"/>
                <w:szCs w:val="26"/>
                <w:u w:val="single"/>
                <w:lang w:val="lv-LV"/>
              </w:rPr>
              <w:t xml:space="preserve">DG </w:t>
            </w:r>
            <w:proofErr w:type="spellStart"/>
            <w:r w:rsidRPr="004C64F4">
              <w:rPr>
                <w:i/>
                <w:sz w:val="26"/>
                <w:szCs w:val="26"/>
                <w:u w:val="single"/>
                <w:lang w:val="lv-LV"/>
              </w:rPr>
              <w:t>Competition</w:t>
            </w:r>
            <w:proofErr w:type="spellEnd"/>
            <w:r>
              <w:rPr>
                <w:sz w:val="26"/>
                <w:szCs w:val="26"/>
                <w:lang w:val="lv-LV"/>
              </w:rPr>
              <w:t xml:space="preserve"> pārstāvjiem, kas norāda, ka Regulas Nr.1998/2006 5.p</w:t>
            </w:r>
            <w:r w:rsidR="00901246">
              <w:rPr>
                <w:sz w:val="26"/>
                <w:szCs w:val="26"/>
                <w:lang w:val="lv-LV"/>
              </w:rPr>
              <w:t xml:space="preserve">anta 3.punkts </w:t>
            </w:r>
            <w:r>
              <w:rPr>
                <w:sz w:val="26"/>
                <w:szCs w:val="26"/>
                <w:lang w:val="lv-LV"/>
              </w:rPr>
              <w:t xml:space="preserve">attiecināms arī uz jauna atbalsta lēmuma pieņemšanu. Jauno </w:t>
            </w:r>
            <w:proofErr w:type="spellStart"/>
            <w:r w:rsidRPr="004C64F4">
              <w:rPr>
                <w:i/>
                <w:sz w:val="26"/>
                <w:szCs w:val="26"/>
                <w:lang w:val="lv-LV"/>
              </w:rPr>
              <w:t>de</w:t>
            </w:r>
            <w:proofErr w:type="spellEnd"/>
            <w:r w:rsidRPr="004C64F4">
              <w:rPr>
                <w:i/>
                <w:sz w:val="26"/>
                <w:szCs w:val="26"/>
                <w:lang w:val="lv-LV"/>
              </w:rPr>
              <w:t xml:space="preserve"> </w:t>
            </w:r>
            <w:proofErr w:type="spellStart"/>
            <w:r w:rsidRPr="004C64F4">
              <w:rPr>
                <w:i/>
                <w:sz w:val="26"/>
                <w:szCs w:val="26"/>
                <w:lang w:val="lv-LV"/>
              </w:rPr>
              <w:t>minimis</w:t>
            </w:r>
            <w:proofErr w:type="spellEnd"/>
            <w:r>
              <w:rPr>
                <w:sz w:val="26"/>
                <w:szCs w:val="26"/>
                <w:lang w:val="lv-LV"/>
              </w:rPr>
              <w:t xml:space="preserve"> atbalsta regulējuma ietvertie nosacījumi tiks iestrādāti MK noteikumos Nr.698 līdz ar jauno </w:t>
            </w:r>
            <w:proofErr w:type="spellStart"/>
            <w:r w:rsidRPr="004C64F4">
              <w:rPr>
                <w:i/>
                <w:sz w:val="26"/>
                <w:szCs w:val="26"/>
                <w:lang w:val="lv-LV"/>
              </w:rPr>
              <w:t>de</w:t>
            </w:r>
            <w:proofErr w:type="spellEnd"/>
            <w:r w:rsidRPr="004C64F4">
              <w:rPr>
                <w:i/>
                <w:sz w:val="26"/>
                <w:szCs w:val="26"/>
                <w:lang w:val="lv-LV"/>
              </w:rPr>
              <w:t xml:space="preserve"> </w:t>
            </w:r>
            <w:proofErr w:type="spellStart"/>
            <w:r w:rsidRPr="004C64F4">
              <w:rPr>
                <w:i/>
                <w:sz w:val="26"/>
                <w:szCs w:val="26"/>
                <w:lang w:val="lv-LV"/>
              </w:rPr>
              <w:t>minimis</w:t>
            </w:r>
            <w:proofErr w:type="spellEnd"/>
            <w:r>
              <w:rPr>
                <w:sz w:val="26"/>
                <w:szCs w:val="26"/>
                <w:lang w:val="lv-LV"/>
              </w:rPr>
              <w:t xml:space="preserve"> regulu spēkā stāšanos.</w:t>
            </w:r>
          </w:p>
          <w:p w:rsidR="001E6651" w:rsidRDefault="000E76F0" w:rsidP="001E6651">
            <w:pPr>
              <w:ind w:firstLine="567"/>
              <w:jc w:val="both"/>
              <w:rPr>
                <w:sz w:val="26"/>
                <w:szCs w:val="26"/>
                <w:lang w:val="lv-LV"/>
              </w:rPr>
            </w:pPr>
            <w:r>
              <w:rPr>
                <w:sz w:val="26"/>
                <w:szCs w:val="26"/>
                <w:lang w:val="lv-LV"/>
              </w:rPr>
              <w:t>P</w:t>
            </w:r>
            <w:r w:rsidR="008B3A38">
              <w:rPr>
                <w:sz w:val="26"/>
                <w:szCs w:val="26"/>
                <w:lang w:val="lv-LV"/>
              </w:rPr>
              <w:t xml:space="preserve">rogrammas ietvaros pieejamais finansējums ir izsmelts,  </w:t>
            </w:r>
            <w:r w:rsidR="00B6155C">
              <w:rPr>
                <w:sz w:val="26"/>
                <w:szCs w:val="26"/>
                <w:lang w:val="lv-LV"/>
              </w:rPr>
              <w:t xml:space="preserve">2013.gada </w:t>
            </w:r>
            <w:r w:rsidR="008B3A38">
              <w:rPr>
                <w:sz w:val="26"/>
                <w:szCs w:val="26"/>
                <w:lang w:val="lv-LV"/>
              </w:rPr>
              <w:t xml:space="preserve">augustā notika pēdējo lēmumu pieņemšana par programmas ietvaros pieejamo finansējumu. </w:t>
            </w:r>
            <w:proofErr w:type="spellStart"/>
            <w:r w:rsidR="00B8141A" w:rsidRPr="0094634F">
              <w:rPr>
                <w:rFonts w:eastAsia="Times New Roman"/>
                <w:bCs/>
                <w:sz w:val="26"/>
                <w:szCs w:val="26"/>
                <w:u w:val="single"/>
              </w:rPr>
              <w:t>Kopš</w:t>
            </w:r>
            <w:proofErr w:type="spellEnd"/>
            <w:r w:rsidR="00B8141A" w:rsidRPr="0094634F">
              <w:rPr>
                <w:rFonts w:eastAsia="Times New Roman"/>
                <w:bCs/>
                <w:sz w:val="26"/>
                <w:szCs w:val="26"/>
                <w:u w:val="single"/>
              </w:rPr>
              <w:t xml:space="preserve"> 2013.gada </w:t>
            </w:r>
            <w:proofErr w:type="spellStart"/>
            <w:r w:rsidR="00B8141A" w:rsidRPr="0094634F">
              <w:rPr>
                <w:rFonts w:eastAsia="Times New Roman"/>
                <w:bCs/>
                <w:sz w:val="26"/>
                <w:szCs w:val="26"/>
                <w:u w:val="single"/>
              </w:rPr>
              <w:t>septembra</w:t>
            </w:r>
            <w:proofErr w:type="spellEnd"/>
            <w:r w:rsidR="00B8141A" w:rsidRPr="0094634F">
              <w:rPr>
                <w:rFonts w:eastAsia="Times New Roman"/>
                <w:bCs/>
                <w:sz w:val="26"/>
                <w:szCs w:val="26"/>
                <w:u w:val="single"/>
              </w:rPr>
              <w:t xml:space="preserve"> </w:t>
            </w:r>
            <w:proofErr w:type="spellStart"/>
            <w:r w:rsidR="00B8141A" w:rsidRPr="0094634F">
              <w:rPr>
                <w:rFonts w:eastAsia="Times New Roman"/>
                <w:bCs/>
                <w:sz w:val="26"/>
                <w:szCs w:val="26"/>
                <w:u w:val="single"/>
              </w:rPr>
              <w:t>turpinās</w:t>
            </w:r>
            <w:proofErr w:type="spellEnd"/>
            <w:r w:rsidR="00B8141A" w:rsidRPr="0094634F">
              <w:rPr>
                <w:rFonts w:eastAsia="Times New Roman"/>
                <w:bCs/>
                <w:sz w:val="26"/>
                <w:szCs w:val="26"/>
                <w:u w:val="single"/>
              </w:rPr>
              <w:t xml:space="preserve"> </w:t>
            </w:r>
            <w:proofErr w:type="spellStart"/>
            <w:r w:rsidR="00B8141A" w:rsidRPr="0094634F">
              <w:rPr>
                <w:rFonts w:eastAsia="Times New Roman"/>
                <w:bCs/>
                <w:sz w:val="26"/>
                <w:szCs w:val="26"/>
                <w:u w:val="single"/>
              </w:rPr>
              <w:t>jaunu</w:t>
            </w:r>
            <w:proofErr w:type="spellEnd"/>
            <w:r w:rsidR="00B8141A" w:rsidRPr="0094634F">
              <w:rPr>
                <w:rFonts w:eastAsia="Times New Roman"/>
                <w:bCs/>
                <w:sz w:val="26"/>
                <w:szCs w:val="26"/>
                <w:u w:val="single"/>
              </w:rPr>
              <w:t xml:space="preserve"> </w:t>
            </w:r>
            <w:proofErr w:type="spellStart"/>
            <w:r w:rsidR="00B8141A" w:rsidRPr="0094634F">
              <w:rPr>
                <w:rFonts w:eastAsia="Times New Roman"/>
                <w:bCs/>
                <w:sz w:val="26"/>
                <w:szCs w:val="26"/>
                <w:u w:val="single"/>
              </w:rPr>
              <w:t>mikro</w:t>
            </w:r>
            <w:proofErr w:type="spellEnd"/>
            <w:r w:rsidR="00B8141A" w:rsidRPr="0094634F">
              <w:rPr>
                <w:rFonts w:eastAsia="Times New Roman"/>
                <w:bCs/>
                <w:sz w:val="26"/>
                <w:szCs w:val="26"/>
                <w:u w:val="single"/>
              </w:rPr>
              <w:t xml:space="preserve"> </w:t>
            </w:r>
            <w:proofErr w:type="spellStart"/>
            <w:r w:rsidR="00B8141A" w:rsidRPr="0094634F">
              <w:rPr>
                <w:rFonts w:eastAsia="Times New Roman"/>
                <w:bCs/>
                <w:sz w:val="26"/>
                <w:szCs w:val="26"/>
                <w:u w:val="single"/>
              </w:rPr>
              <w:t>aizdevumu</w:t>
            </w:r>
            <w:proofErr w:type="spellEnd"/>
            <w:r w:rsidR="00B8141A" w:rsidRPr="0094634F">
              <w:rPr>
                <w:rFonts w:eastAsia="Times New Roman"/>
                <w:bCs/>
                <w:sz w:val="26"/>
                <w:szCs w:val="26"/>
                <w:u w:val="single"/>
              </w:rPr>
              <w:t xml:space="preserve"> </w:t>
            </w:r>
            <w:proofErr w:type="spellStart"/>
            <w:r w:rsidR="00B8141A" w:rsidRPr="0094634F">
              <w:rPr>
                <w:rFonts w:eastAsia="Times New Roman"/>
                <w:bCs/>
                <w:sz w:val="26"/>
                <w:szCs w:val="26"/>
                <w:u w:val="single"/>
              </w:rPr>
              <w:t>piešķiršana</w:t>
            </w:r>
            <w:proofErr w:type="spellEnd"/>
            <w:r w:rsidR="00B8141A" w:rsidRPr="0094634F">
              <w:rPr>
                <w:rFonts w:eastAsia="Times New Roman"/>
                <w:bCs/>
                <w:sz w:val="26"/>
                <w:szCs w:val="26"/>
                <w:u w:val="single"/>
              </w:rPr>
              <w:t xml:space="preserve"> no </w:t>
            </w:r>
            <w:proofErr w:type="spellStart"/>
            <w:r w:rsidR="00B8141A" w:rsidRPr="0094634F">
              <w:rPr>
                <w:rFonts w:eastAsia="Times New Roman"/>
                <w:bCs/>
                <w:sz w:val="26"/>
                <w:szCs w:val="26"/>
                <w:u w:val="single"/>
              </w:rPr>
              <w:t>atmaksām</w:t>
            </w:r>
            <w:proofErr w:type="spellEnd"/>
            <w:r w:rsidR="00B8141A" w:rsidRPr="00716874">
              <w:rPr>
                <w:rFonts w:eastAsia="Times New Roman"/>
                <w:bCs/>
                <w:sz w:val="26"/>
                <w:szCs w:val="26"/>
              </w:rPr>
              <w:t xml:space="preserve">, </w:t>
            </w:r>
            <w:proofErr w:type="spellStart"/>
            <w:r w:rsidR="00B8141A" w:rsidRPr="00716874">
              <w:rPr>
                <w:rFonts w:eastAsia="Times New Roman"/>
                <w:bCs/>
                <w:sz w:val="26"/>
                <w:szCs w:val="26"/>
              </w:rPr>
              <w:t>vidēji</w:t>
            </w:r>
            <w:proofErr w:type="spellEnd"/>
            <w:r w:rsidR="00B8141A" w:rsidRPr="00716874">
              <w:rPr>
                <w:rFonts w:eastAsia="Times New Roman"/>
                <w:bCs/>
                <w:sz w:val="26"/>
                <w:szCs w:val="26"/>
              </w:rPr>
              <w:t xml:space="preserve"> </w:t>
            </w:r>
            <w:proofErr w:type="spellStart"/>
            <w:r w:rsidR="00B8141A" w:rsidRPr="00716874">
              <w:rPr>
                <w:rFonts w:eastAsia="Times New Roman"/>
                <w:bCs/>
                <w:sz w:val="26"/>
                <w:szCs w:val="26"/>
              </w:rPr>
              <w:t>mēnesī</w:t>
            </w:r>
            <w:proofErr w:type="spellEnd"/>
            <w:r w:rsidR="00B8141A" w:rsidRPr="00716874">
              <w:rPr>
                <w:rFonts w:eastAsia="Times New Roman"/>
                <w:bCs/>
                <w:sz w:val="26"/>
                <w:szCs w:val="26"/>
              </w:rPr>
              <w:t xml:space="preserve"> </w:t>
            </w:r>
            <w:proofErr w:type="spellStart"/>
            <w:r w:rsidR="00B8141A" w:rsidRPr="00716874">
              <w:rPr>
                <w:rFonts w:eastAsia="Times New Roman"/>
                <w:bCs/>
                <w:sz w:val="26"/>
                <w:szCs w:val="26"/>
              </w:rPr>
              <w:t>tiek</w:t>
            </w:r>
            <w:proofErr w:type="spellEnd"/>
            <w:r w:rsidR="00B8141A" w:rsidRPr="00716874">
              <w:rPr>
                <w:rFonts w:eastAsia="Times New Roman"/>
                <w:bCs/>
                <w:sz w:val="26"/>
                <w:szCs w:val="26"/>
              </w:rPr>
              <w:t xml:space="preserve"> </w:t>
            </w:r>
            <w:proofErr w:type="spellStart"/>
            <w:r w:rsidR="00B8141A" w:rsidRPr="00716874">
              <w:rPr>
                <w:rFonts w:eastAsia="Times New Roman"/>
                <w:bCs/>
                <w:sz w:val="26"/>
                <w:szCs w:val="26"/>
              </w:rPr>
              <w:t>piešķirti</w:t>
            </w:r>
            <w:proofErr w:type="spellEnd"/>
            <w:r w:rsidR="00B8141A" w:rsidRPr="00716874">
              <w:rPr>
                <w:rFonts w:eastAsia="Times New Roman"/>
                <w:bCs/>
                <w:sz w:val="26"/>
                <w:szCs w:val="26"/>
              </w:rPr>
              <w:t xml:space="preserve"> </w:t>
            </w:r>
            <w:proofErr w:type="spellStart"/>
            <w:r w:rsidR="00B8141A" w:rsidRPr="00716874">
              <w:rPr>
                <w:rFonts w:eastAsia="Times New Roman"/>
                <w:bCs/>
                <w:sz w:val="26"/>
                <w:szCs w:val="26"/>
              </w:rPr>
              <w:t>mikro</w:t>
            </w:r>
            <w:proofErr w:type="spellEnd"/>
            <w:r w:rsidR="00B8141A" w:rsidRPr="00716874">
              <w:rPr>
                <w:rFonts w:eastAsia="Times New Roman"/>
                <w:bCs/>
                <w:sz w:val="26"/>
                <w:szCs w:val="26"/>
              </w:rPr>
              <w:t xml:space="preserve"> </w:t>
            </w:r>
            <w:proofErr w:type="spellStart"/>
            <w:r w:rsidR="00B8141A" w:rsidRPr="00716874">
              <w:rPr>
                <w:rFonts w:eastAsia="Times New Roman"/>
                <w:bCs/>
                <w:sz w:val="26"/>
                <w:szCs w:val="26"/>
              </w:rPr>
              <w:t>aizdevumi</w:t>
            </w:r>
            <w:proofErr w:type="spellEnd"/>
            <w:r w:rsidR="00B8141A" w:rsidRPr="00716874">
              <w:rPr>
                <w:rFonts w:eastAsia="Times New Roman"/>
                <w:bCs/>
                <w:sz w:val="26"/>
                <w:szCs w:val="26"/>
              </w:rPr>
              <w:t xml:space="preserve"> 100 </w:t>
            </w:r>
            <w:proofErr w:type="spellStart"/>
            <w:r w:rsidR="00B8141A" w:rsidRPr="00716874">
              <w:rPr>
                <w:rFonts w:eastAsia="Times New Roman"/>
                <w:bCs/>
                <w:sz w:val="26"/>
                <w:szCs w:val="26"/>
              </w:rPr>
              <w:t>tūkst</w:t>
            </w:r>
            <w:proofErr w:type="spellEnd"/>
            <w:r w:rsidR="00B8141A" w:rsidRPr="00716874">
              <w:rPr>
                <w:rFonts w:eastAsia="Times New Roman"/>
                <w:bCs/>
                <w:sz w:val="26"/>
                <w:szCs w:val="26"/>
              </w:rPr>
              <w:t xml:space="preserve">. LVL. </w:t>
            </w:r>
            <w:proofErr w:type="spellStart"/>
            <w:r w:rsidR="00E237AA" w:rsidRPr="008B3A38">
              <w:rPr>
                <w:rFonts w:eastAsia="Times New Roman"/>
                <w:bCs/>
                <w:sz w:val="26"/>
                <w:szCs w:val="26"/>
              </w:rPr>
              <w:t>Termiņa</w:t>
            </w:r>
            <w:proofErr w:type="spellEnd"/>
            <w:r w:rsidR="00E237AA" w:rsidRPr="008B3A38">
              <w:rPr>
                <w:rFonts w:eastAsia="Times New Roman"/>
                <w:bCs/>
                <w:sz w:val="26"/>
                <w:szCs w:val="26"/>
              </w:rPr>
              <w:t xml:space="preserve"> </w:t>
            </w:r>
            <w:proofErr w:type="spellStart"/>
            <w:r w:rsidR="00E237AA" w:rsidRPr="008B3A38">
              <w:rPr>
                <w:rFonts w:eastAsia="Times New Roman"/>
                <w:bCs/>
                <w:sz w:val="26"/>
                <w:szCs w:val="26"/>
              </w:rPr>
              <w:t>pagarinājums</w:t>
            </w:r>
            <w:proofErr w:type="spellEnd"/>
            <w:r w:rsidR="00E237AA" w:rsidRPr="008B3A38">
              <w:rPr>
                <w:rFonts w:eastAsia="Times New Roman"/>
                <w:bCs/>
                <w:sz w:val="26"/>
                <w:szCs w:val="26"/>
              </w:rPr>
              <w:t xml:space="preserve"> dos </w:t>
            </w:r>
            <w:proofErr w:type="spellStart"/>
            <w:r w:rsidR="00E237AA" w:rsidRPr="008B3A38">
              <w:rPr>
                <w:rFonts w:eastAsia="Times New Roman"/>
                <w:bCs/>
                <w:sz w:val="26"/>
                <w:szCs w:val="26"/>
              </w:rPr>
              <w:t>iespēju</w:t>
            </w:r>
            <w:proofErr w:type="spellEnd"/>
            <w:r w:rsidR="00E237AA" w:rsidRPr="008B3A38">
              <w:rPr>
                <w:rFonts w:eastAsia="Times New Roman"/>
                <w:bCs/>
                <w:sz w:val="26"/>
                <w:szCs w:val="26"/>
              </w:rPr>
              <w:t xml:space="preserve"> </w:t>
            </w:r>
            <w:proofErr w:type="spellStart"/>
            <w:r w:rsidR="00E237AA" w:rsidRPr="008B3A38">
              <w:rPr>
                <w:rFonts w:eastAsia="Times New Roman"/>
                <w:bCs/>
                <w:sz w:val="26"/>
                <w:szCs w:val="26"/>
              </w:rPr>
              <w:t>papildus</w:t>
            </w:r>
            <w:proofErr w:type="spellEnd"/>
            <w:r w:rsidR="00E237AA" w:rsidRPr="008B3A38">
              <w:rPr>
                <w:rFonts w:eastAsia="Times New Roman"/>
                <w:bCs/>
                <w:sz w:val="26"/>
                <w:szCs w:val="26"/>
              </w:rPr>
              <w:t xml:space="preserve"> </w:t>
            </w:r>
            <w:proofErr w:type="spellStart"/>
            <w:r w:rsidR="00E237AA" w:rsidRPr="008B3A38">
              <w:rPr>
                <w:rFonts w:eastAsia="Times New Roman"/>
                <w:bCs/>
                <w:sz w:val="26"/>
                <w:szCs w:val="26"/>
              </w:rPr>
              <w:t>atbalstīt</w:t>
            </w:r>
            <w:proofErr w:type="spellEnd"/>
            <w:r w:rsidR="00E237AA" w:rsidRPr="008B3A38">
              <w:rPr>
                <w:rFonts w:eastAsia="Times New Roman"/>
                <w:bCs/>
                <w:sz w:val="26"/>
                <w:szCs w:val="26"/>
              </w:rPr>
              <w:t xml:space="preserve"> </w:t>
            </w:r>
            <w:proofErr w:type="spellStart"/>
            <w:r w:rsidR="00E237AA" w:rsidRPr="008B3A38">
              <w:rPr>
                <w:rFonts w:eastAsia="Times New Roman"/>
                <w:bCs/>
                <w:sz w:val="26"/>
                <w:szCs w:val="26"/>
              </w:rPr>
              <w:t>aptuveni</w:t>
            </w:r>
            <w:proofErr w:type="spellEnd"/>
            <w:r w:rsidR="00E237AA" w:rsidRPr="008B3A38">
              <w:rPr>
                <w:rFonts w:eastAsia="Times New Roman"/>
                <w:bCs/>
                <w:sz w:val="26"/>
                <w:szCs w:val="26"/>
              </w:rPr>
              <w:t xml:space="preserve"> 100 </w:t>
            </w:r>
            <w:proofErr w:type="spellStart"/>
            <w:r w:rsidR="00E237AA" w:rsidRPr="008B3A38">
              <w:rPr>
                <w:rFonts w:eastAsia="Times New Roman"/>
                <w:bCs/>
                <w:sz w:val="26"/>
                <w:szCs w:val="26"/>
              </w:rPr>
              <w:t>mikro</w:t>
            </w:r>
            <w:proofErr w:type="spellEnd"/>
            <w:r w:rsidR="00E237AA" w:rsidRPr="008B3A38">
              <w:rPr>
                <w:rFonts w:eastAsia="Times New Roman"/>
                <w:bCs/>
                <w:sz w:val="26"/>
                <w:szCs w:val="26"/>
              </w:rPr>
              <w:t xml:space="preserve"> </w:t>
            </w:r>
            <w:proofErr w:type="spellStart"/>
            <w:r w:rsidR="00E237AA" w:rsidRPr="008B3A38">
              <w:rPr>
                <w:rFonts w:eastAsia="Times New Roman"/>
                <w:bCs/>
                <w:sz w:val="26"/>
                <w:szCs w:val="26"/>
              </w:rPr>
              <w:t>uzņēmumu</w:t>
            </w:r>
            <w:proofErr w:type="spellEnd"/>
            <w:r w:rsidR="00E237AA" w:rsidRPr="008B3A38">
              <w:rPr>
                <w:rFonts w:eastAsia="Times New Roman"/>
                <w:bCs/>
                <w:sz w:val="26"/>
                <w:szCs w:val="26"/>
              </w:rPr>
              <w:t xml:space="preserve"> </w:t>
            </w:r>
            <w:proofErr w:type="spellStart"/>
            <w:r w:rsidR="00E237AA" w:rsidRPr="008B3A38">
              <w:rPr>
                <w:rFonts w:eastAsia="Times New Roman"/>
                <w:bCs/>
                <w:sz w:val="26"/>
                <w:szCs w:val="26"/>
              </w:rPr>
              <w:t>projektus</w:t>
            </w:r>
            <w:proofErr w:type="spellEnd"/>
            <w:r w:rsidR="00E237AA" w:rsidRPr="008B3A38">
              <w:rPr>
                <w:rFonts w:eastAsia="Times New Roman"/>
                <w:bCs/>
                <w:sz w:val="26"/>
                <w:szCs w:val="26"/>
              </w:rPr>
              <w:t xml:space="preserve"> 0,6 </w:t>
            </w:r>
            <w:proofErr w:type="spellStart"/>
            <w:r w:rsidR="00E237AA" w:rsidRPr="008B3A38">
              <w:rPr>
                <w:rFonts w:eastAsia="Times New Roman"/>
                <w:bCs/>
                <w:sz w:val="26"/>
                <w:szCs w:val="26"/>
              </w:rPr>
              <w:t>milj</w:t>
            </w:r>
            <w:proofErr w:type="spellEnd"/>
            <w:r w:rsidR="00E237AA" w:rsidRPr="008B3A38">
              <w:rPr>
                <w:rFonts w:eastAsia="Times New Roman"/>
                <w:bCs/>
                <w:sz w:val="26"/>
                <w:szCs w:val="26"/>
              </w:rPr>
              <w:t xml:space="preserve">. </w:t>
            </w:r>
            <w:proofErr w:type="spellStart"/>
            <w:r w:rsidR="00E237AA" w:rsidRPr="008B3A38">
              <w:rPr>
                <w:rFonts w:eastAsia="Times New Roman"/>
                <w:bCs/>
                <w:sz w:val="26"/>
                <w:szCs w:val="26"/>
              </w:rPr>
              <w:t>latu</w:t>
            </w:r>
            <w:proofErr w:type="spellEnd"/>
            <w:r w:rsidR="00E237AA" w:rsidRPr="008B3A38">
              <w:rPr>
                <w:rFonts w:eastAsia="Times New Roman"/>
                <w:bCs/>
                <w:sz w:val="26"/>
                <w:szCs w:val="26"/>
              </w:rPr>
              <w:t xml:space="preserve"> </w:t>
            </w:r>
            <w:proofErr w:type="spellStart"/>
            <w:r w:rsidR="00E237AA" w:rsidRPr="008B3A38">
              <w:rPr>
                <w:rFonts w:eastAsia="Times New Roman"/>
                <w:bCs/>
                <w:sz w:val="26"/>
                <w:szCs w:val="26"/>
              </w:rPr>
              <w:t>apmērā</w:t>
            </w:r>
            <w:proofErr w:type="spellEnd"/>
            <w:r w:rsidR="00E237AA" w:rsidRPr="008B3A38">
              <w:rPr>
                <w:rFonts w:eastAsia="Times New Roman"/>
                <w:bCs/>
                <w:sz w:val="26"/>
                <w:szCs w:val="26"/>
              </w:rPr>
              <w:t>.</w:t>
            </w:r>
            <w:r w:rsidR="00E237AA">
              <w:rPr>
                <w:sz w:val="26"/>
                <w:szCs w:val="26"/>
                <w:lang w:val="lv-LV"/>
              </w:rPr>
              <w:t xml:space="preserve"> </w:t>
            </w:r>
            <w:r w:rsidR="001E6651">
              <w:rPr>
                <w:sz w:val="26"/>
                <w:szCs w:val="26"/>
                <w:lang w:val="lv-LV"/>
              </w:rPr>
              <w:t xml:space="preserve"> </w:t>
            </w:r>
            <w:r w:rsidR="001C6979">
              <w:rPr>
                <w:sz w:val="26"/>
                <w:szCs w:val="26"/>
                <w:lang w:val="lv-LV"/>
              </w:rPr>
              <w:t xml:space="preserve">Kopš 2013.gada </w:t>
            </w:r>
            <w:r w:rsidR="00DA5256">
              <w:rPr>
                <w:sz w:val="26"/>
                <w:szCs w:val="26"/>
                <w:lang w:val="lv-LV"/>
              </w:rPr>
              <w:t>23.</w:t>
            </w:r>
            <w:r w:rsidR="001C6979">
              <w:rPr>
                <w:sz w:val="26"/>
                <w:szCs w:val="26"/>
                <w:lang w:val="lv-LV"/>
              </w:rPr>
              <w:t xml:space="preserve">augusta, kad tika izsmelts pieejamais finansējums grantiem, jauni granti vairs netiek </w:t>
            </w:r>
            <w:r w:rsidR="001E6651">
              <w:rPr>
                <w:sz w:val="26"/>
                <w:szCs w:val="26"/>
                <w:lang w:val="lv-LV"/>
              </w:rPr>
              <w:t xml:space="preserve">piešķirti, bet LHZB turpina </w:t>
            </w:r>
            <w:r w:rsidR="001E6651" w:rsidRPr="001E6651">
              <w:rPr>
                <w:sz w:val="26"/>
                <w:szCs w:val="26"/>
                <w:lang w:val="lv-LV"/>
              </w:rPr>
              <w:t>iepri</w:t>
            </w:r>
            <w:r w:rsidR="001E6651">
              <w:rPr>
                <w:sz w:val="26"/>
                <w:szCs w:val="26"/>
                <w:lang w:val="lv-LV"/>
              </w:rPr>
              <w:t>ekš piešķirto grantu izsniegšanu.</w:t>
            </w:r>
          </w:p>
          <w:p w:rsidR="002428B8" w:rsidRPr="002428B8" w:rsidRDefault="000275AB" w:rsidP="002428B8">
            <w:pPr>
              <w:ind w:firstLine="567"/>
              <w:jc w:val="both"/>
              <w:rPr>
                <w:sz w:val="26"/>
                <w:szCs w:val="26"/>
                <w:lang w:val="lv-LV"/>
              </w:rPr>
            </w:pPr>
            <w:r w:rsidRPr="008D264E">
              <w:rPr>
                <w:sz w:val="26"/>
                <w:szCs w:val="26"/>
                <w:lang w:val="lv-LV"/>
              </w:rPr>
              <w:t xml:space="preserve">Ņemot vērā, ka ar 2014.gada 1.janvāri Latvijā plānots ieviest </w:t>
            </w:r>
            <w:proofErr w:type="spellStart"/>
            <w:r w:rsidRPr="00441BAE">
              <w:rPr>
                <w:i/>
                <w:sz w:val="26"/>
                <w:szCs w:val="26"/>
                <w:lang w:val="lv-LV"/>
              </w:rPr>
              <w:t>euro</w:t>
            </w:r>
            <w:proofErr w:type="spellEnd"/>
            <w:r w:rsidRPr="008D264E">
              <w:rPr>
                <w:sz w:val="26"/>
                <w:szCs w:val="26"/>
                <w:lang w:val="lv-LV"/>
              </w:rPr>
              <w:t>, ir nepieciešams veikt</w:t>
            </w:r>
            <w:r>
              <w:rPr>
                <w:sz w:val="26"/>
                <w:szCs w:val="26"/>
                <w:lang w:val="lv-LV"/>
              </w:rPr>
              <w:t xml:space="preserve"> grozījumus MK noteikumos Nr.</w:t>
            </w:r>
            <w:r w:rsidR="00E237AA">
              <w:rPr>
                <w:sz w:val="26"/>
                <w:szCs w:val="26"/>
                <w:lang w:val="lv-LV"/>
              </w:rPr>
              <w:t>698,</w:t>
            </w:r>
            <w:r w:rsidRPr="008D264E">
              <w:rPr>
                <w:sz w:val="26"/>
                <w:szCs w:val="26"/>
                <w:lang w:val="lv-LV"/>
              </w:rPr>
              <w:t xml:space="preserve"> aizstājot tajā latus ar </w:t>
            </w:r>
            <w:proofErr w:type="spellStart"/>
            <w:r w:rsidRPr="00441BAE">
              <w:rPr>
                <w:i/>
                <w:sz w:val="26"/>
                <w:szCs w:val="26"/>
                <w:lang w:val="lv-LV"/>
              </w:rPr>
              <w:t>euro</w:t>
            </w:r>
            <w:proofErr w:type="spellEnd"/>
            <w:r w:rsidRPr="008D264E">
              <w:rPr>
                <w:sz w:val="26"/>
                <w:szCs w:val="26"/>
                <w:lang w:val="lv-LV"/>
              </w:rPr>
              <w:t xml:space="preserve">. </w:t>
            </w:r>
            <w:r w:rsidR="00F1704E">
              <w:rPr>
                <w:sz w:val="26"/>
                <w:szCs w:val="26"/>
                <w:lang w:val="lv-LV"/>
              </w:rPr>
              <w:t>Līdzšinēji MK noteikumos Nr.698 summas tika norādītas CHF. Ņemot vērā, ka aizdevumu fonds ir veidots latos, n</w:t>
            </w:r>
            <w:r w:rsidRPr="008D264E">
              <w:rPr>
                <w:sz w:val="26"/>
                <w:szCs w:val="26"/>
                <w:lang w:val="lv-LV"/>
              </w:rPr>
              <w:t xml:space="preserve">oteikumu projekts paredz izteikt summas </w:t>
            </w:r>
            <w:proofErr w:type="spellStart"/>
            <w:r w:rsidRPr="00441BAE">
              <w:rPr>
                <w:i/>
                <w:sz w:val="26"/>
                <w:szCs w:val="26"/>
                <w:lang w:val="lv-LV"/>
              </w:rPr>
              <w:t>euro</w:t>
            </w:r>
            <w:proofErr w:type="spellEnd"/>
            <w:r w:rsidR="00F1704E">
              <w:rPr>
                <w:i/>
                <w:sz w:val="26"/>
                <w:szCs w:val="26"/>
                <w:lang w:val="lv-LV"/>
              </w:rPr>
              <w:t xml:space="preserve"> </w:t>
            </w:r>
            <w:r w:rsidR="00F1704E" w:rsidRPr="00F1704E">
              <w:rPr>
                <w:sz w:val="26"/>
                <w:szCs w:val="26"/>
                <w:lang w:val="lv-LV"/>
              </w:rPr>
              <w:t>un iekavās CHF</w:t>
            </w:r>
            <w:r w:rsidRPr="008D264E">
              <w:rPr>
                <w:sz w:val="26"/>
                <w:szCs w:val="26"/>
                <w:lang w:val="lv-LV"/>
              </w:rPr>
              <w:t xml:space="preserve"> un noteikt, ka līdz 201</w:t>
            </w:r>
            <w:r w:rsidR="002428B8">
              <w:rPr>
                <w:sz w:val="26"/>
                <w:szCs w:val="26"/>
                <w:lang w:val="lv-LV"/>
              </w:rPr>
              <w:t>3</w:t>
            </w:r>
            <w:r w:rsidRPr="008D264E">
              <w:rPr>
                <w:sz w:val="26"/>
                <w:szCs w:val="26"/>
                <w:lang w:val="lv-LV"/>
              </w:rPr>
              <w:t xml:space="preserve">.gada </w:t>
            </w:r>
            <w:r w:rsidR="002428B8">
              <w:rPr>
                <w:sz w:val="26"/>
                <w:szCs w:val="26"/>
                <w:lang w:val="lv-LV"/>
              </w:rPr>
              <w:t>31.decembrim</w:t>
            </w:r>
            <w:r w:rsidRPr="008D264E">
              <w:rPr>
                <w:sz w:val="26"/>
                <w:szCs w:val="26"/>
                <w:lang w:val="lv-LV"/>
              </w:rPr>
              <w:t xml:space="preserve"> norēķinus veic latos</w:t>
            </w:r>
            <w:r w:rsidR="002428B8">
              <w:rPr>
                <w:sz w:val="26"/>
                <w:szCs w:val="26"/>
                <w:lang w:val="lv-LV"/>
              </w:rPr>
              <w:t xml:space="preserve">. </w:t>
            </w:r>
            <w:r w:rsidR="002428B8" w:rsidRPr="002428B8">
              <w:rPr>
                <w:sz w:val="26"/>
                <w:szCs w:val="26"/>
                <w:lang w:val="lv-LV"/>
              </w:rPr>
              <w:t xml:space="preserve">Konvertējot noteikumu projekta 5.punktā noteiktās summas ir piemēroti </w:t>
            </w:r>
            <w:proofErr w:type="spellStart"/>
            <w:r w:rsidR="002428B8" w:rsidRPr="002428B8">
              <w:rPr>
                <w:i/>
                <w:sz w:val="26"/>
                <w:szCs w:val="26"/>
                <w:lang w:val="lv-LV"/>
              </w:rPr>
              <w:t>Euro</w:t>
            </w:r>
            <w:proofErr w:type="spellEnd"/>
            <w:r w:rsidR="002428B8" w:rsidRPr="002428B8">
              <w:rPr>
                <w:sz w:val="26"/>
                <w:szCs w:val="26"/>
                <w:lang w:val="lv-LV"/>
              </w:rPr>
              <w:t xml:space="preserve"> ieviešanas kārtības likuma 32.pantā noteiktie pri</w:t>
            </w:r>
            <w:r w:rsidR="002428B8">
              <w:rPr>
                <w:sz w:val="26"/>
                <w:szCs w:val="26"/>
                <w:lang w:val="lv-LV"/>
              </w:rPr>
              <w:t>ncipi, vienlaikus ņemot vērā</w:t>
            </w:r>
            <w:r w:rsidR="002428B8" w:rsidRPr="002428B8">
              <w:rPr>
                <w:sz w:val="26"/>
                <w:szCs w:val="26"/>
                <w:lang w:val="lv-LV"/>
              </w:rPr>
              <w:t xml:space="preserve"> programmas finansējuma piešķiršanas principu veselos skaitļos. </w:t>
            </w:r>
            <w:proofErr w:type="spellStart"/>
            <w:r w:rsidR="002428B8" w:rsidRPr="002428B8">
              <w:rPr>
                <w:sz w:val="26"/>
                <w:szCs w:val="26"/>
                <w:lang w:val="lv-LV"/>
              </w:rPr>
              <w:t>Apakšsummu</w:t>
            </w:r>
            <w:proofErr w:type="spellEnd"/>
            <w:r w:rsidR="002428B8" w:rsidRPr="002428B8">
              <w:rPr>
                <w:sz w:val="26"/>
                <w:szCs w:val="26"/>
                <w:lang w:val="lv-LV"/>
              </w:rPr>
              <w:t xml:space="preserve"> konvertācija veikta matemātiski, nepārsniedzot finansējuma kopsummas vērtību.</w:t>
            </w:r>
          </w:p>
          <w:p w:rsidR="000275AB" w:rsidRPr="000275AB" w:rsidRDefault="002428B8" w:rsidP="002428B8">
            <w:pPr>
              <w:ind w:firstLine="567"/>
              <w:jc w:val="both"/>
              <w:rPr>
                <w:sz w:val="26"/>
                <w:szCs w:val="26"/>
                <w:lang w:val="lv-LV"/>
              </w:rPr>
            </w:pPr>
            <w:r w:rsidRPr="002428B8">
              <w:rPr>
                <w:sz w:val="26"/>
                <w:szCs w:val="26"/>
                <w:lang w:val="lv-LV"/>
              </w:rPr>
              <w:t xml:space="preserve">Konvertējot noteikumu projekta 12. un 13.punktā noteiktās summas, ir piemēroti </w:t>
            </w:r>
            <w:proofErr w:type="spellStart"/>
            <w:r w:rsidRPr="002428B8">
              <w:rPr>
                <w:i/>
                <w:sz w:val="26"/>
                <w:szCs w:val="26"/>
                <w:lang w:val="lv-LV"/>
              </w:rPr>
              <w:t>Euro</w:t>
            </w:r>
            <w:proofErr w:type="spellEnd"/>
            <w:r w:rsidRPr="002428B8">
              <w:rPr>
                <w:sz w:val="26"/>
                <w:szCs w:val="26"/>
                <w:lang w:val="lv-LV"/>
              </w:rPr>
              <w:t xml:space="preserve"> ieviešanas kārtības likuma 6.pantā noteiktie principi</w:t>
            </w:r>
            <w:r>
              <w:rPr>
                <w:sz w:val="26"/>
                <w:szCs w:val="26"/>
                <w:lang w:val="lv-LV"/>
              </w:rPr>
              <w:t>.</w:t>
            </w:r>
            <w:r w:rsidR="000275AB" w:rsidRPr="008D264E">
              <w:rPr>
                <w:sz w:val="26"/>
                <w:szCs w:val="26"/>
                <w:lang w:val="lv-LV"/>
              </w:rPr>
              <w:t xml:space="preserve"> Grozītās tiesību normas </w:t>
            </w:r>
            <w:proofErr w:type="spellStart"/>
            <w:r w:rsidR="000275AB" w:rsidRPr="00D9732B">
              <w:rPr>
                <w:i/>
                <w:sz w:val="26"/>
                <w:szCs w:val="26"/>
                <w:lang w:val="lv-LV"/>
              </w:rPr>
              <w:t>euro</w:t>
            </w:r>
            <w:proofErr w:type="spellEnd"/>
            <w:r w:rsidR="000275AB" w:rsidRPr="00D9732B">
              <w:rPr>
                <w:sz w:val="26"/>
                <w:szCs w:val="26"/>
                <w:lang w:val="lv-LV"/>
              </w:rPr>
              <w:t xml:space="preserve"> nav personām nelabvēlīgākas par sākotnējo tiesību normu latos </w:t>
            </w:r>
            <w:r w:rsidR="000275AB" w:rsidRPr="00D9732B">
              <w:rPr>
                <w:sz w:val="26"/>
                <w:szCs w:val="26"/>
                <w:lang w:val="lv-LV"/>
              </w:rPr>
              <w:t xml:space="preserve">un nerada vērā ņemamu negatīvu ietekmi uz valsts budžetu. </w:t>
            </w:r>
          </w:p>
        </w:tc>
      </w:tr>
      <w:tr w:rsidR="00A31FDC" w:rsidRPr="00235168" w:rsidTr="00A4363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Saistītie politikas ietekmes novērtējumi un pētījumi</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A31FDC" w:rsidP="00F22471">
            <w:pPr>
              <w:ind w:firstLine="720"/>
              <w:jc w:val="both"/>
              <w:rPr>
                <w:bCs/>
                <w:sz w:val="26"/>
                <w:szCs w:val="26"/>
                <w:lang w:val="lv-LV"/>
              </w:rPr>
            </w:pPr>
            <w:r w:rsidRPr="00235168">
              <w:rPr>
                <w:iCs/>
                <w:sz w:val="26"/>
                <w:szCs w:val="26"/>
                <w:lang w:val="lv-LV"/>
              </w:rPr>
              <w:t>Projekts šo jomu neskar</w:t>
            </w:r>
            <w:r w:rsidRPr="00235168">
              <w:rPr>
                <w:color w:val="000000"/>
                <w:sz w:val="26"/>
                <w:szCs w:val="26"/>
                <w:lang w:val="lv-LV"/>
              </w:rPr>
              <w:t xml:space="preserve">. </w:t>
            </w:r>
          </w:p>
        </w:tc>
      </w:tr>
    </w:tbl>
    <w:p w:rsidR="00C97F6E" w:rsidRPr="00235168" w:rsidRDefault="00C97F6E" w:rsidP="00F22471">
      <w:pPr>
        <w:jc w:val="both"/>
        <w:rPr>
          <w:rFonts w:eastAsia="Times New Roman"/>
          <w:sz w:val="26"/>
          <w:szCs w:val="26"/>
          <w:lang w:val="lv-LV" w:eastAsia="lv-LV"/>
        </w:rPr>
        <w:sectPr w:rsidR="00C97F6E" w:rsidRPr="00235168"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C97F6E" w:rsidRPr="00235168" w:rsidRDefault="00C97F6E" w:rsidP="00F22471">
      <w:pPr>
        <w:jc w:val="both"/>
        <w:rPr>
          <w:rFonts w:eastAsia="Times New Roman"/>
          <w:sz w:val="26"/>
          <w:szCs w:val="26"/>
          <w:lang w:val="lv-LV" w:eastAsia="lv-LV"/>
        </w:rPr>
        <w:sectPr w:rsidR="00C97F6E" w:rsidRPr="00235168" w:rsidSect="00C97F6E">
          <w:type w:val="continuous"/>
          <w:pgSz w:w="11906" w:h="16838"/>
          <w:pgMar w:top="1418" w:right="1134" w:bottom="1134" w:left="1701" w:header="709" w:footer="709" w:gutter="0"/>
          <w:cols w:space="708"/>
          <w:titlePg/>
          <w:docGrid w:linePitch="360"/>
        </w:sect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235168" w:rsidTr="00A43634">
        <w:trPr>
          <w:trHeight w:val="7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lastRenderedPageBreak/>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CC8" w:rsidRPr="008D264E" w:rsidRDefault="00457CC8" w:rsidP="00457CC8">
            <w:pPr>
              <w:ind w:firstLine="709"/>
              <w:jc w:val="both"/>
              <w:rPr>
                <w:bCs/>
                <w:sz w:val="26"/>
                <w:szCs w:val="26"/>
                <w:lang w:val="lv-LV"/>
              </w:rPr>
            </w:pPr>
            <w:r w:rsidRPr="008D264E">
              <w:rPr>
                <w:bCs/>
                <w:sz w:val="26"/>
                <w:szCs w:val="26"/>
                <w:lang w:val="lv-LV"/>
              </w:rPr>
              <w:t>Noteikumu projekts paredz veikt grozījumus MK noteikumos Nr.</w:t>
            </w:r>
            <w:r w:rsidR="00E237AA">
              <w:rPr>
                <w:bCs/>
                <w:sz w:val="26"/>
                <w:szCs w:val="26"/>
                <w:lang w:val="lv-LV"/>
              </w:rPr>
              <w:t>698</w:t>
            </w:r>
            <w:r w:rsidRPr="008D264E">
              <w:rPr>
                <w:bCs/>
                <w:sz w:val="26"/>
                <w:szCs w:val="26"/>
                <w:lang w:val="lv-LV"/>
              </w:rPr>
              <w:t>, izdarot šādas izmaiņas:</w:t>
            </w:r>
          </w:p>
          <w:p w:rsidR="00457CC8" w:rsidRPr="00457CC8" w:rsidRDefault="00457CC8" w:rsidP="009906DC">
            <w:pPr>
              <w:pStyle w:val="ListParagraph"/>
              <w:numPr>
                <w:ilvl w:val="0"/>
                <w:numId w:val="15"/>
              </w:numPr>
              <w:jc w:val="both"/>
              <w:rPr>
                <w:bCs/>
                <w:sz w:val="26"/>
                <w:szCs w:val="26"/>
                <w:lang w:val="lv-LV"/>
              </w:rPr>
            </w:pPr>
            <w:r>
              <w:rPr>
                <w:rFonts w:eastAsia="Times New Roman"/>
                <w:bCs/>
                <w:sz w:val="26"/>
                <w:szCs w:val="26"/>
              </w:rPr>
              <w:t xml:space="preserve"> </w:t>
            </w:r>
            <w:proofErr w:type="spellStart"/>
            <w:r w:rsidR="00D94B9B">
              <w:rPr>
                <w:rFonts w:eastAsia="Times New Roman"/>
                <w:bCs/>
                <w:sz w:val="26"/>
                <w:szCs w:val="26"/>
              </w:rPr>
              <w:t>palielināt</w:t>
            </w:r>
            <w:proofErr w:type="spellEnd"/>
            <w:r w:rsidR="00D94B9B">
              <w:rPr>
                <w:rFonts w:eastAsia="Times New Roman"/>
                <w:bCs/>
                <w:sz w:val="26"/>
                <w:szCs w:val="26"/>
              </w:rPr>
              <w:t xml:space="preserve"> </w:t>
            </w:r>
            <w:proofErr w:type="spellStart"/>
            <w:r w:rsidR="00D94B9B">
              <w:rPr>
                <w:rFonts w:eastAsia="Times New Roman"/>
                <w:bCs/>
                <w:sz w:val="26"/>
                <w:szCs w:val="26"/>
              </w:rPr>
              <w:t>programmā</w:t>
            </w:r>
            <w:proofErr w:type="spellEnd"/>
            <w:r w:rsidR="00D94B9B">
              <w:rPr>
                <w:rFonts w:eastAsia="Times New Roman"/>
                <w:bCs/>
                <w:sz w:val="26"/>
                <w:szCs w:val="26"/>
              </w:rPr>
              <w:t xml:space="preserve"> </w:t>
            </w:r>
            <w:proofErr w:type="spellStart"/>
            <w:r w:rsidR="00D94B9B">
              <w:rPr>
                <w:rFonts w:eastAsia="Times New Roman"/>
                <w:bCs/>
                <w:sz w:val="26"/>
                <w:szCs w:val="26"/>
              </w:rPr>
              <w:t>pieejamo</w:t>
            </w:r>
            <w:proofErr w:type="spellEnd"/>
            <w:r w:rsidR="00D94B9B">
              <w:rPr>
                <w:rFonts w:eastAsia="Times New Roman"/>
                <w:bCs/>
                <w:sz w:val="26"/>
                <w:szCs w:val="26"/>
              </w:rPr>
              <w:t xml:space="preserve"> </w:t>
            </w:r>
            <w:proofErr w:type="spellStart"/>
            <w:r w:rsidR="00D94B9B">
              <w:rPr>
                <w:rFonts w:eastAsia="Times New Roman"/>
                <w:bCs/>
                <w:sz w:val="26"/>
                <w:szCs w:val="26"/>
              </w:rPr>
              <w:t>finansējumu</w:t>
            </w:r>
            <w:proofErr w:type="spellEnd"/>
            <w:r>
              <w:rPr>
                <w:rFonts w:eastAsia="Times New Roman"/>
                <w:bCs/>
                <w:sz w:val="26"/>
                <w:szCs w:val="26"/>
              </w:rPr>
              <w:t>;</w:t>
            </w:r>
          </w:p>
          <w:p w:rsidR="00457CC8" w:rsidRDefault="00457CC8" w:rsidP="009906DC">
            <w:pPr>
              <w:pStyle w:val="ListParagraph"/>
              <w:numPr>
                <w:ilvl w:val="0"/>
                <w:numId w:val="15"/>
              </w:numPr>
              <w:jc w:val="both"/>
              <w:rPr>
                <w:bCs/>
                <w:sz w:val="26"/>
                <w:szCs w:val="26"/>
                <w:lang w:val="lv-LV"/>
              </w:rPr>
            </w:pPr>
            <w:r>
              <w:rPr>
                <w:bCs/>
                <w:sz w:val="26"/>
                <w:szCs w:val="26"/>
                <w:lang w:val="lv-LV"/>
              </w:rPr>
              <w:t xml:space="preserve">pagarināt </w:t>
            </w:r>
            <w:proofErr w:type="spellStart"/>
            <w:r w:rsidR="00E237AA">
              <w:rPr>
                <w:sz w:val="26"/>
                <w:szCs w:val="26"/>
                <w:lang w:val="lv-LV"/>
              </w:rPr>
              <w:t>mikroaizdevumu</w:t>
            </w:r>
            <w:proofErr w:type="spellEnd"/>
            <w:r>
              <w:rPr>
                <w:sz w:val="26"/>
                <w:szCs w:val="26"/>
                <w:lang w:val="lv-LV"/>
              </w:rPr>
              <w:t xml:space="preserve"> </w:t>
            </w:r>
            <w:r w:rsidR="00D94B9B">
              <w:rPr>
                <w:sz w:val="26"/>
                <w:szCs w:val="26"/>
                <w:lang w:val="lv-LV"/>
              </w:rPr>
              <w:t xml:space="preserve">līgumu noslēgšanas </w:t>
            </w:r>
            <w:r w:rsidR="00901246">
              <w:rPr>
                <w:sz w:val="26"/>
                <w:szCs w:val="26"/>
                <w:lang w:val="lv-LV"/>
              </w:rPr>
              <w:t xml:space="preserve">termiņu līdz 2014.gada </w:t>
            </w:r>
            <w:r>
              <w:rPr>
                <w:sz w:val="26"/>
                <w:szCs w:val="26"/>
                <w:lang w:val="lv-LV"/>
              </w:rPr>
              <w:t>30.</w:t>
            </w:r>
            <w:r w:rsidR="00376A40">
              <w:rPr>
                <w:sz w:val="26"/>
                <w:szCs w:val="26"/>
                <w:lang w:val="lv-LV"/>
              </w:rPr>
              <w:t>jūnijam</w:t>
            </w:r>
            <w:r>
              <w:rPr>
                <w:sz w:val="26"/>
                <w:szCs w:val="26"/>
                <w:lang w:val="lv-LV"/>
              </w:rPr>
              <w:t xml:space="preserve"> saskaņā ar Regulas Nr.1998/2006 5.panta 3.punktu</w:t>
            </w:r>
            <w:r w:rsidR="00901246">
              <w:rPr>
                <w:sz w:val="26"/>
                <w:szCs w:val="26"/>
                <w:lang w:val="lv-LV"/>
              </w:rPr>
              <w:t xml:space="preserve"> un Regulas Nr.1535</w:t>
            </w:r>
            <w:r w:rsidR="00D94B9B">
              <w:rPr>
                <w:sz w:val="26"/>
                <w:szCs w:val="26"/>
                <w:lang w:val="lv-LV"/>
              </w:rPr>
              <w:t>/2007 6.panta 3.punktu</w:t>
            </w:r>
            <w:r>
              <w:rPr>
                <w:sz w:val="26"/>
                <w:szCs w:val="26"/>
                <w:lang w:val="lv-LV"/>
              </w:rPr>
              <w:t>;</w:t>
            </w:r>
          </w:p>
          <w:p w:rsidR="00457CC8" w:rsidRDefault="00457CC8" w:rsidP="009906DC">
            <w:pPr>
              <w:pStyle w:val="ListParagraph"/>
              <w:numPr>
                <w:ilvl w:val="0"/>
                <w:numId w:val="15"/>
              </w:numPr>
              <w:jc w:val="both"/>
              <w:rPr>
                <w:bCs/>
                <w:sz w:val="26"/>
                <w:szCs w:val="26"/>
                <w:lang w:val="lv-LV"/>
              </w:rPr>
            </w:pPr>
            <w:r w:rsidRPr="00457CC8">
              <w:rPr>
                <w:sz w:val="26"/>
                <w:szCs w:val="26"/>
                <w:lang w:val="lv-LV"/>
              </w:rPr>
              <w:t xml:space="preserve">nodrošināt noteikumos lietotās valūtas pāreju uz </w:t>
            </w:r>
            <w:proofErr w:type="spellStart"/>
            <w:r w:rsidRPr="00457CC8">
              <w:rPr>
                <w:i/>
                <w:sz w:val="26"/>
                <w:szCs w:val="26"/>
                <w:lang w:val="lv-LV"/>
              </w:rPr>
              <w:t>euro</w:t>
            </w:r>
            <w:proofErr w:type="spellEnd"/>
            <w:r w:rsidR="009906DC">
              <w:rPr>
                <w:bCs/>
                <w:sz w:val="26"/>
                <w:szCs w:val="26"/>
                <w:lang w:val="lv-LV"/>
              </w:rPr>
              <w:t>;</w:t>
            </w:r>
          </w:p>
          <w:p w:rsidR="0081539E" w:rsidRDefault="009906DC" w:rsidP="009906DC">
            <w:pPr>
              <w:pStyle w:val="ListParagraph"/>
              <w:numPr>
                <w:ilvl w:val="0"/>
                <w:numId w:val="15"/>
              </w:numPr>
              <w:spacing w:before="60" w:after="60"/>
              <w:jc w:val="both"/>
              <w:rPr>
                <w:sz w:val="26"/>
                <w:szCs w:val="26"/>
                <w:lang w:val="lv-LV"/>
              </w:rPr>
            </w:pPr>
            <w:r w:rsidRPr="00235168">
              <w:rPr>
                <w:sz w:val="26"/>
                <w:szCs w:val="26"/>
                <w:lang w:val="lv-LV"/>
              </w:rPr>
              <w:t xml:space="preserve"> precizēt grūtībās nonākuša komersanta definīcija</w:t>
            </w:r>
            <w:r w:rsidR="002428B8">
              <w:rPr>
                <w:sz w:val="26"/>
                <w:szCs w:val="26"/>
                <w:lang w:val="lv-LV"/>
              </w:rPr>
              <w:t>.</w:t>
            </w:r>
          </w:p>
          <w:p w:rsidR="00B84C4B" w:rsidRPr="00235168" w:rsidRDefault="00457CC8" w:rsidP="00DD3D24">
            <w:pPr>
              <w:spacing w:before="60" w:after="60"/>
              <w:ind w:firstLine="709"/>
              <w:jc w:val="both"/>
              <w:rPr>
                <w:sz w:val="26"/>
                <w:szCs w:val="26"/>
                <w:lang w:val="lv-LV"/>
              </w:rPr>
            </w:pPr>
            <w:r w:rsidRPr="008D264E">
              <w:rPr>
                <w:sz w:val="26"/>
                <w:szCs w:val="26"/>
                <w:lang w:val="lv-LV"/>
              </w:rPr>
              <w:t xml:space="preserve">Noteikumu projekts paredz izteikt summas </w:t>
            </w:r>
            <w:proofErr w:type="spellStart"/>
            <w:r w:rsidRPr="00441BAE">
              <w:rPr>
                <w:i/>
                <w:sz w:val="26"/>
                <w:szCs w:val="26"/>
                <w:lang w:val="lv-LV"/>
              </w:rPr>
              <w:t>euro</w:t>
            </w:r>
            <w:proofErr w:type="spellEnd"/>
            <w:r w:rsidR="00DD3D24">
              <w:rPr>
                <w:sz w:val="26"/>
                <w:szCs w:val="26"/>
                <w:lang w:val="lv-LV"/>
              </w:rPr>
              <w:t xml:space="preserve"> un noteikt, ka līdz 2013.gada 31.decembrim</w:t>
            </w:r>
            <w:r w:rsidRPr="008D264E">
              <w:rPr>
                <w:sz w:val="26"/>
                <w:szCs w:val="26"/>
                <w:lang w:val="lv-LV"/>
              </w:rPr>
              <w:t xml:space="preserve"> norēķinus veic latos un šo noteikumu ietvaros noteiktās summas </w:t>
            </w:r>
            <w:proofErr w:type="spellStart"/>
            <w:r w:rsidRPr="00441BAE">
              <w:rPr>
                <w:i/>
                <w:sz w:val="26"/>
                <w:szCs w:val="26"/>
                <w:lang w:val="lv-LV"/>
              </w:rPr>
              <w:t>euro</w:t>
            </w:r>
            <w:proofErr w:type="spellEnd"/>
            <w:r w:rsidRPr="008D264E">
              <w:rPr>
                <w:sz w:val="26"/>
                <w:szCs w:val="26"/>
                <w:lang w:val="lv-LV"/>
              </w:rPr>
              <w:t xml:space="preserve"> pārrēķina latos, </w:t>
            </w:r>
            <w:proofErr w:type="spellStart"/>
            <w:r w:rsidR="00DD3D24" w:rsidRPr="00A226D3">
              <w:rPr>
                <w:sz w:val="26"/>
                <w:szCs w:val="26"/>
              </w:rPr>
              <w:t>ievērojot</w:t>
            </w:r>
            <w:proofErr w:type="spellEnd"/>
            <w:r w:rsidR="00DD3D24" w:rsidRPr="00A226D3">
              <w:rPr>
                <w:sz w:val="26"/>
                <w:szCs w:val="26"/>
              </w:rPr>
              <w:t xml:space="preserve"> </w:t>
            </w:r>
            <w:proofErr w:type="spellStart"/>
            <w:r w:rsidR="00DD3D24" w:rsidRPr="00A226D3">
              <w:rPr>
                <w:sz w:val="26"/>
                <w:szCs w:val="26"/>
              </w:rPr>
              <w:t>Padomes</w:t>
            </w:r>
            <w:proofErr w:type="spellEnd"/>
            <w:r w:rsidR="00DD3D24" w:rsidRPr="00A226D3">
              <w:rPr>
                <w:sz w:val="26"/>
                <w:szCs w:val="26"/>
              </w:rPr>
              <w:t xml:space="preserve"> 1997.gada 17.jūnija </w:t>
            </w:r>
            <w:proofErr w:type="spellStart"/>
            <w:r w:rsidR="00DD3D24" w:rsidRPr="00A226D3">
              <w:rPr>
                <w:sz w:val="26"/>
                <w:szCs w:val="26"/>
              </w:rPr>
              <w:t>Regulas</w:t>
            </w:r>
            <w:proofErr w:type="spellEnd"/>
            <w:r w:rsidR="00DD3D24" w:rsidRPr="00A226D3">
              <w:rPr>
                <w:sz w:val="26"/>
                <w:szCs w:val="26"/>
              </w:rPr>
              <w:t xml:space="preserve"> (EK) Nr. 1103/97 par </w:t>
            </w:r>
            <w:proofErr w:type="spellStart"/>
            <w:r w:rsidR="00DD3D24" w:rsidRPr="00A226D3">
              <w:rPr>
                <w:sz w:val="26"/>
                <w:szCs w:val="26"/>
              </w:rPr>
              <w:t>dažiem</w:t>
            </w:r>
            <w:proofErr w:type="spellEnd"/>
            <w:r w:rsidR="00DD3D24" w:rsidRPr="00A226D3">
              <w:rPr>
                <w:sz w:val="26"/>
                <w:szCs w:val="26"/>
              </w:rPr>
              <w:t xml:space="preserve"> </w:t>
            </w:r>
            <w:proofErr w:type="spellStart"/>
            <w:r w:rsidR="00DD3D24" w:rsidRPr="00A226D3">
              <w:rPr>
                <w:sz w:val="26"/>
                <w:szCs w:val="26"/>
              </w:rPr>
              <w:t>noteikumiem</w:t>
            </w:r>
            <w:proofErr w:type="spellEnd"/>
            <w:r w:rsidR="00DD3D24" w:rsidRPr="00A226D3">
              <w:rPr>
                <w:sz w:val="26"/>
                <w:szCs w:val="26"/>
              </w:rPr>
              <w:t xml:space="preserve"> </w:t>
            </w:r>
            <w:proofErr w:type="spellStart"/>
            <w:r w:rsidR="00DD3D24" w:rsidRPr="00A226D3">
              <w:rPr>
                <w:sz w:val="26"/>
                <w:szCs w:val="26"/>
              </w:rPr>
              <w:t>attiecībā</w:t>
            </w:r>
            <w:proofErr w:type="spellEnd"/>
            <w:r w:rsidR="00DD3D24" w:rsidRPr="00A226D3">
              <w:rPr>
                <w:sz w:val="26"/>
                <w:szCs w:val="26"/>
              </w:rPr>
              <w:t xml:space="preserve"> </w:t>
            </w:r>
            <w:proofErr w:type="spellStart"/>
            <w:r w:rsidR="00DD3D24" w:rsidRPr="00A226D3">
              <w:rPr>
                <w:sz w:val="26"/>
                <w:szCs w:val="26"/>
              </w:rPr>
              <w:t>uz</w:t>
            </w:r>
            <w:proofErr w:type="spellEnd"/>
            <w:r w:rsidR="00DD3D24" w:rsidRPr="00A226D3">
              <w:rPr>
                <w:sz w:val="26"/>
                <w:szCs w:val="26"/>
              </w:rPr>
              <w:t xml:space="preserve"> </w:t>
            </w:r>
            <w:r w:rsidR="00DD3D24" w:rsidRPr="004C1884">
              <w:rPr>
                <w:i/>
                <w:sz w:val="26"/>
                <w:szCs w:val="26"/>
              </w:rPr>
              <w:t>euro</w:t>
            </w:r>
            <w:r w:rsidR="00DD3D24" w:rsidRPr="00A226D3">
              <w:rPr>
                <w:sz w:val="26"/>
                <w:szCs w:val="26"/>
              </w:rPr>
              <w:t xml:space="preserve"> </w:t>
            </w:r>
            <w:proofErr w:type="spellStart"/>
            <w:r w:rsidR="00DD3D24" w:rsidRPr="00A226D3">
              <w:rPr>
                <w:sz w:val="26"/>
                <w:szCs w:val="26"/>
              </w:rPr>
              <w:t>ieviešanu</w:t>
            </w:r>
            <w:proofErr w:type="spellEnd"/>
            <w:r w:rsidR="00DD3D24" w:rsidRPr="00A226D3">
              <w:rPr>
                <w:sz w:val="26"/>
                <w:szCs w:val="26"/>
              </w:rPr>
              <w:t xml:space="preserve"> </w:t>
            </w:r>
            <w:proofErr w:type="spellStart"/>
            <w:r w:rsidR="00DD3D24" w:rsidRPr="00A226D3">
              <w:rPr>
                <w:sz w:val="26"/>
                <w:szCs w:val="26"/>
              </w:rPr>
              <w:t>noteikto</w:t>
            </w:r>
            <w:proofErr w:type="spellEnd"/>
            <w:r w:rsidR="00DD3D24" w:rsidRPr="00A226D3">
              <w:rPr>
                <w:sz w:val="26"/>
                <w:szCs w:val="26"/>
              </w:rPr>
              <w:t xml:space="preserve"> </w:t>
            </w:r>
            <w:proofErr w:type="spellStart"/>
            <w:r w:rsidR="00DD3D24" w:rsidRPr="00A226D3">
              <w:rPr>
                <w:sz w:val="26"/>
                <w:szCs w:val="26"/>
              </w:rPr>
              <w:t>maiņas</w:t>
            </w:r>
            <w:proofErr w:type="spellEnd"/>
            <w:r w:rsidR="00DD3D24" w:rsidRPr="00A226D3">
              <w:rPr>
                <w:sz w:val="26"/>
                <w:szCs w:val="26"/>
              </w:rPr>
              <w:t xml:space="preserve"> </w:t>
            </w:r>
            <w:proofErr w:type="spellStart"/>
            <w:r w:rsidR="00DD3D24" w:rsidRPr="00A226D3">
              <w:rPr>
                <w:sz w:val="26"/>
                <w:szCs w:val="26"/>
              </w:rPr>
              <w:t>kursu</w:t>
            </w:r>
            <w:proofErr w:type="spellEnd"/>
            <w:r w:rsidR="00DD3D24" w:rsidRPr="00A226D3">
              <w:rPr>
                <w:sz w:val="26"/>
                <w:szCs w:val="26"/>
              </w:rPr>
              <w:t xml:space="preserve">, </w:t>
            </w:r>
            <w:proofErr w:type="spellStart"/>
            <w:r w:rsidR="00DD3D24" w:rsidRPr="00A226D3">
              <w:rPr>
                <w:sz w:val="26"/>
                <w:szCs w:val="26"/>
              </w:rPr>
              <w:t>Padomes</w:t>
            </w:r>
            <w:proofErr w:type="spellEnd"/>
            <w:r w:rsidR="00DD3D24" w:rsidRPr="00A226D3">
              <w:rPr>
                <w:sz w:val="26"/>
                <w:szCs w:val="26"/>
              </w:rPr>
              <w:t xml:space="preserve"> 2013.gada 9.jūlija </w:t>
            </w:r>
            <w:proofErr w:type="spellStart"/>
            <w:r w:rsidR="00DD3D24" w:rsidRPr="00A226D3">
              <w:rPr>
                <w:sz w:val="26"/>
                <w:szCs w:val="26"/>
              </w:rPr>
              <w:t>Regulu</w:t>
            </w:r>
            <w:proofErr w:type="spellEnd"/>
            <w:r w:rsidR="00DD3D24" w:rsidRPr="00A226D3">
              <w:rPr>
                <w:sz w:val="26"/>
                <w:szCs w:val="26"/>
              </w:rPr>
              <w:t xml:space="preserve"> (ES) Nr. 870/2013, </w:t>
            </w:r>
            <w:proofErr w:type="spellStart"/>
            <w:r w:rsidR="00DD3D24" w:rsidRPr="00A226D3">
              <w:rPr>
                <w:sz w:val="26"/>
                <w:szCs w:val="26"/>
              </w:rPr>
              <w:t>ar</w:t>
            </w:r>
            <w:proofErr w:type="spellEnd"/>
            <w:r w:rsidR="00DD3D24" w:rsidRPr="00A226D3">
              <w:rPr>
                <w:sz w:val="26"/>
                <w:szCs w:val="26"/>
              </w:rPr>
              <w:t xml:space="preserve"> </w:t>
            </w:r>
            <w:proofErr w:type="spellStart"/>
            <w:r w:rsidR="00DD3D24" w:rsidRPr="00A226D3">
              <w:rPr>
                <w:sz w:val="26"/>
                <w:szCs w:val="26"/>
              </w:rPr>
              <w:t>ko</w:t>
            </w:r>
            <w:proofErr w:type="spellEnd"/>
            <w:r w:rsidR="00DD3D24" w:rsidRPr="00A226D3">
              <w:rPr>
                <w:sz w:val="26"/>
                <w:szCs w:val="26"/>
              </w:rPr>
              <w:t xml:space="preserve"> </w:t>
            </w:r>
            <w:proofErr w:type="spellStart"/>
            <w:r w:rsidR="00DD3D24" w:rsidRPr="00A226D3">
              <w:rPr>
                <w:sz w:val="26"/>
                <w:szCs w:val="26"/>
              </w:rPr>
              <w:t>groza</w:t>
            </w:r>
            <w:proofErr w:type="spellEnd"/>
            <w:r w:rsidR="00DD3D24" w:rsidRPr="00A226D3">
              <w:rPr>
                <w:sz w:val="26"/>
                <w:szCs w:val="26"/>
              </w:rPr>
              <w:t xml:space="preserve"> </w:t>
            </w:r>
            <w:proofErr w:type="spellStart"/>
            <w:r w:rsidR="00DD3D24" w:rsidRPr="00A226D3">
              <w:rPr>
                <w:sz w:val="26"/>
                <w:szCs w:val="26"/>
              </w:rPr>
              <w:t>Regulu</w:t>
            </w:r>
            <w:proofErr w:type="spellEnd"/>
            <w:r w:rsidR="00DD3D24" w:rsidRPr="00A226D3">
              <w:rPr>
                <w:sz w:val="26"/>
                <w:szCs w:val="26"/>
              </w:rPr>
              <w:t xml:space="preserve"> (EK) Nr. 2866/98 </w:t>
            </w:r>
            <w:proofErr w:type="spellStart"/>
            <w:r w:rsidR="00DD3D24" w:rsidRPr="00A226D3">
              <w:rPr>
                <w:sz w:val="26"/>
                <w:szCs w:val="26"/>
              </w:rPr>
              <w:t>attiecībā</w:t>
            </w:r>
            <w:proofErr w:type="spellEnd"/>
            <w:r w:rsidR="00DD3D24" w:rsidRPr="00A226D3">
              <w:rPr>
                <w:sz w:val="26"/>
                <w:szCs w:val="26"/>
              </w:rPr>
              <w:t xml:space="preserve"> </w:t>
            </w:r>
            <w:proofErr w:type="spellStart"/>
            <w:r w:rsidR="00DD3D24" w:rsidRPr="00A226D3">
              <w:rPr>
                <w:sz w:val="26"/>
                <w:szCs w:val="26"/>
              </w:rPr>
              <w:t>uz</w:t>
            </w:r>
            <w:proofErr w:type="spellEnd"/>
            <w:r w:rsidR="00DD3D24" w:rsidRPr="00A226D3">
              <w:rPr>
                <w:sz w:val="26"/>
                <w:szCs w:val="26"/>
              </w:rPr>
              <w:t xml:space="preserve"> </w:t>
            </w:r>
            <w:r w:rsidR="00DD3D24" w:rsidRPr="004C1884">
              <w:rPr>
                <w:i/>
                <w:sz w:val="26"/>
                <w:szCs w:val="26"/>
              </w:rPr>
              <w:t>euro</w:t>
            </w:r>
            <w:r w:rsidR="00DD3D24" w:rsidRPr="00A226D3">
              <w:rPr>
                <w:sz w:val="26"/>
                <w:szCs w:val="26"/>
              </w:rPr>
              <w:t xml:space="preserve"> </w:t>
            </w:r>
            <w:proofErr w:type="spellStart"/>
            <w:r w:rsidR="00DD3D24" w:rsidRPr="00A226D3">
              <w:rPr>
                <w:sz w:val="26"/>
                <w:szCs w:val="26"/>
              </w:rPr>
              <w:t>maiņas</w:t>
            </w:r>
            <w:proofErr w:type="spellEnd"/>
            <w:r w:rsidR="00DD3D24" w:rsidRPr="00A226D3">
              <w:rPr>
                <w:sz w:val="26"/>
                <w:szCs w:val="26"/>
              </w:rPr>
              <w:t xml:space="preserve"> </w:t>
            </w:r>
            <w:proofErr w:type="spellStart"/>
            <w:r w:rsidR="00DD3D24" w:rsidRPr="00A226D3">
              <w:rPr>
                <w:sz w:val="26"/>
                <w:szCs w:val="26"/>
              </w:rPr>
              <w:t>kursu</w:t>
            </w:r>
            <w:proofErr w:type="spellEnd"/>
            <w:r w:rsidR="00DD3D24" w:rsidRPr="00A226D3">
              <w:rPr>
                <w:sz w:val="26"/>
                <w:szCs w:val="26"/>
              </w:rPr>
              <w:t xml:space="preserve"> </w:t>
            </w:r>
            <w:proofErr w:type="spellStart"/>
            <w:r w:rsidR="00DD3D24" w:rsidRPr="00A226D3">
              <w:rPr>
                <w:sz w:val="26"/>
                <w:szCs w:val="26"/>
              </w:rPr>
              <w:t>Latvijai</w:t>
            </w:r>
            <w:proofErr w:type="spellEnd"/>
            <w:r w:rsidR="00DD3D24" w:rsidRPr="00A226D3">
              <w:rPr>
                <w:sz w:val="26"/>
                <w:szCs w:val="26"/>
              </w:rPr>
              <w:t xml:space="preserve">, </w:t>
            </w:r>
            <w:proofErr w:type="spellStart"/>
            <w:r w:rsidR="00DD3D24" w:rsidRPr="00A226D3">
              <w:rPr>
                <w:sz w:val="26"/>
                <w:szCs w:val="26"/>
              </w:rPr>
              <w:t>kā</w:t>
            </w:r>
            <w:proofErr w:type="spellEnd"/>
            <w:r w:rsidR="00DD3D24" w:rsidRPr="00A226D3">
              <w:rPr>
                <w:sz w:val="26"/>
                <w:szCs w:val="26"/>
              </w:rPr>
              <w:t xml:space="preserve"> </w:t>
            </w:r>
            <w:proofErr w:type="spellStart"/>
            <w:r w:rsidR="00DD3D24" w:rsidRPr="00A226D3">
              <w:rPr>
                <w:sz w:val="26"/>
                <w:szCs w:val="26"/>
              </w:rPr>
              <w:t>arī</w:t>
            </w:r>
            <w:proofErr w:type="spellEnd"/>
            <w:r w:rsidR="00DD3D24" w:rsidRPr="00A226D3">
              <w:rPr>
                <w:sz w:val="26"/>
                <w:szCs w:val="26"/>
              </w:rPr>
              <w:t xml:space="preserve"> </w:t>
            </w:r>
            <w:proofErr w:type="spellStart"/>
            <w:r w:rsidR="00DD3D24" w:rsidRPr="00A226D3">
              <w:rPr>
                <w:sz w:val="26"/>
                <w:szCs w:val="26"/>
              </w:rPr>
              <w:t>ievērojot</w:t>
            </w:r>
            <w:proofErr w:type="spellEnd"/>
            <w:r w:rsidR="00DD3D24" w:rsidRPr="00A226D3">
              <w:rPr>
                <w:sz w:val="26"/>
                <w:szCs w:val="26"/>
              </w:rPr>
              <w:t xml:space="preserve"> </w:t>
            </w:r>
            <w:r w:rsidR="00DD3D24" w:rsidRPr="004C1884">
              <w:rPr>
                <w:i/>
                <w:sz w:val="26"/>
                <w:szCs w:val="26"/>
              </w:rPr>
              <w:t xml:space="preserve">Euro </w:t>
            </w:r>
            <w:proofErr w:type="spellStart"/>
            <w:r w:rsidR="00DD3D24" w:rsidRPr="00A226D3">
              <w:rPr>
                <w:sz w:val="26"/>
                <w:szCs w:val="26"/>
              </w:rPr>
              <w:t>ieviešanas</w:t>
            </w:r>
            <w:proofErr w:type="spellEnd"/>
            <w:r w:rsidR="00DD3D24" w:rsidRPr="00A226D3">
              <w:rPr>
                <w:sz w:val="26"/>
                <w:szCs w:val="26"/>
              </w:rPr>
              <w:t xml:space="preserve"> </w:t>
            </w:r>
            <w:proofErr w:type="spellStart"/>
            <w:r w:rsidR="00DD3D24" w:rsidRPr="00A226D3">
              <w:rPr>
                <w:sz w:val="26"/>
                <w:szCs w:val="26"/>
              </w:rPr>
              <w:t>kārtības</w:t>
            </w:r>
            <w:proofErr w:type="spellEnd"/>
            <w:r w:rsidR="00DD3D24" w:rsidRPr="00A226D3">
              <w:rPr>
                <w:sz w:val="26"/>
                <w:szCs w:val="26"/>
              </w:rPr>
              <w:t xml:space="preserve"> </w:t>
            </w:r>
            <w:proofErr w:type="spellStart"/>
            <w:r w:rsidR="00DD3D24" w:rsidRPr="00A226D3">
              <w:rPr>
                <w:sz w:val="26"/>
                <w:szCs w:val="26"/>
              </w:rPr>
              <w:t>likuma</w:t>
            </w:r>
            <w:proofErr w:type="spellEnd"/>
            <w:r w:rsidR="00DD3D24" w:rsidRPr="00A226D3">
              <w:rPr>
                <w:sz w:val="26"/>
                <w:szCs w:val="26"/>
              </w:rPr>
              <w:t xml:space="preserve"> 6.pantā </w:t>
            </w:r>
            <w:proofErr w:type="spellStart"/>
            <w:r w:rsidR="00DD3D24" w:rsidRPr="00A226D3">
              <w:rPr>
                <w:sz w:val="26"/>
                <w:szCs w:val="26"/>
              </w:rPr>
              <w:t>noteiktos</w:t>
            </w:r>
            <w:proofErr w:type="spellEnd"/>
            <w:r w:rsidR="00DD3D24" w:rsidRPr="00A226D3">
              <w:rPr>
                <w:sz w:val="26"/>
                <w:szCs w:val="26"/>
              </w:rPr>
              <w:t xml:space="preserve"> </w:t>
            </w:r>
            <w:proofErr w:type="spellStart"/>
            <w:r w:rsidR="00DD3D24" w:rsidRPr="00A226D3">
              <w:rPr>
                <w:sz w:val="26"/>
                <w:szCs w:val="26"/>
              </w:rPr>
              <w:t>noapaļošanas</w:t>
            </w:r>
            <w:proofErr w:type="spellEnd"/>
            <w:r w:rsidR="00DD3D24" w:rsidRPr="00A226D3">
              <w:rPr>
                <w:sz w:val="26"/>
                <w:szCs w:val="26"/>
              </w:rPr>
              <w:t xml:space="preserve"> </w:t>
            </w:r>
            <w:proofErr w:type="spellStart"/>
            <w:r w:rsidR="00DD3D24" w:rsidRPr="00A226D3">
              <w:rPr>
                <w:sz w:val="26"/>
                <w:szCs w:val="26"/>
              </w:rPr>
              <w:t>principu</w:t>
            </w:r>
            <w:r w:rsidR="00DD3D24">
              <w:rPr>
                <w:sz w:val="26"/>
                <w:szCs w:val="26"/>
              </w:rPr>
              <w:t>s</w:t>
            </w:r>
            <w:proofErr w:type="spellEnd"/>
            <w:r w:rsidR="00DD3D24">
              <w:rPr>
                <w:sz w:val="26"/>
                <w:szCs w:val="26"/>
              </w:rPr>
              <w:t xml:space="preserve">. </w:t>
            </w:r>
            <w:r w:rsidRPr="008D264E">
              <w:rPr>
                <w:sz w:val="26"/>
                <w:szCs w:val="26"/>
                <w:lang w:val="lv-LV"/>
              </w:rPr>
              <w:t xml:space="preserve">Grozītās tiesību normas </w:t>
            </w:r>
            <w:proofErr w:type="spellStart"/>
            <w:r w:rsidRPr="00441BAE">
              <w:rPr>
                <w:i/>
                <w:sz w:val="26"/>
                <w:szCs w:val="26"/>
                <w:lang w:val="lv-LV"/>
              </w:rPr>
              <w:t>euro</w:t>
            </w:r>
            <w:proofErr w:type="spellEnd"/>
            <w:r w:rsidRPr="008D264E">
              <w:rPr>
                <w:sz w:val="26"/>
                <w:szCs w:val="26"/>
                <w:lang w:val="lv-LV"/>
              </w:rPr>
              <w:t xml:space="preserve"> nav personām nelabvēlīgākas par sākotnējo tiesību normu latos un nerada vērā ņemamu negatīvu ietekmi uz valsts budžetu.</w:t>
            </w:r>
          </w:p>
        </w:tc>
      </w:tr>
      <w:tr w:rsidR="00A31FDC" w:rsidRPr="00235168" w:rsidTr="00A43634">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5.</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A31FDC" w:rsidP="00F22471">
            <w:pPr>
              <w:pStyle w:val="BodyText"/>
              <w:ind w:right="142" w:firstLine="720"/>
              <w:rPr>
                <w:sz w:val="26"/>
                <w:szCs w:val="26"/>
              </w:rPr>
            </w:pPr>
            <w:r w:rsidRPr="00235168">
              <w:rPr>
                <w:iCs/>
                <w:sz w:val="26"/>
                <w:szCs w:val="26"/>
              </w:rPr>
              <w:t>Projekts šo jomu neskar</w:t>
            </w:r>
            <w:r w:rsidRPr="00235168">
              <w:rPr>
                <w:sz w:val="26"/>
                <w:szCs w:val="26"/>
              </w:rPr>
              <w:t>.</w:t>
            </w:r>
          </w:p>
        </w:tc>
      </w:tr>
      <w:tr w:rsidR="00A31FDC" w:rsidRPr="00235168" w:rsidTr="00A43634">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6.</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Iemesli, kādēļ netika nodrošināta sabiedrības līdzdalība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A31FDC" w:rsidP="00F22471">
            <w:pPr>
              <w:pStyle w:val="BodyText"/>
              <w:ind w:right="142" w:firstLine="720"/>
              <w:rPr>
                <w:sz w:val="26"/>
                <w:szCs w:val="26"/>
              </w:rPr>
            </w:pPr>
            <w:r w:rsidRPr="00235168">
              <w:rPr>
                <w:iCs/>
                <w:sz w:val="26"/>
                <w:szCs w:val="26"/>
              </w:rPr>
              <w:t>Projekts šo jomu neskar</w:t>
            </w:r>
            <w:r w:rsidRPr="00235168">
              <w:rPr>
                <w:sz w:val="26"/>
                <w:szCs w:val="26"/>
              </w:rPr>
              <w:t>.</w:t>
            </w:r>
          </w:p>
          <w:p w:rsidR="00A31FDC" w:rsidRDefault="00A31FDC" w:rsidP="00F22471">
            <w:pPr>
              <w:pStyle w:val="BodyText"/>
              <w:ind w:right="142" w:firstLine="720"/>
              <w:rPr>
                <w:sz w:val="26"/>
                <w:szCs w:val="26"/>
              </w:rPr>
            </w:pPr>
          </w:p>
          <w:p w:rsidR="00B84C4B" w:rsidRDefault="00B84C4B" w:rsidP="00F22471">
            <w:pPr>
              <w:pStyle w:val="BodyText"/>
              <w:ind w:right="142" w:firstLine="720"/>
              <w:rPr>
                <w:sz w:val="26"/>
                <w:szCs w:val="26"/>
              </w:rPr>
            </w:pPr>
          </w:p>
          <w:p w:rsidR="00B84C4B" w:rsidRDefault="00B84C4B" w:rsidP="00F22471">
            <w:pPr>
              <w:pStyle w:val="BodyText"/>
              <w:ind w:right="142" w:firstLine="720"/>
              <w:rPr>
                <w:sz w:val="26"/>
                <w:szCs w:val="26"/>
              </w:rPr>
            </w:pPr>
          </w:p>
          <w:p w:rsidR="00B84C4B" w:rsidRPr="00235168" w:rsidRDefault="00B84C4B" w:rsidP="00F22471">
            <w:pPr>
              <w:pStyle w:val="BodyText"/>
              <w:ind w:right="142" w:firstLine="720"/>
              <w:rPr>
                <w:sz w:val="26"/>
                <w:szCs w:val="26"/>
              </w:rPr>
            </w:pPr>
          </w:p>
        </w:tc>
      </w:tr>
      <w:tr w:rsidR="00A31FDC" w:rsidRPr="00235168" w:rsidTr="00A43634">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7.</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235168" w:rsidRDefault="00543052" w:rsidP="00B84C4B">
            <w:pPr>
              <w:ind w:left="142" w:firstLine="567"/>
              <w:jc w:val="both"/>
              <w:rPr>
                <w:sz w:val="26"/>
                <w:szCs w:val="26"/>
                <w:lang w:val="lv-LV"/>
              </w:rPr>
            </w:pPr>
            <w:r w:rsidRPr="00235168">
              <w:rPr>
                <w:sz w:val="26"/>
                <w:szCs w:val="26"/>
                <w:lang w:val="lv-LV"/>
              </w:rPr>
              <w:t>Nav.</w:t>
            </w:r>
          </w:p>
        </w:tc>
      </w:tr>
    </w:tbl>
    <w:p w:rsidR="00E8006C" w:rsidRPr="00235168" w:rsidRDefault="00E8006C" w:rsidP="00F22471">
      <w:pPr>
        <w:pStyle w:val="naisf"/>
        <w:spacing w:before="0" w:after="0"/>
        <w:rPr>
          <w:sz w:val="26"/>
          <w:szCs w:val="26"/>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F22471" w:rsidRPr="00235168"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ind w:firstLine="720"/>
              <w:jc w:val="both"/>
              <w:rPr>
                <w:rFonts w:eastAsia="Times New Roman"/>
                <w:b/>
                <w:sz w:val="26"/>
                <w:szCs w:val="26"/>
                <w:lang w:val="lv-LV" w:eastAsia="lv-LV"/>
              </w:rPr>
            </w:pPr>
            <w:r w:rsidRPr="00235168">
              <w:rPr>
                <w:rFonts w:eastAsia="Times New Roman"/>
                <w:b/>
                <w:sz w:val="26"/>
                <w:szCs w:val="26"/>
                <w:lang w:val="lv-LV" w:eastAsia="lv-LV"/>
              </w:rPr>
              <w:t>II. Tiesību akta projekta ietekme uz sabiedrību</w:t>
            </w:r>
          </w:p>
        </w:tc>
      </w:tr>
      <w:tr w:rsidR="00F22471" w:rsidRPr="00235168"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 xml:space="preserve">Sabiedrības </w:t>
            </w:r>
            <w:proofErr w:type="spellStart"/>
            <w:r w:rsidRPr="00235168">
              <w:rPr>
                <w:rFonts w:eastAsia="Times New Roman"/>
                <w:sz w:val="26"/>
                <w:szCs w:val="26"/>
                <w:lang w:val="lv-LV" w:eastAsia="lv-LV"/>
              </w:rPr>
              <w:t>mērķgrupa</w:t>
            </w:r>
            <w:proofErr w:type="spellEnd"/>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457CC8" w:rsidRDefault="00D94B9B" w:rsidP="00236989">
            <w:pPr>
              <w:jc w:val="both"/>
              <w:rPr>
                <w:sz w:val="26"/>
                <w:szCs w:val="26"/>
                <w:lang w:val="lv-LV"/>
              </w:rPr>
            </w:pPr>
            <w:proofErr w:type="spellStart"/>
            <w:r>
              <w:rPr>
                <w:sz w:val="26"/>
                <w:szCs w:val="26"/>
                <w:lang w:val="lv-LV"/>
              </w:rPr>
              <w:t>Mikrouzņēmumi</w:t>
            </w:r>
            <w:proofErr w:type="spellEnd"/>
            <w:r w:rsidR="008B7C3D" w:rsidRPr="00235168">
              <w:rPr>
                <w:sz w:val="26"/>
                <w:szCs w:val="26"/>
                <w:lang w:val="lv-LV"/>
              </w:rPr>
              <w:t xml:space="preserve"> un saimnieciskās darbības uzsācēji</w:t>
            </w:r>
          </w:p>
        </w:tc>
      </w:tr>
      <w:tr w:rsidR="00F22471" w:rsidRPr="00235168"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 xml:space="preserve">Citas sabiedrības grupas (bez </w:t>
            </w:r>
            <w:proofErr w:type="spellStart"/>
            <w:r w:rsidRPr="00235168">
              <w:rPr>
                <w:rFonts w:eastAsia="Times New Roman"/>
                <w:sz w:val="26"/>
                <w:szCs w:val="26"/>
                <w:lang w:val="lv-LV" w:eastAsia="lv-LV"/>
              </w:rPr>
              <w:t>mērķgrupas</w:t>
            </w:r>
            <w:proofErr w:type="spellEnd"/>
            <w:r w:rsidRPr="00235168">
              <w:rPr>
                <w:rFonts w:eastAsia="Times New Roman"/>
                <w:sz w:val="26"/>
                <w:szCs w:val="26"/>
                <w:lang w:val="lv-LV" w:eastAsia="lv-LV"/>
              </w:rPr>
              <w:t xml:space="preserve">), kuras tiesiskais regulējums arī </w:t>
            </w:r>
            <w:r w:rsidRPr="00235168">
              <w:rPr>
                <w:rFonts w:eastAsia="Times New Roman"/>
                <w:sz w:val="26"/>
                <w:szCs w:val="26"/>
                <w:lang w:val="lv-LV" w:eastAsia="lv-LV"/>
              </w:rPr>
              <w:lastRenderedPageBreak/>
              <w:t>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40961" w:rsidRPr="00235168" w:rsidRDefault="00840961" w:rsidP="00236989">
            <w:pPr>
              <w:pStyle w:val="BodyText"/>
              <w:ind w:right="142"/>
              <w:rPr>
                <w:sz w:val="26"/>
                <w:szCs w:val="26"/>
              </w:rPr>
            </w:pPr>
            <w:r w:rsidRPr="00235168">
              <w:rPr>
                <w:iCs/>
                <w:sz w:val="26"/>
                <w:szCs w:val="26"/>
              </w:rPr>
              <w:lastRenderedPageBreak/>
              <w:t>Projekts šo jomu neskar</w:t>
            </w:r>
            <w:r w:rsidRPr="00235168">
              <w:rPr>
                <w:sz w:val="26"/>
                <w:szCs w:val="26"/>
              </w:rPr>
              <w:t>.</w:t>
            </w:r>
          </w:p>
          <w:p w:rsidR="00F22471" w:rsidRPr="00235168" w:rsidRDefault="00F22471" w:rsidP="00F22471">
            <w:pPr>
              <w:ind w:firstLine="720"/>
              <w:jc w:val="both"/>
              <w:rPr>
                <w:rFonts w:eastAsia="Times New Roman"/>
                <w:sz w:val="26"/>
                <w:szCs w:val="26"/>
                <w:lang w:val="lv-LV" w:eastAsia="lv-LV"/>
              </w:rPr>
            </w:pPr>
          </w:p>
        </w:tc>
      </w:tr>
      <w:tr w:rsidR="00F22471" w:rsidRPr="00235168"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lastRenderedPageBreak/>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B84C4B" w:rsidRPr="00235168" w:rsidRDefault="00D94B9B" w:rsidP="00972275">
            <w:pPr>
              <w:pStyle w:val="BodyText"/>
              <w:ind w:right="142"/>
              <w:rPr>
                <w:sz w:val="26"/>
                <w:szCs w:val="26"/>
              </w:rPr>
            </w:pPr>
            <w:r>
              <w:rPr>
                <w:sz w:val="26"/>
                <w:szCs w:val="26"/>
              </w:rPr>
              <w:t>MK noteikumu Nr.698</w:t>
            </w:r>
            <w:r w:rsidR="00457CC8">
              <w:rPr>
                <w:sz w:val="26"/>
                <w:szCs w:val="26"/>
              </w:rPr>
              <w:t xml:space="preserve"> pielāgošana pārejai uz </w:t>
            </w:r>
            <w:proofErr w:type="spellStart"/>
            <w:r w:rsidR="00457CC8">
              <w:rPr>
                <w:i/>
                <w:sz w:val="26"/>
                <w:szCs w:val="26"/>
              </w:rPr>
              <w:t>eu</w:t>
            </w:r>
            <w:r w:rsidR="00457CC8" w:rsidRPr="004C64F4">
              <w:rPr>
                <w:i/>
                <w:sz w:val="26"/>
                <w:szCs w:val="26"/>
              </w:rPr>
              <w:t>ro</w:t>
            </w:r>
            <w:proofErr w:type="spellEnd"/>
            <w:r w:rsidR="00457CC8">
              <w:rPr>
                <w:sz w:val="26"/>
                <w:szCs w:val="26"/>
              </w:rPr>
              <w:t xml:space="preserve"> valūtu nerada ietekmi uz pieejamā finansējuma apmēru.</w:t>
            </w:r>
          </w:p>
        </w:tc>
      </w:tr>
      <w:tr w:rsidR="00F22471" w:rsidRPr="00235168"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C1739F" w:rsidRPr="00235168" w:rsidRDefault="00C1739F" w:rsidP="00236989">
            <w:pPr>
              <w:pStyle w:val="BodyText"/>
              <w:ind w:right="142"/>
              <w:rPr>
                <w:sz w:val="26"/>
                <w:szCs w:val="26"/>
              </w:rPr>
            </w:pPr>
            <w:r w:rsidRPr="00235168">
              <w:rPr>
                <w:iCs/>
                <w:sz w:val="26"/>
                <w:szCs w:val="26"/>
              </w:rPr>
              <w:t>Projekts šo jomu neskar</w:t>
            </w:r>
            <w:r w:rsidRPr="00235168">
              <w:rPr>
                <w:sz w:val="26"/>
                <w:szCs w:val="26"/>
              </w:rPr>
              <w:t>.</w:t>
            </w:r>
          </w:p>
          <w:p w:rsidR="00F22471" w:rsidRPr="00235168" w:rsidRDefault="00F22471" w:rsidP="00F22471">
            <w:pPr>
              <w:ind w:firstLine="720"/>
              <w:jc w:val="both"/>
              <w:rPr>
                <w:rFonts w:eastAsia="Times New Roman"/>
                <w:sz w:val="26"/>
                <w:szCs w:val="26"/>
                <w:lang w:val="lv-LV" w:eastAsia="lv-LV"/>
              </w:rPr>
            </w:pPr>
          </w:p>
        </w:tc>
      </w:tr>
      <w:tr w:rsidR="00F22471" w:rsidRPr="00235168"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236989">
            <w:pPr>
              <w:pStyle w:val="BodyText"/>
              <w:ind w:right="142"/>
              <w:rPr>
                <w:sz w:val="26"/>
                <w:szCs w:val="26"/>
              </w:rPr>
            </w:pPr>
            <w:r w:rsidRPr="00235168">
              <w:rPr>
                <w:iCs/>
                <w:sz w:val="26"/>
                <w:szCs w:val="26"/>
              </w:rPr>
              <w:t>Projekts šo jomu neskar</w:t>
            </w:r>
            <w:r w:rsidRPr="00235168">
              <w:rPr>
                <w:sz w:val="26"/>
                <w:szCs w:val="26"/>
              </w:rPr>
              <w:t>.</w:t>
            </w:r>
          </w:p>
          <w:p w:rsidR="00F22471" w:rsidRPr="00235168" w:rsidRDefault="00F22471" w:rsidP="00F22471">
            <w:pPr>
              <w:ind w:firstLine="720"/>
              <w:jc w:val="both"/>
              <w:rPr>
                <w:rFonts w:eastAsia="Times New Roman"/>
                <w:sz w:val="26"/>
                <w:szCs w:val="26"/>
                <w:lang w:val="lv-LV" w:eastAsia="lv-LV"/>
              </w:rPr>
            </w:pPr>
          </w:p>
        </w:tc>
      </w:tr>
      <w:tr w:rsidR="00F22471" w:rsidRPr="00235168"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236989">
            <w:pPr>
              <w:pStyle w:val="BodyText"/>
              <w:ind w:right="142"/>
              <w:rPr>
                <w:sz w:val="26"/>
                <w:szCs w:val="26"/>
              </w:rPr>
            </w:pPr>
            <w:r w:rsidRPr="00235168">
              <w:rPr>
                <w:iCs/>
                <w:sz w:val="26"/>
                <w:szCs w:val="26"/>
              </w:rPr>
              <w:t>Projekts šo jomu neskar</w:t>
            </w:r>
            <w:r w:rsidRPr="00235168">
              <w:rPr>
                <w:sz w:val="26"/>
                <w:szCs w:val="26"/>
              </w:rPr>
              <w:t>.</w:t>
            </w:r>
          </w:p>
          <w:p w:rsidR="00F22471" w:rsidRPr="00235168" w:rsidRDefault="00F22471" w:rsidP="00F22471">
            <w:pPr>
              <w:ind w:firstLine="720"/>
              <w:jc w:val="both"/>
              <w:rPr>
                <w:rFonts w:eastAsia="Times New Roman"/>
                <w:sz w:val="26"/>
                <w:szCs w:val="26"/>
                <w:lang w:val="lv-LV" w:eastAsia="lv-LV"/>
              </w:rPr>
            </w:pPr>
          </w:p>
        </w:tc>
      </w:tr>
      <w:tr w:rsidR="00F22471" w:rsidRPr="00235168"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Default="00F22471" w:rsidP="00236989">
            <w:pPr>
              <w:jc w:val="both"/>
              <w:rPr>
                <w:rFonts w:eastAsia="Times New Roman"/>
                <w:sz w:val="26"/>
                <w:szCs w:val="26"/>
                <w:lang w:val="lv-LV" w:eastAsia="lv-LV"/>
              </w:rPr>
            </w:pPr>
            <w:r w:rsidRPr="00235168">
              <w:rPr>
                <w:rFonts w:eastAsia="Times New Roman"/>
                <w:sz w:val="26"/>
                <w:szCs w:val="26"/>
                <w:lang w:val="lv-LV" w:eastAsia="lv-LV"/>
              </w:rPr>
              <w:t>Nav.</w:t>
            </w:r>
          </w:p>
          <w:p w:rsidR="00B84C4B" w:rsidRPr="00235168" w:rsidRDefault="00B84C4B" w:rsidP="00F22471">
            <w:pPr>
              <w:ind w:firstLine="720"/>
              <w:jc w:val="both"/>
              <w:rPr>
                <w:rFonts w:eastAsia="Times New Roman"/>
                <w:sz w:val="26"/>
                <w:szCs w:val="26"/>
                <w:lang w:val="lv-LV" w:eastAsia="lv-LV"/>
              </w:rPr>
            </w:pPr>
          </w:p>
        </w:tc>
      </w:tr>
    </w:tbl>
    <w:p w:rsidR="00E8006C" w:rsidRPr="00235168" w:rsidRDefault="00E8006C" w:rsidP="00F22471">
      <w:pPr>
        <w:ind w:firstLine="720"/>
        <w:jc w:val="both"/>
        <w:rPr>
          <w:rFonts w:eastAsia="Times New Roman"/>
          <w:sz w:val="26"/>
          <w:szCs w:val="26"/>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235168"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235168" w:rsidRDefault="003A7D89" w:rsidP="00F22471">
            <w:pPr>
              <w:ind w:firstLine="720"/>
              <w:jc w:val="both"/>
              <w:rPr>
                <w:rFonts w:eastAsia="Times New Roman"/>
                <w:b/>
                <w:sz w:val="26"/>
                <w:szCs w:val="26"/>
                <w:lang w:val="lv-LV" w:eastAsia="lv-LV"/>
              </w:rPr>
            </w:pPr>
            <w:r w:rsidRPr="00235168">
              <w:rPr>
                <w:rFonts w:eastAsia="Times New Roman"/>
                <w:b/>
                <w:sz w:val="26"/>
                <w:szCs w:val="26"/>
                <w:lang w:val="lv-LV" w:eastAsia="lv-LV"/>
              </w:rPr>
              <w:t>IV. Tiesību akta projekta ietekme uz spēkā esošo tiesību normu sistēmu</w:t>
            </w:r>
          </w:p>
        </w:tc>
      </w:tr>
      <w:tr w:rsidR="003A7D89" w:rsidRPr="00235168"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732C19" w:rsidRDefault="00D94B9B" w:rsidP="00457CC8">
            <w:pPr>
              <w:spacing w:before="60" w:after="60"/>
              <w:ind w:firstLine="709"/>
              <w:jc w:val="both"/>
              <w:rPr>
                <w:sz w:val="26"/>
                <w:szCs w:val="26"/>
                <w:lang w:val="lv-LV"/>
              </w:rPr>
            </w:pPr>
            <w:r>
              <w:rPr>
                <w:sz w:val="26"/>
                <w:szCs w:val="26"/>
                <w:lang w:val="lv-LV"/>
              </w:rPr>
              <w:t xml:space="preserve">Nav </w:t>
            </w:r>
            <w:r w:rsidR="00457CC8" w:rsidRPr="008D264E">
              <w:rPr>
                <w:sz w:val="26"/>
                <w:szCs w:val="26"/>
                <w:lang w:val="lv-LV"/>
              </w:rPr>
              <w:t xml:space="preserve"> </w:t>
            </w:r>
          </w:p>
        </w:tc>
      </w:tr>
      <w:tr w:rsidR="003A7D89" w:rsidRPr="00235168"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742BAF" w:rsidRPr="00457CC8" w:rsidRDefault="00236989" w:rsidP="00742BAF">
            <w:pPr>
              <w:ind w:firstLine="720"/>
              <w:jc w:val="both"/>
              <w:rPr>
                <w:sz w:val="26"/>
                <w:szCs w:val="26"/>
                <w:lang w:val="lv-LV"/>
              </w:rPr>
            </w:pPr>
            <w:r>
              <w:rPr>
                <w:sz w:val="26"/>
                <w:szCs w:val="26"/>
                <w:lang w:val="lv-LV"/>
              </w:rPr>
              <w:t>Nav</w:t>
            </w:r>
          </w:p>
        </w:tc>
      </w:tr>
    </w:tbl>
    <w:p w:rsidR="00C9779A" w:rsidRDefault="00C9779A" w:rsidP="00C9779A">
      <w:pPr>
        <w:rPr>
          <w:sz w:val="26"/>
          <w:szCs w:val="26"/>
          <w:lang w:val="lv-LV"/>
        </w:rPr>
      </w:pPr>
    </w:p>
    <w:tbl>
      <w:tblPr>
        <w:tblW w:w="5000" w:type="pct"/>
        <w:tblInd w:w="-38" w:type="dxa"/>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Look w:val="04A0" w:firstRow="1" w:lastRow="0" w:firstColumn="1" w:lastColumn="0" w:noHBand="0" w:noVBand="1"/>
      </w:tblPr>
      <w:tblGrid>
        <w:gridCol w:w="2311"/>
        <w:gridCol w:w="1394"/>
        <w:gridCol w:w="1394"/>
        <w:gridCol w:w="1394"/>
        <w:gridCol w:w="1394"/>
        <w:gridCol w:w="1394"/>
      </w:tblGrid>
      <w:tr w:rsidR="00742BAF" w:rsidRPr="004C64F4" w:rsidTr="00511C7D">
        <w:trPr>
          <w:trHeight w:val="432"/>
        </w:trPr>
        <w:tc>
          <w:tcPr>
            <w:tcW w:w="5000" w:type="pct"/>
            <w:gridSpan w:val="6"/>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742BAF" w:rsidRPr="004C64F4" w:rsidRDefault="00742BAF" w:rsidP="00511C7D">
            <w:pPr>
              <w:jc w:val="center"/>
              <w:rPr>
                <w:b/>
                <w:sz w:val="26"/>
                <w:szCs w:val="26"/>
                <w:lang w:val="lv-LV"/>
              </w:rPr>
            </w:pPr>
            <w:r w:rsidRPr="004C64F4">
              <w:rPr>
                <w:b/>
                <w:sz w:val="26"/>
                <w:szCs w:val="26"/>
                <w:lang w:val="lv-LV"/>
              </w:rPr>
              <w:br w:type="page"/>
              <w:t>III. Tiesību akta projekta ietekme uz valsts budžetu un pašvaldību budžetiem</w:t>
            </w:r>
          </w:p>
        </w:tc>
      </w:tr>
      <w:tr w:rsidR="00742BAF" w:rsidRPr="004C64F4" w:rsidTr="00511C7D">
        <w:tc>
          <w:tcPr>
            <w:tcW w:w="1440" w:type="pct"/>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742BAF" w:rsidRPr="004C64F4" w:rsidRDefault="00742BAF" w:rsidP="00511C7D">
            <w:pPr>
              <w:pStyle w:val="naisf"/>
              <w:spacing w:before="0" w:after="0"/>
              <w:jc w:val="center"/>
              <w:rPr>
                <w:b/>
                <w:sz w:val="26"/>
                <w:szCs w:val="26"/>
              </w:rPr>
            </w:pPr>
            <w:r w:rsidRPr="004C64F4">
              <w:rPr>
                <w:b/>
                <w:sz w:val="26"/>
                <w:szCs w:val="26"/>
              </w:rPr>
              <w:t>Rādītāji</w:t>
            </w:r>
          </w:p>
        </w:tc>
        <w:tc>
          <w:tcPr>
            <w:tcW w:w="1459" w:type="pct"/>
            <w:gridSpan w:val="2"/>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742BAF" w:rsidRPr="004C64F4" w:rsidRDefault="00742BAF" w:rsidP="00511C7D">
            <w:pPr>
              <w:pStyle w:val="naisf"/>
              <w:spacing w:before="0" w:after="0"/>
              <w:jc w:val="center"/>
              <w:rPr>
                <w:b/>
                <w:sz w:val="26"/>
                <w:szCs w:val="26"/>
              </w:rPr>
            </w:pPr>
            <w:r w:rsidRPr="004C64F4">
              <w:rPr>
                <w:b/>
                <w:sz w:val="26"/>
                <w:szCs w:val="26"/>
              </w:rPr>
              <w:t>2013.</w:t>
            </w:r>
          </w:p>
        </w:tc>
        <w:tc>
          <w:tcPr>
            <w:tcW w:w="2061" w:type="pct"/>
            <w:gridSpan w:val="3"/>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742BAF" w:rsidRPr="004C64F4" w:rsidRDefault="00742BAF" w:rsidP="00511C7D">
            <w:pPr>
              <w:pStyle w:val="naisf"/>
              <w:spacing w:before="0" w:after="0"/>
              <w:jc w:val="center"/>
              <w:rPr>
                <w:b/>
                <w:i/>
                <w:sz w:val="26"/>
                <w:szCs w:val="26"/>
              </w:rPr>
            </w:pPr>
            <w:r w:rsidRPr="008D264E">
              <w:rPr>
                <w:sz w:val="26"/>
                <w:szCs w:val="26"/>
              </w:rPr>
              <w:t>Turpmākie trīs gadi (</w:t>
            </w:r>
            <w:proofErr w:type="spellStart"/>
            <w:r w:rsidRPr="008D264E">
              <w:rPr>
                <w:sz w:val="26"/>
                <w:szCs w:val="26"/>
              </w:rPr>
              <w:t>tūkst</w:t>
            </w:r>
            <w:proofErr w:type="spellEnd"/>
            <w:smartTag w:uri="schemas-tilde-lv/tildestengine" w:element="currency2">
              <w:smartTagPr>
                <w:attr w:name="currency_text" w:val="latu"/>
                <w:attr w:name="currency_value" w:val="."/>
                <w:attr w:name="currency_key" w:val="LVL"/>
                <w:attr w:name="currency_id" w:val="48"/>
              </w:smartTagPr>
              <w:r w:rsidRPr="008D264E">
                <w:rPr>
                  <w:sz w:val="26"/>
                  <w:szCs w:val="26"/>
                </w:rPr>
                <w:t>. latu</w:t>
              </w:r>
            </w:smartTag>
            <w:r w:rsidRPr="008D264E">
              <w:rPr>
                <w:sz w:val="26"/>
                <w:szCs w:val="26"/>
              </w:rPr>
              <w:t>)</w:t>
            </w:r>
          </w:p>
        </w:tc>
      </w:tr>
      <w:tr w:rsidR="00742BAF" w:rsidRPr="004C64F4" w:rsidTr="00511C7D">
        <w:tc>
          <w:tcPr>
            <w:tcW w:w="0" w:type="auto"/>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742BAF" w:rsidRPr="004C64F4" w:rsidRDefault="00742BAF" w:rsidP="00511C7D">
            <w:pPr>
              <w:rPr>
                <w:rFonts w:eastAsia="Times New Roman"/>
                <w:b/>
                <w:sz w:val="26"/>
                <w:szCs w:val="26"/>
                <w:lang w:val="lv-LV" w:eastAsia="lv-LV"/>
              </w:rPr>
            </w:pPr>
          </w:p>
        </w:tc>
        <w:tc>
          <w:tcPr>
            <w:tcW w:w="0" w:type="auto"/>
            <w:gridSpan w:val="2"/>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742BAF" w:rsidRPr="004C64F4" w:rsidRDefault="00742BAF" w:rsidP="00511C7D">
            <w:pPr>
              <w:rPr>
                <w:rFonts w:eastAsia="Times New Roman"/>
                <w:b/>
                <w:sz w:val="26"/>
                <w:szCs w:val="26"/>
                <w:lang w:val="lv-LV" w:eastAsia="lv-LV"/>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C64F4" w:rsidRDefault="00742BAF" w:rsidP="00511C7D">
            <w:pPr>
              <w:pStyle w:val="naisf"/>
              <w:spacing w:before="0" w:after="0"/>
              <w:jc w:val="center"/>
              <w:rPr>
                <w:b/>
                <w:i/>
                <w:sz w:val="26"/>
                <w:szCs w:val="26"/>
              </w:rPr>
            </w:pPr>
            <w:r w:rsidRPr="008D264E">
              <w:rPr>
                <w:b/>
                <w:bCs/>
                <w:sz w:val="26"/>
                <w:szCs w:val="26"/>
              </w:rPr>
              <w:t>201</w:t>
            </w:r>
            <w:r w:rsidRPr="004C64F4">
              <w:rPr>
                <w:b/>
                <w:bCs/>
                <w:sz w:val="26"/>
                <w:szCs w:val="26"/>
              </w:rPr>
              <w:t>4.</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C64F4" w:rsidRDefault="00742BAF" w:rsidP="00511C7D">
            <w:pPr>
              <w:pStyle w:val="naisf"/>
              <w:spacing w:before="0" w:after="0"/>
              <w:rPr>
                <w:b/>
                <w:i/>
                <w:sz w:val="26"/>
                <w:szCs w:val="26"/>
              </w:rPr>
            </w:pPr>
            <w:r w:rsidRPr="004C64F4">
              <w:rPr>
                <w:b/>
                <w:bCs/>
                <w:sz w:val="26"/>
                <w:szCs w:val="26"/>
              </w:rPr>
              <w:t>2015.</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C64F4" w:rsidRDefault="00742BAF" w:rsidP="00511C7D">
            <w:pPr>
              <w:pStyle w:val="naisf"/>
              <w:spacing w:before="0" w:after="0"/>
              <w:jc w:val="center"/>
              <w:rPr>
                <w:b/>
                <w:i/>
                <w:sz w:val="26"/>
                <w:szCs w:val="26"/>
              </w:rPr>
            </w:pPr>
            <w:r w:rsidRPr="004C64F4">
              <w:rPr>
                <w:b/>
                <w:bCs/>
                <w:sz w:val="26"/>
                <w:szCs w:val="26"/>
              </w:rPr>
              <w:t>2016.</w:t>
            </w:r>
          </w:p>
        </w:tc>
      </w:tr>
      <w:tr w:rsidR="00742BAF" w:rsidRPr="004C64F4" w:rsidTr="00511C7D">
        <w:tc>
          <w:tcPr>
            <w:tcW w:w="0" w:type="auto"/>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742BAF" w:rsidRPr="004C64F4" w:rsidRDefault="00742BAF" w:rsidP="00511C7D">
            <w:pPr>
              <w:rPr>
                <w:rFonts w:eastAsia="Times New Roman"/>
                <w:b/>
                <w:sz w:val="26"/>
                <w:szCs w:val="26"/>
                <w:lang w:val="lv-LV" w:eastAsia="lv-LV"/>
              </w:rPr>
            </w:pP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C64F4" w:rsidRDefault="00742BAF" w:rsidP="00511C7D">
            <w:pPr>
              <w:pStyle w:val="naisf"/>
              <w:spacing w:before="0" w:after="0"/>
              <w:jc w:val="center"/>
              <w:rPr>
                <w:b/>
                <w:i/>
                <w:sz w:val="26"/>
                <w:szCs w:val="26"/>
              </w:rPr>
            </w:pPr>
            <w:r w:rsidRPr="004C64F4">
              <w:rPr>
                <w:sz w:val="26"/>
                <w:szCs w:val="26"/>
              </w:rPr>
              <w:t>Saskaņā ar valsts budžetu kārtējam gadam</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C64F4" w:rsidRDefault="00742BAF" w:rsidP="00511C7D">
            <w:pPr>
              <w:pStyle w:val="naisf"/>
              <w:spacing w:before="0" w:after="0"/>
              <w:jc w:val="center"/>
              <w:rPr>
                <w:b/>
                <w:i/>
                <w:sz w:val="26"/>
                <w:szCs w:val="26"/>
              </w:rPr>
            </w:pPr>
            <w:r w:rsidRPr="004C64F4">
              <w:rPr>
                <w:sz w:val="26"/>
                <w:szCs w:val="26"/>
              </w:rPr>
              <w:t>Izmaiņas kārtējā gadā, salīdzinot ar budžetu kārtējam gadam</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C64F4" w:rsidRDefault="00742BAF" w:rsidP="00511C7D">
            <w:pPr>
              <w:pStyle w:val="naisf"/>
              <w:spacing w:before="0" w:after="0"/>
              <w:jc w:val="center"/>
              <w:rPr>
                <w:b/>
                <w:i/>
                <w:sz w:val="26"/>
                <w:szCs w:val="26"/>
              </w:rPr>
            </w:pPr>
            <w:r w:rsidRPr="004C64F4">
              <w:rPr>
                <w:sz w:val="26"/>
                <w:szCs w:val="26"/>
              </w:rPr>
              <w:t>Izmaiņas, salīdzinot ar kārtējo (n) gadu</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C64F4" w:rsidRDefault="00742BAF" w:rsidP="00511C7D">
            <w:pPr>
              <w:pStyle w:val="naisf"/>
              <w:spacing w:before="0" w:after="0"/>
              <w:jc w:val="center"/>
              <w:rPr>
                <w:b/>
                <w:i/>
                <w:sz w:val="26"/>
                <w:szCs w:val="26"/>
              </w:rPr>
            </w:pPr>
            <w:r w:rsidRPr="004C64F4">
              <w:rPr>
                <w:sz w:val="26"/>
                <w:szCs w:val="26"/>
              </w:rPr>
              <w:t>Izmaiņas, salīdzinot ar kārtējo (n) gadu</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C64F4" w:rsidRDefault="00742BAF" w:rsidP="00511C7D">
            <w:pPr>
              <w:pStyle w:val="naisf"/>
              <w:spacing w:before="0" w:after="0"/>
              <w:jc w:val="center"/>
              <w:rPr>
                <w:b/>
                <w:i/>
                <w:sz w:val="26"/>
                <w:szCs w:val="26"/>
              </w:rPr>
            </w:pPr>
            <w:r w:rsidRPr="004C64F4">
              <w:rPr>
                <w:sz w:val="26"/>
                <w:szCs w:val="26"/>
              </w:rPr>
              <w:t>Izmaiņas, salīdzinot ar kārtējo (n) gadu</w:t>
            </w:r>
          </w:p>
        </w:tc>
      </w:tr>
      <w:tr w:rsidR="00742BAF" w:rsidRPr="004C64F4"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C64F4" w:rsidRDefault="00742BAF" w:rsidP="00511C7D">
            <w:pPr>
              <w:pStyle w:val="naisf"/>
              <w:spacing w:before="0" w:after="0"/>
              <w:jc w:val="center"/>
              <w:rPr>
                <w:bCs/>
                <w:sz w:val="26"/>
                <w:szCs w:val="26"/>
              </w:rPr>
            </w:pPr>
            <w:r w:rsidRPr="004C64F4">
              <w:rPr>
                <w:bCs/>
                <w:sz w:val="26"/>
                <w:szCs w:val="26"/>
              </w:rPr>
              <w:t>1</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C64F4" w:rsidRDefault="00742BAF" w:rsidP="00511C7D">
            <w:pPr>
              <w:pStyle w:val="naisf"/>
              <w:spacing w:before="0" w:after="0"/>
              <w:jc w:val="center"/>
              <w:rPr>
                <w:bCs/>
                <w:sz w:val="26"/>
                <w:szCs w:val="26"/>
              </w:rPr>
            </w:pPr>
            <w:r w:rsidRPr="004C64F4">
              <w:rPr>
                <w:bCs/>
                <w:sz w:val="26"/>
                <w:szCs w:val="26"/>
              </w:rPr>
              <w:t>2</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C64F4" w:rsidRDefault="00742BAF" w:rsidP="00511C7D">
            <w:pPr>
              <w:pStyle w:val="naisf"/>
              <w:spacing w:before="0" w:after="0"/>
              <w:jc w:val="center"/>
              <w:rPr>
                <w:bCs/>
                <w:sz w:val="26"/>
                <w:szCs w:val="26"/>
              </w:rPr>
            </w:pPr>
            <w:r w:rsidRPr="004C64F4">
              <w:rPr>
                <w:bCs/>
                <w:sz w:val="26"/>
                <w:szCs w:val="26"/>
              </w:rPr>
              <w:t>3</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C64F4" w:rsidRDefault="00742BAF" w:rsidP="00511C7D">
            <w:pPr>
              <w:pStyle w:val="naisf"/>
              <w:spacing w:before="0" w:after="0"/>
              <w:jc w:val="center"/>
              <w:rPr>
                <w:bCs/>
                <w:sz w:val="26"/>
                <w:szCs w:val="26"/>
              </w:rPr>
            </w:pPr>
            <w:r w:rsidRPr="004C64F4">
              <w:rPr>
                <w:bCs/>
                <w:sz w:val="26"/>
                <w:szCs w:val="26"/>
              </w:rPr>
              <w:t>4</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C64F4" w:rsidRDefault="00742BAF" w:rsidP="00511C7D">
            <w:pPr>
              <w:pStyle w:val="naisf"/>
              <w:spacing w:before="0" w:after="0"/>
              <w:jc w:val="center"/>
              <w:rPr>
                <w:bCs/>
                <w:sz w:val="26"/>
                <w:szCs w:val="26"/>
              </w:rPr>
            </w:pPr>
            <w:r w:rsidRPr="004C64F4">
              <w:rPr>
                <w:bCs/>
                <w:sz w:val="26"/>
                <w:szCs w:val="26"/>
              </w:rPr>
              <w:t>5</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C64F4" w:rsidRDefault="00742BAF" w:rsidP="00511C7D">
            <w:pPr>
              <w:pStyle w:val="naisf"/>
              <w:spacing w:before="0" w:after="0"/>
              <w:jc w:val="center"/>
              <w:rPr>
                <w:bCs/>
                <w:sz w:val="26"/>
                <w:szCs w:val="26"/>
              </w:rPr>
            </w:pPr>
            <w:r w:rsidRPr="004C64F4">
              <w:rPr>
                <w:bCs/>
                <w:sz w:val="26"/>
                <w:szCs w:val="26"/>
              </w:rPr>
              <w:t>6</w:t>
            </w:r>
          </w:p>
        </w:tc>
      </w:tr>
      <w:tr w:rsidR="00742BAF" w:rsidRPr="004C64F4"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rPr>
                <w:i/>
                <w:sz w:val="26"/>
                <w:szCs w:val="26"/>
              </w:rPr>
            </w:pPr>
            <w:r w:rsidRPr="004C64F4">
              <w:rPr>
                <w:sz w:val="26"/>
                <w:szCs w:val="26"/>
              </w:rPr>
              <w:t>1. Budžeta ieņēmumi:</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r>
      <w:tr w:rsidR="00742BAF" w:rsidRPr="004C64F4"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rPr>
                <w:i/>
                <w:sz w:val="26"/>
                <w:szCs w:val="26"/>
              </w:rPr>
            </w:pPr>
            <w:r w:rsidRPr="004C64F4">
              <w:rPr>
                <w:sz w:val="26"/>
                <w:szCs w:val="26"/>
              </w:rPr>
              <w:t xml:space="preserve">1.1. valsts pamatbudžets, tai skaitā ieņēmumi no </w:t>
            </w:r>
            <w:r w:rsidRPr="004C64F4">
              <w:rPr>
                <w:sz w:val="26"/>
                <w:szCs w:val="26"/>
              </w:rPr>
              <w:lastRenderedPageBreak/>
              <w:t>maksas pakalpojumiem un citi pašu ieņēmumi</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jc w:val="left"/>
              <w:rPr>
                <w:sz w:val="26"/>
                <w:szCs w:val="26"/>
              </w:rPr>
            </w:pPr>
            <w:r w:rsidRPr="004C64F4">
              <w:rPr>
                <w:sz w:val="26"/>
                <w:szCs w:val="26"/>
              </w:rPr>
              <w:lastRenderedPageBreak/>
              <w:t>Nav attiecināms</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jc w:val="left"/>
              <w:rPr>
                <w:sz w:val="26"/>
                <w:szCs w:val="26"/>
              </w:rPr>
            </w:pPr>
            <w:r w:rsidRPr="004C64F4">
              <w:rPr>
                <w:sz w:val="26"/>
                <w:szCs w:val="26"/>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jc w:val="left"/>
              <w:rPr>
                <w:sz w:val="26"/>
                <w:szCs w:val="26"/>
              </w:rPr>
            </w:pPr>
            <w:r w:rsidRPr="004C64F4">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jc w:val="left"/>
              <w:rPr>
                <w:sz w:val="26"/>
                <w:szCs w:val="26"/>
              </w:rPr>
            </w:pPr>
            <w:r w:rsidRPr="004C64F4">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jc w:val="left"/>
              <w:rPr>
                <w:sz w:val="26"/>
                <w:szCs w:val="26"/>
              </w:rPr>
            </w:pPr>
            <w:r w:rsidRPr="004C64F4">
              <w:rPr>
                <w:sz w:val="26"/>
                <w:szCs w:val="26"/>
              </w:rPr>
              <w:t>Nav attiecināms</w:t>
            </w:r>
          </w:p>
        </w:tc>
      </w:tr>
      <w:tr w:rsidR="00742BAF" w:rsidRPr="004C64F4"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rPr>
                <w:i/>
                <w:sz w:val="26"/>
                <w:szCs w:val="26"/>
              </w:rPr>
            </w:pPr>
            <w:r w:rsidRPr="004C64F4">
              <w:rPr>
                <w:sz w:val="26"/>
                <w:szCs w:val="26"/>
              </w:rPr>
              <w:lastRenderedPageBreak/>
              <w:t>1.2. valsts speciālais 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r>
      <w:tr w:rsidR="00742BAF" w:rsidRPr="004C64F4"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rPr>
                <w:i/>
                <w:sz w:val="26"/>
                <w:szCs w:val="26"/>
              </w:rPr>
            </w:pPr>
            <w:r w:rsidRPr="004C64F4">
              <w:rPr>
                <w:sz w:val="26"/>
                <w:szCs w:val="26"/>
              </w:rPr>
              <w:t>1.3. pašvaldību 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r>
      <w:tr w:rsidR="00742BAF" w:rsidRPr="004C64F4"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jc w:val="both"/>
              <w:rPr>
                <w:sz w:val="26"/>
                <w:szCs w:val="26"/>
                <w:lang w:val="lv-LV"/>
              </w:rPr>
            </w:pPr>
            <w:r w:rsidRPr="004C64F4">
              <w:rPr>
                <w:sz w:val="26"/>
                <w:szCs w:val="26"/>
                <w:lang w:val="lv-LV"/>
              </w:rPr>
              <w:t>2. Budžeta izdevumi:</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r>
      <w:tr w:rsidR="00742BAF" w:rsidRPr="004C64F4"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jc w:val="both"/>
              <w:rPr>
                <w:sz w:val="26"/>
                <w:szCs w:val="26"/>
                <w:lang w:val="lv-LV"/>
              </w:rPr>
            </w:pPr>
            <w:r w:rsidRPr="004C64F4">
              <w:rPr>
                <w:sz w:val="26"/>
                <w:szCs w:val="26"/>
                <w:lang w:val="lv-LV"/>
              </w:rPr>
              <w:t>2.1. valsts pamatbudžets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rPr>
                <w:sz w:val="26"/>
                <w:szCs w:val="26"/>
              </w:rPr>
            </w:pPr>
            <w:r w:rsidRPr="004C64F4">
              <w:rPr>
                <w:sz w:val="26"/>
                <w:szCs w:val="26"/>
              </w:rPr>
              <w:t>Nav attiecināms</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ind w:firstLine="0"/>
              <w:rPr>
                <w:sz w:val="26"/>
                <w:szCs w:val="26"/>
              </w:rPr>
            </w:pPr>
            <w:r w:rsidRPr="004C64F4">
              <w:rPr>
                <w:sz w:val="26"/>
                <w:szCs w:val="26"/>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ind w:firstLine="0"/>
              <w:rPr>
                <w:sz w:val="26"/>
                <w:szCs w:val="26"/>
              </w:rPr>
            </w:pPr>
            <w:r w:rsidRPr="004C64F4">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ind w:firstLine="0"/>
              <w:rPr>
                <w:sz w:val="26"/>
                <w:szCs w:val="26"/>
              </w:rPr>
            </w:pPr>
            <w:r w:rsidRPr="004C64F4">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ind w:firstLine="0"/>
              <w:rPr>
                <w:sz w:val="26"/>
                <w:szCs w:val="26"/>
              </w:rPr>
            </w:pPr>
            <w:r w:rsidRPr="004C64F4">
              <w:rPr>
                <w:sz w:val="26"/>
                <w:szCs w:val="26"/>
              </w:rPr>
              <w:t>Nav attiecināms</w:t>
            </w:r>
          </w:p>
        </w:tc>
      </w:tr>
      <w:tr w:rsidR="00742BAF" w:rsidRPr="004C64F4"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jc w:val="both"/>
              <w:rPr>
                <w:sz w:val="26"/>
                <w:szCs w:val="26"/>
                <w:lang w:val="lv-LV"/>
              </w:rPr>
            </w:pPr>
            <w:r w:rsidRPr="004C64F4">
              <w:rPr>
                <w:sz w:val="26"/>
                <w:szCs w:val="26"/>
                <w:lang w:val="lv-LV"/>
              </w:rPr>
              <w:t>2.2. valsts speciālais 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r>
      <w:tr w:rsidR="00742BAF" w:rsidRPr="004C64F4"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jc w:val="both"/>
              <w:rPr>
                <w:sz w:val="26"/>
                <w:szCs w:val="26"/>
                <w:lang w:val="lv-LV"/>
              </w:rPr>
            </w:pPr>
            <w:r w:rsidRPr="004C64F4">
              <w:rPr>
                <w:sz w:val="26"/>
                <w:szCs w:val="26"/>
                <w:lang w:val="lv-LV"/>
              </w:rPr>
              <w:t xml:space="preserve">2.3. pašvaldību budžets </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r>
      <w:tr w:rsidR="00742BAF" w:rsidRPr="004C64F4"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jc w:val="both"/>
              <w:rPr>
                <w:sz w:val="26"/>
                <w:szCs w:val="26"/>
                <w:lang w:val="lv-LV"/>
              </w:rPr>
            </w:pPr>
            <w:r w:rsidRPr="004C64F4">
              <w:rPr>
                <w:sz w:val="26"/>
                <w:szCs w:val="26"/>
                <w:lang w:val="lv-LV"/>
              </w:rPr>
              <w:t>3. Finansiālā ietekme:</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742BAF" w:rsidRPr="004C64F4" w:rsidRDefault="00742BAF" w:rsidP="00511C7D">
            <w:pPr>
              <w:pStyle w:val="naisf"/>
              <w:spacing w:before="0" w:after="0"/>
              <w:jc w:val="center"/>
              <w:rPr>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r>
      <w:tr w:rsidR="00742BAF" w:rsidRPr="004C64F4"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jc w:val="both"/>
              <w:rPr>
                <w:sz w:val="26"/>
                <w:szCs w:val="26"/>
                <w:lang w:val="lv-LV"/>
              </w:rPr>
            </w:pPr>
            <w:r w:rsidRPr="004C64F4">
              <w:rPr>
                <w:sz w:val="26"/>
                <w:szCs w:val="26"/>
                <w:lang w:val="lv-LV"/>
              </w:rPr>
              <w:t>3.1. valsts pamatbudžets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rPr>
                <w:i/>
                <w:sz w:val="26"/>
                <w:szCs w:val="26"/>
              </w:rPr>
            </w:pPr>
            <w:r w:rsidRPr="004C64F4">
              <w:rPr>
                <w:sz w:val="26"/>
                <w:szCs w:val="26"/>
              </w:rPr>
              <w:t>Nav attiecināms</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rPr>
                <w:sz w:val="26"/>
                <w:szCs w:val="26"/>
                <w:vertAlign w:val="subscript"/>
              </w:rPr>
            </w:pPr>
            <w:proofErr w:type="spellStart"/>
            <w:r w:rsidRPr="004C64F4">
              <w:rPr>
                <w:sz w:val="26"/>
                <w:szCs w:val="26"/>
              </w:rPr>
              <w:t>Nav</w:t>
            </w:r>
            <w:proofErr w:type="spellEnd"/>
            <w:r w:rsidRPr="004C64F4">
              <w:rPr>
                <w:sz w:val="26"/>
                <w:szCs w:val="26"/>
              </w:rPr>
              <w:t xml:space="preserve"> </w:t>
            </w:r>
            <w:proofErr w:type="spellStart"/>
            <w:r w:rsidRPr="004C64F4">
              <w:rPr>
                <w:sz w:val="26"/>
                <w:szCs w:val="26"/>
              </w:rPr>
              <w:t>attiecināms</w:t>
            </w:r>
            <w:proofErr w:type="spellEnd"/>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ind w:firstLine="0"/>
              <w:rPr>
                <w:sz w:val="26"/>
                <w:szCs w:val="26"/>
              </w:rPr>
            </w:pPr>
            <w:r w:rsidRPr="004C64F4">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ind w:firstLine="0"/>
              <w:rPr>
                <w:sz w:val="26"/>
                <w:szCs w:val="26"/>
              </w:rPr>
            </w:pPr>
            <w:r w:rsidRPr="004C64F4">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ind w:firstLine="0"/>
              <w:rPr>
                <w:sz w:val="26"/>
                <w:szCs w:val="26"/>
              </w:rPr>
            </w:pPr>
            <w:r w:rsidRPr="004C64F4">
              <w:rPr>
                <w:sz w:val="26"/>
                <w:szCs w:val="26"/>
              </w:rPr>
              <w:t>Nav attiecināms</w:t>
            </w:r>
          </w:p>
        </w:tc>
      </w:tr>
      <w:tr w:rsidR="00742BAF" w:rsidRPr="004C64F4"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jc w:val="both"/>
              <w:rPr>
                <w:sz w:val="26"/>
                <w:szCs w:val="26"/>
                <w:lang w:val="lv-LV"/>
              </w:rPr>
            </w:pPr>
            <w:r w:rsidRPr="004C64F4">
              <w:rPr>
                <w:sz w:val="26"/>
                <w:szCs w:val="26"/>
                <w:lang w:val="lv-LV"/>
              </w:rPr>
              <w:t>3.2. speciālais 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r>
      <w:tr w:rsidR="00742BAF" w:rsidRPr="004C64F4"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jc w:val="both"/>
              <w:rPr>
                <w:sz w:val="26"/>
                <w:szCs w:val="26"/>
                <w:lang w:val="lv-LV"/>
              </w:rPr>
            </w:pPr>
            <w:r w:rsidRPr="004C64F4">
              <w:rPr>
                <w:sz w:val="26"/>
                <w:szCs w:val="26"/>
                <w:lang w:val="lv-LV"/>
              </w:rPr>
              <w:t xml:space="preserve">3.3. pašvaldību budžets </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i/>
                <w:sz w:val="26"/>
                <w:szCs w:val="26"/>
              </w:rPr>
            </w:pPr>
          </w:p>
        </w:tc>
      </w:tr>
      <w:tr w:rsidR="00742BAF" w:rsidRPr="004C64F4" w:rsidTr="00511C7D">
        <w:tc>
          <w:tcPr>
            <w:tcW w:w="1440"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jc w:val="both"/>
              <w:rPr>
                <w:sz w:val="26"/>
                <w:szCs w:val="26"/>
                <w:lang w:val="lv-LV"/>
              </w:rPr>
            </w:pPr>
            <w:r w:rsidRPr="004C64F4">
              <w:rPr>
                <w:sz w:val="26"/>
                <w:szCs w:val="26"/>
                <w:lang w:val="lv-LV"/>
              </w:rPr>
              <w:t>4. Finanšu līdzekļi papildu izde</w:t>
            </w:r>
            <w:r w:rsidRPr="004C64F4">
              <w:rPr>
                <w:sz w:val="26"/>
                <w:szCs w:val="26"/>
                <w:lang w:val="lv-LV"/>
              </w:rPr>
              <w:softHyphen/>
              <w:t>vumu finansēšanai (kompensējošu izdevumu samazinājumu norāda ar "+" zīmi)</w:t>
            </w:r>
          </w:p>
        </w:tc>
        <w:tc>
          <w:tcPr>
            <w:tcW w:w="735"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742BAF" w:rsidRPr="004C64F4" w:rsidRDefault="00742BAF" w:rsidP="00511C7D">
            <w:pPr>
              <w:pStyle w:val="naisf"/>
              <w:spacing w:before="0" w:after="0"/>
              <w:jc w:val="left"/>
              <w:rPr>
                <w:sz w:val="26"/>
                <w:szCs w:val="26"/>
              </w:rPr>
            </w:pPr>
            <w:r w:rsidRPr="004C64F4">
              <w:rPr>
                <w:sz w:val="26"/>
                <w:szCs w:val="26"/>
              </w:rPr>
              <w:t>X</w:t>
            </w:r>
          </w:p>
          <w:p w:rsidR="00742BAF" w:rsidRPr="004C64F4" w:rsidRDefault="00742BAF" w:rsidP="00511C7D">
            <w:pPr>
              <w:rPr>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jc w:val="left"/>
              <w:rPr>
                <w:b/>
                <w:sz w:val="26"/>
                <w:szCs w:val="26"/>
              </w:rPr>
            </w:pPr>
            <w:r w:rsidRPr="004C64F4">
              <w:rPr>
                <w:sz w:val="26"/>
                <w:szCs w:val="26"/>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jc w:val="left"/>
              <w:rPr>
                <w:b/>
                <w:sz w:val="26"/>
                <w:szCs w:val="26"/>
              </w:rPr>
            </w:pPr>
            <w:r w:rsidRPr="004C64F4">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jc w:val="left"/>
              <w:rPr>
                <w:b/>
                <w:sz w:val="26"/>
                <w:szCs w:val="26"/>
              </w:rPr>
            </w:pPr>
            <w:r w:rsidRPr="004C64F4">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jc w:val="left"/>
              <w:rPr>
                <w:b/>
                <w:sz w:val="26"/>
                <w:szCs w:val="26"/>
              </w:rPr>
            </w:pPr>
            <w:r w:rsidRPr="004C64F4">
              <w:rPr>
                <w:sz w:val="26"/>
                <w:szCs w:val="26"/>
              </w:rPr>
              <w:t>Nav attiecināms</w:t>
            </w:r>
          </w:p>
        </w:tc>
      </w:tr>
      <w:tr w:rsidR="00742BAF" w:rsidRPr="004C64F4" w:rsidTr="00511C7D">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C64F4" w:rsidRDefault="00742BAF" w:rsidP="00511C7D">
            <w:pPr>
              <w:rPr>
                <w:sz w:val="26"/>
                <w:szCs w:val="26"/>
                <w:lang w:val="lv-LV"/>
              </w:rPr>
            </w:pP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C64F4" w:rsidRDefault="00742BAF" w:rsidP="00511C7D">
            <w:pPr>
              <w:rPr>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jc w:val="left"/>
              <w:rPr>
                <w:b/>
                <w:sz w:val="26"/>
                <w:szCs w:val="26"/>
              </w:rPr>
            </w:pPr>
            <w:r w:rsidRPr="004C64F4">
              <w:rPr>
                <w:sz w:val="26"/>
                <w:szCs w:val="26"/>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jc w:val="left"/>
              <w:rPr>
                <w:b/>
                <w:sz w:val="26"/>
                <w:szCs w:val="26"/>
              </w:rPr>
            </w:pPr>
            <w:r w:rsidRPr="004C64F4">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jc w:val="left"/>
              <w:rPr>
                <w:b/>
                <w:sz w:val="26"/>
                <w:szCs w:val="26"/>
              </w:rPr>
            </w:pPr>
            <w:r w:rsidRPr="004C64F4">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jc w:val="left"/>
              <w:rPr>
                <w:b/>
                <w:sz w:val="26"/>
                <w:szCs w:val="26"/>
              </w:rPr>
            </w:pPr>
            <w:r w:rsidRPr="004C64F4">
              <w:rPr>
                <w:sz w:val="26"/>
                <w:szCs w:val="26"/>
              </w:rPr>
              <w:t>Nav attiecināms</w:t>
            </w:r>
          </w:p>
        </w:tc>
      </w:tr>
      <w:tr w:rsidR="00742BAF" w:rsidRPr="004C64F4" w:rsidTr="00511C7D">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C64F4" w:rsidRDefault="00742BAF" w:rsidP="00511C7D">
            <w:pPr>
              <w:rPr>
                <w:sz w:val="26"/>
                <w:szCs w:val="26"/>
                <w:lang w:val="lv-LV"/>
              </w:rPr>
            </w:pP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C64F4" w:rsidRDefault="00742BAF" w:rsidP="00511C7D">
            <w:pPr>
              <w:rPr>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jc w:val="left"/>
              <w:rPr>
                <w:b/>
                <w:sz w:val="26"/>
                <w:szCs w:val="26"/>
              </w:rPr>
            </w:pPr>
            <w:r w:rsidRPr="004C64F4">
              <w:rPr>
                <w:sz w:val="26"/>
                <w:szCs w:val="26"/>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jc w:val="left"/>
              <w:rPr>
                <w:b/>
                <w:sz w:val="26"/>
                <w:szCs w:val="26"/>
              </w:rPr>
            </w:pPr>
            <w:r w:rsidRPr="004C64F4">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jc w:val="left"/>
              <w:rPr>
                <w:b/>
                <w:sz w:val="26"/>
                <w:szCs w:val="26"/>
              </w:rPr>
            </w:pPr>
            <w:r w:rsidRPr="004C64F4">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jc w:val="left"/>
              <w:rPr>
                <w:b/>
                <w:sz w:val="26"/>
                <w:szCs w:val="26"/>
              </w:rPr>
            </w:pPr>
            <w:r w:rsidRPr="004C64F4">
              <w:rPr>
                <w:sz w:val="26"/>
                <w:szCs w:val="26"/>
              </w:rPr>
              <w:t>Nav attiecināms</w:t>
            </w:r>
          </w:p>
        </w:tc>
      </w:tr>
      <w:tr w:rsidR="00742BAF" w:rsidRPr="004C64F4"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jc w:val="both"/>
              <w:rPr>
                <w:sz w:val="26"/>
                <w:szCs w:val="26"/>
                <w:lang w:val="lv-LV"/>
              </w:rPr>
            </w:pPr>
            <w:r w:rsidRPr="004C64F4">
              <w:rPr>
                <w:sz w:val="26"/>
                <w:szCs w:val="26"/>
                <w:lang w:val="lv-LV"/>
              </w:rPr>
              <w:t>5. Precizēta finansiālā ietekme:</w:t>
            </w:r>
          </w:p>
        </w:tc>
        <w:tc>
          <w:tcPr>
            <w:tcW w:w="735"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742BAF" w:rsidRPr="004C64F4" w:rsidRDefault="00742BAF" w:rsidP="00511C7D">
            <w:pPr>
              <w:pStyle w:val="naisf"/>
              <w:spacing w:before="0" w:after="0"/>
              <w:jc w:val="left"/>
              <w:rPr>
                <w:sz w:val="26"/>
                <w:szCs w:val="26"/>
              </w:rPr>
            </w:pPr>
            <w:r w:rsidRPr="004C64F4">
              <w:rPr>
                <w:sz w:val="26"/>
                <w:szCs w:val="26"/>
              </w:rPr>
              <w:t>X</w:t>
            </w:r>
          </w:p>
          <w:p w:rsidR="00742BAF" w:rsidRPr="004C64F4" w:rsidRDefault="00742BAF" w:rsidP="00511C7D">
            <w:pPr>
              <w:pStyle w:val="naisf"/>
              <w:spacing w:before="0" w:after="0"/>
              <w:jc w:val="center"/>
              <w:rPr>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sz w:val="26"/>
                <w:szCs w:val="26"/>
              </w:rPr>
            </w:pPr>
          </w:p>
        </w:tc>
      </w:tr>
      <w:tr w:rsidR="00742BAF" w:rsidRPr="004C64F4"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jc w:val="both"/>
              <w:rPr>
                <w:sz w:val="26"/>
                <w:szCs w:val="26"/>
                <w:lang w:val="lv-LV"/>
              </w:rPr>
            </w:pPr>
            <w:r w:rsidRPr="004C64F4">
              <w:rPr>
                <w:sz w:val="26"/>
                <w:szCs w:val="26"/>
                <w:lang w:val="lv-LV"/>
              </w:rPr>
              <w:lastRenderedPageBreak/>
              <w:t>5.1. valsts pamatbudžets</w:t>
            </w: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C64F4" w:rsidRDefault="00742BAF" w:rsidP="00511C7D">
            <w:pPr>
              <w:rPr>
                <w:rFonts w:eastAsia="Times New Roman"/>
                <w:sz w:val="26"/>
                <w:szCs w:val="26"/>
                <w:lang w:val="lv-LV" w:eastAsia="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rPr>
                <w:sz w:val="26"/>
                <w:szCs w:val="26"/>
                <w:vertAlign w:val="subscript"/>
                <w:lang w:val="lv-LV"/>
              </w:rPr>
            </w:pPr>
            <w:r w:rsidRPr="004C64F4">
              <w:rPr>
                <w:sz w:val="26"/>
                <w:szCs w:val="26"/>
                <w:lang w:val="lv-LV"/>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rPr>
                <w:sz w:val="26"/>
                <w:szCs w:val="26"/>
              </w:rPr>
            </w:pPr>
            <w:r w:rsidRPr="004C64F4">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rPr>
                <w:sz w:val="26"/>
                <w:szCs w:val="26"/>
              </w:rPr>
            </w:pPr>
            <w:r w:rsidRPr="004C64F4">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pStyle w:val="naisf"/>
              <w:spacing w:before="0" w:after="0"/>
              <w:rPr>
                <w:sz w:val="26"/>
                <w:szCs w:val="26"/>
              </w:rPr>
            </w:pPr>
            <w:r w:rsidRPr="004C64F4">
              <w:rPr>
                <w:sz w:val="26"/>
                <w:szCs w:val="26"/>
              </w:rPr>
              <w:t>Nav attiecināms</w:t>
            </w:r>
          </w:p>
        </w:tc>
      </w:tr>
      <w:tr w:rsidR="00742BAF" w:rsidRPr="004C64F4"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jc w:val="both"/>
              <w:rPr>
                <w:sz w:val="26"/>
                <w:szCs w:val="26"/>
                <w:lang w:val="lv-LV"/>
              </w:rPr>
            </w:pPr>
            <w:r w:rsidRPr="004C64F4">
              <w:rPr>
                <w:sz w:val="26"/>
                <w:szCs w:val="26"/>
                <w:lang w:val="lv-LV"/>
              </w:rPr>
              <w:t>5.2. speciālais budžets</w:t>
            </w: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C64F4" w:rsidRDefault="00742BAF" w:rsidP="00511C7D">
            <w:pPr>
              <w:rPr>
                <w:rFonts w:eastAsia="Times New Roman"/>
                <w:sz w:val="26"/>
                <w:szCs w:val="26"/>
                <w:lang w:val="lv-LV" w:eastAsia="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sz w:val="26"/>
                <w:szCs w:val="26"/>
              </w:rPr>
            </w:pPr>
          </w:p>
        </w:tc>
      </w:tr>
      <w:tr w:rsidR="00742BAF" w:rsidRPr="004C64F4"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C64F4" w:rsidRDefault="00742BAF" w:rsidP="00511C7D">
            <w:pPr>
              <w:jc w:val="both"/>
              <w:rPr>
                <w:sz w:val="26"/>
                <w:szCs w:val="26"/>
                <w:lang w:val="lv-LV"/>
              </w:rPr>
            </w:pPr>
            <w:r w:rsidRPr="004C64F4">
              <w:rPr>
                <w:sz w:val="26"/>
                <w:szCs w:val="26"/>
                <w:lang w:val="lv-LV"/>
              </w:rPr>
              <w:t xml:space="preserve">5.3. pašvaldību budžets </w:t>
            </w: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C64F4" w:rsidRDefault="00742BAF" w:rsidP="00511C7D">
            <w:pPr>
              <w:rPr>
                <w:rFonts w:eastAsia="Times New Roman"/>
                <w:sz w:val="26"/>
                <w:szCs w:val="26"/>
                <w:lang w:val="lv-LV" w:eastAsia="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C64F4" w:rsidRDefault="00742BAF" w:rsidP="00511C7D">
            <w:pPr>
              <w:pStyle w:val="naisf"/>
              <w:spacing w:before="0" w:after="0"/>
              <w:rPr>
                <w:b/>
                <w:sz w:val="26"/>
                <w:szCs w:val="26"/>
              </w:rPr>
            </w:pPr>
          </w:p>
        </w:tc>
      </w:tr>
      <w:tr w:rsidR="00742BAF" w:rsidRPr="004C64F4" w:rsidTr="00511C7D">
        <w:tc>
          <w:tcPr>
            <w:tcW w:w="1440"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742BAF" w:rsidRPr="004C64F4" w:rsidRDefault="00742BAF" w:rsidP="00511C7D">
            <w:pPr>
              <w:jc w:val="both"/>
              <w:rPr>
                <w:sz w:val="26"/>
                <w:szCs w:val="26"/>
                <w:lang w:val="lv-LV"/>
              </w:rPr>
            </w:pPr>
            <w:r w:rsidRPr="004C64F4">
              <w:rPr>
                <w:sz w:val="26"/>
                <w:szCs w:val="26"/>
                <w:lang w:val="lv-LV"/>
              </w:rPr>
              <w:t>6. Detalizēts ieņēmumu un izdevu</w:t>
            </w:r>
            <w:r w:rsidRPr="004C64F4">
              <w:rPr>
                <w:sz w:val="26"/>
                <w:szCs w:val="26"/>
                <w:lang w:val="lv-LV"/>
              </w:rPr>
              <w:softHyphen/>
              <w:t>mu aprēķins (ja nepieciešams, detalizētu ieņēmumu un izdevumu aprēķinu var pievienot anotācijas pielikumā):</w:t>
            </w:r>
          </w:p>
        </w:tc>
        <w:tc>
          <w:tcPr>
            <w:tcW w:w="3520" w:type="pct"/>
            <w:gridSpan w:val="5"/>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tcPr>
          <w:p w:rsidR="00742BAF" w:rsidRPr="004C64F4" w:rsidRDefault="00742BAF" w:rsidP="00511C7D">
            <w:pPr>
              <w:ind w:firstLine="451"/>
              <w:jc w:val="both"/>
              <w:rPr>
                <w:sz w:val="26"/>
                <w:szCs w:val="26"/>
                <w:lang w:val="lv-LV"/>
              </w:rPr>
            </w:pPr>
          </w:p>
        </w:tc>
      </w:tr>
      <w:tr w:rsidR="00742BAF" w:rsidRPr="004C64F4" w:rsidTr="00511C7D">
        <w:tc>
          <w:tcPr>
            <w:tcW w:w="1440"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tcPr>
          <w:p w:rsidR="00742BAF" w:rsidRPr="004C64F4" w:rsidRDefault="00742BAF" w:rsidP="00511C7D">
            <w:pPr>
              <w:jc w:val="both"/>
              <w:rPr>
                <w:sz w:val="26"/>
                <w:szCs w:val="26"/>
                <w:lang w:val="lv-LV"/>
              </w:rPr>
            </w:pPr>
            <w:r w:rsidRPr="004C64F4">
              <w:rPr>
                <w:sz w:val="26"/>
                <w:szCs w:val="26"/>
                <w:lang w:val="lv-LV"/>
              </w:rPr>
              <w:t>6.1. detalizēts ieņēmumu aprēķins</w:t>
            </w:r>
          </w:p>
        </w:tc>
        <w:tc>
          <w:tcPr>
            <w:tcW w:w="0" w:type="auto"/>
            <w:gridSpan w:val="5"/>
            <w:vMerge/>
            <w:tcBorders>
              <w:top w:val="thickThinSmallGap" w:sz="12" w:space="0" w:color="BFBFBF"/>
              <w:left w:val="thickThinSmallGap" w:sz="12" w:space="0" w:color="BFBFBF"/>
              <w:bottom w:val="thickThinSmallGap" w:sz="12" w:space="0" w:color="BFBFBF"/>
              <w:right w:val="thickThinSmallGap" w:sz="12" w:space="0" w:color="BFBFBF"/>
            </w:tcBorders>
            <w:vAlign w:val="center"/>
          </w:tcPr>
          <w:p w:rsidR="00742BAF" w:rsidRPr="004C64F4" w:rsidRDefault="00742BAF" w:rsidP="00511C7D">
            <w:pPr>
              <w:rPr>
                <w:sz w:val="26"/>
                <w:szCs w:val="26"/>
                <w:lang w:val="lv-LV"/>
              </w:rPr>
            </w:pPr>
          </w:p>
        </w:tc>
      </w:tr>
      <w:tr w:rsidR="00742BAF" w:rsidRPr="004C64F4" w:rsidTr="00742BAF">
        <w:trPr>
          <w:trHeight w:val="585"/>
        </w:trPr>
        <w:tc>
          <w:tcPr>
            <w:tcW w:w="1440"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742BAF" w:rsidRPr="004C64F4" w:rsidRDefault="00742BAF" w:rsidP="00511C7D">
            <w:pPr>
              <w:jc w:val="both"/>
              <w:rPr>
                <w:sz w:val="26"/>
                <w:szCs w:val="26"/>
                <w:lang w:val="lv-LV"/>
              </w:rPr>
            </w:pPr>
            <w:r w:rsidRPr="004C64F4">
              <w:rPr>
                <w:sz w:val="26"/>
                <w:szCs w:val="26"/>
                <w:lang w:val="lv-LV"/>
              </w:rPr>
              <w:t>6.2. detalizēts izdevumu aprēķins</w:t>
            </w:r>
          </w:p>
        </w:tc>
        <w:tc>
          <w:tcPr>
            <w:tcW w:w="0" w:type="auto"/>
            <w:gridSpan w:val="5"/>
            <w:vMerge/>
            <w:tcBorders>
              <w:top w:val="thickThinSmallGap" w:sz="12" w:space="0" w:color="BFBFBF"/>
              <w:left w:val="thickThinSmallGap" w:sz="12" w:space="0" w:color="BFBFBF"/>
              <w:bottom w:val="thickThinSmallGap" w:sz="12" w:space="0" w:color="BFBFBF"/>
              <w:right w:val="thickThinSmallGap" w:sz="12" w:space="0" w:color="BFBFBF"/>
            </w:tcBorders>
            <w:vAlign w:val="center"/>
          </w:tcPr>
          <w:p w:rsidR="00742BAF" w:rsidRPr="004C64F4" w:rsidRDefault="00742BAF" w:rsidP="00511C7D">
            <w:pPr>
              <w:rPr>
                <w:sz w:val="26"/>
                <w:szCs w:val="26"/>
                <w:lang w:val="lv-LV"/>
              </w:rPr>
            </w:pPr>
          </w:p>
        </w:tc>
      </w:tr>
      <w:tr w:rsidR="00742BAF" w:rsidRPr="004C64F4" w:rsidTr="00511C7D">
        <w:tc>
          <w:tcPr>
            <w:tcW w:w="1440"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742BAF" w:rsidRPr="004C64F4" w:rsidRDefault="00742BAF" w:rsidP="00511C7D">
            <w:pPr>
              <w:jc w:val="both"/>
              <w:rPr>
                <w:sz w:val="26"/>
                <w:szCs w:val="26"/>
                <w:lang w:val="lv-LV"/>
              </w:rPr>
            </w:pPr>
            <w:r w:rsidRPr="004C64F4">
              <w:rPr>
                <w:sz w:val="26"/>
                <w:szCs w:val="26"/>
                <w:lang w:val="lv-LV"/>
              </w:rPr>
              <w:t>7. Cita informācija</w:t>
            </w:r>
          </w:p>
        </w:tc>
        <w:tc>
          <w:tcPr>
            <w:tcW w:w="3520" w:type="pct"/>
            <w:gridSpan w:val="5"/>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tcPr>
          <w:p w:rsidR="00742BAF" w:rsidRPr="004C64F4" w:rsidRDefault="00742BAF" w:rsidP="00511C7D">
            <w:pPr>
              <w:spacing w:after="120"/>
              <w:jc w:val="both"/>
              <w:rPr>
                <w:bCs/>
                <w:color w:val="000000"/>
                <w:sz w:val="26"/>
                <w:szCs w:val="26"/>
                <w:lang w:val="lv-LV"/>
              </w:rPr>
            </w:pPr>
            <w:r w:rsidRPr="004C64F4">
              <w:rPr>
                <w:bCs/>
                <w:color w:val="000000"/>
                <w:sz w:val="26"/>
                <w:szCs w:val="26"/>
                <w:lang w:val="lv-LV"/>
              </w:rPr>
              <w:t xml:space="preserve">Grozījumu ietekmi saistībā ar pāreju uz </w:t>
            </w:r>
            <w:proofErr w:type="spellStart"/>
            <w:r w:rsidRPr="004C64F4">
              <w:rPr>
                <w:bCs/>
                <w:i/>
                <w:color w:val="000000"/>
                <w:sz w:val="26"/>
                <w:szCs w:val="26"/>
                <w:lang w:val="lv-LV"/>
              </w:rPr>
              <w:t>euro</w:t>
            </w:r>
            <w:proofErr w:type="spellEnd"/>
            <w:r w:rsidRPr="004C64F4">
              <w:rPr>
                <w:bCs/>
                <w:color w:val="000000"/>
                <w:sz w:val="26"/>
                <w:szCs w:val="26"/>
                <w:lang w:val="lv-LV"/>
              </w:rPr>
              <w:t xml:space="preserve"> (iespējamo ieņēmumu samazinājumu vai izdevumu palielinājumu) iespējams segt, nemainot attiecīgajās budžeta programmās vai apakšprogrammās finansējuma sadalījumu pa ieņēmumu, izdevumu vai finansēšanas klasifikācijas kodiem. </w:t>
            </w:r>
          </w:p>
        </w:tc>
      </w:tr>
    </w:tbl>
    <w:p w:rsidR="00742BAF" w:rsidRPr="00235168" w:rsidRDefault="00742BAF" w:rsidP="00C9779A">
      <w:pPr>
        <w:rPr>
          <w:sz w:val="26"/>
          <w:szCs w:val="26"/>
          <w:lang w:val="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CellMar>
          <w:left w:w="0" w:type="dxa"/>
          <w:right w:w="0" w:type="dxa"/>
        </w:tblCellMar>
        <w:tblLook w:val="04A0" w:firstRow="1" w:lastRow="0" w:firstColumn="1" w:lastColumn="0" w:noHBand="0" w:noVBand="1"/>
      </w:tblPr>
      <w:tblGrid>
        <w:gridCol w:w="400"/>
        <w:gridCol w:w="1645"/>
        <w:gridCol w:w="7146"/>
      </w:tblGrid>
      <w:tr w:rsidR="00C9779A" w:rsidRPr="00235168" w:rsidTr="0034794E">
        <w:trPr>
          <w:tblCellSpacing w:w="0" w:type="dxa"/>
        </w:trPr>
        <w:tc>
          <w:tcPr>
            <w:tcW w:w="9191" w:type="dxa"/>
            <w:gridSpan w:val="3"/>
            <w:hideMark/>
          </w:tcPr>
          <w:p w:rsidR="00C9779A" w:rsidRPr="00235168" w:rsidRDefault="00C9779A" w:rsidP="0034794E">
            <w:pPr>
              <w:ind w:firstLine="709"/>
              <w:jc w:val="both"/>
              <w:rPr>
                <w:rFonts w:eastAsia="Times New Roman"/>
                <w:b/>
                <w:bCs/>
                <w:sz w:val="26"/>
                <w:szCs w:val="26"/>
                <w:lang w:val="lv-LV" w:eastAsia="lv-LV"/>
              </w:rPr>
            </w:pPr>
            <w:r w:rsidRPr="00235168">
              <w:rPr>
                <w:rFonts w:eastAsia="Times New Roman"/>
                <w:b/>
                <w:bCs/>
                <w:sz w:val="26"/>
                <w:szCs w:val="26"/>
                <w:lang w:val="lv-LV" w:eastAsia="lv-LV"/>
              </w:rPr>
              <w:t> V. Tiesību akta projekta atbilstība Latvijas Republikas starptautiskajām saistībām</w:t>
            </w:r>
          </w:p>
        </w:tc>
      </w:tr>
      <w:tr w:rsidR="00C9779A" w:rsidRPr="00235168" w:rsidTr="005631C8">
        <w:trPr>
          <w:tblCellSpacing w:w="0" w:type="dxa"/>
        </w:trPr>
        <w:tc>
          <w:tcPr>
            <w:tcW w:w="400" w:type="dxa"/>
            <w:hideMark/>
          </w:tcPr>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1.</w:t>
            </w:r>
          </w:p>
        </w:tc>
        <w:tc>
          <w:tcPr>
            <w:tcW w:w="1645" w:type="dxa"/>
            <w:hideMark/>
          </w:tcPr>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Saistības pret Eiropas Savienību</w:t>
            </w:r>
          </w:p>
        </w:tc>
        <w:tc>
          <w:tcPr>
            <w:tcW w:w="7146" w:type="dxa"/>
            <w:hideMark/>
          </w:tcPr>
          <w:p w:rsidR="004B3D19" w:rsidRDefault="00C9779A" w:rsidP="007E63F8">
            <w:pPr>
              <w:jc w:val="both"/>
              <w:rPr>
                <w:rFonts w:eastAsia="Times New Roman"/>
                <w:sz w:val="26"/>
                <w:szCs w:val="26"/>
                <w:lang w:val="lv-LV" w:eastAsia="lv-LV"/>
              </w:rPr>
            </w:pPr>
            <w:r w:rsidRPr="00235168">
              <w:rPr>
                <w:rFonts w:eastAsia="Times New Roman"/>
                <w:sz w:val="26"/>
                <w:szCs w:val="26"/>
                <w:lang w:val="lv-LV" w:eastAsia="lv-LV"/>
              </w:rPr>
              <w:t>Ar tiesību</w:t>
            </w:r>
            <w:r w:rsidR="002954D4" w:rsidRPr="00235168">
              <w:rPr>
                <w:rFonts w:eastAsia="Times New Roman"/>
                <w:sz w:val="26"/>
                <w:szCs w:val="26"/>
                <w:lang w:val="lv-LV" w:eastAsia="lv-LV"/>
              </w:rPr>
              <w:t xml:space="preserve"> akta projektu </w:t>
            </w:r>
            <w:r w:rsidR="00742BAF">
              <w:rPr>
                <w:rFonts w:eastAsia="Times New Roman"/>
                <w:sz w:val="26"/>
                <w:szCs w:val="26"/>
                <w:lang w:val="lv-LV" w:eastAsia="lv-LV"/>
              </w:rPr>
              <w:t>tiek ieviesta</w:t>
            </w:r>
            <w:r w:rsidR="004B3D19">
              <w:rPr>
                <w:rFonts w:eastAsia="Times New Roman"/>
                <w:sz w:val="26"/>
                <w:szCs w:val="26"/>
                <w:lang w:val="lv-LV" w:eastAsia="lv-LV"/>
              </w:rPr>
              <w:t>:</w:t>
            </w:r>
          </w:p>
          <w:p w:rsidR="004B3D19" w:rsidRDefault="00742BAF" w:rsidP="004B3D19">
            <w:pPr>
              <w:pStyle w:val="ListParagraph"/>
              <w:numPr>
                <w:ilvl w:val="0"/>
                <w:numId w:val="16"/>
              </w:numPr>
              <w:jc w:val="both"/>
              <w:rPr>
                <w:sz w:val="26"/>
                <w:szCs w:val="26"/>
                <w:lang w:val="lv-LV"/>
              </w:rPr>
            </w:pPr>
            <w:r>
              <w:rPr>
                <w:rFonts w:eastAsia="Times New Roman"/>
                <w:sz w:val="26"/>
                <w:szCs w:val="26"/>
                <w:lang w:val="lv-LV" w:eastAsia="lv-LV"/>
              </w:rPr>
              <w:t xml:space="preserve"> </w:t>
            </w:r>
            <w:r w:rsidR="004B3D19" w:rsidRPr="004B3D19">
              <w:rPr>
                <w:sz w:val="26"/>
                <w:szCs w:val="26"/>
                <w:lang w:val="lv-LV"/>
              </w:rPr>
              <w:t xml:space="preserve">Komisijas 2006.gada 15.decembra Regula (EK) Nr.1998/2006 par Līguma 87. un 88.panta piemērošanu </w:t>
            </w:r>
            <w:proofErr w:type="spellStart"/>
            <w:r w:rsidR="004B3D19" w:rsidRPr="004B3D19">
              <w:rPr>
                <w:i/>
                <w:sz w:val="26"/>
                <w:szCs w:val="26"/>
                <w:lang w:val="lv-LV"/>
              </w:rPr>
              <w:t>de</w:t>
            </w:r>
            <w:proofErr w:type="spellEnd"/>
            <w:r w:rsidR="004B3D19" w:rsidRPr="004B3D19">
              <w:rPr>
                <w:i/>
                <w:sz w:val="26"/>
                <w:szCs w:val="26"/>
                <w:lang w:val="lv-LV"/>
              </w:rPr>
              <w:t xml:space="preserve"> </w:t>
            </w:r>
            <w:proofErr w:type="spellStart"/>
            <w:r w:rsidR="004B3D19" w:rsidRPr="004B3D19">
              <w:rPr>
                <w:i/>
                <w:sz w:val="26"/>
                <w:szCs w:val="26"/>
                <w:lang w:val="lv-LV"/>
              </w:rPr>
              <w:t>minimis</w:t>
            </w:r>
            <w:proofErr w:type="spellEnd"/>
            <w:r w:rsidR="004B3D19" w:rsidRPr="004B3D19">
              <w:rPr>
                <w:sz w:val="26"/>
                <w:szCs w:val="26"/>
                <w:lang w:val="lv-LV"/>
              </w:rPr>
              <w:t xml:space="preserve"> atbalstam;</w:t>
            </w:r>
          </w:p>
          <w:p w:rsidR="00B84C4B" w:rsidRPr="00DD3D24" w:rsidRDefault="004B3D19" w:rsidP="00742BAF">
            <w:pPr>
              <w:pStyle w:val="ListParagraph"/>
              <w:numPr>
                <w:ilvl w:val="0"/>
                <w:numId w:val="16"/>
              </w:numPr>
              <w:jc w:val="both"/>
              <w:rPr>
                <w:sz w:val="26"/>
                <w:szCs w:val="26"/>
                <w:lang w:val="lv-LV"/>
              </w:rPr>
            </w:pPr>
            <w:r>
              <w:rPr>
                <w:sz w:val="26"/>
                <w:szCs w:val="26"/>
                <w:lang w:val="lv-LV"/>
              </w:rPr>
              <w:t>Komisijas 2007.gada 20.decembra Regula</w:t>
            </w:r>
            <w:r w:rsidRPr="00153E7C">
              <w:rPr>
                <w:sz w:val="26"/>
                <w:szCs w:val="26"/>
                <w:lang w:val="lv-LV"/>
              </w:rPr>
              <w:t xml:space="preserve"> (EK) Nr.1535/2007 par EK līguma 87. un 88.panta piemērošanu </w:t>
            </w:r>
            <w:proofErr w:type="spellStart"/>
            <w:r w:rsidRPr="00153E7C">
              <w:rPr>
                <w:i/>
                <w:sz w:val="26"/>
                <w:szCs w:val="26"/>
                <w:lang w:val="lv-LV"/>
              </w:rPr>
              <w:t>de</w:t>
            </w:r>
            <w:proofErr w:type="spellEnd"/>
            <w:r w:rsidRPr="00153E7C">
              <w:rPr>
                <w:i/>
                <w:sz w:val="26"/>
                <w:szCs w:val="26"/>
                <w:lang w:val="lv-LV"/>
              </w:rPr>
              <w:t xml:space="preserve"> </w:t>
            </w:r>
            <w:proofErr w:type="spellStart"/>
            <w:r w:rsidRPr="00153E7C">
              <w:rPr>
                <w:i/>
                <w:sz w:val="26"/>
                <w:szCs w:val="26"/>
                <w:lang w:val="lv-LV"/>
              </w:rPr>
              <w:t>minimis</w:t>
            </w:r>
            <w:proofErr w:type="spellEnd"/>
            <w:r w:rsidRPr="00153E7C">
              <w:rPr>
                <w:sz w:val="26"/>
                <w:szCs w:val="26"/>
                <w:lang w:val="lv-LV"/>
              </w:rPr>
              <w:t xml:space="preserve"> atbalstam lauksaimniecības produktu ražošanas nozarē</w:t>
            </w:r>
            <w:r>
              <w:rPr>
                <w:sz w:val="26"/>
                <w:szCs w:val="26"/>
                <w:lang w:val="lv-LV"/>
              </w:rPr>
              <w:t>.</w:t>
            </w:r>
          </w:p>
        </w:tc>
      </w:tr>
      <w:tr w:rsidR="00C9779A" w:rsidRPr="00235168" w:rsidTr="005631C8">
        <w:trPr>
          <w:tblCellSpacing w:w="0" w:type="dxa"/>
        </w:trPr>
        <w:tc>
          <w:tcPr>
            <w:tcW w:w="400" w:type="dxa"/>
            <w:hideMark/>
          </w:tcPr>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2.</w:t>
            </w:r>
          </w:p>
        </w:tc>
        <w:tc>
          <w:tcPr>
            <w:tcW w:w="1645" w:type="dxa"/>
            <w:hideMark/>
          </w:tcPr>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Citas starptautiskās saistības</w:t>
            </w:r>
          </w:p>
        </w:tc>
        <w:tc>
          <w:tcPr>
            <w:tcW w:w="7146" w:type="dxa"/>
            <w:hideMark/>
          </w:tcPr>
          <w:p w:rsidR="00C9779A" w:rsidRPr="00235168" w:rsidRDefault="00C9779A" w:rsidP="00742BAF">
            <w:pPr>
              <w:rPr>
                <w:rFonts w:eastAsia="Times New Roman"/>
                <w:sz w:val="26"/>
                <w:szCs w:val="26"/>
                <w:lang w:val="lv-LV" w:eastAsia="lv-LV"/>
              </w:rPr>
            </w:pPr>
            <w:r w:rsidRPr="00235168">
              <w:rPr>
                <w:sz w:val="26"/>
                <w:szCs w:val="26"/>
                <w:lang w:val="lv-LV"/>
              </w:rPr>
              <w:t>Projekts šo jomu neskar.</w:t>
            </w:r>
          </w:p>
        </w:tc>
      </w:tr>
      <w:tr w:rsidR="00C9779A" w:rsidRPr="00235168" w:rsidTr="005631C8">
        <w:trPr>
          <w:tblCellSpacing w:w="0" w:type="dxa"/>
        </w:trPr>
        <w:tc>
          <w:tcPr>
            <w:tcW w:w="400" w:type="dxa"/>
            <w:hideMark/>
          </w:tcPr>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lastRenderedPageBreak/>
              <w:t> 3.</w:t>
            </w:r>
          </w:p>
        </w:tc>
        <w:tc>
          <w:tcPr>
            <w:tcW w:w="1645" w:type="dxa"/>
            <w:hideMark/>
          </w:tcPr>
          <w:p w:rsidR="00C9779A" w:rsidRPr="00235168" w:rsidRDefault="00C9779A" w:rsidP="0034794E">
            <w:pPr>
              <w:rPr>
                <w:sz w:val="26"/>
                <w:szCs w:val="26"/>
                <w:lang w:val="lv-LV"/>
              </w:rPr>
            </w:pPr>
            <w:r w:rsidRPr="00235168">
              <w:rPr>
                <w:sz w:val="26"/>
                <w:szCs w:val="26"/>
                <w:lang w:val="lv-LV"/>
              </w:rPr>
              <w:t> Cita informācija</w:t>
            </w:r>
          </w:p>
        </w:tc>
        <w:tc>
          <w:tcPr>
            <w:tcW w:w="7146" w:type="dxa"/>
            <w:hideMark/>
          </w:tcPr>
          <w:p w:rsidR="00B84C4B" w:rsidRPr="00235168" w:rsidRDefault="00C906FA" w:rsidP="00F20476">
            <w:pPr>
              <w:jc w:val="both"/>
              <w:rPr>
                <w:rFonts w:eastAsia="Times New Roman"/>
                <w:sz w:val="26"/>
                <w:szCs w:val="26"/>
                <w:lang w:val="lv-LV" w:eastAsia="lv-LV"/>
              </w:rPr>
            </w:pPr>
            <w:r w:rsidRPr="00235168">
              <w:rPr>
                <w:rFonts w:eastAsia="Times New Roman"/>
                <w:sz w:val="26"/>
                <w:szCs w:val="26"/>
                <w:lang w:val="lv-LV" w:eastAsia="lv-LV"/>
              </w:rPr>
              <w:t>Ar tiesību akta projektu tiek ieviests Komisijas paziņojums Kopienas pamatnostādnes par valsts atbalstu grūtībās nonākušu uzņēmumu glābšanai un pārstrukturēšanai (2004/C 244/02).</w:t>
            </w:r>
          </w:p>
        </w:tc>
      </w:tr>
    </w:tbl>
    <w:p w:rsidR="00C9779A" w:rsidRPr="00235168" w:rsidRDefault="00C9779A" w:rsidP="00C9779A">
      <w:pPr>
        <w:ind w:firstLine="468"/>
        <w:jc w:val="both"/>
        <w:rPr>
          <w:rFonts w:eastAsia="Times New Roman"/>
          <w:sz w:val="26"/>
          <w:szCs w:val="26"/>
          <w:lang w:val="lv-LV" w:eastAsia="lv-LV"/>
        </w:rPr>
      </w:pPr>
      <w:r w:rsidRPr="00235168">
        <w:rPr>
          <w:rFonts w:eastAsia="Times New Roman"/>
          <w:sz w:val="26"/>
          <w:szCs w:val="26"/>
          <w:lang w:val="lv-LV" w:eastAsia="lv-LV"/>
        </w:rPr>
        <w:t> </w:t>
      </w: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Layout w:type="fixed"/>
        <w:tblCellMar>
          <w:left w:w="0" w:type="dxa"/>
          <w:right w:w="0" w:type="dxa"/>
        </w:tblCellMar>
        <w:tblLook w:val="04A0" w:firstRow="1" w:lastRow="0" w:firstColumn="1" w:lastColumn="0" w:noHBand="0" w:noVBand="1"/>
      </w:tblPr>
      <w:tblGrid>
        <w:gridCol w:w="2003"/>
        <w:gridCol w:w="2452"/>
        <w:gridCol w:w="2703"/>
        <w:gridCol w:w="2033"/>
      </w:tblGrid>
      <w:tr w:rsidR="00C9779A" w:rsidRPr="00235168" w:rsidTr="0034794E">
        <w:trPr>
          <w:trHeight w:val="525"/>
          <w:tblCellSpacing w:w="0" w:type="dxa"/>
        </w:trPr>
        <w:tc>
          <w:tcPr>
            <w:tcW w:w="9191" w:type="dxa"/>
            <w:gridSpan w:val="4"/>
            <w:vAlign w:val="center"/>
            <w:hideMark/>
          </w:tcPr>
          <w:p w:rsidR="00C9779A" w:rsidRPr="00235168" w:rsidRDefault="00C9779A" w:rsidP="0034794E">
            <w:pPr>
              <w:jc w:val="center"/>
              <w:rPr>
                <w:rFonts w:eastAsia="Times New Roman"/>
                <w:b/>
                <w:bCs/>
                <w:sz w:val="26"/>
                <w:szCs w:val="26"/>
                <w:lang w:val="lv-LV" w:eastAsia="lv-LV"/>
              </w:rPr>
            </w:pPr>
            <w:r w:rsidRPr="00235168">
              <w:rPr>
                <w:rFonts w:eastAsia="Times New Roman"/>
                <w:b/>
                <w:bCs/>
                <w:sz w:val="26"/>
                <w:szCs w:val="26"/>
                <w:lang w:val="lv-LV" w:eastAsia="lv-LV"/>
              </w:rPr>
              <w:t> 1.tabula</w:t>
            </w:r>
          </w:p>
          <w:p w:rsidR="00C9779A" w:rsidRPr="00235168" w:rsidRDefault="00C9779A" w:rsidP="0034794E">
            <w:pPr>
              <w:jc w:val="center"/>
              <w:rPr>
                <w:rFonts w:eastAsia="Times New Roman"/>
                <w:b/>
                <w:bCs/>
                <w:sz w:val="26"/>
                <w:szCs w:val="26"/>
                <w:lang w:val="lv-LV" w:eastAsia="lv-LV"/>
              </w:rPr>
            </w:pPr>
            <w:r w:rsidRPr="00235168">
              <w:rPr>
                <w:rFonts w:eastAsia="Times New Roman"/>
                <w:b/>
                <w:bCs/>
                <w:sz w:val="26"/>
                <w:szCs w:val="26"/>
                <w:lang w:val="lv-LV" w:eastAsia="lv-LV"/>
              </w:rPr>
              <w:t>Tiesību akta projekta atbilstība ES tiesību aktiem</w:t>
            </w:r>
          </w:p>
        </w:tc>
      </w:tr>
      <w:tr w:rsidR="00C9779A" w:rsidRPr="00235168" w:rsidTr="0034794E">
        <w:trPr>
          <w:trHeight w:val="1256"/>
          <w:tblCellSpacing w:w="0" w:type="dxa"/>
        </w:trPr>
        <w:tc>
          <w:tcPr>
            <w:tcW w:w="2003" w:type="dxa"/>
            <w:vAlign w:val="center"/>
            <w:hideMark/>
          </w:tcPr>
          <w:p w:rsidR="00C9779A" w:rsidRPr="00235168" w:rsidRDefault="00C9779A" w:rsidP="0034794E">
            <w:pPr>
              <w:jc w:val="center"/>
              <w:rPr>
                <w:rFonts w:eastAsia="Times New Roman"/>
                <w:sz w:val="26"/>
                <w:szCs w:val="26"/>
                <w:lang w:val="lv-LV" w:eastAsia="lv-LV"/>
              </w:rPr>
            </w:pPr>
            <w:r w:rsidRPr="00235168">
              <w:rPr>
                <w:rFonts w:eastAsia="Times New Roman"/>
                <w:sz w:val="26"/>
                <w:szCs w:val="26"/>
                <w:lang w:val="lv-LV" w:eastAsia="lv-LV"/>
              </w:rPr>
              <w:t> Attiecīgā ES tiesību akta datums, numurs un nosaukums</w:t>
            </w:r>
          </w:p>
        </w:tc>
        <w:tc>
          <w:tcPr>
            <w:tcW w:w="7188" w:type="dxa"/>
            <w:gridSpan w:val="3"/>
            <w:vAlign w:val="center"/>
            <w:hideMark/>
          </w:tcPr>
          <w:p w:rsidR="00AE3351" w:rsidRPr="00DD3D24" w:rsidRDefault="00DD3D24" w:rsidP="00DD3D24">
            <w:pPr>
              <w:pStyle w:val="ListParagraph"/>
              <w:ind w:left="430"/>
              <w:jc w:val="both"/>
              <w:rPr>
                <w:sz w:val="26"/>
                <w:szCs w:val="26"/>
                <w:lang w:val="lv-LV"/>
              </w:rPr>
            </w:pPr>
            <w:r>
              <w:rPr>
                <w:rFonts w:eastAsia="Times New Roman"/>
                <w:sz w:val="26"/>
                <w:szCs w:val="26"/>
                <w:lang w:val="lv-LV" w:eastAsia="lv-LV"/>
              </w:rPr>
              <w:t>A</w:t>
            </w:r>
            <w:r w:rsidR="005631C8" w:rsidRPr="00235168">
              <w:rPr>
                <w:rFonts w:eastAsia="Times New Roman"/>
                <w:sz w:val="26"/>
                <w:szCs w:val="26"/>
                <w:lang w:val="lv-LV" w:eastAsia="lv-LV"/>
              </w:rPr>
              <w:t>r normatīvo aktu tiek ieviestas šāda Eiropas Savienības tiesību akta prasības:</w:t>
            </w:r>
          </w:p>
          <w:p w:rsidR="004B3D19" w:rsidRDefault="004B3D19" w:rsidP="004B3D19">
            <w:pPr>
              <w:pStyle w:val="ListParagraph"/>
              <w:numPr>
                <w:ilvl w:val="0"/>
                <w:numId w:val="16"/>
              </w:numPr>
              <w:jc w:val="both"/>
              <w:rPr>
                <w:sz w:val="26"/>
                <w:szCs w:val="26"/>
                <w:lang w:val="lv-LV"/>
              </w:rPr>
            </w:pPr>
            <w:r w:rsidRPr="004B3D19">
              <w:rPr>
                <w:sz w:val="26"/>
                <w:szCs w:val="26"/>
                <w:lang w:val="lv-LV"/>
              </w:rPr>
              <w:t xml:space="preserve">Komisijas 2006.gada 15.decembra Regula (EK) Nr.1998/2006 par Līguma 87. un 88.panta piemērošanu </w:t>
            </w:r>
            <w:proofErr w:type="spellStart"/>
            <w:r w:rsidRPr="004B3D19">
              <w:rPr>
                <w:i/>
                <w:sz w:val="26"/>
                <w:szCs w:val="26"/>
                <w:lang w:val="lv-LV"/>
              </w:rPr>
              <w:t>de</w:t>
            </w:r>
            <w:proofErr w:type="spellEnd"/>
            <w:r w:rsidRPr="004B3D19">
              <w:rPr>
                <w:i/>
                <w:sz w:val="26"/>
                <w:szCs w:val="26"/>
                <w:lang w:val="lv-LV"/>
              </w:rPr>
              <w:t xml:space="preserve"> </w:t>
            </w:r>
            <w:proofErr w:type="spellStart"/>
            <w:r w:rsidRPr="004B3D19">
              <w:rPr>
                <w:i/>
                <w:sz w:val="26"/>
                <w:szCs w:val="26"/>
                <w:lang w:val="lv-LV"/>
              </w:rPr>
              <w:t>minimis</w:t>
            </w:r>
            <w:proofErr w:type="spellEnd"/>
            <w:r w:rsidRPr="004B3D19">
              <w:rPr>
                <w:sz w:val="26"/>
                <w:szCs w:val="26"/>
                <w:lang w:val="lv-LV"/>
              </w:rPr>
              <w:t xml:space="preserve"> atbalstam;</w:t>
            </w:r>
          </w:p>
          <w:p w:rsidR="00D94B9B" w:rsidRPr="00DD3D24" w:rsidRDefault="004B3D19" w:rsidP="00DD3D24">
            <w:pPr>
              <w:pStyle w:val="ListParagraph"/>
              <w:numPr>
                <w:ilvl w:val="0"/>
                <w:numId w:val="16"/>
              </w:numPr>
              <w:jc w:val="both"/>
              <w:rPr>
                <w:sz w:val="26"/>
                <w:szCs w:val="26"/>
                <w:lang w:val="lv-LV"/>
              </w:rPr>
            </w:pPr>
            <w:r>
              <w:rPr>
                <w:sz w:val="26"/>
                <w:szCs w:val="26"/>
                <w:lang w:val="lv-LV"/>
              </w:rPr>
              <w:t>Komisijas 2007.gada 20.decembra Regula</w:t>
            </w:r>
            <w:r w:rsidRPr="00153E7C">
              <w:rPr>
                <w:sz w:val="26"/>
                <w:szCs w:val="26"/>
                <w:lang w:val="lv-LV"/>
              </w:rPr>
              <w:t xml:space="preserve"> (EK) Nr.1535/2007 par EK līguma 87. un 88.panta piemērošanu </w:t>
            </w:r>
            <w:proofErr w:type="spellStart"/>
            <w:r w:rsidRPr="00153E7C">
              <w:rPr>
                <w:i/>
                <w:sz w:val="26"/>
                <w:szCs w:val="26"/>
                <w:lang w:val="lv-LV"/>
              </w:rPr>
              <w:t>de</w:t>
            </w:r>
            <w:proofErr w:type="spellEnd"/>
            <w:r w:rsidRPr="00153E7C">
              <w:rPr>
                <w:i/>
                <w:sz w:val="26"/>
                <w:szCs w:val="26"/>
                <w:lang w:val="lv-LV"/>
              </w:rPr>
              <w:t xml:space="preserve"> </w:t>
            </w:r>
            <w:proofErr w:type="spellStart"/>
            <w:r w:rsidRPr="00153E7C">
              <w:rPr>
                <w:i/>
                <w:sz w:val="26"/>
                <w:szCs w:val="26"/>
                <w:lang w:val="lv-LV"/>
              </w:rPr>
              <w:t>minimis</w:t>
            </w:r>
            <w:proofErr w:type="spellEnd"/>
            <w:r w:rsidRPr="00153E7C">
              <w:rPr>
                <w:sz w:val="26"/>
                <w:szCs w:val="26"/>
                <w:lang w:val="lv-LV"/>
              </w:rPr>
              <w:t xml:space="preserve"> atbalstam lauksaimniecības produktu ražošanas nozarē</w:t>
            </w:r>
            <w:r>
              <w:rPr>
                <w:sz w:val="26"/>
                <w:szCs w:val="26"/>
                <w:lang w:val="lv-LV"/>
              </w:rPr>
              <w:t>.</w:t>
            </w:r>
          </w:p>
        </w:tc>
      </w:tr>
      <w:tr w:rsidR="00C9779A" w:rsidRPr="00235168" w:rsidTr="0034794E">
        <w:trPr>
          <w:trHeight w:val="166"/>
          <w:tblCellSpacing w:w="0" w:type="dxa"/>
        </w:trPr>
        <w:tc>
          <w:tcPr>
            <w:tcW w:w="2003" w:type="dxa"/>
            <w:vAlign w:val="center"/>
            <w:hideMark/>
          </w:tcPr>
          <w:p w:rsidR="00C9779A" w:rsidRPr="00235168" w:rsidRDefault="00C9779A" w:rsidP="0034794E">
            <w:pPr>
              <w:jc w:val="center"/>
              <w:rPr>
                <w:rFonts w:eastAsia="Times New Roman"/>
                <w:sz w:val="26"/>
                <w:szCs w:val="26"/>
                <w:lang w:val="lv-LV" w:eastAsia="lv-LV"/>
              </w:rPr>
            </w:pPr>
            <w:r w:rsidRPr="00235168">
              <w:rPr>
                <w:rFonts w:eastAsia="Times New Roman"/>
                <w:sz w:val="26"/>
                <w:szCs w:val="26"/>
                <w:lang w:val="lv-LV" w:eastAsia="lv-LV"/>
              </w:rPr>
              <w:t> A</w:t>
            </w:r>
          </w:p>
        </w:tc>
        <w:tc>
          <w:tcPr>
            <w:tcW w:w="2452" w:type="dxa"/>
            <w:vAlign w:val="center"/>
            <w:hideMark/>
          </w:tcPr>
          <w:p w:rsidR="00C9779A" w:rsidRPr="00235168" w:rsidRDefault="00C9779A" w:rsidP="0034794E">
            <w:pPr>
              <w:jc w:val="center"/>
              <w:rPr>
                <w:rFonts w:eastAsia="Times New Roman"/>
                <w:sz w:val="26"/>
                <w:szCs w:val="26"/>
                <w:lang w:val="lv-LV" w:eastAsia="lv-LV"/>
              </w:rPr>
            </w:pPr>
            <w:r w:rsidRPr="00235168">
              <w:rPr>
                <w:rFonts w:eastAsia="Times New Roman"/>
                <w:sz w:val="26"/>
                <w:szCs w:val="26"/>
                <w:lang w:val="lv-LV" w:eastAsia="lv-LV"/>
              </w:rPr>
              <w:t> B</w:t>
            </w:r>
          </w:p>
        </w:tc>
        <w:tc>
          <w:tcPr>
            <w:tcW w:w="2703" w:type="dxa"/>
            <w:vAlign w:val="center"/>
            <w:hideMark/>
          </w:tcPr>
          <w:p w:rsidR="00C9779A" w:rsidRPr="00235168" w:rsidRDefault="00C9779A" w:rsidP="0034794E">
            <w:pPr>
              <w:jc w:val="center"/>
              <w:rPr>
                <w:rFonts w:eastAsia="Times New Roman"/>
                <w:sz w:val="26"/>
                <w:szCs w:val="26"/>
                <w:lang w:val="lv-LV" w:eastAsia="lv-LV"/>
              </w:rPr>
            </w:pPr>
            <w:r w:rsidRPr="00235168">
              <w:rPr>
                <w:rFonts w:eastAsia="Times New Roman"/>
                <w:sz w:val="26"/>
                <w:szCs w:val="26"/>
                <w:lang w:val="lv-LV" w:eastAsia="lv-LV"/>
              </w:rPr>
              <w:t> C</w:t>
            </w:r>
          </w:p>
        </w:tc>
        <w:tc>
          <w:tcPr>
            <w:tcW w:w="2033" w:type="dxa"/>
            <w:vAlign w:val="center"/>
            <w:hideMark/>
          </w:tcPr>
          <w:p w:rsidR="00C9779A" w:rsidRPr="00235168" w:rsidRDefault="00C9779A" w:rsidP="0034794E">
            <w:pPr>
              <w:jc w:val="center"/>
              <w:rPr>
                <w:rFonts w:eastAsia="Times New Roman"/>
                <w:sz w:val="26"/>
                <w:szCs w:val="26"/>
                <w:lang w:val="lv-LV" w:eastAsia="lv-LV"/>
              </w:rPr>
            </w:pPr>
            <w:r w:rsidRPr="00235168">
              <w:rPr>
                <w:rFonts w:eastAsia="Times New Roman"/>
                <w:sz w:val="26"/>
                <w:szCs w:val="26"/>
                <w:lang w:val="lv-LV" w:eastAsia="lv-LV"/>
              </w:rPr>
              <w:t> D</w:t>
            </w:r>
          </w:p>
        </w:tc>
      </w:tr>
      <w:tr w:rsidR="00C9779A" w:rsidRPr="00235168" w:rsidTr="0034794E">
        <w:trPr>
          <w:trHeight w:val="2917"/>
          <w:tblCellSpacing w:w="0" w:type="dxa"/>
        </w:trPr>
        <w:tc>
          <w:tcPr>
            <w:tcW w:w="2003" w:type="dxa"/>
            <w:hideMark/>
          </w:tcPr>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Attiecīgā ES tiesību akta panta numurs (uzskaitot katru tiesību akta</w:t>
            </w:r>
            <w:r w:rsidRPr="00235168">
              <w:rPr>
                <w:rFonts w:eastAsia="Times New Roman"/>
                <w:sz w:val="26"/>
                <w:szCs w:val="26"/>
                <w:lang w:val="lv-LV" w:eastAsia="lv-LV"/>
              </w:rPr>
              <w:br/>
              <w:t>vienību – pantu, daļu, punktu, apakšpunktu)</w:t>
            </w:r>
          </w:p>
        </w:tc>
        <w:tc>
          <w:tcPr>
            <w:tcW w:w="2452" w:type="dxa"/>
            <w:hideMark/>
          </w:tcPr>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Projekta vienība, kas pārņem vai ievieš katru šīs tabulas A ailē minēto ES tiesību akta vienību</w:t>
            </w:r>
          </w:p>
        </w:tc>
        <w:tc>
          <w:tcPr>
            <w:tcW w:w="2703" w:type="dxa"/>
            <w:hideMark/>
          </w:tcPr>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Informācija par to, vai šīs tabulas A ailē minētās ES tiesību akta vienības tiek pārņemtas vai ieviestas pilnībā vai daļēji.</w:t>
            </w:r>
          </w:p>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w:t>
            </w:r>
          </w:p>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Ja attiecīgā ES tiesību akta vienība tiek pārņemta vai ieviesta daļēji, – sniedz attiecīgu skaidrojumu, kā arī precīzi norāda, kad un kādā veidā ES tiesību akta vienība tiks pārņemta vai ieviesta pilnībā.</w:t>
            </w:r>
          </w:p>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w:t>
            </w:r>
          </w:p>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Norāda institūciju, kas ir atbildīga par šo saistību izpildi pilnībā</w:t>
            </w:r>
          </w:p>
        </w:tc>
        <w:tc>
          <w:tcPr>
            <w:tcW w:w="2033" w:type="dxa"/>
            <w:hideMark/>
          </w:tcPr>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Informācija par to, vai šīs tabulas B ailē minētās projekta vienības paredz stingrākas prasības nekā šīs tabulas A ailē minētās ES tiesību akta vienības.</w:t>
            </w:r>
          </w:p>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w:t>
            </w:r>
          </w:p>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Ja projekts satur stingrākas prasības nekā attiecīgais ES tiesību akts, – norāda pamatojumu un samērīgumu.</w:t>
            </w:r>
          </w:p>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w:t>
            </w:r>
          </w:p>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Norāda iespējamās alternatīvas (</w:t>
            </w:r>
            <w:proofErr w:type="spellStart"/>
            <w:r w:rsidRPr="00235168">
              <w:rPr>
                <w:rFonts w:eastAsia="Times New Roman"/>
                <w:sz w:val="26"/>
                <w:szCs w:val="26"/>
                <w:lang w:val="lv-LV" w:eastAsia="lv-LV"/>
              </w:rPr>
              <w:t>t.sk</w:t>
            </w:r>
            <w:proofErr w:type="spellEnd"/>
            <w:r w:rsidRPr="00235168">
              <w:rPr>
                <w:rFonts w:eastAsia="Times New Roman"/>
                <w:sz w:val="26"/>
                <w:szCs w:val="26"/>
                <w:lang w:val="lv-LV" w:eastAsia="lv-LV"/>
              </w:rPr>
              <w:t xml:space="preserve">. alternatīvas, kas neparedz tiesiskā regulējuma izstrādi) – kādos gadījumos būtu </w:t>
            </w:r>
            <w:r w:rsidRPr="00235168">
              <w:rPr>
                <w:rFonts w:eastAsia="Times New Roman"/>
                <w:sz w:val="26"/>
                <w:szCs w:val="26"/>
                <w:lang w:val="lv-LV" w:eastAsia="lv-LV"/>
              </w:rPr>
              <w:lastRenderedPageBreak/>
              <w:t>iespējams izvairīties no stingrāku prasību noteikšanas, nekā paredzēts attiecīgajos ES tiesību aktos</w:t>
            </w:r>
          </w:p>
        </w:tc>
      </w:tr>
      <w:tr w:rsidR="00DD3D24" w:rsidRPr="00235168" w:rsidTr="002954D4">
        <w:trPr>
          <w:trHeight w:val="590"/>
          <w:tblCellSpacing w:w="0" w:type="dxa"/>
        </w:trPr>
        <w:tc>
          <w:tcPr>
            <w:tcW w:w="2003" w:type="dxa"/>
          </w:tcPr>
          <w:p w:rsidR="00DD3D24" w:rsidRPr="004B3D19" w:rsidRDefault="00DD3D24" w:rsidP="00236989">
            <w:pPr>
              <w:jc w:val="both"/>
              <w:rPr>
                <w:i/>
                <w:sz w:val="26"/>
                <w:szCs w:val="26"/>
              </w:rPr>
            </w:pPr>
            <w:proofErr w:type="spellStart"/>
            <w:r w:rsidRPr="001C6979">
              <w:rPr>
                <w:i/>
                <w:sz w:val="26"/>
                <w:szCs w:val="26"/>
              </w:rPr>
              <w:lastRenderedPageBreak/>
              <w:t>Komisijas</w:t>
            </w:r>
            <w:proofErr w:type="spellEnd"/>
            <w:r w:rsidRPr="001C6979">
              <w:rPr>
                <w:i/>
                <w:sz w:val="26"/>
                <w:szCs w:val="26"/>
              </w:rPr>
              <w:t xml:space="preserve"> </w:t>
            </w:r>
            <w:proofErr w:type="spellStart"/>
            <w:r w:rsidRPr="001C6979">
              <w:rPr>
                <w:i/>
                <w:sz w:val="26"/>
                <w:szCs w:val="26"/>
              </w:rPr>
              <w:t>paziņojums</w:t>
            </w:r>
            <w:proofErr w:type="spellEnd"/>
            <w:r w:rsidRPr="001C6979">
              <w:rPr>
                <w:i/>
                <w:sz w:val="26"/>
                <w:szCs w:val="26"/>
              </w:rPr>
              <w:t xml:space="preserve"> </w:t>
            </w:r>
            <w:proofErr w:type="spellStart"/>
            <w:r w:rsidRPr="001C6979">
              <w:rPr>
                <w:i/>
                <w:sz w:val="26"/>
                <w:szCs w:val="26"/>
              </w:rPr>
              <w:t>Kopienas</w:t>
            </w:r>
            <w:proofErr w:type="spellEnd"/>
            <w:r w:rsidRPr="001C6979">
              <w:rPr>
                <w:i/>
                <w:sz w:val="26"/>
                <w:szCs w:val="26"/>
              </w:rPr>
              <w:t xml:space="preserve"> </w:t>
            </w:r>
            <w:proofErr w:type="spellStart"/>
            <w:r w:rsidRPr="001C6979">
              <w:rPr>
                <w:i/>
                <w:sz w:val="26"/>
                <w:szCs w:val="26"/>
              </w:rPr>
              <w:t>pamatnostādnes</w:t>
            </w:r>
            <w:proofErr w:type="spellEnd"/>
            <w:r w:rsidRPr="001C6979">
              <w:rPr>
                <w:i/>
                <w:sz w:val="26"/>
                <w:szCs w:val="26"/>
              </w:rPr>
              <w:t xml:space="preserve"> par </w:t>
            </w:r>
            <w:proofErr w:type="spellStart"/>
            <w:r w:rsidRPr="001C6979">
              <w:rPr>
                <w:i/>
                <w:sz w:val="26"/>
                <w:szCs w:val="26"/>
              </w:rPr>
              <w:t>valsts</w:t>
            </w:r>
            <w:proofErr w:type="spellEnd"/>
            <w:r w:rsidRPr="001C6979">
              <w:rPr>
                <w:i/>
                <w:sz w:val="26"/>
                <w:szCs w:val="26"/>
              </w:rPr>
              <w:t xml:space="preserve"> </w:t>
            </w:r>
            <w:proofErr w:type="spellStart"/>
            <w:r w:rsidRPr="001C6979">
              <w:rPr>
                <w:i/>
                <w:sz w:val="26"/>
                <w:szCs w:val="26"/>
              </w:rPr>
              <w:t>atbalstu</w:t>
            </w:r>
            <w:proofErr w:type="spellEnd"/>
            <w:r w:rsidRPr="001C6979">
              <w:rPr>
                <w:i/>
                <w:sz w:val="26"/>
                <w:szCs w:val="26"/>
              </w:rPr>
              <w:t xml:space="preserve"> </w:t>
            </w:r>
            <w:proofErr w:type="spellStart"/>
            <w:r w:rsidRPr="001C6979">
              <w:rPr>
                <w:i/>
                <w:sz w:val="26"/>
                <w:szCs w:val="26"/>
              </w:rPr>
              <w:t>grūtībās</w:t>
            </w:r>
            <w:proofErr w:type="spellEnd"/>
            <w:r w:rsidRPr="001C6979">
              <w:rPr>
                <w:i/>
                <w:sz w:val="26"/>
                <w:szCs w:val="26"/>
              </w:rPr>
              <w:t xml:space="preserve"> </w:t>
            </w:r>
            <w:proofErr w:type="spellStart"/>
            <w:r w:rsidRPr="001C6979">
              <w:rPr>
                <w:i/>
                <w:sz w:val="26"/>
                <w:szCs w:val="26"/>
              </w:rPr>
              <w:t>nonākušu</w:t>
            </w:r>
            <w:proofErr w:type="spellEnd"/>
            <w:r w:rsidRPr="001C6979">
              <w:rPr>
                <w:i/>
                <w:sz w:val="26"/>
                <w:szCs w:val="26"/>
              </w:rPr>
              <w:t xml:space="preserve"> </w:t>
            </w:r>
            <w:proofErr w:type="spellStart"/>
            <w:r w:rsidRPr="001C6979">
              <w:rPr>
                <w:i/>
                <w:sz w:val="26"/>
                <w:szCs w:val="26"/>
              </w:rPr>
              <w:t>uzņēmumu</w:t>
            </w:r>
            <w:proofErr w:type="spellEnd"/>
            <w:r w:rsidRPr="001C6979">
              <w:rPr>
                <w:i/>
                <w:sz w:val="26"/>
                <w:szCs w:val="26"/>
              </w:rPr>
              <w:t xml:space="preserve"> </w:t>
            </w:r>
            <w:proofErr w:type="spellStart"/>
            <w:r w:rsidRPr="001C6979">
              <w:rPr>
                <w:i/>
                <w:sz w:val="26"/>
                <w:szCs w:val="26"/>
              </w:rPr>
              <w:t>glābšanai</w:t>
            </w:r>
            <w:proofErr w:type="spellEnd"/>
            <w:r w:rsidRPr="001C6979">
              <w:rPr>
                <w:i/>
                <w:sz w:val="26"/>
                <w:szCs w:val="26"/>
              </w:rPr>
              <w:t xml:space="preserve"> un </w:t>
            </w:r>
            <w:proofErr w:type="spellStart"/>
            <w:r w:rsidRPr="001C6979">
              <w:rPr>
                <w:i/>
                <w:sz w:val="26"/>
                <w:szCs w:val="26"/>
              </w:rPr>
              <w:t>pārstrukturēšanai</w:t>
            </w:r>
            <w:proofErr w:type="spellEnd"/>
            <w:r w:rsidRPr="001C6979">
              <w:rPr>
                <w:i/>
                <w:sz w:val="26"/>
                <w:szCs w:val="26"/>
              </w:rPr>
              <w:t xml:space="preserve"> (2004/C 244/02).</w:t>
            </w:r>
            <w:r>
              <w:rPr>
                <w:i/>
                <w:sz w:val="26"/>
                <w:szCs w:val="26"/>
              </w:rPr>
              <w:t xml:space="preserve"> 9.-11.punkts</w:t>
            </w:r>
          </w:p>
        </w:tc>
        <w:tc>
          <w:tcPr>
            <w:tcW w:w="2452" w:type="dxa"/>
          </w:tcPr>
          <w:p w:rsidR="00DD3D24" w:rsidRPr="004B3D19" w:rsidRDefault="00DD3D24" w:rsidP="00D94B9B">
            <w:pPr>
              <w:jc w:val="both"/>
              <w:rPr>
                <w:rFonts w:eastAsia="Times New Roman"/>
                <w:i/>
                <w:sz w:val="26"/>
                <w:szCs w:val="26"/>
                <w:lang w:val="lv-LV"/>
              </w:rPr>
            </w:pPr>
            <w:r w:rsidRPr="004B3D19">
              <w:rPr>
                <w:rFonts w:eastAsia="Times New Roman"/>
                <w:i/>
                <w:sz w:val="26"/>
                <w:szCs w:val="26"/>
                <w:lang w:val="lv-LV"/>
              </w:rPr>
              <w:t xml:space="preserve">Noteikumu projekta </w:t>
            </w:r>
            <w:r>
              <w:rPr>
                <w:rFonts w:eastAsia="Times New Roman"/>
                <w:i/>
                <w:sz w:val="26"/>
                <w:szCs w:val="26"/>
                <w:lang w:val="lv-LV"/>
              </w:rPr>
              <w:t>3</w:t>
            </w:r>
            <w:r w:rsidRPr="004B3D19">
              <w:rPr>
                <w:rFonts w:eastAsia="Times New Roman"/>
                <w:i/>
                <w:sz w:val="26"/>
                <w:szCs w:val="26"/>
                <w:lang w:val="lv-LV"/>
              </w:rPr>
              <w:t xml:space="preserve">.punkts (ar ko papildina MK noteikumus Nr.698 ar </w:t>
            </w:r>
            <w:r>
              <w:rPr>
                <w:i/>
                <w:sz w:val="26"/>
                <w:szCs w:val="26"/>
              </w:rPr>
              <w:t>1</w:t>
            </w:r>
            <w:r w:rsidRPr="004B3D19">
              <w:rPr>
                <w:i/>
                <w:sz w:val="26"/>
                <w:szCs w:val="26"/>
              </w:rPr>
              <w:t>0</w:t>
            </w:r>
            <w:r w:rsidRPr="004B3D19">
              <w:rPr>
                <w:i/>
                <w:sz w:val="26"/>
                <w:szCs w:val="26"/>
                <w:vertAlign w:val="superscript"/>
              </w:rPr>
              <w:t>1</w:t>
            </w:r>
            <w:r w:rsidRPr="004B3D19">
              <w:rPr>
                <w:i/>
                <w:sz w:val="26"/>
                <w:szCs w:val="26"/>
                <w:vertAlign w:val="subscript"/>
              </w:rPr>
              <w:t>.</w:t>
            </w:r>
            <w:r w:rsidRPr="004B3D19">
              <w:rPr>
                <w:i/>
                <w:sz w:val="26"/>
                <w:szCs w:val="26"/>
              </w:rPr>
              <w:t xml:space="preserve"> </w:t>
            </w:r>
            <w:proofErr w:type="spellStart"/>
            <w:r w:rsidRPr="004B3D19">
              <w:rPr>
                <w:i/>
                <w:sz w:val="26"/>
                <w:szCs w:val="26"/>
              </w:rPr>
              <w:t>punktu</w:t>
            </w:r>
            <w:proofErr w:type="spellEnd"/>
            <w:r w:rsidRPr="004B3D19">
              <w:rPr>
                <w:rFonts w:eastAsia="Times New Roman"/>
                <w:i/>
                <w:sz w:val="26"/>
                <w:szCs w:val="26"/>
                <w:lang w:val="lv-LV"/>
              </w:rPr>
              <w:t>.</w:t>
            </w:r>
            <w:r>
              <w:rPr>
                <w:rFonts w:eastAsia="Times New Roman"/>
                <w:i/>
                <w:sz w:val="26"/>
                <w:szCs w:val="26"/>
                <w:lang w:val="lv-LV"/>
              </w:rPr>
              <w:t>)</w:t>
            </w:r>
          </w:p>
        </w:tc>
        <w:tc>
          <w:tcPr>
            <w:tcW w:w="2703" w:type="dxa"/>
          </w:tcPr>
          <w:p w:rsidR="00DD3D24" w:rsidRPr="004B3D19" w:rsidRDefault="00DD3D24" w:rsidP="00C72F7D">
            <w:pPr>
              <w:pStyle w:val="naisf"/>
              <w:spacing w:before="0" w:after="0"/>
              <w:rPr>
                <w:i/>
                <w:sz w:val="26"/>
                <w:szCs w:val="26"/>
              </w:rPr>
            </w:pPr>
            <w:r w:rsidRPr="004B3D19">
              <w:rPr>
                <w:i/>
                <w:sz w:val="26"/>
                <w:szCs w:val="26"/>
              </w:rPr>
              <w:t>ieviesta pilnībā</w:t>
            </w:r>
          </w:p>
        </w:tc>
        <w:tc>
          <w:tcPr>
            <w:tcW w:w="2033" w:type="dxa"/>
          </w:tcPr>
          <w:p w:rsidR="00DD3D24" w:rsidRPr="004B3D19" w:rsidRDefault="00DD3D24" w:rsidP="00C72F7D">
            <w:pPr>
              <w:pStyle w:val="naisf"/>
              <w:spacing w:before="0" w:after="0"/>
              <w:ind w:firstLine="0"/>
              <w:rPr>
                <w:i/>
                <w:sz w:val="26"/>
                <w:szCs w:val="26"/>
              </w:rPr>
            </w:pPr>
            <w:r w:rsidRPr="004B3D19">
              <w:rPr>
                <w:i/>
                <w:sz w:val="26"/>
                <w:szCs w:val="26"/>
              </w:rPr>
              <w:t>neparedz stingrākas prasības</w:t>
            </w:r>
          </w:p>
        </w:tc>
      </w:tr>
      <w:tr w:rsidR="00DD3D24" w:rsidRPr="00235168" w:rsidTr="002954D4">
        <w:trPr>
          <w:trHeight w:val="590"/>
          <w:tblCellSpacing w:w="0" w:type="dxa"/>
        </w:trPr>
        <w:tc>
          <w:tcPr>
            <w:tcW w:w="2003" w:type="dxa"/>
            <w:hideMark/>
          </w:tcPr>
          <w:p w:rsidR="00DD3D24" w:rsidRPr="004B3D19" w:rsidRDefault="00DD3D24" w:rsidP="00236989">
            <w:pPr>
              <w:jc w:val="both"/>
              <w:rPr>
                <w:rFonts w:eastAsia="Times New Roman"/>
                <w:i/>
                <w:sz w:val="26"/>
                <w:szCs w:val="26"/>
                <w:lang w:val="lv-LV" w:eastAsia="lv-LV"/>
              </w:rPr>
            </w:pPr>
            <w:proofErr w:type="spellStart"/>
            <w:r w:rsidRPr="004B3D19">
              <w:rPr>
                <w:i/>
                <w:sz w:val="26"/>
                <w:szCs w:val="26"/>
              </w:rPr>
              <w:t>Regulas</w:t>
            </w:r>
            <w:proofErr w:type="spellEnd"/>
            <w:r w:rsidRPr="004B3D19">
              <w:rPr>
                <w:i/>
                <w:sz w:val="26"/>
                <w:szCs w:val="26"/>
              </w:rPr>
              <w:t xml:space="preserve"> Nr. 1998/2006 5.panta 3 </w:t>
            </w:r>
            <w:proofErr w:type="spellStart"/>
            <w:r w:rsidRPr="004B3D19">
              <w:rPr>
                <w:i/>
                <w:sz w:val="26"/>
                <w:szCs w:val="26"/>
              </w:rPr>
              <w:t>punkts</w:t>
            </w:r>
            <w:proofErr w:type="spellEnd"/>
          </w:p>
        </w:tc>
        <w:tc>
          <w:tcPr>
            <w:tcW w:w="2452" w:type="dxa"/>
            <w:hideMark/>
          </w:tcPr>
          <w:p w:rsidR="00DD3D24" w:rsidRPr="004B3D19" w:rsidRDefault="00DD3D24" w:rsidP="00D94B9B">
            <w:pPr>
              <w:jc w:val="both"/>
              <w:rPr>
                <w:rFonts w:eastAsia="Times New Roman"/>
                <w:i/>
                <w:sz w:val="26"/>
                <w:szCs w:val="26"/>
                <w:lang w:val="lv-LV"/>
              </w:rPr>
            </w:pPr>
            <w:r w:rsidRPr="004B3D19">
              <w:rPr>
                <w:rFonts w:eastAsia="Times New Roman"/>
                <w:i/>
                <w:sz w:val="26"/>
                <w:szCs w:val="26"/>
                <w:lang w:val="lv-LV"/>
              </w:rPr>
              <w:t xml:space="preserve">Noteikumu projekta 11.punkts (ar ko groza MK noteikumu Nr.698 </w:t>
            </w:r>
            <w:r w:rsidRPr="004B3D19">
              <w:rPr>
                <w:i/>
                <w:sz w:val="26"/>
                <w:szCs w:val="26"/>
              </w:rPr>
              <w:t>24.punktu</w:t>
            </w:r>
            <w:r w:rsidRPr="004B3D19">
              <w:rPr>
                <w:rFonts w:eastAsia="Times New Roman"/>
                <w:i/>
                <w:sz w:val="26"/>
                <w:szCs w:val="26"/>
                <w:lang w:val="lv-LV"/>
              </w:rPr>
              <w:t>.</w:t>
            </w:r>
          </w:p>
        </w:tc>
        <w:tc>
          <w:tcPr>
            <w:tcW w:w="2703" w:type="dxa"/>
            <w:hideMark/>
          </w:tcPr>
          <w:p w:rsidR="00DD3D24" w:rsidRPr="004B3D19" w:rsidRDefault="00DD3D24">
            <w:pPr>
              <w:pStyle w:val="naisf"/>
              <w:spacing w:before="0" w:after="0"/>
              <w:rPr>
                <w:i/>
                <w:sz w:val="26"/>
                <w:szCs w:val="26"/>
              </w:rPr>
            </w:pPr>
            <w:r w:rsidRPr="004B3D19">
              <w:rPr>
                <w:i/>
                <w:sz w:val="26"/>
                <w:szCs w:val="26"/>
              </w:rPr>
              <w:t>ieviesta pilnībā</w:t>
            </w:r>
          </w:p>
        </w:tc>
        <w:tc>
          <w:tcPr>
            <w:tcW w:w="2033" w:type="dxa"/>
            <w:hideMark/>
          </w:tcPr>
          <w:p w:rsidR="00DD3D24" w:rsidRPr="004B3D19" w:rsidRDefault="00DD3D24" w:rsidP="00236989">
            <w:pPr>
              <w:pStyle w:val="naisf"/>
              <w:spacing w:before="0" w:after="0"/>
              <w:ind w:firstLine="0"/>
              <w:rPr>
                <w:i/>
                <w:sz w:val="26"/>
                <w:szCs w:val="26"/>
              </w:rPr>
            </w:pPr>
            <w:r w:rsidRPr="004B3D19">
              <w:rPr>
                <w:i/>
                <w:sz w:val="26"/>
                <w:szCs w:val="26"/>
              </w:rPr>
              <w:t>neparedz stingrākas prasības</w:t>
            </w:r>
          </w:p>
        </w:tc>
      </w:tr>
      <w:tr w:rsidR="00DD3D24" w:rsidRPr="00235168" w:rsidTr="002954D4">
        <w:trPr>
          <w:trHeight w:val="590"/>
          <w:tblCellSpacing w:w="0" w:type="dxa"/>
        </w:trPr>
        <w:tc>
          <w:tcPr>
            <w:tcW w:w="2003" w:type="dxa"/>
          </w:tcPr>
          <w:p w:rsidR="00DD3D24" w:rsidRPr="004B3D19" w:rsidRDefault="00DD3D24" w:rsidP="00901246">
            <w:pPr>
              <w:jc w:val="both"/>
              <w:rPr>
                <w:i/>
                <w:sz w:val="26"/>
                <w:szCs w:val="26"/>
              </w:rPr>
            </w:pPr>
            <w:r w:rsidRPr="004B3D19">
              <w:rPr>
                <w:rFonts w:eastAsia="Times New Roman"/>
                <w:i/>
                <w:sz w:val="26"/>
                <w:szCs w:val="26"/>
                <w:lang w:val="lv-LV" w:eastAsia="lv-LV"/>
              </w:rPr>
              <w:t>Regulas Nr.1535/2007 6.panta 3.punkts</w:t>
            </w:r>
          </w:p>
        </w:tc>
        <w:tc>
          <w:tcPr>
            <w:tcW w:w="2452" w:type="dxa"/>
          </w:tcPr>
          <w:p w:rsidR="00DD3D24" w:rsidRPr="004B3D19" w:rsidRDefault="00DD3D24" w:rsidP="00D94B9B">
            <w:pPr>
              <w:jc w:val="both"/>
              <w:rPr>
                <w:rFonts w:eastAsia="Times New Roman"/>
                <w:i/>
                <w:sz w:val="26"/>
                <w:szCs w:val="26"/>
                <w:lang w:val="lv-LV"/>
              </w:rPr>
            </w:pPr>
            <w:r w:rsidRPr="004B3D19">
              <w:rPr>
                <w:rFonts w:eastAsia="Times New Roman"/>
                <w:i/>
                <w:sz w:val="26"/>
                <w:szCs w:val="26"/>
                <w:lang w:val="lv-LV"/>
              </w:rPr>
              <w:t xml:space="preserve">Noteikumu projekta 11.punkts (ar ko groza MK noteikumu Nr.698 </w:t>
            </w:r>
            <w:r w:rsidRPr="004B3D19">
              <w:rPr>
                <w:i/>
                <w:sz w:val="26"/>
                <w:szCs w:val="26"/>
              </w:rPr>
              <w:t>24.punktu</w:t>
            </w:r>
            <w:r w:rsidRPr="004B3D19">
              <w:rPr>
                <w:rFonts w:eastAsia="Times New Roman"/>
                <w:i/>
                <w:sz w:val="26"/>
                <w:szCs w:val="26"/>
                <w:lang w:val="lv-LV"/>
              </w:rPr>
              <w:t>.</w:t>
            </w:r>
          </w:p>
        </w:tc>
        <w:tc>
          <w:tcPr>
            <w:tcW w:w="2703" w:type="dxa"/>
          </w:tcPr>
          <w:p w:rsidR="00DD3D24" w:rsidRPr="004B3D19" w:rsidRDefault="00DD3D24" w:rsidP="009826FF">
            <w:pPr>
              <w:pStyle w:val="naisf"/>
              <w:spacing w:before="0" w:after="0"/>
              <w:rPr>
                <w:i/>
                <w:sz w:val="26"/>
                <w:szCs w:val="26"/>
              </w:rPr>
            </w:pPr>
            <w:r w:rsidRPr="004B3D19">
              <w:rPr>
                <w:i/>
                <w:sz w:val="26"/>
                <w:szCs w:val="26"/>
              </w:rPr>
              <w:t>ieviesta pilnībā</w:t>
            </w:r>
          </w:p>
        </w:tc>
        <w:tc>
          <w:tcPr>
            <w:tcW w:w="2033" w:type="dxa"/>
          </w:tcPr>
          <w:p w:rsidR="00DD3D24" w:rsidRPr="004B3D19" w:rsidRDefault="00DD3D24" w:rsidP="009826FF">
            <w:pPr>
              <w:pStyle w:val="naisf"/>
              <w:spacing w:before="0" w:after="0"/>
              <w:ind w:firstLine="0"/>
              <w:rPr>
                <w:i/>
                <w:sz w:val="26"/>
                <w:szCs w:val="26"/>
              </w:rPr>
            </w:pPr>
            <w:r w:rsidRPr="004B3D19">
              <w:rPr>
                <w:i/>
                <w:sz w:val="26"/>
                <w:szCs w:val="26"/>
              </w:rPr>
              <w:t>neparedz stingrākas prasības</w:t>
            </w:r>
          </w:p>
        </w:tc>
      </w:tr>
      <w:tr w:rsidR="00DD3D24" w:rsidRPr="00235168" w:rsidTr="002954D4">
        <w:trPr>
          <w:trHeight w:val="590"/>
          <w:tblCellSpacing w:w="0" w:type="dxa"/>
        </w:trPr>
        <w:tc>
          <w:tcPr>
            <w:tcW w:w="2003" w:type="dxa"/>
          </w:tcPr>
          <w:p w:rsidR="00DD3D24" w:rsidRPr="004B3D19" w:rsidRDefault="00DD3D24" w:rsidP="00901246">
            <w:pPr>
              <w:jc w:val="both"/>
              <w:rPr>
                <w:rFonts w:eastAsia="Times New Roman"/>
                <w:i/>
                <w:sz w:val="26"/>
                <w:szCs w:val="26"/>
                <w:lang w:val="lv-LV" w:eastAsia="lv-LV"/>
              </w:rPr>
            </w:pPr>
            <w:r>
              <w:rPr>
                <w:rFonts w:eastAsia="Times New Roman"/>
                <w:i/>
                <w:sz w:val="26"/>
                <w:szCs w:val="26"/>
                <w:lang w:val="lv-LV" w:eastAsia="lv-LV"/>
              </w:rPr>
              <w:t>Regulas Nr.1535/2007 3.panta 2</w:t>
            </w:r>
            <w:r w:rsidRPr="004B3D19">
              <w:rPr>
                <w:rFonts w:eastAsia="Times New Roman"/>
                <w:i/>
                <w:sz w:val="26"/>
                <w:szCs w:val="26"/>
                <w:lang w:val="lv-LV" w:eastAsia="lv-LV"/>
              </w:rPr>
              <w:t>.punkts</w:t>
            </w:r>
          </w:p>
        </w:tc>
        <w:tc>
          <w:tcPr>
            <w:tcW w:w="2452" w:type="dxa"/>
          </w:tcPr>
          <w:p w:rsidR="00DD3D24" w:rsidRPr="004B3D19" w:rsidRDefault="00DD3D24" w:rsidP="00D94B9B">
            <w:pPr>
              <w:jc w:val="both"/>
              <w:rPr>
                <w:rFonts w:eastAsia="Times New Roman"/>
                <w:i/>
                <w:sz w:val="26"/>
                <w:szCs w:val="26"/>
                <w:lang w:val="lv-LV"/>
              </w:rPr>
            </w:pPr>
            <w:r w:rsidRPr="004B3D19">
              <w:rPr>
                <w:rFonts w:eastAsia="Times New Roman"/>
                <w:i/>
                <w:sz w:val="26"/>
                <w:szCs w:val="26"/>
                <w:lang w:val="lv-LV"/>
              </w:rPr>
              <w:t xml:space="preserve">Noteikumu projekta </w:t>
            </w:r>
            <w:r>
              <w:rPr>
                <w:rFonts w:eastAsia="Times New Roman"/>
                <w:i/>
                <w:sz w:val="26"/>
                <w:szCs w:val="26"/>
                <w:lang w:val="lv-LV"/>
              </w:rPr>
              <w:t>7.punkts (ar ko groza MK noteikumu Nr.698 19.punktu); 8.punkts (ar ko groza MK noteikumu Nr.698 20.punktu)</w:t>
            </w:r>
          </w:p>
        </w:tc>
        <w:tc>
          <w:tcPr>
            <w:tcW w:w="2703" w:type="dxa"/>
          </w:tcPr>
          <w:p w:rsidR="00DD3D24" w:rsidRPr="004B3D19" w:rsidRDefault="00DD3D24" w:rsidP="00C72F7D">
            <w:pPr>
              <w:pStyle w:val="naisf"/>
              <w:spacing w:before="0" w:after="0"/>
              <w:rPr>
                <w:i/>
                <w:sz w:val="26"/>
                <w:szCs w:val="26"/>
              </w:rPr>
            </w:pPr>
            <w:r w:rsidRPr="004B3D19">
              <w:rPr>
                <w:i/>
                <w:sz w:val="26"/>
                <w:szCs w:val="26"/>
              </w:rPr>
              <w:t>ieviesta pilnībā</w:t>
            </w:r>
          </w:p>
        </w:tc>
        <w:tc>
          <w:tcPr>
            <w:tcW w:w="2033" w:type="dxa"/>
          </w:tcPr>
          <w:p w:rsidR="00DD3D24" w:rsidRPr="004B3D19" w:rsidRDefault="00DD3D24" w:rsidP="00C72F7D">
            <w:pPr>
              <w:pStyle w:val="naisf"/>
              <w:spacing w:before="0" w:after="0"/>
              <w:ind w:firstLine="0"/>
              <w:rPr>
                <w:i/>
                <w:sz w:val="26"/>
                <w:szCs w:val="26"/>
              </w:rPr>
            </w:pPr>
            <w:r w:rsidRPr="004B3D19">
              <w:rPr>
                <w:i/>
                <w:sz w:val="26"/>
                <w:szCs w:val="26"/>
              </w:rPr>
              <w:t>neparedz stingrākas prasības</w:t>
            </w:r>
          </w:p>
        </w:tc>
      </w:tr>
      <w:tr w:rsidR="00DD3D24" w:rsidRPr="00235168" w:rsidTr="002954D4">
        <w:trPr>
          <w:trHeight w:val="590"/>
          <w:tblCellSpacing w:w="0" w:type="dxa"/>
        </w:trPr>
        <w:tc>
          <w:tcPr>
            <w:tcW w:w="2003" w:type="dxa"/>
          </w:tcPr>
          <w:p w:rsidR="00DD3D24" w:rsidRPr="004B3D19" w:rsidRDefault="00DD3D24" w:rsidP="00901246">
            <w:pPr>
              <w:jc w:val="both"/>
              <w:rPr>
                <w:rFonts w:eastAsia="Times New Roman"/>
                <w:i/>
                <w:sz w:val="26"/>
                <w:szCs w:val="26"/>
                <w:lang w:val="lv-LV" w:eastAsia="lv-LV"/>
              </w:rPr>
            </w:pPr>
            <w:proofErr w:type="spellStart"/>
            <w:r w:rsidRPr="004B3D19">
              <w:rPr>
                <w:i/>
                <w:sz w:val="26"/>
                <w:szCs w:val="26"/>
              </w:rPr>
              <w:t>Regulas</w:t>
            </w:r>
            <w:proofErr w:type="spellEnd"/>
            <w:r w:rsidRPr="004B3D19">
              <w:rPr>
                <w:i/>
                <w:sz w:val="26"/>
                <w:szCs w:val="26"/>
              </w:rPr>
              <w:t xml:space="preserve"> Nr. 1998/2006 2.panta 2 </w:t>
            </w:r>
            <w:proofErr w:type="spellStart"/>
            <w:r w:rsidRPr="004B3D19">
              <w:rPr>
                <w:i/>
                <w:sz w:val="26"/>
                <w:szCs w:val="26"/>
              </w:rPr>
              <w:t>punkts</w:t>
            </w:r>
            <w:proofErr w:type="spellEnd"/>
          </w:p>
        </w:tc>
        <w:tc>
          <w:tcPr>
            <w:tcW w:w="2452" w:type="dxa"/>
          </w:tcPr>
          <w:p w:rsidR="00DD3D24" w:rsidRPr="004B3D19" w:rsidRDefault="00DD3D24" w:rsidP="004B3D19">
            <w:pPr>
              <w:jc w:val="both"/>
              <w:rPr>
                <w:rFonts w:eastAsia="Times New Roman"/>
                <w:i/>
                <w:sz w:val="26"/>
                <w:szCs w:val="26"/>
                <w:lang w:val="lv-LV"/>
              </w:rPr>
            </w:pPr>
            <w:r w:rsidRPr="004B3D19">
              <w:rPr>
                <w:rFonts w:eastAsia="Times New Roman"/>
                <w:i/>
                <w:sz w:val="26"/>
                <w:szCs w:val="26"/>
                <w:lang w:val="lv-LV"/>
              </w:rPr>
              <w:t xml:space="preserve">Noteikumu projekta </w:t>
            </w:r>
            <w:r>
              <w:rPr>
                <w:rFonts w:eastAsia="Times New Roman"/>
                <w:i/>
                <w:sz w:val="26"/>
                <w:szCs w:val="26"/>
                <w:lang w:val="lv-LV"/>
              </w:rPr>
              <w:t xml:space="preserve">6.punkts (ar ko groza MK noteikumu Nr.698 14.punktu); 7.punkts (ar ko groza </w:t>
            </w:r>
            <w:r>
              <w:rPr>
                <w:rFonts w:eastAsia="Times New Roman"/>
                <w:i/>
                <w:sz w:val="26"/>
                <w:szCs w:val="26"/>
                <w:lang w:val="lv-LV"/>
              </w:rPr>
              <w:lastRenderedPageBreak/>
              <w:t xml:space="preserve">MK noteikumu Nr.698 19.punktu); </w:t>
            </w:r>
            <w:r w:rsidRPr="004B3D19">
              <w:rPr>
                <w:rFonts w:eastAsia="Times New Roman"/>
                <w:i/>
                <w:sz w:val="26"/>
                <w:szCs w:val="26"/>
                <w:lang w:val="lv-LV"/>
              </w:rPr>
              <w:t xml:space="preserve">9.punkts (ar ko papildina MK noteikumus Nr.698 ar </w:t>
            </w:r>
            <w:r w:rsidRPr="004B3D19">
              <w:rPr>
                <w:i/>
                <w:sz w:val="26"/>
                <w:szCs w:val="26"/>
              </w:rPr>
              <w:t>20</w:t>
            </w:r>
            <w:r w:rsidRPr="004B3D19">
              <w:rPr>
                <w:i/>
                <w:sz w:val="26"/>
                <w:szCs w:val="26"/>
                <w:vertAlign w:val="superscript"/>
              </w:rPr>
              <w:t>1</w:t>
            </w:r>
            <w:r w:rsidRPr="004B3D19">
              <w:rPr>
                <w:i/>
                <w:sz w:val="26"/>
                <w:szCs w:val="26"/>
                <w:vertAlign w:val="subscript"/>
              </w:rPr>
              <w:t>.</w:t>
            </w:r>
            <w:r w:rsidRPr="004B3D19">
              <w:rPr>
                <w:i/>
                <w:sz w:val="26"/>
                <w:szCs w:val="26"/>
              </w:rPr>
              <w:t xml:space="preserve"> </w:t>
            </w:r>
            <w:proofErr w:type="spellStart"/>
            <w:r w:rsidRPr="004B3D19">
              <w:rPr>
                <w:i/>
                <w:sz w:val="26"/>
                <w:szCs w:val="26"/>
              </w:rPr>
              <w:t>punktu</w:t>
            </w:r>
            <w:proofErr w:type="spellEnd"/>
            <w:r w:rsidRPr="004B3D19">
              <w:rPr>
                <w:rFonts w:eastAsia="Times New Roman"/>
                <w:i/>
                <w:sz w:val="26"/>
                <w:szCs w:val="26"/>
                <w:lang w:val="lv-LV"/>
              </w:rPr>
              <w:t>.</w:t>
            </w:r>
            <w:r>
              <w:rPr>
                <w:rFonts w:eastAsia="Times New Roman"/>
                <w:i/>
                <w:sz w:val="26"/>
                <w:szCs w:val="26"/>
                <w:lang w:val="lv-LV"/>
              </w:rPr>
              <w:t>)</w:t>
            </w:r>
          </w:p>
        </w:tc>
        <w:tc>
          <w:tcPr>
            <w:tcW w:w="2703" w:type="dxa"/>
          </w:tcPr>
          <w:p w:rsidR="00DD3D24" w:rsidRPr="004B3D19" w:rsidRDefault="00DD3D24" w:rsidP="00C72F7D">
            <w:pPr>
              <w:pStyle w:val="naisf"/>
              <w:spacing w:before="0" w:after="0"/>
              <w:rPr>
                <w:i/>
                <w:sz w:val="26"/>
                <w:szCs w:val="26"/>
              </w:rPr>
            </w:pPr>
            <w:r w:rsidRPr="004B3D19">
              <w:rPr>
                <w:i/>
                <w:sz w:val="26"/>
                <w:szCs w:val="26"/>
              </w:rPr>
              <w:lastRenderedPageBreak/>
              <w:t>ieviesta pilnībā</w:t>
            </w:r>
          </w:p>
        </w:tc>
        <w:tc>
          <w:tcPr>
            <w:tcW w:w="2033" w:type="dxa"/>
          </w:tcPr>
          <w:p w:rsidR="00DD3D24" w:rsidRPr="004B3D19" w:rsidRDefault="00DD3D24" w:rsidP="00C72F7D">
            <w:pPr>
              <w:pStyle w:val="naisf"/>
              <w:spacing w:before="0" w:after="0"/>
              <w:ind w:firstLine="0"/>
              <w:rPr>
                <w:i/>
                <w:sz w:val="26"/>
                <w:szCs w:val="26"/>
              </w:rPr>
            </w:pPr>
            <w:r w:rsidRPr="004B3D19">
              <w:rPr>
                <w:i/>
                <w:sz w:val="26"/>
                <w:szCs w:val="26"/>
              </w:rPr>
              <w:t>neparedz stingrākas prasības</w:t>
            </w:r>
          </w:p>
        </w:tc>
      </w:tr>
      <w:tr w:rsidR="00DD3D24" w:rsidRPr="00235168" w:rsidTr="0034794E">
        <w:trPr>
          <w:trHeight w:val="282"/>
          <w:tblCellSpacing w:w="0" w:type="dxa"/>
        </w:trPr>
        <w:tc>
          <w:tcPr>
            <w:tcW w:w="2003" w:type="dxa"/>
            <w:vAlign w:val="center"/>
            <w:hideMark/>
          </w:tcPr>
          <w:p w:rsidR="00DD3D24" w:rsidRPr="00235168" w:rsidRDefault="00DD3D24" w:rsidP="0034794E">
            <w:pPr>
              <w:rPr>
                <w:rFonts w:eastAsia="Times New Roman"/>
                <w:sz w:val="26"/>
                <w:szCs w:val="26"/>
                <w:lang w:val="lv-LV" w:eastAsia="lv-LV"/>
              </w:rPr>
            </w:pPr>
            <w:r w:rsidRPr="00235168">
              <w:rPr>
                <w:rFonts w:eastAsia="Times New Roman"/>
                <w:sz w:val="26"/>
                <w:szCs w:val="26"/>
                <w:lang w:val="lv-LV" w:eastAsia="lv-LV"/>
              </w:rPr>
              <w:lastRenderedPageBreak/>
              <w:t> Kā ir izmantota ES tiesību aktā paredzētā rīcības brīvība dalībvalstij pārņemt vai ieviest noteiktas ES tiesību akta normas.</w:t>
            </w:r>
          </w:p>
          <w:p w:rsidR="00DD3D24" w:rsidRPr="00235168" w:rsidRDefault="00DD3D24" w:rsidP="0034794E">
            <w:pPr>
              <w:rPr>
                <w:rFonts w:eastAsia="Times New Roman"/>
                <w:sz w:val="26"/>
                <w:szCs w:val="26"/>
                <w:lang w:val="lv-LV" w:eastAsia="lv-LV"/>
              </w:rPr>
            </w:pPr>
            <w:r w:rsidRPr="00235168">
              <w:rPr>
                <w:rFonts w:eastAsia="Times New Roman"/>
                <w:sz w:val="26"/>
                <w:szCs w:val="26"/>
                <w:lang w:val="lv-LV" w:eastAsia="lv-LV"/>
              </w:rPr>
              <w:t>Kādēļ?</w:t>
            </w:r>
          </w:p>
        </w:tc>
        <w:tc>
          <w:tcPr>
            <w:tcW w:w="7188" w:type="dxa"/>
            <w:gridSpan w:val="3"/>
            <w:hideMark/>
          </w:tcPr>
          <w:p w:rsidR="00DD3D24" w:rsidRPr="00235168" w:rsidRDefault="00DD3D24" w:rsidP="0034794E">
            <w:pPr>
              <w:rPr>
                <w:rFonts w:eastAsia="Times New Roman"/>
                <w:sz w:val="26"/>
                <w:szCs w:val="26"/>
                <w:lang w:val="lv-LV" w:eastAsia="lv-LV"/>
              </w:rPr>
            </w:pPr>
            <w:r w:rsidRPr="00235168">
              <w:rPr>
                <w:rFonts w:eastAsia="Times New Roman"/>
                <w:sz w:val="26"/>
                <w:szCs w:val="26"/>
                <w:lang w:val="lv-LV" w:eastAsia="lv-LV"/>
              </w:rPr>
              <w:t> Projekts šo jomu neskar.</w:t>
            </w:r>
          </w:p>
        </w:tc>
      </w:tr>
      <w:tr w:rsidR="00DD3D24" w:rsidRPr="00235168" w:rsidTr="0034794E">
        <w:trPr>
          <w:trHeight w:val="916"/>
          <w:tblCellSpacing w:w="0" w:type="dxa"/>
        </w:trPr>
        <w:tc>
          <w:tcPr>
            <w:tcW w:w="2003" w:type="dxa"/>
            <w:vAlign w:val="center"/>
            <w:hideMark/>
          </w:tcPr>
          <w:p w:rsidR="00DD3D24" w:rsidRPr="00235168" w:rsidRDefault="00DD3D24" w:rsidP="0034794E">
            <w:pPr>
              <w:rPr>
                <w:rFonts w:eastAsia="Times New Roman"/>
                <w:sz w:val="26"/>
                <w:szCs w:val="26"/>
                <w:lang w:val="lv-LV" w:eastAsia="lv-LV"/>
              </w:rPr>
            </w:pPr>
            <w:r w:rsidRPr="00235168">
              <w:rPr>
                <w:rFonts w:eastAsia="Times New Roman"/>
                <w:sz w:val="26"/>
                <w:szCs w:val="26"/>
                <w:lang w:val="lv-LV" w:eastAsia="lv-LV"/>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88" w:type="dxa"/>
            <w:gridSpan w:val="3"/>
            <w:hideMark/>
          </w:tcPr>
          <w:p w:rsidR="00DD3D24" w:rsidRPr="00235168" w:rsidRDefault="00DD3D24" w:rsidP="0034794E">
            <w:pPr>
              <w:jc w:val="both"/>
              <w:rPr>
                <w:rFonts w:eastAsia="Times New Roman"/>
                <w:sz w:val="26"/>
                <w:szCs w:val="26"/>
                <w:lang w:val="lv-LV" w:eastAsia="lv-LV"/>
              </w:rPr>
            </w:pPr>
            <w:r w:rsidRPr="00235168">
              <w:rPr>
                <w:rFonts w:eastAsia="Times New Roman"/>
                <w:sz w:val="26"/>
                <w:szCs w:val="26"/>
                <w:lang w:val="lv-LV" w:eastAsia="lv-LV"/>
              </w:rPr>
              <w:t>Projekts šo jomu neskar.</w:t>
            </w:r>
          </w:p>
        </w:tc>
      </w:tr>
      <w:tr w:rsidR="00DD3D24" w:rsidRPr="00235168" w:rsidTr="00742BAF">
        <w:trPr>
          <w:trHeight w:val="447"/>
          <w:tblCellSpacing w:w="0" w:type="dxa"/>
        </w:trPr>
        <w:tc>
          <w:tcPr>
            <w:tcW w:w="2003" w:type="dxa"/>
            <w:hideMark/>
          </w:tcPr>
          <w:p w:rsidR="00DD3D24" w:rsidRPr="00235168" w:rsidRDefault="00DD3D24" w:rsidP="0034794E">
            <w:pPr>
              <w:rPr>
                <w:rFonts w:eastAsia="Times New Roman"/>
                <w:sz w:val="26"/>
                <w:szCs w:val="26"/>
                <w:lang w:val="lv-LV" w:eastAsia="lv-LV"/>
              </w:rPr>
            </w:pPr>
            <w:r w:rsidRPr="00235168">
              <w:rPr>
                <w:rFonts w:eastAsia="Times New Roman"/>
                <w:sz w:val="26"/>
                <w:szCs w:val="26"/>
                <w:lang w:val="lv-LV" w:eastAsia="lv-LV"/>
              </w:rPr>
              <w:t> Cita informācija</w:t>
            </w:r>
          </w:p>
        </w:tc>
        <w:tc>
          <w:tcPr>
            <w:tcW w:w="7188" w:type="dxa"/>
            <w:gridSpan w:val="3"/>
            <w:hideMark/>
          </w:tcPr>
          <w:p w:rsidR="00DD3D24" w:rsidRPr="00235168" w:rsidRDefault="00DD3D24" w:rsidP="0034794E">
            <w:pPr>
              <w:rPr>
                <w:rFonts w:eastAsia="Times New Roman"/>
                <w:sz w:val="26"/>
                <w:szCs w:val="26"/>
                <w:lang w:val="lv-LV" w:eastAsia="lv-LV"/>
              </w:rPr>
            </w:pPr>
            <w:r w:rsidRPr="00235168">
              <w:rPr>
                <w:rFonts w:eastAsia="Times New Roman"/>
                <w:sz w:val="26"/>
                <w:szCs w:val="26"/>
                <w:lang w:val="lv-LV" w:eastAsia="lv-LV"/>
              </w:rPr>
              <w:t> </w:t>
            </w:r>
            <w:r w:rsidRPr="00235168">
              <w:rPr>
                <w:sz w:val="26"/>
                <w:szCs w:val="26"/>
                <w:lang w:val="lv-LV"/>
              </w:rPr>
              <w:t>Nav.</w:t>
            </w:r>
          </w:p>
        </w:tc>
      </w:tr>
    </w:tbl>
    <w:p w:rsidR="00C9779A" w:rsidRPr="00235168" w:rsidRDefault="00C9779A" w:rsidP="00C9779A">
      <w:pPr>
        <w:ind w:firstLine="468"/>
        <w:jc w:val="both"/>
        <w:rPr>
          <w:rFonts w:eastAsia="Times New Roman"/>
          <w:sz w:val="26"/>
          <w:szCs w:val="26"/>
          <w:lang w:val="lv-LV" w:eastAsia="lv-LV"/>
        </w:rPr>
      </w:pPr>
      <w:r w:rsidRPr="00235168">
        <w:rPr>
          <w:rFonts w:eastAsia="Times New Roman"/>
          <w:sz w:val="26"/>
          <w:szCs w:val="26"/>
          <w:lang w:val="lv-LV" w:eastAsia="lv-LV"/>
        </w:rPr>
        <w:t> </w:t>
      </w:r>
    </w:p>
    <w:tbl>
      <w:tblPr>
        <w:tblW w:w="0" w:type="auto"/>
        <w:tblCellSpacing w:w="0" w:type="dxa"/>
        <w:tblBorders>
          <w:top w:val="thickThinLargeGap" w:sz="2" w:space="0" w:color="C0C0C0"/>
          <w:left w:val="thickThinLargeGap" w:sz="2" w:space="0" w:color="C0C0C0"/>
          <w:bottom w:val="thickThinLargeGap" w:sz="2" w:space="0" w:color="C0C0C0"/>
          <w:right w:val="thickThinLargeGap" w:sz="2" w:space="0" w:color="C0C0C0"/>
          <w:insideH w:val="thickThinLargeGap" w:sz="2" w:space="0" w:color="C0C0C0"/>
          <w:insideV w:val="thickThinLargeGap" w:sz="2" w:space="0" w:color="C0C0C0"/>
        </w:tblBorders>
        <w:tblCellMar>
          <w:left w:w="0" w:type="dxa"/>
          <w:right w:w="0" w:type="dxa"/>
        </w:tblCellMar>
        <w:tblLook w:val="04A0" w:firstRow="1" w:lastRow="0" w:firstColumn="1" w:lastColumn="0" w:noHBand="0" w:noVBand="1"/>
      </w:tblPr>
      <w:tblGrid>
        <w:gridCol w:w="2602"/>
        <w:gridCol w:w="992"/>
        <w:gridCol w:w="1607"/>
        <w:gridCol w:w="3914"/>
      </w:tblGrid>
      <w:tr w:rsidR="00C9779A" w:rsidRPr="00235168" w:rsidTr="0034794E">
        <w:trPr>
          <w:trHeight w:val="796"/>
          <w:tblCellSpacing w:w="0" w:type="dxa"/>
        </w:trPr>
        <w:tc>
          <w:tcPr>
            <w:tcW w:w="9115" w:type="dxa"/>
            <w:gridSpan w:val="4"/>
            <w:vAlign w:val="center"/>
            <w:hideMark/>
          </w:tcPr>
          <w:p w:rsidR="00C9779A" w:rsidRPr="00235168" w:rsidRDefault="00C9779A" w:rsidP="0034794E">
            <w:pPr>
              <w:jc w:val="center"/>
              <w:rPr>
                <w:rFonts w:eastAsia="Times New Roman"/>
                <w:b/>
                <w:bCs/>
                <w:sz w:val="26"/>
                <w:szCs w:val="26"/>
                <w:lang w:val="lv-LV"/>
              </w:rPr>
            </w:pPr>
            <w:r w:rsidRPr="00235168">
              <w:rPr>
                <w:rFonts w:eastAsia="Times New Roman"/>
                <w:b/>
                <w:bCs/>
                <w:sz w:val="26"/>
                <w:szCs w:val="26"/>
                <w:lang w:val="lv-LV"/>
              </w:rPr>
              <w:t> 2.tabula</w:t>
            </w:r>
          </w:p>
          <w:p w:rsidR="00C9779A" w:rsidRPr="00235168" w:rsidRDefault="00C9779A" w:rsidP="0034794E">
            <w:pPr>
              <w:jc w:val="center"/>
              <w:rPr>
                <w:rFonts w:eastAsia="Times New Roman"/>
                <w:b/>
                <w:bCs/>
                <w:sz w:val="26"/>
                <w:szCs w:val="26"/>
                <w:lang w:val="lv-LV"/>
              </w:rPr>
            </w:pPr>
            <w:r w:rsidRPr="00235168">
              <w:rPr>
                <w:rFonts w:eastAsia="Times New Roman"/>
                <w:b/>
                <w:bCs/>
                <w:sz w:val="26"/>
                <w:szCs w:val="26"/>
                <w:lang w:val="lv-LV"/>
              </w:rPr>
              <w:t>Ar tiesību akta projektu uzņemtās saistības, kas izriet no starptautiskajiem tiesību aktiem vai starptautiskas institūcijas vai organizācijas dokumentiem</w:t>
            </w:r>
          </w:p>
          <w:p w:rsidR="00C9779A" w:rsidRPr="00235168" w:rsidRDefault="00C9779A" w:rsidP="0034794E">
            <w:pPr>
              <w:jc w:val="center"/>
              <w:rPr>
                <w:rFonts w:eastAsia="Times New Roman"/>
                <w:b/>
                <w:bCs/>
                <w:sz w:val="26"/>
                <w:szCs w:val="26"/>
                <w:lang w:val="lv-LV"/>
              </w:rPr>
            </w:pPr>
            <w:r w:rsidRPr="00235168">
              <w:rPr>
                <w:rFonts w:eastAsia="Times New Roman"/>
                <w:b/>
                <w:bCs/>
                <w:sz w:val="26"/>
                <w:szCs w:val="26"/>
                <w:lang w:val="lv-LV"/>
              </w:rPr>
              <w:t>Pasākumi šo saistību izpildei</w:t>
            </w:r>
          </w:p>
        </w:tc>
      </w:tr>
      <w:tr w:rsidR="00C9779A" w:rsidRPr="00235168" w:rsidTr="0034794E">
        <w:trPr>
          <w:trHeight w:val="1845"/>
          <w:tblCellSpacing w:w="0" w:type="dxa"/>
        </w:trPr>
        <w:tc>
          <w:tcPr>
            <w:tcW w:w="3594" w:type="dxa"/>
            <w:gridSpan w:val="2"/>
            <w:vAlign w:val="center"/>
            <w:hideMark/>
          </w:tcPr>
          <w:p w:rsidR="00C9779A" w:rsidRPr="00235168" w:rsidRDefault="00C9779A" w:rsidP="0034794E">
            <w:pPr>
              <w:rPr>
                <w:rFonts w:eastAsia="Times New Roman"/>
                <w:sz w:val="26"/>
                <w:szCs w:val="26"/>
                <w:lang w:val="lv-LV"/>
              </w:rPr>
            </w:pPr>
            <w:r w:rsidRPr="00235168">
              <w:rPr>
                <w:rFonts w:eastAsia="Times New Roman"/>
                <w:sz w:val="26"/>
                <w:szCs w:val="26"/>
                <w:lang w:val="lv-LV"/>
              </w:rPr>
              <w:lastRenderedPageBreak/>
              <w:t> Attiecīgā starptautiskā tiesību akta vai starptautiskas institūcijas vai organizācijas dokumenta (turpmāk – starptautiskais dokuments) datums, numurs un nosaukums</w:t>
            </w:r>
          </w:p>
        </w:tc>
        <w:tc>
          <w:tcPr>
            <w:tcW w:w="5521" w:type="dxa"/>
            <w:gridSpan w:val="2"/>
            <w:hideMark/>
          </w:tcPr>
          <w:p w:rsidR="00C9779A" w:rsidRDefault="00C9779A" w:rsidP="0034794E">
            <w:pPr>
              <w:rPr>
                <w:rFonts w:eastAsia="Times New Roman"/>
                <w:sz w:val="26"/>
                <w:szCs w:val="26"/>
                <w:lang w:val="lv-LV"/>
              </w:rPr>
            </w:pPr>
            <w:r w:rsidRPr="00235168">
              <w:rPr>
                <w:rFonts w:eastAsia="Times New Roman"/>
                <w:sz w:val="26"/>
                <w:szCs w:val="26"/>
                <w:lang w:val="lv-LV"/>
              </w:rPr>
              <w:t>Aizpilda, ja ar projektu izpildītas vai tiek uzņemtas saistības, kas izriet no vairāk nekā viena starptautiskā dokumenta, – jānorāda tā pati informācija, kas prasīta instrukcijas 57.1.apakšpunktā un jau tikusi norādīta arī V sadaļas 2.punkta ietvaros</w:t>
            </w:r>
          </w:p>
          <w:p w:rsidR="00B84C4B" w:rsidRDefault="00B84C4B" w:rsidP="0034794E">
            <w:pPr>
              <w:rPr>
                <w:rFonts w:eastAsia="Times New Roman"/>
                <w:sz w:val="26"/>
                <w:szCs w:val="26"/>
                <w:lang w:val="lv-LV"/>
              </w:rPr>
            </w:pPr>
          </w:p>
          <w:p w:rsidR="00B84C4B" w:rsidRPr="00235168" w:rsidRDefault="00B84C4B" w:rsidP="0034794E">
            <w:pPr>
              <w:rPr>
                <w:rFonts w:eastAsia="Times New Roman"/>
                <w:sz w:val="26"/>
                <w:szCs w:val="26"/>
                <w:lang w:val="lv-LV"/>
              </w:rPr>
            </w:pPr>
          </w:p>
        </w:tc>
      </w:tr>
      <w:tr w:rsidR="00C9779A" w:rsidRPr="00235168" w:rsidTr="0034794E">
        <w:trPr>
          <w:trHeight w:val="343"/>
          <w:tblCellSpacing w:w="0" w:type="dxa"/>
        </w:trPr>
        <w:tc>
          <w:tcPr>
            <w:tcW w:w="2602" w:type="dxa"/>
            <w:vAlign w:val="center"/>
            <w:hideMark/>
          </w:tcPr>
          <w:p w:rsidR="00C9779A" w:rsidRPr="00235168" w:rsidRDefault="00C9779A" w:rsidP="0034794E">
            <w:pPr>
              <w:jc w:val="center"/>
              <w:rPr>
                <w:rFonts w:eastAsia="Times New Roman"/>
                <w:sz w:val="26"/>
                <w:szCs w:val="26"/>
                <w:lang w:val="lv-LV"/>
              </w:rPr>
            </w:pPr>
            <w:r w:rsidRPr="00235168">
              <w:rPr>
                <w:rFonts w:eastAsia="Times New Roman"/>
                <w:sz w:val="26"/>
                <w:szCs w:val="26"/>
                <w:lang w:val="lv-LV"/>
              </w:rPr>
              <w:t> A</w:t>
            </w:r>
          </w:p>
        </w:tc>
        <w:tc>
          <w:tcPr>
            <w:tcW w:w="2599" w:type="dxa"/>
            <w:gridSpan w:val="2"/>
            <w:vAlign w:val="center"/>
            <w:hideMark/>
          </w:tcPr>
          <w:p w:rsidR="00C9779A" w:rsidRPr="00235168" w:rsidRDefault="00C9779A" w:rsidP="0034794E">
            <w:pPr>
              <w:jc w:val="center"/>
              <w:rPr>
                <w:rFonts w:eastAsia="Times New Roman"/>
                <w:sz w:val="26"/>
                <w:szCs w:val="26"/>
                <w:lang w:val="lv-LV"/>
              </w:rPr>
            </w:pPr>
            <w:r w:rsidRPr="00235168">
              <w:rPr>
                <w:rFonts w:eastAsia="Times New Roman"/>
                <w:sz w:val="26"/>
                <w:szCs w:val="26"/>
                <w:lang w:val="lv-LV"/>
              </w:rPr>
              <w:t> B</w:t>
            </w:r>
          </w:p>
        </w:tc>
        <w:tc>
          <w:tcPr>
            <w:tcW w:w="3914" w:type="dxa"/>
            <w:vAlign w:val="center"/>
            <w:hideMark/>
          </w:tcPr>
          <w:p w:rsidR="00C9779A" w:rsidRPr="00235168" w:rsidRDefault="00C9779A" w:rsidP="0034794E">
            <w:pPr>
              <w:jc w:val="center"/>
              <w:rPr>
                <w:rFonts w:eastAsia="Times New Roman"/>
                <w:sz w:val="26"/>
                <w:szCs w:val="26"/>
                <w:lang w:val="lv-LV"/>
              </w:rPr>
            </w:pPr>
            <w:r w:rsidRPr="00235168">
              <w:rPr>
                <w:rFonts w:eastAsia="Times New Roman"/>
                <w:sz w:val="26"/>
                <w:szCs w:val="26"/>
                <w:lang w:val="lv-LV"/>
              </w:rPr>
              <w:t> C</w:t>
            </w:r>
          </w:p>
        </w:tc>
      </w:tr>
      <w:tr w:rsidR="00C9779A" w:rsidRPr="00235168" w:rsidTr="0034794E">
        <w:trPr>
          <w:trHeight w:val="1512"/>
          <w:tblCellSpacing w:w="0" w:type="dxa"/>
        </w:trPr>
        <w:tc>
          <w:tcPr>
            <w:tcW w:w="2602" w:type="dxa"/>
            <w:hideMark/>
          </w:tcPr>
          <w:p w:rsidR="00C9779A" w:rsidRPr="00235168" w:rsidRDefault="00C9779A" w:rsidP="0034794E">
            <w:pPr>
              <w:rPr>
                <w:rFonts w:eastAsia="Times New Roman"/>
                <w:sz w:val="26"/>
                <w:szCs w:val="26"/>
                <w:lang w:val="lv-LV"/>
              </w:rPr>
            </w:pPr>
            <w:r w:rsidRPr="00235168">
              <w:rPr>
                <w:rFonts w:eastAsia="Times New Roman"/>
                <w:sz w:val="26"/>
                <w:szCs w:val="26"/>
                <w:lang w:val="lv-LV"/>
              </w:rPr>
              <w:t> Starptautiskās saistības (pēc būtības), kas izriet no norādītā starptautiskā dokumenta.</w:t>
            </w:r>
          </w:p>
          <w:p w:rsidR="00C9779A" w:rsidRPr="00235168" w:rsidRDefault="00C9779A" w:rsidP="0034794E">
            <w:pPr>
              <w:rPr>
                <w:rFonts w:eastAsia="Times New Roman"/>
                <w:sz w:val="26"/>
                <w:szCs w:val="26"/>
                <w:lang w:val="lv-LV"/>
              </w:rPr>
            </w:pPr>
            <w:r w:rsidRPr="00235168">
              <w:rPr>
                <w:rFonts w:eastAsia="Times New Roman"/>
                <w:sz w:val="26"/>
                <w:szCs w:val="26"/>
                <w:lang w:val="lv-LV"/>
              </w:rPr>
              <w:t> </w:t>
            </w:r>
          </w:p>
          <w:p w:rsidR="00C9779A" w:rsidRPr="00235168" w:rsidRDefault="00C9779A" w:rsidP="0034794E">
            <w:pPr>
              <w:rPr>
                <w:rFonts w:eastAsia="Times New Roman"/>
                <w:sz w:val="26"/>
                <w:szCs w:val="26"/>
                <w:lang w:val="lv-LV"/>
              </w:rPr>
            </w:pPr>
            <w:r w:rsidRPr="00235168">
              <w:rPr>
                <w:rFonts w:eastAsia="Times New Roman"/>
                <w:sz w:val="26"/>
                <w:szCs w:val="26"/>
                <w:lang w:val="lv-LV"/>
              </w:rPr>
              <w:t>Konkrēti veicamie pasākumi vai uzdevumi, kas nepieciešami šo starptautisko saistību izpildei</w:t>
            </w:r>
          </w:p>
        </w:tc>
        <w:tc>
          <w:tcPr>
            <w:tcW w:w="2599" w:type="dxa"/>
            <w:gridSpan w:val="2"/>
            <w:hideMark/>
          </w:tcPr>
          <w:p w:rsidR="00C9779A" w:rsidRPr="00235168" w:rsidRDefault="00C9779A" w:rsidP="0034794E">
            <w:pPr>
              <w:rPr>
                <w:rFonts w:eastAsia="Times New Roman"/>
                <w:sz w:val="26"/>
                <w:szCs w:val="26"/>
                <w:lang w:val="lv-LV"/>
              </w:rPr>
            </w:pPr>
            <w:r w:rsidRPr="00235168">
              <w:rPr>
                <w:rFonts w:eastAsia="Times New Roman"/>
                <w:sz w:val="26"/>
                <w:szCs w:val="26"/>
                <w:lang w:val="lv-LV"/>
              </w:rPr>
              <w:t>Ja pasākumi vai uzdevumi, ar ko tiks izpildītas starptautiskās saistības, tiek noteikti projektā, norāda attiecīgo projekta vienību.</w:t>
            </w:r>
          </w:p>
          <w:p w:rsidR="00C9779A" w:rsidRPr="00235168" w:rsidRDefault="00C9779A" w:rsidP="0034794E">
            <w:pPr>
              <w:rPr>
                <w:rFonts w:eastAsia="Times New Roman"/>
                <w:sz w:val="26"/>
                <w:szCs w:val="26"/>
                <w:lang w:val="lv-LV"/>
              </w:rPr>
            </w:pPr>
            <w:r w:rsidRPr="00235168">
              <w:rPr>
                <w:rFonts w:eastAsia="Times New Roman"/>
                <w:sz w:val="26"/>
                <w:szCs w:val="26"/>
                <w:lang w:val="lv-LV"/>
              </w:rPr>
              <w:t> </w:t>
            </w:r>
          </w:p>
          <w:p w:rsidR="00C9779A" w:rsidRPr="00235168" w:rsidRDefault="00C9779A" w:rsidP="0034794E">
            <w:pPr>
              <w:rPr>
                <w:rFonts w:eastAsia="Times New Roman"/>
                <w:sz w:val="26"/>
                <w:szCs w:val="26"/>
                <w:lang w:val="lv-LV"/>
              </w:rPr>
            </w:pPr>
            <w:r w:rsidRPr="00235168">
              <w:rPr>
                <w:rFonts w:eastAsia="Times New Roman"/>
                <w:sz w:val="26"/>
                <w:szCs w:val="26"/>
                <w:lang w:val="lv-LV"/>
              </w:rPr>
              <w:t>Vai arī norāda dokumentu, kurā sniegts izvērsts skaidrojums, kādā veidā tiks nodrošināta starptautisko saistību izpilde</w:t>
            </w:r>
          </w:p>
        </w:tc>
        <w:tc>
          <w:tcPr>
            <w:tcW w:w="3914" w:type="dxa"/>
            <w:hideMark/>
          </w:tcPr>
          <w:p w:rsidR="00C9779A" w:rsidRPr="00235168" w:rsidRDefault="00C9779A" w:rsidP="0034794E">
            <w:pPr>
              <w:rPr>
                <w:rFonts w:eastAsia="Times New Roman"/>
                <w:sz w:val="26"/>
                <w:szCs w:val="26"/>
                <w:lang w:val="lv-LV"/>
              </w:rPr>
            </w:pPr>
            <w:r w:rsidRPr="00235168">
              <w:rPr>
                <w:rFonts w:eastAsia="Times New Roman"/>
                <w:sz w:val="26"/>
                <w:szCs w:val="26"/>
                <w:lang w:val="lv-LV"/>
              </w:rPr>
              <w:t>Informācija par to, vai starptautiskās saistības, kas minētas šīs tabulas A ailē, tiek izpildītas pilnībā vai daļēji.</w:t>
            </w:r>
          </w:p>
          <w:p w:rsidR="00C9779A" w:rsidRPr="00235168" w:rsidRDefault="00C9779A" w:rsidP="0034794E">
            <w:pPr>
              <w:rPr>
                <w:rFonts w:eastAsia="Times New Roman"/>
                <w:sz w:val="26"/>
                <w:szCs w:val="26"/>
                <w:lang w:val="lv-LV"/>
              </w:rPr>
            </w:pPr>
            <w:r w:rsidRPr="00235168">
              <w:rPr>
                <w:rFonts w:eastAsia="Times New Roman"/>
                <w:sz w:val="26"/>
                <w:szCs w:val="26"/>
                <w:lang w:val="lv-LV"/>
              </w:rPr>
              <w:t> </w:t>
            </w:r>
          </w:p>
          <w:p w:rsidR="00C9779A" w:rsidRPr="00235168" w:rsidRDefault="00C9779A" w:rsidP="0034794E">
            <w:pPr>
              <w:rPr>
                <w:rFonts w:eastAsia="Times New Roman"/>
                <w:sz w:val="26"/>
                <w:szCs w:val="26"/>
                <w:lang w:val="lv-LV"/>
              </w:rPr>
            </w:pPr>
            <w:r w:rsidRPr="00235168">
              <w:rPr>
                <w:rFonts w:eastAsia="Times New Roman"/>
                <w:sz w:val="26"/>
                <w:szCs w:val="26"/>
                <w:lang w:val="lv-LV"/>
              </w:rPr>
              <w:t>Ja attiecīgās starptautiskās saistības tiek izpildītas daļēji, sniedz attiecīgu skaidrojumu, kā arī precīzi norāda, kad un kādā veidā starptautiskās saistības tiks izpildītas pilnībā.</w:t>
            </w:r>
          </w:p>
          <w:p w:rsidR="00C9779A" w:rsidRPr="00235168" w:rsidRDefault="00C9779A" w:rsidP="0034794E">
            <w:pPr>
              <w:rPr>
                <w:rFonts w:eastAsia="Times New Roman"/>
                <w:sz w:val="26"/>
                <w:szCs w:val="26"/>
                <w:lang w:val="lv-LV"/>
              </w:rPr>
            </w:pPr>
            <w:r w:rsidRPr="00235168">
              <w:rPr>
                <w:rFonts w:eastAsia="Times New Roman"/>
                <w:sz w:val="26"/>
                <w:szCs w:val="26"/>
                <w:lang w:val="lv-LV"/>
              </w:rPr>
              <w:t> </w:t>
            </w:r>
          </w:p>
          <w:p w:rsidR="00C9779A" w:rsidRPr="00235168" w:rsidRDefault="00C9779A" w:rsidP="0034794E">
            <w:pPr>
              <w:rPr>
                <w:rFonts w:eastAsia="Times New Roman"/>
                <w:sz w:val="26"/>
                <w:szCs w:val="26"/>
                <w:lang w:val="lv-LV"/>
              </w:rPr>
            </w:pPr>
            <w:r w:rsidRPr="00235168">
              <w:rPr>
                <w:rFonts w:eastAsia="Times New Roman"/>
                <w:sz w:val="26"/>
                <w:szCs w:val="26"/>
                <w:lang w:val="lv-LV"/>
              </w:rPr>
              <w:t>Norāda institūciju, kas ir atbildīga par šo saistību izpildi pilnībā</w:t>
            </w:r>
          </w:p>
        </w:tc>
      </w:tr>
      <w:tr w:rsidR="00C9779A" w:rsidRPr="00235168" w:rsidTr="0034794E">
        <w:trPr>
          <w:trHeight w:val="282"/>
          <w:tblCellSpacing w:w="0" w:type="dxa"/>
        </w:trPr>
        <w:tc>
          <w:tcPr>
            <w:tcW w:w="2602" w:type="dxa"/>
            <w:hideMark/>
          </w:tcPr>
          <w:p w:rsidR="00C9779A" w:rsidRPr="00235168" w:rsidRDefault="00C9779A" w:rsidP="0034794E">
            <w:pPr>
              <w:rPr>
                <w:rFonts w:eastAsia="Times New Roman"/>
                <w:sz w:val="26"/>
                <w:szCs w:val="26"/>
                <w:lang w:val="lv-LV"/>
              </w:rPr>
            </w:pPr>
            <w:r w:rsidRPr="00235168">
              <w:rPr>
                <w:rFonts w:eastAsia="Times New Roman"/>
                <w:sz w:val="26"/>
                <w:szCs w:val="26"/>
                <w:lang w:val="lv-LV"/>
              </w:rPr>
              <w:t xml:space="preserve"> Projekts šo jomu neskar.</w:t>
            </w:r>
          </w:p>
        </w:tc>
        <w:tc>
          <w:tcPr>
            <w:tcW w:w="2599" w:type="dxa"/>
            <w:gridSpan w:val="2"/>
            <w:hideMark/>
          </w:tcPr>
          <w:p w:rsidR="00C9779A" w:rsidRPr="00235168" w:rsidRDefault="00C9779A" w:rsidP="0034794E">
            <w:pPr>
              <w:rPr>
                <w:rFonts w:eastAsia="Times New Roman"/>
                <w:sz w:val="26"/>
                <w:szCs w:val="26"/>
                <w:lang w:val="lv-LV"/>
              </w:rPr>
            </w:pPr>
            <w:r w:rsidRPr="00235168">
              <w:rPr>
                <w:rFonts w:eastAsia="Times New Roman"/>
                <w:sz w:val="26"/>
                <w:szCs w:val="26"/>
                <w:lang w:val="lv-LV"/>
              </w:rPr>
              <w:t>Projekts šo jomu neskar.</w:t>
            </w:r>
          </w:p>
        </w:tc>
        <w:tc>
          <w:tcPr>
            <w:tcW w:w="3914" w:type="dxa"/>
            <w:hideMark/>
          </w:tcPr>
          <w:p w:rsidR="00C9779A" w:rsidRPr="00235168" w:rsidRDefault="00C9779A" w:rsidP="0034794E">
            <w:pPr>
              <w:rPr>
                <w:rFonts w:eastAsia="Times New Roman"/>
                <w:sz w:val="26"/>
                <w:szCs w:val="26"/>
                <w:lang w:val="lv-LV"/>
              </w:rPr>
            </w:pPr>
            <w:r w:rsidRPr="00235168">
              <w:rPr>
                <w:rFonts w:eastAsia="Times New Roman"/>
                <w:sz w:val="26"/>
                <w:szCs w:val="26"/>
                <w:lang w:val="lv-LV"/>
              </w:rPr>
              <w:t>Projekts šo jomu neskar.</w:t>
            </w:r>
          </w:p>
        </w:tc>
      </w:tr>
      <w:tr w:rsidR="00C9779A" w:rsidRPr="00235168" w:rsidTr="0034794E">
        <w:trPr>
          <w:trHeight w:val="1079"/>
          <w:tblCellSpacing w:w="0" w:type="dxa"/>
        </w:trPr>
        <w:tc>
          <w:tcPr>
            <w:tcW w:w="2602" w:type="dxa"/>
            <w:vAlign w:val="center"/>
            <w:hideMark/>
          </w:tcPr>
          <w:p w:rsidR="00C9779A" w:rsidRPr="00235168" w:rsidRDefault="00C9779A" w:rsidP="0034794E">
            <w:pPr>
              <w:rPr>
                <w:rFonts w:eastAsia="Times New Roman"/>
                <w:sz w:val="26"/>
                <w:szCs w:val="26"/>
                <w:lang w:val="lv-LV"/>
              </w:rPr>
            </w:pPr>
            <w:r w:rsidRPr="00235168">
              <w:rPr>
                <w:rFonts w:eastAsia="Times New Roman"/>
                <w:sz w:val="26"/>
                <w:szCs w:val="26"/>
                <w:lang w:val="lv-LV"/>
              </w:rPr>
              <w:t> Vai starptautiskajā dokumentā paredzētās saistības nav pretrunā ar jau esošajām Latvijas Republikas starptautiskajām saistībām</w:t>
            </w:r>
          </w:p>
        </w:tc>
        <w:tc>
          <w:tcPr>
            <w:tcW w:w="6513" w:type="dxa"/>
            <w:gridSpan w:val="3"/>
            <w:hideMark/>
          </w:tcPr>
          <w:p w:rsidR="00C9779A" w:rsidRPr="00235168" w:rsidRDefault="00C9779A" w:rsidP="0034794E">
            <w:pPr>
              <w:rPr>
                <w:rFonts w:eastAsia="Times New Roman"/>
                <w:sz w:val="26"/>
                <w:szCs w:val="26"/>
                <w:lang w:val="lv-LV"/>
              </w:rPr>
            </w:pPr>
            <w:r w:rsidRPr="00235168">
              <w:rPr>
                <w:rFonts w:eastAsia="Times New Roman"/>
                <w:sz w:val="26"/>
                <w:szCs w:val="26"/>
                <w:lang w:val="lv-LV"/>
              </w:rPr>
              <w:t> Projekts šo jomu neskar.</w:t>
            </w:r>
          </w:p>
        </w:tc>
      </w:tr>
      <w:tr w:rsidR="00C9779A" w:rsidRPr="00235168" w:rsidTr="0034794E">
        <w:trPr>
          <w:trHeight w:val="337"/>
          <w:tblCellSpacing w:w="0" w:type="dxa"/>
        </w:trPr>
        <w:tc>
          <w:tcPr>
            <w:tcW w:w="2602" w:type="dxa"/>
            <w:hideMark/>
          </w:tcPr>
          <w:p w:rsidR="00C9779A" w:rsidRPr="00235168" w:rsidRDefault="00C9779A" w:rsidP="0034794E">
            <w:pPr>
              <w:rPr>
                <w:rFonts w:eastAsia="Times New Roman"/>
                <w:sz w:val="26"/>
                <w:szCs w:val="26"/>
                <w:lang w:val="lv-LV"/>
              </w:rPr>
            </w:pPr>
            <w:r w:rsidRPr="00235168">
              <w:rPr>
                <w:rFonts w:eastAsia="Times New Roman"/>
                <w:sz w:val="26"/>
                <w:szCs w:val="26"/>
                <w:lang w:val="lv-LV"/>
              </w:rPr>
              <w:t> Cita informācija</w:t>
            </w:r>
          </w:p>
        </w:tc>
        <w:tc>
          <w:tcPr>
            <w:tcW w:w="6513" w:type="dxa"/>
            <w:gridSpan w:val="3"/>
            <w:hideMark/>
          </w:tcPr>
          <w:p w:rsidR="00B84C4B" w:rsidRPr="00235168" w:rsidRDefault="00C9779A" w:rsidP="0034794E">
            <w:pPr>
              <w:rPr>
                <w:rFonts w:eastAsia="Times New Roman"/>
                <w:sz w:val="26"/>
                <w:szCs w:val="26"/>
                <w:lang w:val="lv-LV"/>
              </w:rPr>
            </w:pPr>
            <w:r w:rsidRPr="00235168">
              <w:rPr>
                <w:rFonts w:eastAsia="Times New Roman"/>
                <w:sz w:val="26"/>
                <w:szCs w:val="26"/>
                <w:lang w:val="lv-LV"/>
              </w:rPr>
              <w:t xml:space="preserve"> Nav.</w:t>
            </w:r>
          </w:p>
        </w:tc>
      </w:tr>
    </w:tbl>
    <w:p w:rsidR="00C9779A" w:rsidRPr="00235168" w:rsidRDefault="00C9779A" w:rsidP="00C9779A">
      <w:pPr>
        <w:rPr>
          <w:sz w:val="26"/>
          <w:szCs w:val="26"/>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235168"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235168" w:rsidRDefault="003A7D89" w:rsidP="00F22471">
            <w:pPr>
              <w:ind w:firstLine="720"/>
              <w:jc w:val="both"/>
              <w:rPr>
                <w:rFonts w:eastAsia="Times New Roman"/>
                <w:b/>
                <w:sz w:val="26"/>
                <w:szCs w:val="26"/>
                <w:lang w:val="lv-LV" w:eastAsia="lv-LV"/>
              </w:rPr>
            </w:pPr>
            <w:r w:rsidRPr="00235168">
              <w:rPr>
                <w:rFonts w:eastAsia="Times New Roman"/>
                <w:b/>
                <w:sz w:val="26"/>
                <w:szCs w:val="26"/>
                <w:lang w:val="lv-LV" w:eastAsia="lv-LV"/>
              </w:rPr>
              <w:t>VII. Tiesību akta projekta izpildes nodrošināšana un tās ietekme uz institūcijām</w:t>
            </w:r>
          </w:p>
        </w:tc>
      </w:tr>
      <w:tr w:rsidR="003A7D89" w:rsidRPr="00235168"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235168" w:rsidRDefault="00901246" w:rsidP="00236989">
            <w:pPr>
              <w:jc w:val="both"/>
              <w:rPr>
                <w:rFonts w:eastAsia="Times New Roman"/>
                <w:sz w:val="26"/>
                <w:szCs w:val="26"/>
                <w:lang w:val="lv-LV" w:eastAsia="lv-LV"/>
              </w:rPr>
            </w:pPr>
            <w:r>
              <w:rPr>
                <w:rFonts w:eastAsia="Times New Roman"/>
                <w:sz w:val="26"/>
                <w:szCs w:val="26"/>
                <w:lang w:val="lv-LV" w:eastAsia="lv-LV"/>
              </w:rPr>
              <w:t>MK</w:t>
            </w:r>
            <w:r w:rsidR="003A7D89" w:rsidRPr="00235168">
              <w:rPr>
                <w:rFonts w:eastAsia="Times New Roman"/>
                <w:sz w:val="26"/>
                <w:szCs w:val="26"/>
                <w:lang w:val="lv-LV" w:eastAsia="lv-LV"/>
              </w:rPr>
              <w:t xml:space="preserve"> </w:t>
            </w:r>
            <w:r w:rsidR="00A46462" w:rsidRPr="00235168">
              <w:rPr>
                <w:sz w:val="26"/>
                <w:szCs w:val="26"/>
                <w:lang w:val="lv-LV"/>
              </w:rPr>
              <w:t>noteikumu</w:t>
            </w:r>
            <w:r w:rsidR="003A7D89" w:rsidRPr="00235168">
              <w:rPr>
                <w:rFonts w:eastAsia="Times New Roman"/>
                <w:sz w:val="26"/>
                <w:szCs w:val="26"/>
                <w:lang w:val="lv-LV" w:eastAsia="lv-LV"/>
              </w:rPr>
              <w:t xml:space="preserve"> projekta izpildi nodrošinās </w:t>
            </w:r>
            <w:r w:rsidR="00742BAF">
              <w:rPr>
                <w:rFonts w:eastAsia="Times New Roman"/>
                <w:sz w:val="26"/>
                <w:szCs w:val="26"/>
                <w:lang w:val="lv-LV" w:eastAsia="lv-LV"/>
              </w:rPr>
              <w:t>LHZB</w:t>
            </w:r>
            <w:r w:rsidR="003A7D89" w:rsidRPr="00235168">
              <w:rPr>
                <w:rFonts w:eastAsia="Times New Roman"/>
                <w:sz w:val="26"/>
                <w:szCs w:val="26"/>
                <w:lang w:val="lv-LV" w:eastAsia="lv-LV"/>
              </w:rPr>
              <w:t>.</w:t>
            </w:r>
          </w:p>
        </w:tc>
      </w:tr>
      <w:tr w:rsidR="003A7D89" w:rsidRPr="00235168" w:rsidTr="00236989">
        <w:trPr>
          <w:trHeight w:val="54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235168" w:rsidRDefault="00901246" w:rsidP="00236989">
            <w:pPr>
              <w:jc w:val="both"/>
              <w:rPr>
                <w:rFonts w:eastAsia="Times New Roman"/>
                <w:sz w:val="26"/>
                <w:szCs w:val="26"/>
                <w:lang w:val="lv-LV" w:eastAsia="lv-LV"/>
              </w:rPr>
            </w:pPr>
            <w:r>
              <w:rPr>
                <w:rFonts w:eastAsia="Times New Roman"/>
                <w:sz w:val="26"/>
                <w:szCs w:val="26"/>
                <w:lang w:val="lv-LV" w:eastAsia="lv-LV"/>
              </w:rPr>
              <w:t>MK</w:t>
            </w:r>
            <w:r w:rsidR="003A7D89" w:rsidRPr="00235168">
              <w:rPr>
                <w:rFonts w:eastAsia="Times New Roman"/>
                <w:sz w:val="26"/>
                <w:szCs w:val="26"/>
                <w:lang w:val="lv-LV" w:eastAsia="lv-LV"/>
              </w:rPr>
              <w:t xml:space="preserve"> </w:t>
            </w:r>
            <w:r w:rsidR="00A46462" w:rsidRPr="00235168">
              <w:rPr>
                <w:sz w:val="26"/>
                <w:szCs w:val="26"/>
                <w:lang w:val="lv-LV"/>
              </w:rPr>
              <w:t>noteikumu</w:t>
            </w:r>
            <w:r w:rsidR="003A7D89" w:rsidRPr="00235168">
              <w:rPr>
                <w:rFonts w:eastAsia="Times New Roman"/>
                <w:sz w:val="26"/>
                <w:szCs w:val="26"/>
                <w:lang w:val="lv-LV" w:eastAsia="lv-LV"/>
              </w:rPr>
              <w:t xml:space="preserve"> projekta izpilde tiks nodrošināta </w:t>
            </w:r>
            <w:r w:rsidR="00D94B9B">
              <w:rPr>
                <w:rFonts w:eastAsia="Times New Roman"/>
                <w:sz w:val="26"/>
                <w:szCs w:val="26"/>
                <w:lang w:val="lv-LV" w:eastAsia="lv-LV"/>
              </w:rPr>
              <w:t xml:space="preserve">LHZB </w:t>
            </w:r>
            <w:r w:rsidR="003A7D89" w:rsidRPr="00235168">
              <w:rPr>
                <w:rFonts w:eastAsia="Times New Roman"/>
                <w:sz w:val="26"/>
                <w:szCs w:val="26"/>
                <w:lang w:val="lv-LV" w:eastAsia="lv-LV"/>
              </w:rPr>
              <w:t>esošo funkciju ietvaros.</w:t>
            </w:r>
          </w:p>
        </w:tc>
      </w:tr>
      <w:tr w:rsidR="003A7D89" w:rsidRPr="00235168"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lastRenderedPageBreak/>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235168" w:rsidRDefault="00901246" w:rsidP="00236989">
            <w:pPr>
              <w:jc w:val="both"/>
              <w:rPr>
                <w:rFonts w:eastAsia="Times New Roman"/>
                <w:sz w:val="26"/>
                <w:szCs w:val="26"/>
                <w:lang w:val="lv-LV" w:eastAsia="lv-LV"/>
              </w:rPr>
            </w:pPr>
            <w:r>
              <w:rPr>
                <w:sz w:val="26"/>
                <w:szCs w:val="26"/>
                <w:lang w:val="lv-LV"/>
              </w:rPr>
              <w:t>MK</w:t>
            </w:r>
            <w:r w:rsidR="003A7D89" w:rsidRPr="00235168">
              <w:rPr>
                <w:sz w:val="26"/>
                <w:szCs w:val="26"/>
                <w:lang w:val="lv-LV"/>
              </w:rPr>
              <w:t xml:space="preserve"> </w:t>
            </w:r>
            <w:r w:rsidR="00A46462" w:rsidRPr="00235168">
              <w:rPr>
                <w:sz w:val="26"/>
                <w:szCs w:val="26"/>
                <w:lang w:val="lv-LV"/>
              </w:rPr>
              <w:t>noteikumu</w:t>
            </w:r>
            <w:r w:rsidR="003A7D89" w:rsidRPr="00235168">
              <w:rPr>
                <w:sz w:val="26"/>
                <w:szCs w:val="26"/>
                <w:lang w:val="lv-LV"/>
              </w:rPr>
              <w:t xml:space="preserve"> projekta izpildei nav nepieciešams izveidot jaunas institūcijas</w:t>
            </w:r>
            <w:r w:rsidR="003A7D89" w:rsidRPr="00235168">
              <w:rPr>
                <w:rFonts w:eastAsia="Times New Roman"/>
                <w:sz w:val="26"/>
                <w:szCs w:val="26"/>
                <w:lang w:val="lv-LV" w:eastAsia="lv-LV"/>
              </w:rPr>
              <w:t>.</w:t>
            </w:r>
          </w:p>
        </w:tc>
      </w:tr>
      <w:tr w:rsidR="003A7D89" w:rsidRPr="00235168"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B84C4B" w:rsidRDefault="00901246" w:rsidP="00236989">
            <w:pPr>
              <w:jc w:val="both"/>
              <w:rPr>
                <w:sz w:val="26"/>
                <w:szCs w:val="26"/>
                <w:lang w:val="lv-LV"/>
              </w:rPr>
            </w:pPr>
            <w:r>
              <w:rPr>
                <w:sz w:val="26"/>
                <w:szCs w:val="26"/>
                <w:lang w:val="lv-LV"/>
              </w:rPr>
              <w:t>MK</w:t>
            </w:r>
            <w:r w:rsidR="003A7D89" w:rsidRPr="00235168">
              <w:rPr>
                <w:sz w:val="26"/>
                <w:szCs w:val="26"/>
                <w:lang w:val="lv-LV"/>
              </w:rPr>
              <w:t xml:space="preserve"> </w:t>
            </w:r>
            <w:r w:rsidR="00A46462" w:rsidRPr="00235168">
              <w:rPr>
                <w:sz w:val="26"/>
                <w:szCs w:val="26"/>
                <w:lang w:val="lv-LV"/>
              </w:rPr>
              <w:t>noteikumu</w:t>
            </w:r>
            <w:r w:rsidR="003A7D89" w:rsidRPr="00235168">
              <w:rPr>
                <w:sz w:val="26"/>
                <w:szCs w:val="26"/>
                <w:lang w:val="lv-LV"/>
              </w:rPr>
              <w:t xml:space="preserve"> projekta izpildei nav nepieciešams likvidēt esošās institūcijas</w:t>
            </w:r>
            <w:r w:rsidR="003A7D89" w:rsidRPr="00235168">
              <w:rPr>
                <w:rFonts w:eastAsia="Times New Roman"/>
                <w:sz w:val="26"/>
                <w:szCs w:val="26"/>
                <w:lang w:val="lv-LV" w:eastAsia="lv-LV"/>
              </w:rPr>
              <w:t>.</w:t>
            </w:r>
          </w:p>
        </w:tc>
      </w:tr>
      <w:tr w:rsidR="003A7D89" w:rsidRPr="00235168"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Default="00901246" w:rsidP="00236989">
            <w:pPr>
              <w:jc w:val="both"/>
              <w:rPr>
                <w:rFonts w:eastAsia="Times New Roman"/>
                <w:sz w:val="26"/>
                <w:szCs w:val="26"/>
                <w:lang w:val="lv-LV" w:eastAsia="lv-LV"/>
              </w:rPr>
            </w:pPr>
            <w:r>
              <w:rPr>
                <w:rFonts w:eastAsia="Times New Roman"/>
                <w:sz w:val="26"/>
                <w:szCs w:val="26"/>
                <w:lang w:val="lv-LV" w:eastAsia="lv-LV"/>
              </w:rPr>
              <w:t>MK</w:t>
            </w:r>
            <w:r w:rsidR="003A7D89" w:rsidRPr="00235168">
              <w:rPr>
                <w:rFonts w:eastAsia="Times New Roman"/>
                <w:sz w:val="26"/>
                <w:szCs w:val="26"/>
                <w:lang w:val="lv-LV" w:eastAsia="lv-LV"/>
              </w:rPr>
              <w:t xml:space="preserve"> </w:t>
            </w:r>
            <w:r w:rsidR="00A46462" w:rsidRPr="00235168">
              <w:rPr>
                <w:sz w:val="26"/>
                <w:szCs w:val="26"/>
                <w:lang w:val="lv-LV"/>
              </w:rPr>
              <w:t>noteikumu</w:t>
            </w:r>
            <w:r w:rsidR="003A7D89" w:rsidRPr="00235168">
              <w:rPr>
                <w:sz w:val="26"/>
                <w:szCs w:val="26"/>
                <w:lang w:val="lv-LV"/>
              </w:rPr>
              <w:t xml:space="preserve"> projekta izpildei nav nepieciešams reorganizēt esošās institūcijas</w:t>
            </w:r>
            <w:r w:rsidR="003A7D89" w:rsidRPr="00235168">
              <w:rPr>
                <w:rFonts w:eastAsia="Times New Roman"/>
                <w:sz w:val="26"/>
                <w:szCs w:val="26"/>
                <w:lang w:val="lv-LV" w:eastAsia="lv-LV"/>
              </w:rPr>
              <w:t>.</w:t>
            </w:r>
          </w:p>
          <w:p w:rsidR="00B84C4B" w:rsidRPr="00235168" w:rsidRDefault="00B84C4B" w:rsidP="00742BAF">
            <w:pPr>
              <w:jc w:val="both"/>
              <w:rPr>
                <w:rFonts w:eastAsia="Times New Roman"/>
                <w:sz w:val="26"/>
                <w:szCs w:val="26"/>
                <w:lang w:val="lv-LV" w:eastAsia="lv-LV"/>
              </w:rPr>
            </w:pPr>
          </w:p>
        </w:tc>
      </w:tr>
      <w:tr w:rsidR="003A7D89" w:rsidRPr="00235168"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235168" w:rsidRDefault="003A7D89" w:rsidP="00236989">
            <w:pPr>
              <w:jc w:val="both"/>
              <w:rPr>
                <w:rFonts w:eastAsia="Times New Roman"/>
                <w:sz w:val="26"/>
                <w:szCs w:val="26"/>
                <w:lang w:val="lv-LV" w:eastAsia="lv-LV"/>
              </w:rPr>
            </w:pPr>
            <w:r w:rsidRPr="00235168">
              <w:rPr>
                <w:rFonts w:eastAsia="Times New Roman"/>
                <w:sz w:val="26"/>
                <w:szCs w:val="26"/>
                <w:lang w:val="lv-LV" w:eastAsia="lv-LV"/>
              </w:rPr>
              <w:t>Nav.</w:t>
            </w:r>
          </w:p>
        </w:tc>
      </w:tr>
    </w:tbl>
    <w:p w:rsidR="0088512F" w:rsidRPr="00235168" w:rsidRDefault="0088512F" w:rsidP="00F22471">
      <w:pPr>
        <w:tabs>
          <w:tab w:val="left" w:pos="7655"/>
        </w:tabs>
        <w:jc w:val="both"/>
        <w:rPr>
          <w:sz w:val="26"/>
          <w:szCs w:val="26"/>
          <w:lang w:val="lv-LV"/>
        </w:rPr>
      </w:pPr>
      <w:r w:rsidRPr="00235168">
        <w:rPr>
          <w:sz w:val="26"/>
          <w:szCs w:val="26"/>
          <w:lang w:val="lv-LV"/>
        </w:rPr>
        <w:t xml:space="preserve">Anotācijas  VI sadaļa – </w:t>
      </w:r>
      <w:r w:rsidRPr="00235168">
        <w:rPr>
          <w:iCs/>
          <w:sz w:val="26"/>
          <w:szCs w:val="26"/>
          <w:lang w:val="lv-LV"/>
        </w:rPr>
        <w:t>projekts šīs jomas neskar</w:t>
      </w:r>
      <w:r w:rsidRPr="00235168">
        <w:rPr>
          <w:sz w:val="26"/>
          <w:szCs w:val="26"/>
          <w:lang w:val="lv-LV"/>
        </w:rPr>
        <w:t>.</w:t>
      </w:r>
    </w:p>
    <w:p w:rsidR="00235168" w:rsidRDefault="00235168" w:rsidP="00F22471">
      <w:pPr>
        <w:tabs>
          <w:tab w:val="left" w:pos="7655"/>
        </w:tabs>
        <w:rPr>
          <w:sz w:val="26"/>
          <w:szCs w:val="26"/>
          <w:lang w:val="lv-LV"/>
        </w:rPr>
      </w:pPr>
    </w:p>
    <w:p w:rsidR="00DD3D24" w:rsidRPr="00235168" w:rsidRDefault="00DD3D24" w:rsidP="00F22471">
      <w:pPr>
        <w:tabs>
          <w:tab w:val="left" w:pos="7655"/>
        </w:tabs>
        <w:rPr>
          <w:sz w:val="26"/>
          <w:szCs w:val="26"/>
          <w:lang w:val="lv-LV"/>
        </w:rPr>
      </w:pPr>
    </w:p>
    <w:p w:rsidR="00BE6E9C" w:rsidRPr="00235168" w:rsidRDefault="00BE6E9C" w:rsidP="00A43665">
      <w:pPr>
        <w:tabs>
          <w:tab w:val="right" w:pos="9072"/>
        </w:tabs>
        <w:rPr>
          <w:sz w:val="26"/>
          <w:szCs w:val="26"/>
          <w:lang w:val="lv-LV"/>
        </w:rPr>
      </w:pPr>
    </w:p>
    <w:p w:rsidR="00522B62" w:rsidRPr="00235168" w:rsidRDefault="00E73425" w:rsidP="00A43665">
      <w:pPr>
        <w:tabs>
          <w:tab w:val="right" w:pos="9072"/>
        </w:tabs>
        <w:rPr>
          <w:sz w:val="26"/>
          <w:szCs w:val="26"/>
          <w:lang w:val="lv-LV"/>
        </w:rPr>
      </w:pPr>
      <w:r w:rsidRPr="00235168">
        <w:rPr>
          <w:sz w:val="26"/>
          <w:szCs w:val="26"/>
          <w:lang w:val="lv-LV"/>
        </w:rPr>
        <w:t>Ekonomikas ministrs</w:t>
      </w:r>
      <w:r w:rsidR="00A43665" w:rsidRPr="00235168">
        <w:rPr>
          <w:sz w:val="26"/>
          <w:szCs w:val="26"/>
          <w:lang w:val="lv-LV"/>
        </w:rPr>
        <w:tab/>
      </w:r>
      <w:proofErr w:type="spellStart"/>
      <w:r w:rsidR="00F9294A" w:rsidRPr="00235168">
        <w:rPr>
          <w:sz w:val="26"/>
          <w:szCs w:val="26"/>
          <w:lang w:val="lv-LV"/>
        </w:rPr>
        <w:t>D.Pavļuts</w:t>
      </w:r>
      <w:proofErr w:type="spellEnd"/>
      <w:r w:rsidR="00A43665" w:rsidRPr="00235168">
        <w:rPr>
          <w:sz w:val="26"/>
          <w:szCs w:val="26"/>
          <w:lang w:val="lv-LV"/>
        </w:rPr>
        <w:tab/>
      </w:r>
      <w:r w:rsidR="00A43665" w:rsidRPr="00235168">
        <w:rPr>
          <w:sz w:val="26"/>
          <w:szCs w:val="26"/>
          <w:lang w:val="lv-LV"/>
        </w:rPr>
        <w:tab/>
      </w:r>
      <w:r w:rsidR="00A43665" w:rsidRPr="00235168">
        <w:rPr>
          <w:sz w:val="26"/>
          <w:szCs w:val="26"/>
          <w:lang w:val="lv-LV"/>
        </w:rPr>
        <w:tab/>
      </w:r>
      <w:r w:rsidR="00A43665" w:rsidRPr="00235168">
        <w:rPr>
          <w:sz w:val="26"/>
          <w:szCs w:val="26"/>
          <w:lang w:val="lv-LV"/>
        </w:rPr>
        <w:tab/>
      </w:r>
      <w:r w:rsidR="00A43665" w:rsidRPr="00235168">
        <w:rPr>
          <w:sz w:val="26"/>
          <w:szCs w:val="26"/>
          <w:lang w:val="lv-LV"/>
        </w:rPr>
        <w:tab/>
      </w:r>
      <w:r w:rsidR="00A43665" w:rsidRPr="00235168">
        <w:rPr>
          <w:sz w:val="26"/>
          <w:szCs w:val="26"/>
          <w:lang w:val="lv-LV"/>
        </w:rPr>
        <w:tab/>
      </w:r>
    </w:p>
    <w:p w:rsidR="009D5C1D" w:rsidRPr="00235168" w:rsidRDefault="009D5C1D" w:rsidP="00F22471">
      <w:pPr>
        <w:tabs>
          <w:tab w:val="left" w:pos="8222"/>
        </w:tabs>
        <w:rPr>
          <w:sz w:val="26"/>
          <w:szCs w:val="26"/>
          <w:lang w:val="lv-LV"/>
        </w:rPr>
      </w:pPr>
    </w:p>
    <w:p w:rsidR="00BE6E9C" w:rsidRPr="00235168" w:rsidRDefault="00BE6E9C" w:rsidP="008E5F7D">
      <w:pPr>
        <w:tabs>
          <w:tab w:val="right" w:pos="9072"/>
        </w:tabs>
        <w:rPr>
          <w:sz w:val="26"/>
          <w:szCs w:val="26"/>
          <w:lang w:val="lv-LV"/>
        </w:rPr>
      </w:pPr>
    </w:p>
    <w:p w:rsidR="007715A2" w:rsidRPr="00235168" w:rsidRDefault="00B74BCA" w:rsidP="00DD3D24">
      <w:pPr>
        <w:tabs>
          <w:tab w:val="right" w:pos="9072"/>
        </w:tabs>
        <w:rPr>
          <w:sz w:val="26"/>
          <w:szCs w:val="26"/>
          <w:lang w:val="lv-LV"/>
        </w:rPr>
      </w:pPr>
      <w:r w:rsidRPr="00235168">
        <w:rPr>
          <w:sz w:val="26"/>
          <w:szCs w:val="26"/>
          <w:lang w:val="lv-LV"/>
        </w:rPr>
        <w:t>Vīza: valsts sekretār</w:t>
      </w:r>
      <w:r w:rsidR="00DD3D24">
        <w:rPr>
          <w:sz w:val="26"/>
          <w:szCs w:val="26"/>
          <w:lang w:val="lv-LV"/>
        </w:rPr>
        <w:t>s</w:t>
      </w:r>
      <w:r w:rsidR="00DD3D24">
        <w:rPr>
          <w:sz w:val="26"/>
          <w:szCs w:val="26"/>
          <w:lang w:val="lv-LV"/>
        </w:rPr>
        <w:tab/>
        <w:t>J.Pūce</w:t>
      </w:r>
    </w:p>
    <w:p w:rsidR="00BE6E9C" w:rsidRDefault="00BE6E9C" w:rsidP="00F22471">
      <w:pPr>
        <w:jc w:val="both"/>
        <w:rPr>
          <w:color w:val="000000"/>
          <w:sz w:val="28"/>
          <w:szCs w:val="28"/>
          <w:lang w:val="lv-LV"/>
        </w:rPr>
      </w:pPr>
    </w:p>
    <w:p w:rsidR="00DD3D24" w:rsidRDefault="00DD3D24" w:rsidP="00F22471">
      <w:pPr>
        <w:jc w:val="both"/>
        <w:rPr>
          <w:color w:val="000000"/>
          <w:sz w:val="28"/>
          <w:szCs w:val="28"/>
          <w:lang w:val="lv-LV"/>
        </w:rPr>
      </w:pPr>
    </w:p>
    <w:p w:rsidR="00DD3D24" w:rsidRDefault="00DD3D24" w:rsidP="00F22471">
      <w:pPr>
        <w:jc w:val="both"/>
        <w:rPr>
          <w:color w:val="000000"/>
          <w:sz w:val="28"/>
          <w:szCs w:val="28"/>
          <w:lang w:val="lv-LV"/>
        </w:rPr>
      </w:pPr>
    </w:p>
    <w:p w:rsidR="00BF2F17" w:rsidRPr="00C906FA" w:rsidRDefault="00F91217" w:rsidP="00F22471">
      <w:pPr>
        <w:jc w:val="both"/>
        <w:rPr>
          <w:sz w:val="26"/>
          <w:szCs w:val="26"/>
        </w:rPr>
      </w:pPr>
      <w:r w:rsidRPr="00C906FA">
        <w:rPr>
          <w:sz w:val="26"/>
          <w:szCs w:val="26"/>
        </w:rPr>
        <w:fldChar w:fldCharType="begin"/>
      </w:r>
      <w:r w:rsidR="00BF2F17" w:rsidRPr="00C906FA">
        <w:rPr>
          <w:sz w:val="26"/>
          <w:szCs w:val="26"/>
          <w:lang w:val="lv-LV"/>
        </w:rPr>
        <w:instrText xml:space="preserve"> TIME \@ "dd.MM.yyyy. H:mm" </w:instrText>
      </w:r>
      <w:r w:rsidRPr="00C906FA">
        <w:rPr>
          <w:sz w:val="26"/>
          <w:szCs w:val="26"/>
        </w:rPr>
        <w:fldChar w:fldCharType="separate"/>
      </w:r>
      <w:r w:rsidR="00BC4DCE">
        <w:rPr>
          <w:noProof/>
          <w:sz w:val="26"/>
          <w:szCs w:val="26"/>
          <w:lang w:val="lv-LV"/>
        </w:rPr>
        <w:t>19.11.2013. 11:25</w:t>
      </w:r>
      <w:r w:rsidRPr="00C906FA">
        <w:rPr>
          <w:sz w:val="26"/>
          <w:szCs w:val="26"/>
        </w:rPr>
        <w:fldChar w:fldCharType="end"/>
      </w:r>
    </w:p>
    <w:p w:rsidR="00BF2F17" w:rsidRPr="00C906FA" w:rsidRDefault="00DD3D24" w:rsidP="00F22471">
      <w:pPr>
        <w:jc w:val="both"/>
        <w:rPr>
          <w:sz w:val="26"/>
          <w:szCs w:val="26"/>
        </w:rPr>
      </w:pPr>
      <w:r>
        <w:fldChar w:fldCharType="begin"/>
      </w:r>
      <w:r>
        <w:instrText xml:space="preserve"> NUMWORDS   \* MERGEFORMAT </w:instrText>
      </w:r>
      <w:r>
        <w:fldChar w:fldCharType="separate"/>
      </w:r>
      <w:r w:rsidRPr="00DD3D24">
        <w:rPr>
          <w:noProof/>
          <w:sz w:val="26"/>
          <w:szCs w:val="26"/>
        </w:rPr>
        <w:t>2353</w:t>
      </w:r>
      <w:r>
        <w:rPr>
          <w:noProof/>
          <w:sz w:val="26"/>
          <w:szCs w:val="26"/>
        </w:rPr>
        <w:fldChar w:fldCharType="end"/>
      </w:r>
      <w:bookmarkStart w:id="6" w:name="_GoBack"/>
      <w:bookmarkEnd w:id="6"/>
    </w:p>
    <w:p w:rsidR="00643B54" w:rsidRPr="00C906FA" w:rsidRDefault="00634095" w:rsidP="00F22471">
      <w:pPr>
        <w:jc w:val="both"/>
        <w:rPr>
          <w:color w:val="000000"/>
          <w:sz w:val="26"/>
          <w:szCs w:val="26"/>
          <w:lang w:val="lv-LV"/>
        </w:rPr>
      </w:pPr>
      <w:proofErr w:type="spellStart"/>
      <w:r w:rsidRPr="00C906FA">
        <w:rPr>
          <w:color w:val="000000"/>
          <w:sz w:val="26"/>
          <w:szCs w:val="26"/>
          <w:lang w:val="lv-LV"/>
        </w:rPr>
        <w:t>E.Dlohi</w:t>
      </w:r>
      <w:proofErr w:type="spellEnd"/>
    </w:p>
    <w:p w:rsidR="00097583" w:rsidRPr="00C906FA" w:rsidRDefault="00B74BCA" w:rsidP="00F22471">
      <w:pPr>
        <w:jc w:val="both"/>
        <w:rPr>
          <w:color w:val="000000"/>
          <w:sz w:val="26"/>
          <w:szCs w:val="26"/>
          <w:lang w:val="lv-LV"/>
        </w:rPr>
      </w:pPr>
      <w:r w:rsidRPr="00C906FA">
        <w:rPr>
          <w:sz w:val="26"/>
          <w:szCs w:val="26"/>
          <w:lang w:val="lv-LV"/>
        </w:rPr>
        <w:t>67013</w:t>
      </w:r>
      <w:r w:rsidR="00634095" w:rsidRPr="00C906FA">
        <w:rPr>
          <w:sz w:val="26"/>
          <w:szCs w:val="26"/>
          <w:lang w:val="lv-LV"/>
        </w:rPr>
        <w:t>082</w:t>
      </w:r>
      <w:r w:rsidR="00386053" w:rsidRPr="00C906FA">
        <w:rPr>
          <w:sz w:val="26"/>
          <w:szCs w:val="26"/>
          <w:lang w:val="lv-LV"/>
        </w:rPr>
        <w:t>,</w:t>
      </w:r>
      <w:r w:rsidRPr="00C906FA">
        <w:rPr>
          <w:sz w:val="26"/>
          <w:szCs w:val="26"/>
          <w:lang w:val="lv-LV"/>
        </w:rPr>
        <w:t xml:space="preserve"> </w:t>
      </w:r>
      <w:hyperlink r:id="rId12" w:history="1">
        <w:r w:rsidR="00634095" w:rsidRPr="00C906FA">
          <w:rPr>
            <w:rStyle w:val="Hyperlink"/>
            <w:sz w:val="26"/>
            <w:szCs w:val="26"/>
            <w:lang w:val="lv-LV"/>
          </w:rPr>
          <w:t>Elina.Dlohi@em.gov.lv</w:t>
        </w:r>
      </w:hyperlink>
    </w:p>
    <w:sectPr w:rsidR="00097583" w:rsidRPr="00C906FA"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A92" w:rsidRDefault="00222A92" w:rsidP="00B014C2">
      <w:r>
        <w:separator/>
      </w:r>
    </w:p>
  </w:endnote>
  <w:endnote w:type="continuationSeparator" w:id="0">
    <w:p w:rsidR="00222A92" w:rsidRDefault="00222A92"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634095" w:rsidRDefault="006817FB" w:rsidP="0094634F">
    <w:pPr>
      <w:pStyle w:val="BodyText"/>
    </w:pPr>
    <w:r>
      <w:rPr>
        <w:sz w:val="24"/>
        <w:szCs w:val="24"/>
      </w:rPr>
      <w:t>EMAnot</w:t>
    </w:r>
    <w:r>
      <w:rPr>
        <w:sz w:val="24"/>
        <w:szCs w:val="24"/>
      </w:rPr>
      <w:t>_1</w:t>
    </w:r>
    <w:r w:rsidR="00AE3351">
      <w:rPr>
        <w:sz w:val="24"/>
        <w:szCs w:val="24"/>
      </w:rPr>
      <w:t>9</w:t>
    </w:r>
    <w:r>
      <w:rPr>
        <w:sz w:val="24"/>
        <w:szCs w:val="24"/>
      </w:rPr>
      <w:t>11</w:t>
    </w:r>
    <w:r w:rsidR="00511C7D">
      <w:rPr>
        <w:sz w:val="24"/>
        <w:szCs w:val="24"/>
      </w:rPr>
      <w:t>13</w:t>
    </w:r>
    <w:r w:rsidR="00511C7D">
      <w:rPr>
        <w:sz w:val="24"/>
        <w:szCs w:val="24"/>
      </w:rPr>
      <w:t>_groz698</w:t>
    </w:r>
    <w:r w:rsidR="00511C7D" w:rsidRPr="00634095">
      <w:rPr>
        <w:sz w:val="24"/>
        <w:szCs w:val="24"/>
      </w:rPr>
      <w:t>; Ministru kabineta noteikumu projekta „</w:t>
    </w:r>
    <w:r w:rsidR="00511C7D" w:rsidRPr="00092473">
      <w:rPr>
        <w:sz w:val="24"/>
        <w:szCs w:val="24"/>
      </w:rPr>
      <w:t xml:space="preserve">Grozījumi Ministru kabineta 2011.gada 6.septembra noteikumos Nr.698 „Noteikumi par </w:t>
    </w:r>
    <w:proofErr w:type="spellStart"/>
    <w:r w:rsidR="00511C7D" w:rsidRPr="00092473">
      <w:rPr>
        <w:sz w:val="24"/>
        <w:szCs w:val="24"/>
      </w:rPr>
      <w:t>mikroaizdevumiem</w:t>
    </w:r>
    <w:proofErr w:type="spellEnd"/>
    <w:r w:rsidR="00511C7D" w:rsidRPr="00092473">
      <w:rPr>
        <w:sz w:val="24"/>
        <w:szCs w:val="24"/>
      </w:rPr>
      <w:t xml:space="preserve"> un grantiem Latvijas un Šveices sadarbības programmas individuālā projekta </w:t>
    </w:r>
    <w:r w:rsidR="00182AB8">
      <w:rPr>
        <w:sz w:val="24"/>
        <w:szCs w:val="24"/>
      </w:rPr>
      <w:t>„</w:t>
    </w:r>
    <w:proofErr w:type="spellStart"/>
    <w:r w:rsidR="00511C7D" w:rsidRPr="00092473">
      <w:rPr>
        <w:sz w:val="24"/>
        <w:szCs w:val="24"/>
      </w:rPr>
      <w:t>Mikrokreditēšanas</w:t>
    </w:r>
    <w:proofErr w:type="spellEnd"/>
    <w:r w:rsidR="00511C7D" w:rsidRPr="00092473">
      <w:rPr>
        <w:sz w:val="24"/>
        <w:szCs w:val="24"/>
      </w:rPr>
      <w:t xml:space="preserve"> programma</w:t>
    </w:r>
    <w:r w:rsidR="00182AB8">
      <w:rPr>
        <w:sz w:val="24"/>
        <w:szCs w:val="24"/>
      </w:rPr>
      <w:t>”</w:t>
    </w:r>
    <w:r w:rsidR="00511C7D" w:rsidRPr="00092473">
      <w:rPr>
        <w:sz w:val="24"/>
        <w:szCs w:val="24"/>
      </w:rPr>
      <w:t xml:space="preserve"> ietvaros</w:t>
    </w:r>
    <w:r w:rsidR="00511C7D">
      <w:rPr>
        <w:sz w:val="24"/>
        <w:szCs w:val="24"/>
      </w:rPr>
      <w:t xml:space="preserve">” </w:t>
    </w:r>
    <w:r w:rsidR="00511C7D" w:rsidRPr="00C33F2C">
      <w:rPr>
        <w:sz w:val="24"/>
        <w:szCs w:val="24"/>
      </w:rPr>
      <w:t xml:space="preserve">sākotnējās ietekmes novērtējuma </w:t>
    </w:r>
    <w:smartTag w:uri="schemas-tilde-lv/tildestengine" w:element="veidnes">
      <w:smartTagPr>
        <w:attr w:name="id" w:val="-1"/>
        <w:attr w:name="baseform" w:val="ziņojums"/>
        <w:attr w:name="text" w:val="ziņojums"/>
      </w:smartTagPr>
      <w:r w:rsidR="00511C7D" w:rsidRPr="00C33F2C">
        <w:rPr>
          <w:sz w:val="24"/>
          <w:szCs w:val="24"/>
        </w:rPr>
        <w:t>ziņojums</w:t>
      </w:r>
    </w:smartTag>
    <w:r w:rsidR="00511C7D" w:rsidRPr="00C33F2C">
      <w:rPr>
        <w:sz w:val="24"/>
        <w:szCs w:val="24"/>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C33F2C" w:rsidRDefault="006817FB" w:rsidP="00D7256E">
    <w:pPr>
      <w:pStyle w:val="BodyText"/>
      <w:rPr>
        <w:sz w:val="24"/>
        <w:szCs w:val="24"/>
      </w:rPr>
    </w:pPr>
    <w:r>
      <w:rPr>
        <w:sz w:val="24"/>
        <w:szCs w:val="24"/>
      </w:rPr>
      <w:t>EMAnot_</w:t>
    </w:r>
    <w:r>
      <w:rPr>
        <w:sz w:val="24"/>
        <w:szCs w:val="24"/>
      </w:rPr>
      <w:t>1</w:t>
    </w:r>
    <w:r w:rsidR="00BC4DCE">
      <w:rPr>
        <w:sz w:val="24"/>
        <w:szCs w:val="24"/>
      </w:rPr>
      <w:t>9</w:t>
    </w:r>
    <w:r>
      <w:rPr>
        <w:sz w:val="24"/>
        <w:szCs w:val="24"/>
      </w:rPr>
      <w:t>11</w:t>
    </w:r>
    <w:r w:rsidR="00511C7D">
      <w:rPr>
        <w:sz w:val="24"/>
        <w:szCs w:val="24"/>
      </w:rPr>
      <w:t>13_groz698</w:t>
    </w:r>
    <w:r w:rsidR="00511C7D" w:rsidRPr="00634095">
      <w:rPr>
        <w:sz w:val="24"/>
        <w:szCs w:val="24"/>
      </w:rPr>
      <w:t xml:space="preserve">; </w:t>
    </w:r>
    <w:bookmarkStart w:id="3" w:name="OLE_LINK12"/>
    <w:bookmarkStart w:id="4" w:name="OLE_LINK13"/>
    <w:bookmarkStart w:id="5" w:name="_Hlk259447629"/>
    <w:r w:rsidR="00511C7D" w:rsidRPr="00634095">
      <w:rPr>
        <w:sz w:val="24"/>
        <w:szCs w:val="24"/>
      </w:rPr>
      <w:t>Ministru kabineta noteikumu projekta „</w:t>
    </w:r>
    <w:r w:rsidR="00511C7D" w:rsidRPr="00092473">
      <w:rPr>
        <w:sz w:val="24"/>
        <w:szCs w:val="24"/>
      </w:rPr>
      <w:t xml:space="preserve">Grozījumi Ministru kabineta 2011.gada </w:t>
    </w:r>
    <w:r w:rsidR="00511C7D" w:rsidRPr="00092473">
      <w:rPr>
        <w:sz w:val="24"/>
        <w:szCs w:val="24"/>
      </w:rPr>
      <w:t xml:space="preserve">6.septembra noteikumos Nr.698 „Noteikumi par </w:t>
    </w:r>
    <w:proofErr w:type="spellStart"/>
    <w:r w:rsidR="00511C7D" w:rsidRPr="00092473">
      <w:rPr>
        <w:sz w:val="24"/>
        <w:szCs w:val="24"/>
      </w:rPr>
      <w:t>mikroaizdevumiem</w:t>
    </w:r>
    <w:proofErr w:type="spellEnd"/>
    <w:r w:rsidR="00511C7D" w:rsidRPr="00092473">
      <w:rPr>
        <w:sz w:val="24"/>
        <w:szCs w:val="24"/>
      </w:rPr>
      <w:t xml:space="preserve"> un grantiem Latvijas un Šveices sadarbības programmas individuālā projekta </w:t>
    </w:r>
    <w:r w:rsidR="00182AB8">
      <w:rPr>
        <w:sz w:val="24"/>
        <w:szCs w:val="24"/>
      </w:rPr>
      <w:t>„</w:t>
    </w:r>
    <w:proofErr w:type="spellStart"/>
    <w:r w:rsidR="00511C7D" w:rsidRPr="00092473">
      <w:rPr>
        <w:sz w:val="24"/>
        <w:szCs w:val="24"/>
      </w:rPr>
      <w:t>Mikrokreditēšanas</w:t>
    </w:r>
    <w:proofErr w:type="spellEnd"/>
    <w:r w:rsidR="00511C7D" w:rsidRPr="00092473">
      <w:rPr>
        <w:sz w:val="24"/>
        <w:szCs w:val="24"/>
      </w:rPr>
      <w:t xml:space="preserve"> programma</w:t>
    </w:r>
    <w:r w:rsidR="00182AB8">
      <w:rPr>
        <w:sz w:val="24"/>
        <w:szCs w:val="24"/>
      </w:rPr>
      <w:t>”</w:t>
    </w:r>
    <w:r w:rsidR="00511C7D" w:rsidRPr="00092473">
      <w:rPr>
        <w:sz w:val="24"/>
        <w:szCs w:val="24"/>
      </w:rPr>
      <w:t xml:space="preserve"> ietvaros</w:t>
    </w:r>
    <w:r w:rsidR="00511C7D">
      <w:rPr>
        <w:sz w:val="24"/>
        <w:szCs w:val="24"/>
      </w:rPr>
      <w:t xml:space="preserve">” </w:t>
    </w:r>
    <w:r w:rsidR="00511C7D" w:rsidRPr="00C33F2C">
      <w:rPr>
        <w:sz w:val="24"/>
        <w:szCs w:val="24"/>
      </w:rPr>
      <w:t xml:space="preserve">sākotnējās ietekmes novērtējuma </w:t>
    </w:r>
    <w:smartTag w:uri="schemas-tilde-lv/tildestengine" w:element="veidnes">
      <w:smartTagPr>
        <w:attr w:name="id" w:val="-1"/>
        <w:attr w:name="baseform" w:val="ziņojums"/>
        <w:attr w:name="text" w:val="ziņojums"/>
      </w:smartTagPr>
      <w:r w:rsidR="00511C7D" w:rsidRPr="00C33F2C">
        <w:rPr>
          <w:sz w:val="24"/>
          <w:szCs w:val="24"/>
        </w:rPr>
        <w:t>ziņojums</w:t>
      </w:r>
    </w:smartTag>
    <w:r w:rsidR="00511C7D" w:rsidRPr="00C33F2C">
      <w:rPr>
        <w:sz w:val="24"/>
        <w:szCs w:val="24"/>
      </w:rPr>
      <w:t xml:space="preserve"> (anotācija)</w:t>
    </w:r>
    <w:bookmarkEnd w:id="3"/>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A92" w:rsidRDefault="00222A92" w:rsidP="00B014C2">
      <w:r>
        <w:separator/>
      </w:r>
    </w:p>
  </w:footnote>
  <w:footnote w:type="continuationSeparator" w:id="0">
    <w:p w:rsidR="00222A92" w:rsidRDefault="00222A92"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511C7D" w:rsidRPr="00B014C2" w:rsidRDefault="00F91217">
        <w:pPr>
          <w:pStyle w:val="Header"/>
          <w:jc w:val="center"/>
          <w:rPr>
            <w:sz w:val="24"/>
            <w:szCs w:val="24"/>
          </w:rPr>
        </w:pPr>
        <w:r w:rsidRPr="00B014C2">
          <w:rPr>
            <w:sz w:val="24"/>
            <w:szCs w:val="24"/>
          </w:rPr>
          <w:fldChar w:fldCharType="begin"/>
        </w:r>
        <w:r w:rsidR="00511C7D" w:rsidRPr="00B014C2">
          <w:rPr>
            <w:sz w:val="24"/>
            <w:szCs w:val="24"/>
          </w:rPr>
          <w:instrText xml:space="preserve"> PAGE   \* MERGEFORMAT </w:instrText>
        </w:r>
        <w:r w:rsidRPr="00B014C2">
          <w:rPr>
            <w:sz w:val="24"/>
            <w:szCs w:val="24"/>
          </w:rPr>
          <w:fldChar w:fldCharType="separate"/>
        </w:r>
        <w:r w:rsidR="00DD3D24">
          <w:rPr>
            <w:noProof/>
            <w:sz w:val="24"/>
            <w:szCs w:val="24"/>
          </w:rPr>
          <w:t>12</w:t>
        </w:r>
        <w:r w:rsidRPr="00B014C2">
          <w:rPr>
            <w:sz w:val="24"/>
            <w:szCs w:val="24"/>
          </w:rPr>
          <w:fldChar w:fldCharType="end"/>
        </w:r>
      </w:p>
    </w:sdtContent>
  </w:sdt>
  <w:p w:rsidR="00511C7D" w:rsidRDefault="00511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6980861"/>
    <w:multiLevelType w:val="hybridMultilevel"/>
    <w:tmpl w:val="6C2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62C7345"/>
    <w:multiLevelType w:val="hybridMultilevel"/>
    <w:tmpl w:val="1BEEEE6E"/>
    <w:lvl w:ilvl="0" w:tplc="5A8651A8">
      <w:start w:val="9"/>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9">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4">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5">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3"/>
  </w:num>
  <w:num w:numId="2">
    <w:abstractNumId w:val="6"/>
  </w:num>
  <w:num w:numId="3">
    <w:abstractNumId w:val="11"/>
  </w:num>
  <w:num w:numId="4">
    <w:abstractNumId w:val="1"/>
  </w:num>
  <w:num w:numId="5">
    <w:abstractNumId w:val="0"/>
  </w:num>
  <w:num w:numId="6">
    <w:abstractNumId w:val="9"/>
  </w:num>
  <w:num w:numId="7">
    <w:abstractNumId w:val="15"/>
  </w:num>
  <w:num w:numId="8">
    <w:abstractNumId w:val="5"/>
  </w:num>
  <w:num w:numId="9">
    <w:abstractNumId w:val="10"/>
  </w:num>
  <w:num w:numId="10">
    <w:abstractNumId w:val="12"/>
  </w:num>
  <w:num w:numId="11">
    <w:abstractNumId w:val="3"/>
  </w:num>
  <w:num w:numId="12">
    <w:abstractNumId w:val="7"/>
  </w:num>
  <w:num w:numId="13">
    <w:abstractNumId w:val="14"/>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60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86C"/>
    <w:rsid w:val="000120A0"/>
    <w:rsid w:val="00014006"/>
    <w:rsid w:val="0001626D"/>
    <w:rsid w:val="0001764D"/>
    <w:rsid w:val="00020A02"/>
    <w:rsid w:val="000214DF"/>
    <w:rsid w:val="00026BA7"/>
    <w:rsid w:val="00026C03"/>
    <w:rsid w:val="000275AB"/>
    <w:rsid w:val="0002762A"/>
    <w:rsid w:val="00031099"/>
    <w:rsid w:val="000320DD"/>
    <w:rsid w:val="0003693D"/>
    <w:rsid w:val="00036E03"/>
    <w:rsid w:val="0004167C"/>
    <w:rsid w:val="000445F3"/>
    <w:rsid w:val="00047EF5"/>
    <w:rsid w:val="00050184"/>
    <w:rsid w:val="00050EA4"/>
    <w:rsid w:val="00052380"/>
    <w:rsid w:val="000564DA"/>
    <w:rsid w:val="00060D39"/>
    <w:rsid w:val="000643D5"/>
    <w:rsid w:val="00071114"/>
    <w:rsid w:val="000729ED"/>
    <w:rsid w:val="00072ECD"/>
    <w:rsid w:val="00081C1D"/>
    <w:rsid w:val="00081F44"/>
    <w:rsid w:val="00083704"/>
    <w:rsid w:val="000847AE"/>
    <w:rsid w:val="0008484B"/>
    <w:rsid w:val="0008486C"/>
    <w:rsid w:val="00086412"/>
    <w:rsid w:val="00087524"/>
    <w:rsid w:val="00091DBA"/>
    <w:rsid w:val="00092473"/>
    <w:rsid w:val="00097583"/>
    <w:rsid w:val="000A164A"/>
    <w:rsid w:val="000A402E"/>
    <w:rsid w:val="000A4AED"/>
    <w:rsid w:val="000A5FB9"/>
    <w:rsid w:val="000B0719"/>
    <w:rsid w:val="000B08FC"/>
    <w:rsid w:val="000B10BD"/>
    <w:rsid w:val="000B2AE3"/>
    <w:rsid w:val="000D0388"/>
    <w:rsid w:val="000D19C8"/>
    <w:rsid w:val="000D2F05"/>
    <w:rsid w:val="000D4DC9"/>
    <w:rsid w:val="000D6DF2"/>
    <w:rsid w:val="000E2F17"/>
    <w:rsid w:val="000E409F"/>
    <w:rsid w:val="000E4277"/>
    <w:rsid w:val="000E76F0"/>
    <w:rsid w:val="000F0232"/>
    <w:rsid w:val="000F6C72"/>
    <w:rsid w:val="000F6E9E"/>
    <w:rsid w:val="001000B5"/>
    <w:rsid w:val="001002E4"/>
    <w:rsid w:val="0010079A"/>
    <w:rsid w:val="0010385C"/>
    <w:rsid w:val="00103FE1"/>
    <w:rsid w:val="0010410B"/>
    <w:rsid w:val="001047E8"/>
    <w:rsid w:val="00115E25"/>
    <w:rsid w:val="00120651"/>
    <w:rsid w:val="0012067B"/>
    <w:rsid w:val="00120C26"/>
    <w:rsid w:val="001232D1"/>
    <w:rsid w:val="001254CC"/>
    <w:rsid w:val="001267F1"/>
    <w:rsid w:val="001305B3"/>
    <w:rsid w:val="00130D33"/>
    <w:rsid w:val="00131980"/>
    <w:rsid w:val="00131C62"/>
    <w:rsid w:val="00134E0F"/>
    <w:rsid w:val="001428EB"/>
    <w:rsid w:val="00142A69"/>
    <w:rsid w:val="00142AC2"/>
    <w:rsid w:val="00142CBB"/>
    <w:rsid w:val="00144D39"/>
    <w:rsid w:val="00153C1A"/>
    <w:rsid w:val="00155953"/>
    <w:rsid w:val="001611D0"/>
    <w:rsid w:val="0017312C"/>
    <w:rsid w:val="001733BE"/>
    <w:rsid w:val="0017472D"/>
    <w:rsid w:val="001764E7"/>
    <w:rsid w:val="00182537"/>
    <w:rsid w:val="00182AB8"/>
    <w:rsid w:val="00182CC4"/>
    <w:rsid w:val="001831F7"/>
    <w:rsid w:val="00184308"/>
    <w:rsid w:val="00184C02"/>
    <w:rsid w:val="00184E37"/>
    <w:rsid w:val="00186895"/>
    <w:rsid w:val="001871BB"/>
    <w:rsid w:val="00190498"/>
    <w:rsid w:val="00191102"/>
    <w:rsid w:val="00191B2C"/>
    <w:rsid w:val="00194800"/>
    <w:rsid w:val="00196D43"/>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979"/>
    <w:rsid w:val="001C6A1F"/>
    <w:rsid w:val="001D02A2"/>
    <w:rsid w:val="001D2EDB"/>
    <w:rsid w:val="001D39D9"/>
    <w:rsid w:val="001D416F"/>
    <w:rsid w:val="001D46D6"/>
    <w:rsid w:val="001D5E9C"/>
    <w:rsid w:val="001D76FC"/>
    <w:rsid w:val="001E3BD0"/>
    <w:rsid w:val="001E5031"/>
    <w:rsid w:val="001E6651"/>
    <w:rsid w:val="001E7BB7"/>
    <w:rsid w:val="001F02C1"/>
    <w:rsid w:val="001F6151"/>
    <w:rsid w:val="001F7527"/>
    <w:rsid w:val="00200612"/>
    <w:rsid w:val="00205FEE"/>
    <w:rsid w:val="0021241F"/>
    <w:rsid w:val="00213D6A"/>
    <w:rsid w:val="002149CB"/>
    <w:rsid w:val="00216B96"/>
    <w:rsid w:val="00221058"/>
    <w:rsid w:val="00221205"/>
    <w:rsid w:val="00221561"/>
    <w:rsid w:val="00221CAE"/>
    <w:rsid w:val="00222A92"/>
    <w:rsid w:val="00224C7C"/>
    <w:rsid w:val="0023085A"/>
    <w:rsid w:val="00230FB6"/>
    <w:rsid w:val="00231EB0"/>
    <w:rsid w:val="00233657"/>
    <w:rsid w:val="00233F7A"/>
    <w:rsid w:val="0023462C"/>
    <w:rsid w:val="00234C58"/>
    <w:rsid w:val="00234DDC"/>
    <w:rsid w:val="00235168"/>
    <w:rsid w:val="00236989"/>
    <w:rsid w:val="002428B8"/>
    <w:rsid w:val="00245D09"/>
    <w:rsid w:val="00247529"/>
    <w:rsid w:val="002507A0"/>
    <w:rsid w:val="002523D8"/>
    <w:rsid w:val="002543B5"/>
    <w:rsid w:val="0025484B"/>
    <w:rsid w:val="00257EAE"/>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4D4"/>
    <w:rsid w:val="00295C0F"/>
    <w:rsid w:val="00297E4A"/>
    <w:rsid w:val="002A0052"/>
    <w:rsid w:val="002A0CEE"/>
    <w:rsid w:val="002B30A6"/>
    <w:rsid w:val="002B34B0"/>
    <w:rsid w:val="002B4D01"/>
    <w:rsid w:val="002B667D"/>
    <w:rsid w:val="002B768A"/>
    <w:rsid w:val="002C0E0E"/>
    <w:rsid w:val="002C20C8"/>
    <w:rsid w:val="002C4039"/>
    <w:rsid w:val="002D259E"/>
    <w:rsid w:val="002D3E95"/>
    <w:rsid w:val="002D43D4"/>
    <w:rsid w:val="002D7C26"/>
    <w:rsid w:val="002E1D56"/>
    <w:rsid w:val="002E3CFA"/>
    <w:rsid w:val="002E6122"/>
    <w:rsid w:val="002E7059"/>
    <w:rsid w:val="002E7530"/>
    <w:rsid w:val="002E7962"/>
    <w:rsid w:val="002E7BEF"/>
    <w:rsid w:val="002F063C"/>
    <w:rsid w:val="002F423D"/>
    <w:rsid w:val="002F4553"/>
    <w:rsid w:val="002F6D2C"/>
    <w:rsid w:val="003000F0"/>
    <w:rsid w:val="003124BE"/>
    <w:rsid w:val="00314594"/>
    <w:rsid w:val="00314A13"/>
    <w:rsid w:val="00315BB0"/>
    <w:rsid w:val="00320EB0"/>
    <w:rsid w:val="00321E80"/>
    <w:rsid w:val="00322A15"/>
    <w:rsid w:val="00324F11"/>
    <w:rsid w:val="00330AF0"/>
    <w:rsid w:val="003312F2"/>
    <w:rsid w:val="00335837"/>
    <w:rsid w:val="00335C2E"/>
    <w:rsid w:val="003365BB"/>
    <w:rsid w:val="003369C8"/>
    <w:rsid w:val="003372CD"/>
    <w:rsid w:val="00340E1F"/>
    <w:rsid w:val="00341D01"/>
    <w:rsid w:val="0034284E"/>
    <w:rsid w:val="00344B27"/>
    <w:rsid w:val="0034724B"/>
    <w:rsid w:val="0034794E"/>
    <w:rsid w:val="003479DF"/>
    <w:rsid w:val="00356364"/>
    <w:rsid w:val="0035647E"/>
    <w:rsid w:val="00356CDF"/>
    <w:rsid w:val="00357B86"/>
    <w:rsid w:val="00360437"/>
    <w:rsid w:val="00360962"/>
    <w:rsid w:val="003611ED"/>
    <w:rsid w:val="00361DA6"/>
    <w:rsid w:val="00362D30"/>
    <w:rsid w:val="003707C8"/>
    <w:rsid w:val="0037466C"/>
    <w:rsid w:val="00376A40"/>
    <w:rsid w:val="00382BA7"/>
    <w:rsid w:val="00383500"/>
    <w:rsid w:val="00384799"/>
    <w:rsid w:val="00385DB0"/>
    <w:rsid w:val="00386053"/>
    <w:rsid w:val="00391942"/>
    <w:rsid w:val="00396D2E"/>
    <w:rsid w:val="003A5545"/>
    <w:rsid w:val="003A56E6"/>
    <w:rsid w:val="003A5F98"/>
    <w:rsid w:val="003A7D89"/>
    <w:rsid w:val="003B04FD"/>
    <w:rsid w:val="003B060D"/>
    <w:rsid w:val="003B2464"/>
    <w:rsid w:val="003B3003"/>
    <w:rsid w:val="003B3450"/>
    <w:rsid w:val="003B4994"/>
    <w:rsid w:val="003B5399"/>
    <w:rsid w:val="003B590B"/>
    <w:rsid w:val="003C1C94"/>
    <w:rsid w:val="003C406A"/>
    <w:rsid w:val="003C5329"/>
    <w:rsid w:val="003D342E"/>
    <w:rsid w:val="003D3A14"/>
    <w:rsid w:val="003E0167"/>
    <w:rsid w:val="003E0BD3"/>
    <w:rsid w:val="003E284A"/>
    <w:rsid w:val="003E2968"/>
    <w:rsid w:val="003E3604"/>
    <w:rsid w:val="003E6CB3"/>
    <w:rsid w:val="003F0C4F"/>
    <w:rsid w:val="003F17ED"/>
    <w:rsid w:val="003F4E09"/>
    <w:rsid w:val="00401C5F"/>
    <w:rsid w:val="00402B2B"/>
    <w:rsid w:val="00404C10"/>
    <w:rsid w:val="00404D4B"/>
    <w:rsid w:val="00406C83"/>
    <w:rsid w:val="004074FD"/>
    <w:rsid w:val="00410EC7"/>
    <w:rsid w:val="00410FEE"/>
    <w:rsid w:val="00414CC7"/>
    <w:rsid w:val="00415C03"/>
    <w:rsid w:val="00416C3A"/>
    <w:rsid w:val="00420FC8"/>
    <w:rsid w:val="0042129F"/>
    <w:rsid w:val="004232D7"/>
    <w:rsid w:val="0042395B"/>
    <w:rsid w:val="0042472B"/>
    <w:rsid w:val="00431CB5"/>
    <w:rsid w:val="00434ACC"/>
    <w:rsid w:val="00435CDA"/>
    <w:rsid w:val="00436083"/>
    <w:rsid w:val="00436E46"/>
    <w:rsid w:val="00436E6A"/>
    <w:rsid w:val="004413C4"/>
    <w:rsid w:val="00441C3F"/>
    <w:rsid w:val="004426FC"/>
    <w:rsid w:val="00442884"/>
    <w:rsid w:val="00443B04"/>
    <w:rsid w:val="0044567A"/>
    <w:rsid w:val="004465FC"/>
    <w:rsid w:val="004522D7"/>
    <w:rsid w:val="004527EA"/>
    <w:rsid w:val="00457B62"/>
    <w:rsid w:val="00457CC8"/>
    <w:rsid w:val="00460A29"/>
    <w:rsid w:val="00472EF3"/>
    <w:rsid w:val="00475A76"/>
    <w:rsid w:val="004775F4"/>
    <w:rsid w:val="00484C10"/>
    <w:rsid w:val="00485E0B"/>
    <w:rsid w:val="00486BD6"/>
    <w:rsid w:val="00487753"/>
    <w:rsid w:val="0049013B"/>
    <w:rsid w:val="00491F0A"/>
    <w:rsid w:val="004960FB"/>
    <w:rsid w:val="00497086"/>
    <w:rsid w:val="004A22E5"/>
    <w:rsid w:val="004A554F"/>
    <w:rsid w:val="004B18A4"/>
    <w:rsid w:val="004B1FE7"/>
    <w:rsid w:val="004B3D19"/>
    <w:rsid w:val="004B77C0"/>
    <w:rsid w:val="004C1463"/>
    <w:rsid w:val="004D4997"/>
    <w:rsid w:val="004D54CD"/>
    <w:rsid w:val="004D6EF0"/>
    <w:rsid w:val="004D790D"/>
    <w:rsid w:val="004E01F5"/>
    <w:rsid w:val="004E3075"/>
    <w:rsid w:val="004E7B96"/>
    <w:rsid w:val="004F0E94"/>
    <w:rsid w:val="004F178A"/>
    <w:rsid w:val="004F2331"/>
    <w:rsid w:val="004F2B79"/>
    <w:rsid w:val="00501F08"/>
    <w:rsid w:val="00502247"/>
    <w:rsid w:val="00503D5C"/>
    <w:rsid w:val="00505A0D"/>
    <w:rsid w:val="00505B7D"/>
    <w:rsid w:val="00506DDA"/>
    <w:rsid w:val="00510235"/>
    <w:rsid w:val="00511ADB"/>
    <w:rsid w:val="00511C7D"/>
    <w:rsid w:val="0051358D"/>
    <w:rsid w:val="00513AF6"/>
    <w:rsid w:val="00517C20"/>
    <w:rsid w:val="00522B62"/>
    <w:rsid w:val="00524D01"/>
    <w:rsid w:val="005254AB"/>
    <w:rsid w:val="00530C47"/>
    <w:rsid w:val="00531687"/>
    <w:rsid w:val="00532532"/>
    <w:rsid w:val="00532EE4"/>
    <w:rsid w:val="00532FEB"/>
    <w:rsid w:val="00537A29"/>
    <w:rsid w:val="005422C3"/>
    <w:rsid w:val="00542739"/>
    <w:rsid w:val="00542F49"/>
    <w:rsid w:val="00543052"/>
    <w:rsid w:val="00546599"/>
    <w:rsid w:val="00546E77"/>
    <w:rsid w:val="00554A7A"/>
    <w:rsid w:val="005631C8"/>
    <w:rsid w:val="0056506A"/>
    <w:rsid w:val="005663B6"/>
    <w:rsid w:val="0056795E"/>
    <w:rsid w:val="00570B3E"/>
    <w:rsid w:val="005747E7"/>
    <w:rsid w:val="0057501D"/>
    <w:rsid w:val="00576AEE"/>
    <w:rsid w:val="00576D8A"/>
    <w:rsid w:val="00580317"/>
    <w:rsid w:val="0058086F"/>
    <w:rsid w:val="0058249F"/>
    <w:rsid w:val="0058679B"/>
    <w:rsid w:val="005877DA"/>
    <w:rsid w:val="00593CA6"/>
    <w:rsid w:val="0059700D"/>
    <w:rsid w:val="00597137"/>
    <w:rsid w:val="00597231"/>
    <w:rsid w:val="005A1D6F"/>
    <w:rsid w:val="005A2A2D"/>
    <w:rsid w:val="005A37FF"/>
    <w:rsid w:val="005A6E2E"/>
    <w:rsid w:val="005B29DE"/>
    <w:rsid w:val="005B4307"/>
    <w:rsid w:val="005C251D"/>
    <w:rsid w:val="005C6DDB"/>
    <w:rsid w:val="005D1220"/>
    <w:rsid w:val="005D3658"/>
    <w:rsid w:val="005D4522"/>
    <w:rsid w:val="005D6171"/>
    <w:rsid w:val="005E4730"/>
    <w:rsid w:val="005E713D"/>
    <w:rsid w:val="005F09EC"/>
    <w:rsid w:val="005F3202"/>
    <w:rsid w:val="00607722"/>
    <w:rsid w:val="00610DDF"/>
    <w:rsid w:val="00614602"/>
    <w:rsid w:val="006218A6"/>
    <w:rsid w:val="00625D54"/>
    <w:rsid w:val="00626F78"/>
    <w:rsid w:val="00630367"/>
    <w:rsid w:val="006309F5"/>
    <w:rsid w:val="00630BAA"/>
    <w:rsid w:val="00631039"/>
    <w:rsid w:val="00634095"/>
    <w:rsid w:val="00636440"/>
    <w:rsid w:val="00641379"/>
    <w:rsid w:val="00643B54"/>
    <w:rsid w:val="006456BB"/>
    <w:rsid w:val="00647402"/>
    <w:rsid w:val="00650716"/>
    <w:rsid w:val="006512F4"/>
    <w:rsid w:val="00651669"/>
    <w:rsid w:val="006543B3"/>
    <w:rsid w:val="00654C63"/>
    <w:rsid w:val="00663763"/>
    <w:rsid w:val="00664C33"/>
    <w:rsid w:val="00665020"/>
    <w:rsid w:val="00667BAB"/>
    <w:rsid w:val="006711E1"/>
    <w:rsid w:val="006722B5"/>
    <w:rsid w:val="00672A2F"/>
    <w:rsid w:val="00673175"/>
    <w:rsid w:val="00674BA7"/>
    <w:rsid w:val="00676770"/>
    <w:rsid w:val="0068051B"/>
    <w:rsid w:val="00681496"/>
    <w:rsid w:val="006817FB"/>
    <w:rsid w:val="00682B64"/>
    <w:rsid w:val="0068409B"/>
    <w:rsid w:val="00684EA2"/>
    <w:rsid w:val="006910BE"/>
    <w:rsid w:val="006A3A28"/>
    <w:rsid w:val="006A668E"/>
    <w:rsid w:val="006A6AD4"/>
    <w:rsid w:val="006A7488"/>
    <w:rsid w:val="006A7638"/>
    <w:rsid w:val="006B0E03"/>
    <w:rsid w:val="006C114F"/>
    <w:rsid w:val="006C15FA"/>
    <w:rsid w:val="006D0B9B"/>
    <w:rsid w:val="006D1F62"/>
    <w:rsid w:val="006D23AE"/>
    <w:rsid w:val="006D30BF"/>
    <w:rsid w:val="006D662F"/>
    <w:rsid w:val="006D69A4"/>
    <w:rsid w:val="006E07AC"/>
    <w:rsid w:val="006E09B6"/>
    <w:rsid w:val="006E0ECB"/>
    <w:rsid w:val="006E1F97"/>
    <w:rsid w:val="006E3949"/>
    <w:rsid w:val="006F02CA"/>
    <w:rsid w:val="006F0C19"/>
    <w:rsid w:val="006F24A8"/>
    <w:rsid w:val="006F56C1"/>
    <w:rsid w:val="007049BD"/>
    <w:rsid w:val="007058E9"/>
    <w:rsid w:val="0070678E"/>
    <w:rsid w:val="00706EC2"/>
    <w:rsid w:val="00716874"/>
    <w:rsid w:val="00720EE5"/>
    <w:rsid w:val="007217E4"/>
    <w:rsid w:val="00721D6C"/>
    <w:rsid w:val="00721E50"/>
    <w:rsid w:val="00725107"/>
    <w:rsid w:val="00725B16"/>
    <w:rsid w:val="007278CF"/>
    <w:rsid w:val="00732C19"/>
    <w:rsid w:val="00732F77"/>
    <w:rsid w:val="007363F2"/>
    <w:rsid w:val="00737AB8"/>
    <w:rsid w:val="00742BAF"/>
    <w:rsid w:val="00743E33"/>
    <w:rsid w:val="00744513"/>
    <w:rsid w:val="0075648C"/>
    <w:rsid w:val="00763941"/>
    <w:rsid w:val="00767185"/>
    <w:rsid w:val="00767E0F"/>
    <w:rsid w:val="007715A2"/>
    <w:rsid w:val="00771E40"/>
    <w:rsid w:val="0077435A"/>
    <w:rsid w:val="00781C31"/>
    <w:rsid w:val="00790E90"/>
    <w:rsid w:val="00791433"/>
    <w:rsid w:val="007918C0"/>
    <w:rsid w:val="00793496"/>
    <w:rsid w:val="00793A6B"/>
    <w:rsid w:val="00794B98"/>
    <w:rsid w:val="00797D6F"/>
    <w:rsid w:val="007A0D95"/>
    <w:rsid w:val="007A14D0"/>
    <w:rsid w:val="007A2498"/>
    <w:rsid w:val="007B0767"/>
    <w:rsid w:val="007B461A"/>
    <w:rsid w:val="007C1582"/>
    <w:rsid w:val="007C2960"/>
    <w:rsid w:val="007C2992"/>
    <w:rsid w:val="007C62F5"/>
    <w:rsid w:val="007C7357"/>
    <w:rsid w:val="007C7B92"/>
    <w:rsid w:val="007D054D"/>
    <w:rsid w:val="007D14B7"/>
    <w:rsid w:val="007D45FD"/>
    <w:rsid w:val="007D6721"/>
    <w:rsid w:val="007D6900"/>
    <w:rsid w:val="007D7A8A"/>
    <w:rsid w:val="007E0403"/>
    <w:rsid w:val="007E0A01"/>
    <w:rsid w:val="007E1DC0"/>
    <w:rsid w:val="007E63F8"/>
    <w:rsid w:val="007E7623"/>
    <w:rsid w:val="007F0242"/>
    <w:rsid w:val="007F0C15"/>
    <w:rsid w:val="00810BB4"/>
    <w:rsid w:val="00812990"/>
    <w:rsid w:val="00814B24"/>
    <w:rsid w:val="0081539E"/>
    <w:rsid w:val="00815CC0"/>
    <w:rsid w:val="008173C3"/>
    <w:rsid w:val="00817839"/>
    <w:rsid w:val="00823419"/>
    <w:rsid w:val="00823C4F"/>
    <w:rsid w:val="0082492B"/>
    <w:rsid w:val="008253A7"/>
    <w:rsid w:val="008265EF"/>
    <w:rsid w:val="00827407"/>
    <w:rsid w:val="00836318"/>
    <w:rsid w:val="00837E38"/>
    <w:rsid w:val="00840961"/>
    <w:rsid w:val="008444BD"/>
    <w:rsid w:val="00844DC6"/>
    <w:rsid w:val="00851D2A"/>
    <w:rsid w:val="008535B7"/>
    <w:rsid w:val="00855B83"/>
    <w:rsid w:val="00860387"/>
    <w:rsid w:val="00861F33"/>
    <w:rsid w:val="008620C5"/>
    <w:rsid w:val="00864EFE"/>
    <w:rsid w:val="008657D2"/>
    <w:rsid w:val="00866076"/>
    <w:rsid w:val="00874C25"/>
    <w:rsid w:val="0087682B"/>
    <w:rsid w:val="00877F72"/>
    <w:rsid w:val="00877FED"/>
    <w:rsid w:val="00880F80"/>
    <w:rsid w:val="008822A5"/>
    <w:rsid w:val="008833AC"/>
    <w:rsid w:val="0088512F"/>
    <w:rsid w:val="00885C85"/>
    <w:rsid w:val="00890CFA"/>
    <w:rsid w:val="00891DAA"/>
    <w:rsid w:val="00891EFC"/>
    <w:rsid w:val="0089622A"/>
    <w:rsid w:val="00897C16"/>
    <w:rsid w:val="008A4831"/>
    <w:rsid w:val="008A492C"/>
    <w:rsid w:val="008A4C41"/>
    <w:rsid w:val="008A515D"/>
    <w:rsid w:val="008A615D"/>
    <w:rsid w:val="008A6918"/>
    <w:rsid w:val="008A69DC"/>
    <w:rsid w:val="008B3A38"/>
    <w:rsid w:val="008B46BA"/>
    <w:rsid w:val="008B4856"/>
    <w:rsid w:val="008B7C3D"/>
    <w:rsid w:val="008C2886"/>
    <w:rsid w:val="008D1537"/>
    <w:rsid w:val="008D17E5"/>
    <w:rsid w:val="008D6725"/>
    <w:rsid w:val="008D78FF"/>
    <w:rsid w:val="008E476F"/>
    <w:rsid w:val="008E54FE"/>
    <w:rsid w:val="008E5F7D"/>
    <w:rsid w:val="008E6217"/>
    <w:rsid w:val="008F48C1"/>
    <w:rsid w:val="008F4C9D"/>
    <w:rsid w:val="008F5394"/>
    <w:rsid w:val="008F636C"/>
    <w:rsid w:val="008F6397"/>
    <w:rsid w:val="0090048A"/>
    <w:rsid w:val="00901246"/>
    <w:rsid w:val="009041C1"/>
    <w:rsid w:val="0090449A"/>
    <w:rsid w:val="00904A06"/>
    <w:rsid w:val="0090536A"/>
    <w:rsid w:val="00911D0C"/>
    <w:rsid w:val="00914CB3"/>
    <w:rsid w:val="00916328"/>
    <w:rsid w:val="00917324"/>
    <w:rsid w:val="00920CC5"/>
    <w:rsid w:val="009223CF"/>
    <w:rsid w:val="009223E3"/>
    <w:rsid w:val="0092468A"/>
    <w:rsid w:val="009260C5"/>
    <w:rsid w:val="00930CFF"/>
    <w:rsid w:val="00932B78"/>
    <w:rsid w:val="00933744"/>
    <w:rsid w:val="0094012A"/>
    <w:rsid w:val="00940388"/>
    <w:rsid w:val="009429B7"/>
    <w:rsid w:val="00944903"/>
    <w:rsid w:val="009450CF"/>
    <w:rsid w:val="00945AEE"/>
    <w:rsid w:val="0094634F"/>
    <w:rsid w:val="0094732D"/>
    <w:rsid w:val="00947CF8"/>
    <w:rsid w:val="009520C3"/>
    <w:rsid w:val="0095680E"/>
    <w:rsid w:val="0095696B"/>
    <w:rsid w:val="00962693"/>
    <w:rsid w:val="00962CEA"/>
    <w:rsid w:val="00971B45"/>
    <w:rsid w:val="00972275"/>
    <w:rsid w:val="00977A1D"/>
    <w:rsid w:val="0098472B"/>
    <w:rsid w:val="009906DC"/>
    <w:rsid w:val="0099344A"/>
    <w:rsid w:val="00994A10"/>
    <w:rsid w:val="00995388"/>
    <w:rsid w:val="00996D7F"/>
    <w:rsid w:val="009A164D"/>
    <w:rsid w:val="009A19C7"/>
    <w:rsid w:val="009A38AD"/>
    <w:rsid w:val="009A4558"/>
    <w:rsid w:val="009A6C4D"/>
    <w:rsid w:val="009A712C"/>
    <w:rsid w:val="009B0DB2"/>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7BE9"/>
    <w:rsid w:val="00A9241A"/>
    <w:rsid w:val="00A95893"/>
    <w:rsid w:val="00A963C3"/>
    <w:rsid w:val="00A96F94"/>
    <w:rsid w:val="00AA127F"/>
    <w:rsid w:val="00AA230A"/>
    <w:rsid w:val="00AA5C4F"/>
    <w:rsid w:val="00AA712A"/>
    <w:rsid w:val="00AA7E8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3351"/>
    <w:rsid w:val="00AE4EB6"/>
    <w:rsid w:val="00AE51EC"/>
    <w:rsid w:val="00AE6E0C"/>
    <w:rsid w:val="00AF1E99"/>
    <w:rsid w:val="00B014C2"/>
    <w:rsid w:val="00B033B8"/>
    <w:rsid w:val="00B0347F"/>
    <w:rsid w:val="00B04FAA"/>
    <w:rsid w:val="00B121E8"/>
    <w:rsid w:val="00B13499"/>
    <w:rsid w:val="00B1662F"/>
    <w:rsid w:val="00B20342"/>
    <w:rsid w:val="00B20D39"/>
    <w:rsid w:val="00B221CA"/>
    <w:rsid w:val="00B274BB"/>
    <w:rsid w:val="00B30133"/>
    <w:rsid w:val="00B37577"/>
    <w:rsid w:val="00B45711"/>
    <w:rsid w:val="00B46B34"/>
    <w:rsid w:val="00B5655C"/>
    <w:rsid w:val="00B56EB8"/>
    <w:rsid w:val="00B57637"/>
    <w:rsid w:val="00B60083"/>
    <w:rsid w:val="00B60EEC"/>
    <w:rsid w:val="00B6151B"/>
    <w:rsid w:val="00B6155C"/>
    <w:rsid w:val="00B6163A"/>
    <w:rsid w:val="00B62197"/>
    <w:rsid w:val="00B63BE0"/>
    <w:rsid w:val="00B6474E"/>
    <w:rsid w:val="00B65CFA"/>
    <w:rsid w:val="00B70F42"/>
    <w:rsid w:val="00B74BCA"/>
    <w:rsid w:val="00B756EA"/>
    <w:rsid w:val="00B75B65"/>
    <w:rsid w:val="00B7774A"/>
    <w:rsid w:val="00B8141A"/>
    <w:rsid w:val="00B81E82"/>
    <w:rsid w:val="00B820E5"/>
    <w:rsid w:val="00B82499"/>
    <w:rsid w:val="00B84C4B"/>
    <w:rsid w:val="00B85C22"/>
    <w:rsid w:val="00B866E5"/>
    <w:rsid w:val="00B91EA5"/>
    <w:rsid w:val="00B931D1"/>
    <w:rsid w:val="00B943B1"/>
    <w:rsid w:val="00BA0A22"/>
    <w:rsid w:val="00BA14F4"/>
    <w:rsid w:val="00BA2E9B"/>
    <w:rsid w:val="00BA7189"/>
    <w:rsid w:val="00BB09C5"/>
    <w:rsid w:val="00BB1C9B"/>
    <w:rsid w:val="00BB2330"/>
    <w:rsid w:val="00BB4180"/>
    <w:rsid w:val="00BB6E67"/>
    <w:rsid w:val="00BB7960"/>
    <w:rsid w:val="00BC06E8"/>
    <w:rsid w:val="00BC4144"/>
    <w:rsid w:val="00BC4472"/>
    <w:rsid w:val="00BC4DCE"/>
    <w:rsid w:val="00BC51A3"/>
    <w:rsid w:val="00BC66EB"/>
    <w:rsid w:val="00BD1934"/>
    <w:rsid w:val="00BD1A48"/>
    <w:rsid w:val="00BD4752"/>
    <w:rsid w:val="00BD63E9"/>
    <w:rsid w:val="00BE0EC8"/>
    <w:rsid w:val="00BE4892"/>
    <w:rsid w:val="00BE649D"/>
    <w:rsid w:val="00BE6E9C"/>
    <w:rsid w:val="00BF13E2"/>
    <w:rsid w:val="00BF249C"/>
    <w:rsid w:val="00BF2F17"/>
    <w:rsid w:val="00BF4361"/>
    <w:rsid w:val="00BF6568"/>
    <w:rsid w:val="00C02217"/>
    <w:rsid w:val="00C044F2"/>
    <w:rsid w:val="00C11C6A"/>
    <w:rsid w:val="00C16A63"/>
    <w:rsid w:val="00C16F7D"/>
    <w:rsid w:val="00C1739F"/>
    <w:rsid w:val="00C20A0F"/>
    <w:rsid w:val="00C20EF9"/>
    <w:rsid w:val="00C21A1E"/>
    <w:rsid w:val="00C24F0A"/>
    <w:rsid w:val="00C25337"/>
    <w:rsid w:val="00C307D2"/>
    <w:rsid w:val="00C31A26"/>
    <w:rsid w:val="00C327A5"/>
    <w:rsid w:val="00C32F05"/>
    <w:rsid w:val="00C33F2C"/>
    <w:rsid w:val="00C34377"/>
    <w:rsid w:val="00C34941"/>
    <w:rsid w:val="00C37B14"/>
    <w:rsid w:val="00C40FDA"/>
    <w:rsid w:val="00C44943"/>
    <w:rsid w:val="00C44C95"/>
    <w:rsid w:val="00C4549D"/>
    <w:rsid w:val="00C45AB4"/>
    <w:rsid w:val="00C5082A"/>
    <w:rsid w:val="00C52C5E"/>
    <w:rsid w:val="00C5549D"/>
    <w:rsid w:val="00C61BDC"/>
    <w:rsid w:val="00C61FF9"/>
    <w:rsid w:val="00C627A2"/>
    <w:rsid w:val="00C65525"/>
    <w:rsid w:val="00C6637E"/>
    <w:rsid w:val="00C7152A"/>
    <w:rsid w:val="00C728A7"/>
    <w:rsid w:val="00C7500F"/>
    <w:rsid w:val="00C751EA"/>
    <w:rsid w:val="00C75A4F"/>
    <w:rsid w:val="00C772EA"/>
    <w:rsid w:val="00C8212B"/>
    <w:rsid w:val="00C83591"/>
    <w:rsid w:val="00C83878"/>
    <w:rsid w:val="00C84027"/>
    <w:rsid w:val="00C85068"/>
    <w:rsid w:val="00C86127"/>
    <w:rsid w:val="00C8799F"/>
    <w:rsid w:val="00C87B1B"/>
    <w:rsid w:val="00C906FA"/>
    <w:rsid w:val="00C93C55"/>
    <w:rsid w:val="00C95CFC"/>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45B6"/>
    <w:rsid w:val="00CB5D7B"/>
    <w:rsid w:val="00CB6882"/>
    <w:rsid w:val="00CB7A76"/>
    <w:rsid w:val="00CC2408"/>
    <w:rsid w:val="00CC4F60"/>
    <w:rsid w:val="00CC76C2"/>
    <w:rsid w:val="00CD40FD"/>
    <w:rsid w:val="00CD4E1C"/>
    <w:rsid w:val="00CD7D98"/>
    <w:rsid w:val="00CE09F6"/>
    <w:rsid w:val="00CE128B"/>
    <w:rsid w:val="00CE46A5"/>
    <w:rsid w:val="00CF0131"/>
    <w:rsid w:val="00CF05DA"/>
    <w:rsid w:val="00CF370C"/>
    <w:rsid w:val="00CF4D9E"/>
    <w:rsid w:val="00CF50F6"/>
    <w:rsid w:val="00CF5C7C"/>
    <w:rsid w:val="00D0079F"/>
    <w:rsid w:val="00D03BE9"/>
    <w:rsid w:val="00D11E93"/>
    <w:rsid w:val="00D12D69"/>
    <w:rsid w:val="00D12F6E"/>
    <w:rsid w:val="00D215C9"/>
    <w:rsid w:val="00D23D51"/>
    <w:rsid w:val="00D23E53"/>
    <w:rsid w:val="00D24EDC"/>
    <w:rsid w:val="00D277E5"/>
    <w:rsid w:val="00D315BC"/>
    <w:rsid w:val="00D31657"/>
    <w:rsid w:val="00D31FAE"/>
    <w:rsid w:val="00D419F1"/>
    <w:rsid w:val="00D478F2"/>
    <w:rsid w:val="00D50452"/>
    <w:rsid w:val="00D56DA8"/>
    <w:rsid w:val="00D62CCB"/>
    <w:rsid w:val="00D71175"/>
    <w:rsid w:val="00D7155A"/>
    <w:rsid w:val="00D71706"/>
    <w:rsid w:val="00D7256E"/>
    <w:rsid w:val="00D72F3D"/>
    <w:rsid w:val="00D74282"/>
    <w:rsid w:val="00D8286C"/>
    <w:rsid w:val="00D83021"/>
    <w:rsid w:val="00D94B9B"/>
    <w:rsid w:val="00D94F4A"/>
    <w:rsid w:val="00DA0A55"/>
    <w:rsid w:val="00DA33A5"/>
    <w:rsid w:val="00DA3D82"/>
    <w:rsid w:val="00DA4F89"/>
    <w:rsid w:val="00DA5256"/>
    <w:rsid w:val="00DA61A3"/>
    <w:rsid w:val="00DA6973"/>
    <w:rsid w:val="00DA775F"/>
    <w:rsid w:val="00DB0477"/>
    <w:rsid w:val="00DB1642"/>
    <w:rsid w:val="00DB28DC"/>
    <w:rsid w:val="00DB35ED"/>
    <w:rsid w:val="00DB7168"/>
    <w:rsid w:val="00DC0A98"/>
    <w:rsid w:val="00DC1068"/>
    <w:rsid w:val="00DC2009"/>
    <w:rsid w:val="00DC27BB"/>
    <w:rsid w:val="00DC2AFF"/>
    <w:rsid w:val="00DC614F"/>
    <w:rsid w:val="00DC7ACA"/>
    <w:rsid w:val="00DD0266"/>
    <w:rsid w:val="00DD21C0"/>
    <w:rsid w:val="00DD3D24"/>
    <w:rsid w:val="00DD42C2"/>
    <w:rsid w:val="00DD5665"/>
    <w:rsid w:val="00DE01CE"/>
    <w:rsid w:val="00DE0762"/>
    <w:rsid w:val="00DE67FC"/>
    <w:rsid w:val="00DF00C1"/>
    <w:rsid w:val="00DF05BB"/>
    <w:rsid w:val="00DF0637"/>
    <w:rsid w:val="00DF0A7E"/>
    <w:rsid w:val="00DF4BCE"/>
    <w:rsid w:val="00E03A78"/>
    <w:rsid w:val="00E07DF2"/>
    <w:rsid w:val="00E147E0"/>
    <w:rsid w:val="00E22906"/>
    <w:rsid w:val="00E22D5A"/>
    <w:rsid w:val="00E22EBE"/>
    <w:rsid w:val="00E237AA"/>
    <w:rsid w:val="00E25884"/>
    <w:rsid w:val="00E26AAA"/>
    <w:rsid w:val="00E3385D"/>
    <w:rsid w:val="00E360B7"/>
    <w:rsid w:val="00E43842"/>
    <w:rsid w:val="00E44062"/>
    <w:rsid w:val="00E4416C"/>
    <w:rsid w:val="00E45FE7"/>
    <w:rsid w:val="00E51BA8"/>
    <w:rsid w:val="00E51BE9"/>
    <w:rsid w:val="00E52FCD"/>
    <w:rsid w:val="00E54741"/>
    <w:rsid w:val="00E56A1F"/>
    <w:rsid w:val="00E5743D"/>
    <w:rsid w:val="00E62150"/>
    <w:rsid w:val="00E6447F"/>
    <w:rsid w:val="00E65F36"/>
    <w:rsid w:val="00E65F64"/>
    <w:rsid w:val="00E671E2"/>
    <w:rsid w:val="00E70B81"/>
    <w:rsid w:val="00E73425"/>
    <w:rsid w:val="00E73C02"/>
    <w:rsid w:val="00E7628E"/>
    <w:rsid w:val="00E77577"/>
    <w:rsid w:val="00E8006C"/>
    <w:rsid w:val="00E90C7E"/>
    <w:rsid w:val="00E921F7"/>
    <w:rsid w:val="00E9274F"/>
    <w:rsid w:val="00EA2820"/>
    <w:rsid w:val="00EA6137"/>
    <w:rsid w:val="00EB03F5"/>
    <w:rsid w:val="00EB263C"/>
    <w:rsid w:val="00EB4862"/>
    <w:rsid w:val="00EC09FD"/>
    <w:rsid w:val="00EC1C10"/>
    <w:rsid w:val="00EC1CD1"/>
    <w:rsid w:val="00EC4103"/>
    <w:rsid w:val="00ED175B"/>
    <w:rsid w:val="00ED29AD"/>
    <w:rsid w:val="00ED377B"/>
    <w:rsid w:val="00ED49F3"/>
    <w:rsid w:val="00EE35DE"/>
    <w:rsid w:val="00EE4E64"/>
    <w:rsid w:val="00EE4FC3"/>
    <w:rsid w:val="00EF26A5"/>
    <w:rsid w:val="00EF335B"/>
    <w:rsid w:val="00EF4B50"/>
    <w:rsid w:val="00EF662A"/>
    <w:rsid w:val="00EF6CB9"/>
    <w:rsid w:val="00EF6E5B"/>
    <w:rsid w:val="00EF7435"/>
    <w:rsid w:val="00EF7A99"/>
    <w:rsid w:val="00F017F1"/>
    <w:rsid w:val="00F02F53"/>
    <w:rsid w:val="00F10EB1"/>
    <w:rsid w:val="00F12786"/>
    <w:rsid w:val="00F14553"/>
    <w:rsid w:val="00F154DF"/>
    <w:rsid w:val="00F15932"/>
    <w:rsid w:val="00F1704E"/>
    <w:rsid w:val="00F17FB6"/>
    <w:rsid w:val="00F20476"/>
    <w:rsid w:val="00F20A3B"/>
    <w:rsid w:val="00F210C4"/>
    <w:rsid w:val="00F213B5"/>
    <w:rsid w:val="00F2244C"/>
    <w:rsid w:val="00F22471"/>
    <w:rsid w:val="00F23AB0"/>
    <w:rsid w:val="00F24053"/>
    <w:rsid w:val="00F25271"/>
    <w:rsid w:val="00F25DD3"/>
    <w:rsid w:val="00F27161"/>
    <w:rsid w:val="00F33C48"/>
    <w:rsid w:val="00F33E2D"/>
    <w:rsid w:val="00F45FC6"/>
    <w:rsid w:val="00F47E3B"/>
    <w:rsid w:val="00F52FB8"/>
    <w:rsid w:val="00F543D6"/>
    <w:rsid w:val="00F55D66"/>
    <w:rsid w:val="00F573E5"/>
    <w:rsid w:val="00F60C28"/>
    <w:rsid w:val="00F64547"/>
    <w:rsid w:val="00F65DC0"/>
    <w:rsid w:val="00F65EC5"/>
    <w:rsid w:val="00F67545"/>
    <w:rsid w:val="00F722C5"/>
    <w:rsid w:val="00F73E4D"/>
    <w:rsid w:val="00F73FBF"/>
    <w:rsid w:val="00F768B2"/>
    <w:rsid w:val="00F80221"/>
    <w:rsid w:val="00F81BA5"/>
    <w:rsid w:val="00F82D25"/>
    <w:rsid w:val="00F86F4B"/>
    <w:rsid w:val="00F90307"/>
    <w:rsid w:val="00F91217"/>
    <w:rsid w:val="00F9294A"/>
    <w:rsid w:val="00F92A3D"/>
    <w:rsid w:val="00F97A74"/>
    <w:rsid w:val="00FA2DB4"/>
    <w:rsid w:val="00FA371D"/>
    <w:rsid w:val="00FA6053"/>
    <w:rsid w:val="00FA6507"/>
    <w:rsid w:val="00FA6DB0"/>
    <w:rsid w:val="00FA7C2F"/>
    <w:rsid w:val="00FB0E25"/>
    <w:rsid w:val="00FB4555"/>
    <w:rsid w:val="00FB553F"/>
    <w:rsid w:val="00FC02DA"/>
    <w:rsid w:val="00FC4CC7"/>
    <w:rsid w:val="00FD3BBA"/>
    <w:rsid w:val="00FD4326"/>
    <w:rsid w:val="00FD7D7A"/>
    <w:rsid w:val="00FE2734"/>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60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31576562">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107893903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872454223">
      <w:bodyDiv w:val="1"/>
      <w:marLeft w:val="0"/>
      <w:marRight w:val="0"/>
      <w:marTop w:val="0"/>
      <w:marBottom w:val="0"/>
      <w:divBdr>
        <w:top w:val="none" w:sz="0" w:space="0" w:color="auto"/>
        <w:left w:val="none" w:sz="0" w:space="0" w:color="auto"/>
        <w:bottom w:val="none" w:sz="0" w:space="0" w:color="auto"/>
        <w:right w:val="none" w:sz="0" w:space="0" w:color="auto"/>
      </w:divBdr>
    </w:div>
    <w:div w:id="1923681242">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ina.Dlohi@e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07C20-C353-4E13-930F-9D4FD8CF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2401</Words>
  <Characters>16166</Characters>
  <Application>Microsoft Office Word</Application>
  <DocSecurity>0</DocSecurity>
  <Lines>850</Lines>
  <Paragraphs>290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6.septembra noteikumos Nr.698 „Noteikumi par mikroaizdevumiem un grantiem Latvijas un Šveices sadarbības programmas individuālā projekta "Mikrokreditēšanas programma" ietvaros” sā</vt:lpstr>
    </vt:vector>
  </TitlesOfParts>
  <Company>LR Ekonomikas ministrija</Company>
  <LinksUpToDate>false</LinksUpToDate>
  <CharactersWithSpaces>18277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6.septembra noteikumos Nr.698 „Noteikumi par mikroaizdevumiem un grantiem Latvijas un Šveices sadarbības programmas individuālā projekta "Mikrokreditēšanas programma" ietvaros” sākotnējās ietekmes novērtējuma ziņojums (anotācija)</dc:title>
  <dc:subject>Ministru kabineta noteikumu projekta sākotnējās ietekmes novērtējuma ziņojums (anotācija)</dc:subject>
  <dc:creator>Elīna Dlohi</dc:creator>
  <dc:description>67013082, Elina.Dlohi@em.gov.lv</dc:description>
  <cp:lastModifiedBy>Elīna Dlohi</cp:lastModifiedBy>
  <cp:revision>5</cp:revision>
  <cp:lastPrinted>2013-06-27T09:11:00Z</cp:lastPrinted>
  <dcterms:created xsi:type="dcterms:W3CDTF">2013-11-12T10:49:00Z</dcterms:created>
  <dcterms:modified xsi:type="dcterms:W3CDTF">2013-11-19T10:47:00Z</dcterms:modified>
</cp:coreProperties>
</file>