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90" w:rsidRPr="0004084E" w:rsidRDefault="001F5390" w:rsidP="00D90174">
      <w:pPr>
        <w:spacing w:after="0" w:line="240" w:lineRule="auto"/>
        <w:jc w:val="center"/>
        <w:rPr>
          <w:rFonts w:ascii="Times New Roman" w:eastAsia="Times New Roman" w:hAnsi="Times New Roman" w:cs="Times New Roman"/>
          <w:b/>
          <w:sz w:val="26"/>
          <w:szCs w:val="26"/>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04084E">
        <w:rPr>
          <w:rFonts w:ascii="Times New Roman" w:eastAsia="Times New Roman" w:hAnsi="Times New Roman" w:cs="Times New Roman"/>
          <w:b/>
          <w:sz w:val="26"/>
          <w:szCs w:val="26"/>
          <w:lang w:eastAsia="lv-LV"/>
        </w:rPr>
        <w:t xml:space="preserve">Ministru kabineta noteikumu projekta „Grozījumi Ministru </w:t>
      </w:r>
      <w:r w:rsidR="00BC3294" w:rsidRPr="0004084E">
        <w:rPr>
          <w:rFonts w:ascii="Times New Roman" w:eastAsia="Times New Roman" w:hAnsi="Times New Roman" w:cs="Times New Roman"/>
          <w:b/>
          <w:sz w:val="26"/>
          <w:szCs w:val="26"/>
          <w:lang w:eastAsia="lv-LV"/>
        </w:rPr>
        <w:t>k</w:t>
      </w:r>
      <w:r w:rsidRPr="0004084E">
        <w:rPr>
          <w:rFonts w:ascii="Times New Roman" w:eastAsia="Times New Roman" w:hAnsi="Times New Roman" w:cs="Times New Roman"/>
          <w:b/>
          <w:sz w:val="26"/>
          <w:szCs w:val="26"/>
          <w:lang w:eastAsia="lv-LV"/>
        </w:rPr>
        <w:t>abineta 2010.gada 21.</w:t>
      </w:r>
      <w:r w:rsidR="00D5361F" w:rsidRPr="0004084E">
        <w:rPr>
          <w:rFonts w:ascii="Times New Roman" w:eastAsia="Times New Roman" w:hAnsi="Times New Roman" w:cs="Times New Roman"/>
          <w:b/>
          <w:sz w:val="26"/>
          <w:szCs w:val="26"/>
          <w:lang w:eastAsia="lv-LV"/>
        </w:rPr>
        <w:t>s</w:t>
      </w:r>
      <w:r w:rsidRPr="0004084E">
        <w:rPr>
          <w:rFonts w:ascii="Times New Roman" w:eastAsia="Times New Roman" w:hAnsi="Times New Roman" w:cs="Times New Roman"/>
          <w:b/>
          <w:sz w:val="26"/>
          <w:szCs w:val="26"/>
          <w:lang w:eastAsia="lv-LV"/>
        </w:rPr>
        <w:t>eptembra  noteikumos Nr.887 „Noteikumi par darbības programmas „Uzņēmējdarbība un inovācijas</w:t>
      </w:r>
      <w:r w:rsidR="00D5361F" w:rsidRPr="0004084E">
        <w:rPr>
          <w:rFonts w:ascii="Times New Roman" w:eastAsia="Times New Roman" w:hAnsi="Times New Roman" w:cs="Times New Roman"/>
          <w:b/>
          <w:sz w:val="26"/>
          <w:szCs w:val="26"/>
          <w:lang w:eastAsia="lv-LV"/>
        </w:rPr>
        <w:t>”</w:t>
      </w:r>
      <w:r w:rsidRPr="0004084E">
        <w:rPr>
          <w:rFonts w:ascii="Times New Roman" w:eastAsia="Times New Roman" w:hAnsi="Times New Roman" w:cs="Times New Roman"/>
          <w:b/>
          <w:sz w:val="26"/>
          <w:szCs w:val="26"/>
          <w:lang w:eastAsia="lv-LV"/>
        </w:rPr>
        <w:t xml:space="preserve"> papildinājuma 2.3.1.1.aktivitātes </w:t>
      </w:r>
      <w:r w:rsidR="00D5361F" w:rsidRPr="0004084E">
        <w:rPr>
          <w:rFonts w:ascii="Times New Roman" w:eastAsia="Times New Roman" w:hAnsi="Times New Roman" w:cs="Times New Roman"/>
          <w:b/>
          <w:sz w:val="26"/>
          <w:szCs w:val="26"/>
          <w:lang w:eastAsia="lv-LV"/>
        </w:rPr>
        <w:t>„</w:t>
      </w:r>
      <w:r w:rsidRPr="0004084E">
        <w:rPr>
          <w:rFonts w:ascii="Times New Roman" w:eastAsia="Times New Roman" w:hAnsi="Times New Roman" w:cs="Times New Roman"/>
          <w:b/>
          <w:sz w:val="26"/>
          <w:szCs w:val="26"/>
          <w:lang w:eastAsia="lv-LV"/>
        </w:rPr>
        <w:t>Ārējo tirgu apgūšana</w:t>
      </w:r>
      <w:r w:rsidR="00D5361F" w:rsidRPr="0004084E">
        <w:rPr>
          <w:rFonts w:ascii="Times New Roman" w:eastAsia="Times New Roman" w:hAnsi="Times New Roman" w:cs="Times New Roman"/>
          <w:b/>
          <w:sz w:val="26"/>
          <w:szCs w:val="26"/>
          <w:lang w:eastAsia="lv-LV"/>
        </w:rPr>
        <w:t>”</w:t>
      </w:r>
      <w:r w:rsidRPr="0004084E">
        <w:rPr>
          <w:rFonts w:ascii="Times New Roman" w:eastAsia="Times New Roman" w:hAnsi="Times New Roman" w:cs="Times New Roman"/>
          <w:b/>
          <w:sz w:val="26"/>
          <w:szCs w:val="26"/>
          <w:lang w:eastAsia="lv-LV"/>
        </w:rPr>
        <w:t xml:space="preserve"> 2.3.1.1.2.apakšaktivitāti </w:t>
      </w:r>
      <w:r w:rsidR="00D5361F" w:rsidRPr="0004084E">
        <w:rPr>
          <w:rFonts w:ascii="Times New Roman" w:eastAsia="Times New Roman" w:hAnsi="Times New Roman" w:cs="Times New Roman"/>
          <w:b/>
          <w:sz w:val="26"/>
          <w:szCs w:val="26"/>
          <w:lang w:eastAsia="lv-LV"/>
        </w:rPr>
        <w:t>„</w:t>
      </w:r>
      <w:r w:rsidRPr="0004084E">
        <w:rPr>
          <w:rFonts w:ascii="Times New Roman" w:eastAsia="Times New Roman" w:hAnsi="Times New Roman" w:cs="Times New Roman"/>
          <w:b/>
          <w:sz w:val="26"/>
          <w:szCs w:val="26"/>
          <w:lang w:eastAsia="lv-LV"/>
        </w:rPr>
        <w:t>Ārējo tirgu apgūšana – nozaru starptautiskās konkurētspējas stiprināšana</w:t>
      </w:r>
      <w:r w:rsidR="00D5361F" w:rsidRPr="0004084E">
        <w:rPr>
          <w:rFonts w:ascii="Times New Roman" w:eastAsia="Times New Roman" w:hAnsi="Times New Roman" w:cs="Times New Roman"/>
          <w:b/>
          <w:sz w:val="26"/>
          <w:szCs w:val="26"/>
          <w:lang w:eastAsia="lv-LV"/>
        </w:rPr>
        <w:t>”</w:t>
      </w:r>
      <w:bookmarkEnd w:id="0"/>
      <w:bookmarkEnd w:id="1"/>
      <w:r w:rsidRPr="0004084E">
        <w:rPr>
          <w:rFonts w:ascii="Times New Roman" w:eastAsia="Times New Roman" w:hAnsi="Times New Roman" w:cs="Times New Roman"/>
          <w:b/>
          <w:sz w:val="26"/>
          <w:szCs w:val="26"/>
          <w:lang w:eastAsia="lv-LV"/>
        </w:rPr>
        <w:t>” sākotnējās ietekmes novērtējuma ziņojums (anotācija)</w:t>
      </w:r>
    </w:p>
    <w:bookmarkEnd w:id="2"/>
    <w:bookmarkEnd w:id="3"/>
    <w:bookmarkEnd w:id="4"/>
    <w:bookmarkEnd w:id="5"/>
    <w:bookmarkEnd w:id="6"/>
    <w:bookmarkEnd w:id="7"/>
    <w:p w:rsidR="001F5390" w:rsidRPr="0004084E" w:rsidRDefault="001F5390" w:rsidP="00D90174">
      <w:pPr>
        <w:spacing w:after="0" w:line="240" w:lineRule="auto"/>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1858"/>
        <w:gridCol w:w="7258"/>
      </w:tblGrid>
      <w:tr w:rsidR="00D40CFC" w:rsidRPr="0004084E" w:rsidTr="000E6F7E">
        <w:tc>
          <w:tcPr>
            <w:tcW w:w="911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04084E" w:rsidRDefault="00D40CFC" w:rsidP="00D90174">
            <w:pPr>
              <w:spacing w:after="0" w:line="240" w:lineRule="auto"/>
              <w:jc w:val="center"/>
              <w:rPr>
                <w:rFonts w:ascii="Times New Roman" w:eastAsia="Times New Roman" w:hAnsi="Times New Roman" w:cs="Times New Roman"/>
                <w:b/>
                <w:sz w:val="26"/>
                <w:szCs w:val="26"/>
                <w:lang w:eastAsia="lv-LV"/>
              </w:rPr>
            </w:pPr>
            <w:r w:rsidRPr="0004084E">
              <w:rPr>
                <w:rFonts w:ascii="Times New Roman" w:eastAsia="Times New Roman" w:hAnsi="Times New Roman" w:cs="Times New Roman"/>
                <w:b/>
                <w:sz w:val="26"/>
                <w:szCs w:val="26"/>
                <w:lang w:eastAsia="lv-LV"/>
              </w:rPr>
              <w:t>I.Tiesību akta projekta izstrādes nepieciešamība</w:t>
            </w:r>
          </w:p>
        </w:tc>
      </w:tr>
      <w:tr w:rsidR="00D40CFC" w:rsidRPr="0004084E" w:rsidTr="000E6F7E">
        <w:tc>
          <w:tcPr>
            <w:tcW w:w="18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1. Pamatojums</w:t>
            </w:r>
          </w:p>
        </w:tc>
        <w:tc>
          <w:tcPr>
            <w:tcW w:w="72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D40CFC" w:rsidP="00D90174">
            <w:pPr>
              <w:spacing w:after="0" w:line="240" w:lineRule="auto"/>
              <w:ind w:firstLine="567"/>
              <w:jc w:val="both"/>
              <w:rPr>
                <w:rFonts w:ascii="Times New Roman" w:eastAsia="Calibri" w:hAnsi="Times New Roman" w:cs="Times New Roman"/>
                <w:sz w:val="26"/>
                <w:szCs w:val="26"/>
              </w:rPr>
            </w:pPr>
            <w:r w:rsidRPr="0004084E">
              <w:rPr>
                <w:rFonts w:ascii="Times New Roman" w:eastAsia="Calibri" w:hAnsi="Times New Roman" w:cs="Times New Roman"/>
                <w:sz w:val="26"/>
                <w:szCs w:val="26"/>
              </w:rPr>
              <w:t>Noteikumu projekts saga</w:t>
            </w:r>
            <w:r w:rsidR="00D367F2">
              <w:rPr>
                <w:rFonts w:ascii="Times New Roman" w:eastAsia="Calibri" w:hAnsi="Times New Roman" w:cs="Times New Roman"/>
                <w:sz w:val="26"/>
                <w:szCs w:val="26"/>
              </w:rPr>
              <w:t xml:space="preserve">tavots, pamatojoties uz Eiropas Savienības struktūrfondu un Kohēzijas fonda vadības likuma </w:t>
            </w:r>
            <w:r w:rsidRPr="0004084E">
              <w:rPr>
                <w:rFonts w:ascii="Times New Roman" w:eastAsia="Calibri" w:hAnsi="Times New Roman" w:cs="Times New Roman"/>
                <w:sz w:val="26"/>
                <w:szCs w:val="26"/>
              </w:rPr>
              <w:t>18.panta 10.punktu.</w:t>
            </w:r>
          </w:p>
        </w:tc>
      </w:tr>
      <w:tr w:rsidR="00D40CFC" w:rsidRPr="0004084E" w:rsidTr="000E6F7E">
        <w:trPr>
          <w:trHeight w:val="360"/>
        </w:trPr>
        <w:tc>
          <w:tcPr>
            <w:tcW w:w="18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2. Pašreizējā situācija un problēmas</w:t>
            </w:r>
          </w:p>
        </w:tc>
        <w:tc>
          <w:tcPr>
            <w:tcW w:w="7258"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469" w:rsidRPr="000560B5" w:rsidRDefault="00840469" w:rsidP="00D90174">
            <w:pPr>
              <w:spacing w:after="0" w:line="240" w:lineRule="auto"/>
              <w:ind w:firstLine="567"/>
              <w:jc w:val="both"/>
              <w:rPr>
                <w:rFonts w:ascii="Times New Roman" w:eastAsia="Calibri" w:hAnsi="Times New Roman" w:cs="Times New Roman"/>
                <w:i/>
                <w:color w:val="000000"/>
                <w:sz w:val="26"/>
                <w:szCs w:val="26"/>
              </w:rPr>
            </w:pPr>
            <w:r w:rsidRPr="000560B5">
              <w:rPr>
                <w:rFonts w:ascii="Times New Roman" w:eastAsia="Calibri" w:hAnsi="Times New Roman" w:cs="Times New Roman"/>
                <w:color w:val="000000"/>
                <w:sz w:val="26"/>
                <w:szCs w:val="26"/>
              </w:rPr>
              <w:t xml:space="preserve">2.3.1.1.2.aktivitātes ietvaros 2011. un 2012. </w:t>
            </w:r>
            <w:r w:rsidR="003C7F3B" w:rsidRPr="000560B5">
              <w:rPr>
                <w:rFonts w:ascii="Times New Roman" w:eastAsia="Calibri" w:hAnsi="Times New Roman" w:cs="Times New Roman"/>
                <w:color w:val="000000"/>
                <w:sz w:val="26"/>
                <w:szCs w:val="26"/>
              </w:rPr>
              <w:t xml:space="preserve">gada pirmajā ceturksnī </w:t>
            </w:r>
            <w:r w:rsidRPr="000560B5">
              <w:rPr>
                <w:rFonts w:ascii="Times New Roman" w:eastAsia="Calibri" w:hAnsi="Times New Roman" w:cs="Times New Roman"/>
                <w:color w:val="000000"/>
                <w:sz w:val="26"/>
                <w:szCs w:val="26"/>
              </w:rPr>
              <w:t xml:space="preserve">ir organizēti nacionālie stendi </w:t>
            </w:r>
            <w:r w:rsidR="003C7F3B" w:rsidRPr="000560B5">
              <w:rPr>
                <w:rFonts w:ascii="Times New Roman" w:eastAsia="Calibri" w:hAnsi="Times New Roman" w:cs="Times New Roman"/>
                <w:color w:val="000000"/>
                <w:sz w:val="26"/>
                <w:szCs w:val="26"/>
              </w:rPr>
              <w:t xml:space="preserve">14 starptautiskajās izstādēs ārvalstīs, atbalstīta 127 komersanta dalība starptautiskajās izstādēs, sniegtas konsultācijas 117 komersantiem, noorganizējot 23 tirdzniecības misijas ārvalstīs, 50 komersantiem, organizējot individuālās biznesa vizītes ārvalstīs, 141 komersantam, sniedzot atbalstu dalībai starptautiskajās izstādēs ārvalstīs; sniegtas  konsultācijas par ārējiem tirgiem un biznesa partneru meklēšana 308 komersantiem; noorganizēti  3 ārvalstu investīciju piesaistes pasākumi, nodibināti kontakti ar 76 potenciāliem investoriem;  </w:t>
            </w:r>
            <w:r w:rsidRPr="000560B5">
              <w:rPr>
                <w:rFonts w:ascii="Times New Roman" w:eastAsia="Calibri" w:hAnsi="Times New Roman" w:cs="Times New Roman"/>
                <w:color w:val="000000"/>
                <w:sz w:val="26"/>
                <w:szCs w:val="26"/>
              </w:rPr>
              <w:t>9 starptautiskajās tūrisma izstādēs ārvalstīs un atbalstīta 38 komersantu un 14 pašvaldību</w:t>
            </w:r>
            <w:r w:rsidRPr="0004084E">
              <w:rPr>
                <w:rFonts w:ascii="Times New Roman" w:eastAsia="Calibri" w:hAnsi="Times New Roman" w:cs="Times New Roman"/>
                <w:color w:val="000000"/>
                <w:sz w:val="26"/>
                <w:szCs w:val="26"/>
              </w:rPr>
              <w:t xml:space="preserve"> dalība starptautiskajās izstādēs, kā arī ir apvienota Latvijas tūrisma nozare zem viena kopēja zīmola „Latvia. </w:t>
            </w:r>
            <w:proofErr w:type="spellStart"/>
            <w:r w:rsidRPr="0004084E">
              <w:rPr>
                <w:rFonts w:ascii="Times New Roman" w:eastAsia="Calibri" w:hAnsi="Times New Roman" w:cs="Times New Roman"/>
                <w:color w:val="000000"/>
                <w:sz w:val="26"/>
                <w:szCs w:val="26"/>
              </w:rPr>
              <w:t>Best</w:t>
            </w:r>
            <w:proofErr w:type="spellEnd"/>
            <w:r w:rsidRPr="0004084E">
              <w:rPr>
                <w:rFonts w:ascii="Times New Roman" w:eastAsia="Calibri" w:hAnsi="Times New Roman" w:cs="Times New Roman"/>
                <w:color w:val="000000"/>
                <w:sz w:val="26"/>
                <w:szCs w:val="26"/>
              </w:rPr>
              <w:t xml:space="preserve"> </w:t>
            </w:r>
            <w:proofErr w:type="spellStart"/>
            <w:r w:rsidRPr="0004084E">
              <w:rPr>
                <w:rFonts w:ascii="Times New Roman" w:eastAsia="Calibri" w:hAnsi="Times New Roman" w:cs="Times New Roman"/>
                <w:color w:val="000000"/>
                <w:sz w:val="26"/>
                <w:szCs w:val="26"/>
              </w:rPr>
              <w:t>Enjoyed</w:t>
            </w:r>
            <w:proofErr w:type="spellEnd"/>
            <w:r w:rsidRPr="0004084E">
              <w:rPr>
                <w:rFonts w:ascii="Times New Roman" w:eastAsia="Calibri" w:hAnsi="Times New Roman" w:cs="Times New Roman"/>
                <w:color w:val="000000"/>
                <w:sz w:val="26"/>
                <w:szCs w:val="26"/>
              </w:rPr>
              <w:t xml:space="preserve"> </w:t>
            </w:r>
            <w:proofErr w:type="spellStart"/>
            <w:r w:rsidRPr="0004084E">
              <w:rPr>
                <w:rFonts w:ascii="Times New Roman" w:eastAsia="Calibri" w:hAnsi="Times New Roman" w:cs="Times New Roman"/>
                <w:color w:val="000000"/>
                <w:sz w:val="26"/>
                <w:szCs w:val="26"/>
              </w:rPr>
              <w:t>Slowly</w:t>
            </w:r>
            <w:proofErr w:type="spellEnd"/>
            <w:r w:rsidRPr="0004084E">
              <w:rPr>
                <w:rFonts w:ascii="Times New Roman" w:eastAsia="Calibri" w:hAnsi="Times New Roman" w:cs="Times New Roman"/>
                <w:color w:val="000000"/>
                <w:sz w:val="26"/>
                <w:szCs w:val="26"/>
              </w:rPr>
              <w:t xml:space="preserve">” (Latvija. Izbaudi nesteidzoties.). Komersantu un pašvaldību dalība nacionālajā stendā starptautiskajās tūrisma izstādēs ir veicinājusi Latvijas kā tūrisma galamērķa atpazīstamību Vācijā, Krievijā, Zviedrijā, Lielbritānijā, Somijā, Igaunijā un Lietuvā, </w:t>
            </w:r>
            <w:r w:rsidRPr="000560B5">
              <w:rPr>
                <w:rFonts w:ascii="Times New Roman" w:eastAsia="Calibri" w:hAnsi="Times New Roman" w:cs="Times New Roman"/>
                <w:color w:val="000000"/>
                <w:sz w:val="26"/>
                <w:szCs w:val="26"/>
              </w:rPr>
              <w:t xml:space="preserve">kā arī veicinājusi tūrisma nozares komersantu darījuma kontaktu </w:t>
            </w:r>
            <w:r w:rsidR="00AC3871" w:rsidRPr="000560B5">
              <w:rPr>
                <w:rFonts w:ascii="Times New Roman" w:eastAsia="Calibri" w:hAnsi="Times New Roman" w:cs="Times New Roman"/>
                <w:color w:val="000000"/>
                <w:sz w:val="26"/>
                <w:szCs w:val="26"/>
              </w:rPr>
              <w:t xml:space="preserve">nodibināšanu </w:t>
            </w:r>
            <w:r w:rsidRPr="000560B5">
              <w:rPr>
                <w:rFonts w:ascii="Times New Roman" w:eastAsia="Calibri" w:hAnsi="Times New Roman" w:cs="Times New Roman"/>
                <w:color w:val="000000"/>
                <w:sz w:val="26"/>
                <w:szCs w:val="26"/>
              </w:rPr>
              <w:t>un uzturēšanu ar vairāk nekā 160 ārvalstu komersantiem.</w:t>
            </w:r>
          </w:p>
          <w:p w:rsidR="00AE550C" w:rsidRPr="000560B5" w:rsidRDefault="00D40CFC"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Calibri" w:hAnsi="Times New Roman" w:cs="Times New Roman"/>
                <w:sz w:val="26"/>
                <w:szCs w:val="26"/>
              </w:rPr>
              <w:t>Grozījumi 2010.gada 21.septembra</w:t>
            </w:r>
            <w:r w:rsidRPr="0004084E">
              <w:rPr>
                <w:rFonts w:ascii="Times New Roman" w:eastAsia="Calibri" w:hAnsi="Times New Roman" w:cs="Times New Roman"/>
                <w:sz w:val="26"/>
                <w:szCs w:val="26"/>
              </w:rPr>
              <w:t xml:space="preserve"> noteikumos Nr.887 „Noteikumi par darbības programmas</w:t>
            </w:r>
            <w:r w:rsidRPr="0004084E">
              <w:rPr>
                <w:sz w:val="26"/>
                <w:szCs w:val="26"/>
              </w:rPr>
              <w:t xml:space="preserve"> </w:t>
            </w:r>
            <w:r w:rsidR="005E6AF0" w:rsidRPr="0004084E">
              <w:rPr>
                <w:rFonts w:ascii="Times New Roman" w:eastAsia="Calibri" w:hAnsi="Times New Roman" w:cs="Times New Roman"/>
                <w:sz w:val="26"/>
                <w:szCs w:val="26"/>
              </w:rPr>
              <w:t>„</w:t>
            </w:r>
            <w:r w:rsidRPr="0004084E">
              <w:rPr>
                <w:rFonts w:ascii="Times New Roman" w:eastAsia="Calibri" w:hAnsi="Times New Roman" w:cs="Times New Roman"/>
                <w:sz w:val="26"/>
                <w:szCs w:val="26"/>
              </w:rPr>
              <w:t>Uzņēmējdarbība un inovācijas</w:t>
            </w:r>
            <w:r w:rsidR="005E6AF0" w:rsidRPr="0004084E">
              <w:rPr>
                <w:rFonts w:ascii="Times New Roman" w:eastAsia="Calibri" w:hAnsi="Times New Roman" w:cs="Times New Roman"/>
                <w:sz w:val="26"/>
                <w:szCs w:val="26"/>
              </w:rPr>
              <w:t>”</w:t>
            </w:r>
            <w:r w:rsidRPr="0004084E">
              <w:rPr>
                <w:rFonts w:ascii="Times New Roman" w:eastAsia="Calibri" w:hAnsi="Times New Roman" w:cs="Times New Roman"/>
                <w:sz w:val="26"/>
                <w:szCs w:val="26"/>
              </w:rPr>
              <w:t xml:space="preserve"> papildinājuma 2.3.1.1.aktivitātes </w:t>
            </w:r>
            <w:r w:rsidR="005E6AF0" w:rsidRPr="0004084E">
              <w:rPr>
                <w:rFonts w:ascii="Times New Roman" w:eastAsia="Calibri" w:hAnsi="Times New Roman" w:cs="Times New Roman"/>
                <w:sz w:val="26"/>
                <w:szCs w:val="26"/>
              </w:rPr>
              <w:t>„</w:t>
            </w:r>
            <w:r w:rsidRPr="0004084E">
              <w:rPr>
                <w:rFonts w:ascii="Times New Roman" w:eastAsia="Calibri" w:hAnsi="Times New Roman" w:cs="Times New Roman"/>
                <w:sz w:val="26"/>
                <w:szCs w:val="26"/>
              </w:rPr>
              <w:t>Ārējo tirgu apgūšana</w:t>
            </w:r>
            <w:r w:rsidR="005E6AF0" w:rsidRPr="0004084E">
              <w:rPr>
                <w:rFonts w:ascii="Times New Roman" w:eastAsia="Calibri" w:hAnsi="Times New Roman" w:cs="Times New Roman"/>
                <w:sz w:val="26"/>
                <w:szCs w:val="26"/>
              </w:rPr>
              <w:t>”</w:t>
            </w:r>
            <w:r w:rsidRPr="0004084E">
              <w:rPr>
                <w:rFonts w:ascii="Times New Roman" w:eastAsia="Calibri" w:hAnsi="Times New Roman" w:cs="Times New Roman"/>
                <w:sz w:val="26"/>
                <w:szCs w:val="26"/>
              </w:rPr>
              <w:t xml:space="preserve"> 2.3.1.1.2.apakšaktivitāti </w:t>
            </w:r>
            <w:r w:rsidR="005E6AF0" w:rsidRPr="0004084E">
              <w:rPr>
                <w:rFonts w:ascii="Times New Roman" w:eastAsia="Calibri" w:hAnsi="Times New Roman" w:cs="Times New Roman"/>
                <w:sz w:val="26"/>
                <w:szCs w:val="26"/>
              </w:rPr>
              <w:t>„</w:t>
            </w:r>
            <w:r w:rsidRPr="0004084E">
              <w:rPr>
                <w:rFonts w:ascii="Times New Roman" w:eastAsia="Calibri" w:hAnsi="Times New Roman" w:cs="Times New Roman"/>
                <w:sz w:val="26"/>
                <w:szCs w:val="26"/>
              </w:rPr>
              <w:t>Ārējo tirgu apgūšana – nozaru starptautiskās konkurētspējas stiprināšana</w:t>
            </w:r>
            <w:r w:rsidR="005E6AF0" w:rsidRPr="0004084E">
              <w:rPr>
                <w:rFonts w:ascii="Times New Roman" w:eastAsia="Calibri" w:hAnsi="Times New Roman" w:cs="Times New Roman"/>
                <w:sz w:val="26"/>
                <w:szCs w:val="26"/>
              </w:rPr>
              <w:t>”</w:t>
            </w:r>
            <w:r w:rsidRPr="0004084E">
              <w:rPr>
                <w:rFonts w:ascii="Times New Roman" w:eastAsia="Calibri" w:hAnsi="Times New Roman" w:cs="Times New Roman"/>
                <w:sz w:val="26"/>
                <w:szCs w:val="26"/>
              </w:rPr>
              <w:t xml:space="preserve"> </w:t>
            </w:r>
            <w:r w:rsidRPr="0004084E">
              <w:rPr>
                <w:rFonts w:ascii="Times New Roman" w:eastAsia="Times New Roman" w:hAnsi="Times New Roman" w:cs="Times New Roman"/>
                <w:bCs/>
                <w:sz w:val="26"/>
                <w:szCs w:val="26"/>
                <w:lang w:eastAsia="lv-LV"/>
              </w:rPr>
              <w:t xml:space="preserve">(turpmāk – MK noteikumi Nr.887) ir nepieciešami, </w:t>
            </w:r>
            <w:r w:rsidR="00B262B8" w:rsidRPr="0004084E">
              <w:rPr>
                <w:rFonts w:ascii="Times New Roman" w:eastAsia="Times New Roman" w:hAnsi="Times New Roman" w:cs="Times New Roman"/>
                <w:bCs/>
                <w:sz w:val="26"/>
                <w:szCs w:val="26"/>
                <w:lang w:eastAsia="lv-LV"/>
              </w:rPr>
              <w:t>jo</w:t>
            </w:r>
            <w:r w:rsidR="00664470" w:rsidRPr="0004084E">
              <w:rPr>
                <w:rFonts w:ascii="Times New Roman" w:eastAsia="Times New Roman" w:hAnsi="Times New Roman" w:cs="Times New Roman"/>
                <w:bCs/>
                <w:sz w:val="26"/>
                <w:szCs w:val="26"/>
                <w:lang w:eastAsia="lv-LV"/>
              </w:rPr>
              <w:t xml:space="preserve"> ir konstatēts, ka finansējuma saņēmēji</w:t>
            </w:r>
            <w:r w:rsidR="005E6AF0" w:rsidRPr="0004084E">
              <w:rPr>
                <w:rFonts w:ascii="Times New Roman" w:eastAsia="Times New Roman" w:hAnsi="Times New Roman" w:cs="Times New Roman"/>
                <w:bCs/>
                <w:sz w:val="26"/>
                <w:szCs w:val="26"/>
                <w:lang w:eastAsia="lv-LV"/>
              </w:rPr>
              <w:t xml:space="preserve"> </w:t>
            </w:r>
            <w:r w:rsidR="00664470" w:rsidRPr="0004084E">
              <w:rPr>
                <w:rFonts w:ascii="Times New Roman" w:eastAsia="Times New Roman" w:hAnsi="Times New Roman" w:cs="Times New Roman"/>
                <w:bCs/>
                <w:sz w:val="26"/>
                <w:szCs w:val="26"/>
                <w:lang w:eastAsia="lv-LV"/>
              </w:rPr>
              <w:t xml:space="preserve">valsts aģentūra „Latvijas </w:t>
            </w:r>
            <w:r w:rsidR="005E6AF0" w:rsidRPr="0004084E">
              <w:rPr>
                <w:rFonts w:ascii="Times New Roman" w:eastAsia="Times New Roman" w:hAnsi="Times New Roman" w:cs="Times New Roman"/>
                <w:bCs/>
                <w:sz w:val="26"/>
                <w:szCs w:val="26"/>
                <w:lang w:eastAsia="lv-LV"/>
              </w:rPr>
              <w:t>I</w:t>
            </w:r>
            <w:r w:rsidR="00664470" w:rsidRPr="0004084E">
              <w:rPr>
                <w:rFonts w:ascii="Times New Roman" w:eastAsia="Times New Roman" w:hAnsi="Times New Roman" w:cs="Times New Roman"/>
                <w:bCs/>
                <w:sz w:val="26"/>
                <w:szCs w:val="26"/>
                <w:lang w:eastAsia="lv-LV"/>
              </w:rPr>
              <w:t xml:space="preserve">nvestīciju un attīstības aģentūra” (turpmāk – LIAA) un valsts aģentūra „Tūrisma attīstības valsts aģentūra” (turpmāk – </w:t>
            </w:r>
            <w:r w:rsidR="00664470" w:rsidRPr="000560B5">
              <w:rPr>
                <w:rFonts w:ascii="Times New Roman" w:eastAsia="Times New Roman" w:hAnsi="Times New Roman" w:cs="Times New Roman"/>
                <w:bCs/>
                <w:sz w:val="26"/>
                <w:szCs w:val="26"/>
                <w:lang w:eastAsia="lv-LV"/>
              </w:rPr>
              <w:t>TAVA)</w:t>
            </w:r>
            <w:r w:rsidR="005E6AF0" w:rsidRPr="000560B5">
              <w:rPr>
                <w:rFonts w:ascii="Times New Roman" w:eastAsia="Times New Roman" w:hAnsi="Times New Roman" w:cs="Times New Roman"/>
                <w:bCs/>
                <w:sz w:val="26"/>
                <w:szCs w:val="26"/>
                <w:lang w:eastAsia="lv-LV"/>
              </w:rPr>
              <w:t xml:space="preserve">, pamatojoties uz būtisku komersantu pieprasījumu pēc atbalsta, </w:t>
            </w:r>
            <w:r w:rsidR="00AC3871" w:rsidRPr="000560B5">
              <w:rPr>
                <w:rFonts w:ascii="Times New Roman" w:hAnsi="Times New Roman"/>
                <w:bCs/>
                <w:sz w:val="26"/>
                <w:szCs w:val="26"/>
              </w:rPr>
              <w:t xml:space="preserve">2.3.1.1.2.aktivitātes ietvaros </w:t>
            </w:r>
            <w:r w:rsidR="00664470" w:rsidRPr="000560B5">
              <w:rPr>
                <w:rFonts w:ascii="Times New Roman" w:eastAsia="Times New Roman" w:hAnsi="Times New Roman" w:cs="Times New Roman"/>
                <w:bCs/>
                <w:sz w:val="26"/>
                <w:szCs w:val="26"/>
                <w:lang w:eastAsia="lv-LV"/>
              </w:rPr>
              <w:t>ir spējīgi apgūt lielāku finansējuma apjomu</w:t>
            </w:r>
            <w:r w:rsidR="005E6AF0" w:rsidRPr="000560B5">
              <w:rPr>
                <w:rFonts w:ascii="Times New Roman" w:eastAsia="Times New Roman" w:hAnsi="Times New Roman" w:cs="Times New Roman"/>
                <w:bCs/>
                <w:sz w:val="26"/>
                <w:szCs w:val="26"/>
                <w:lang w:eastAsia="lv-LV"/>
              </w:rPr>
              <w:t xml:space="preserve"> nekā pašreiz paredzēts</w:t>
            </w:r>
            <w:r w:rsidR="00664470" w:rsidRPr="000560B5">
              <w:rPr>
                <w:rFonts w:ascii="Times New Roman" w:eastAsia="Times New Roman" w:hAnsi="Times New Roman" w:cs="Times New Roman"/>
                <w:bCs/>
                <w:sz w:val="26"/>
                <w:szCs w:val="26"/>
                <w:lang w:eastAsia="lv-LV"/>
              </w:rPr>
              <w:t>.</w:t>
            </w:r>
            <w:r w:rsidR="00722173" w:rsidRPr="000560B5">
              <w:rPr>
                <w:rFonts w:ascii="Times New Roman" w:eastAsia="Times New Roman" w:hAnsi="Times New Roman" w:cs="Times New Roman"/>
                <w:bCs/>
                <w:sz w:val="26"/>
                <w:szCs w:val="26"/>
                <w:lang w:eastAsia="lv-LV"/>
              </w:rPr>
              <w:t xml:space="preserve"> </w:t>
            </w:r>
          </w:p>
          <w:p w:rsidR="00AE550C" w:rsidRPr="000560B5" w:rsidRDefault="00F07DF3" w:rsidP="00D90174">
            <w:pPr>
              <w:spacing w:after="0" w:line="240" w:lineRule="auto"/>
              <w:ind w:firstLine="567"/>
              <w:jc w:val="both"/>
              <w:rPr>
                <w:rFonts w:ascii="Times New Roman" w:eastAsia="Calibri" w:hAnsi="Times New Roman" w:cs="Times New Roman"/>
                <w:color w:val="000000"/>
                <w:sz w:val="26"/>
                <w:szCs w:val="26"/>
              </w:rPr>
            </w:pPr>
            <w:r w:rsidRPr="000560B5">
              <w:rPr>
                <w:rFonts w:ascii="Times New Roman" w:eastAsia="Times New Roman" w:hAnsi="Times New Roman" w:cs="Times New Roman"/>
                <w:bCs/>
                <w:sz w:val="26"/>
                <w:szCs w:val="26"/>
                <w:lang w:eastAsia="lv-LV"/>
              </w:rPr>
              <w:t>Šī brīža finansējuma sadalījums ir vienlīdzīgs starp LIAA</w:t>
            </w:r>
            <w:r w:rsidRPr="0004084E">
              <w:rPr>
                <w:rFonts w:ascii="Times New Roman" w:eastAsia="Times New Roman" w:hAnsi="Times New Roman" w:cs="Times New Roman"/>
                <w:bCs/>
                <w:sz w:val="26"/>
                <w:szCs w:val="26"/>
                <w:lang w:eastAsia="lv-LV"/>
              </w:rPr>
              <w:t xml:space="preserve"> un TAVA. Pēc grozījumu ieviešanas LIAA</w:t>
            </w:r>
            <w:r w:rsidR="006A555B" w:rsidRPr="0004084E">
              <w:rPr>
                <w:rFonts w:ascii="Times New Roman" w:eastAsia="Calibri" w:hAnsi="Times New Roman" w:cs="Times New Roman"/>
                <w:color w:val="000000"/>
                <w:sz w:val="26"/>
                <w:szCs w:val="26"/>
              </w:rPr>
              <w:t xml:space="preserve">2.3.1.1.2.aktivitātes Eiropas Reģionālās attīstības fonda līdzfinansējums palielināsies no </w:t>
            </w:r>
            <w:r w:rsidR="006A555B" w:rsidRPr="0004084E">
              <w:rPr>
                <w:rFonts w:ascii="Times New Roman" w:eastAsia="Calibri" w:hAnsi="Times New Roman" w:cs="Times New Roman"/>
                <w:color w:val="000000"/>
                <w:sz w:val="26"/>
                <w:szCs w:val="26"/>
              </w:rPr>
              <w:lastRenderedPageBreak/>
              <w:t xml:space="preserve">1 500 000 </w:t>
            </w:r>
            <w:r w:rsidR="00712CFB" w:rsidRPr="0004084E">
              <w:rPr>
                <w:rFonts w:ascii="Times New Roman" w:eastAsia="Calibri" w:hAnsi="Times New Roman" w:cs="Times New Roman"/>
                <w:color w:val="000000"/>
                <w:sz w:val="26"/>
                <w:szCs w:val="26"/>
              </w:rPr>
              <w:t>latiem līdz     2 500 000 latiem</w:t>
            </w:r>
            <w:r w:rsidR="000B65D2" w:rsidRPr="0004084E">
              <w:rPr>
                <w:rFonts w:ascii="Times New Roman" w:eastAsia="Calibri" w:hAnsi="Times New Roman" w:cs="Times New Roman"/>
                <w:color w:val="000000"/>
                <w:sz w:val="26"/>
                <w:szCs w:val="26"/>
              </w:rPr>
              <w:t xml:space="preserve">, kamēr </w:t>
            </w:r>
            <w:r w:rsidR="006A555B" w:rsidRPr="0004084E">
              <w:rPr>
                <w:rFonts w:ascii="Times New Roman" w:eastAsia="Times New Roman" w:hAnsi="Times New Roman" w:cs="Times New Roman"/>
                <w:bCs/>
                <w:sz w:val="26"/>
                <w:szCs w:val="26"/>
                <w:lang w:eastAsia="lv-LV"/>
              </w:rPr>
              <w:t xml:space="preserve"> TAVA </w:t>
            </w:r>
            <w:r w:rsidR="006A555B" w:rsidRPr="0004084E">
              <w:rPr>
                <w:rFonts w:ascii="Times New Roman" w:eastAsia="Calibri" w:hAnsi="Times New Roman" w:cs="Times New Roman"/>
                <w:color w:val="000000"/>
                <w:sz w:val="26"/>
                <w:szCs w:val="26"/>
              </w:rPr>
              <w:t xml:space="preserve">2.3.1.1.2.aktivitātes Eiropas Reģionālās attīstības fonda līdzfinansējums palielināsies no 1 500 000 </w:t>
            </w:r>
            <w:r w:rsidR="00712CFB" w:rsidRPr="0004084E">
              <w:rPr>
                <w:rFonts w:ascii="Times New Roman" w:eastAsia="Calibri" w:hAnsi="Times New Roman" w:cs="Times New Roman"/>
                <w:color w:val="000000"/>
                <w:sz w:val="26"/>
                <w:szCs w:val="26"/>
              </w:rPr>
              <w:t>l</w:t>
            </w:r>
            <w:r w:rsidR="008D4B3C" w:rsidRPr="0004084E">
              <w:rPr>
                <w:rFonts w:ascii="Times New Roman" w:eastAsia="Calibri" w:hAnsi="Times New Roman" w:cs="Times New Roman"/>
                <w:color w:val="000000"/>
                <w:sz w:val="26"/>
                <w:szCs w:val="26"/>
              </w:rPr>
              <w:t>a</w:t>
            </w:r>
            <w:r w:rsidR="00712CFB" w:rsidRPr="0004084E">
              <w:rPr>
                <w:rFonts w:ascii="Times New Roman" w:eastAsia="Calibri" w:hAnsi="Times New Roman" w:cs="Times New Roman"/>
                <w:color w:val="000000"/>
                <w:sz w:val="26"/>
                <w:szCs w:val="26"/>
              </w:rPr>
              <w:t>tiem</w:t>
            </w:r>
            <w:r w:rsidR="006A555B" w:rsidRPr="0004084E">
              <w:rPr>
                <w:rFonts w:ascii="Times New Roman" w:eastAsia="Calibri" w:hAnsi="Times New Roman" w:cs="Times New Roman"/>
                <w:color w:val="000000"/>
                <w:sz w:val="26"/>
                <w:szCs w:val="26"/>
              </w:rPr>
              <w:t xml:space="preserve"> līdz </w:t>
            </w:r>
            <w:r w:rsidR="008D4B3C" w:rsidRPr="0004084E">
              <w:rPr>
                <w:rFonts w:ascii="Times New Roman" w:eastAsia="Calibri" w:hAnsi="Times New Roman" w:cs="Times New Roman"/>
                <w:color w:val="000000"/>
                <w:sz w:val="26"/>
                <w:szCs w:val="26"/>
              </w:rPr>
              <w:t>3</w:t>
            </w:r>
            <w:r w:rsidR="006A555B" w:rsidRPr="0004084E">
              <w:rPr>
                <w:rFonts w:ascii="Times New Roman" w:eastAsia="Calibri" w:hAnsi="Times New Roman" w:cs="Times New Roman"/>
                <w:color w:val="000000"/>
                <w:sz w:val="26"/>
                <w:szCs w:val="26"/>
              </w:rPr>
              <w:t> 000</w:t>
            </w:r>
            <w:r w:rsidR="00712CFB" w:rsidRPr="0004084E">
              <w:rPr>
                <w:rFonts w:ascii="Times New Roman" w:eastAsia="Calibri" w:hAnsi="Times New Roman" w:cs="Times New Roman"/>
                <w:color w:val="000000"/>
                <w:sz w:val="26"/>
                <w:szCs w:val="26"/>
              </w:rPr>
              <w:t> </w:t>
            </w:r>
            <w:r w:rsidR="006A555B" w:rsidRPr="0004084E">
              <w:rPr>
                <w:rFonts w:ascii="Times New Roman" w:eastAsia="Calibri" w:hAnsi="Times New Roman" w:cs="Times New Roman"/>
                <w:color w:val="000000"/>
                <w:sz w:val="26"/>
                <w:szCs w:val="26"/>
              </w:rPr>
              <w:t>000</w:t>
            </w:r>
            <w:r w:rsidR="00712CFB" w:rsidRPr="0004084E">
              <w:rPr>
                <w:rFonts w:ascii="Times New Roman" w:eastAsia="Calibri" w:hAnsi="Times New Roman" w:cs="Times New Roman"/>
                <w:color w:val="000000"/>
                <w:sz w:val="26"/>
                <w:szCs w:val="26"/>
              </w:rPr>
              <w:t xml:space="preserve"> latiem</w:t>
            </w:r>
            <w:r w:rsidR="006A555B" w:rsidRPr="0004084E">
              <w:rPr>
                <w:rFonts w:ascii="Times New Roman" w:eastAsia="Calibri" w:hAnsi="Times New Roman" w:cs="Times New Roman"/>
                <w:color w:val="000000"/>
                <w:sz w:val="26"/>
                <w:szCs w:val="26"/>
              </w:rPr>
              <w:t xml:space="preserve">. </w:t>
            </w:r>
          </w:p>
          <w:p w:rsidR="00166E66" w:rsidRPr="0004084E" w:rsidRDefault="00646AAE" w:rsidP="00D90174">
            <w:pPr>
              <w:spacing w:after="0" w:line="240" w:lineRule="auto"/>
              <w:ind w:firstLine="567"/>
              <w:jc w:val="both"/>
              <w:rPr>
                <w:rFonts w:ascii="Times New Roman" w:eastAsia="Calibri" w:hAnsi="Times New Roman" w:cs="Times New Roman"/>
                <w:color w:val="000000"/>
                <w:sz w:val="26"/>
                <w:szCs w:val="26"/>
              </w:rPr>
            </w:pPr>
            <w:r w:rsidRPr="000560B5">
              <w:rPr>
                <w:rFonts w:ascii="Times New Roman" w:eastAsia="Calibri" w:hAnsi="Times New Roman" w:cs="Times New Roman"/>
                <w:color w:val="000000"/>
                <w:sz w:val="26"/>
                <w:szCs w:val="26"/>
              </w:rPr>
              <w:t>2014.gadā Rīga būs Eiropas kultūras galvaspilsēta, attiecīgi TAVA</w:t>
            </w:r>
            <w:r w:rsidR="00166E66" w:rsidRPr="000560B5">
              <w:rPr>
                <w:rFonts w:ascii="Times New Roman" w:eastAsia="Calibri" w:hAnsi="Times New Roman" w:cs="Times New Roman"/>
                <w:color w:val="000000"/>
                <w:sz w:val="26"/>
                <w:szCs w:val="26"/>
              </w:rPr>
              <w:t>,</w:t>
            </w:r>
            <w:r w:rsidRPr="000560B5">
              <w:rPr>
                <w:rFonts w:ascii="Times New Roman" w:eastAsia="Calibri" w:hAnsi="Times New Roman" w:cs="Times New Roman"/>
                <w:color w:val="000000"/>
                <w:sz w:val="26"/>
                <w:szCs w:val="26"/>
              </w:rPr>
              <w:t xml:space="preserve"> </w:t>
            </w:r>
            <w:r w:rsidR="009167E6" w:rsidRPr="000560B5">
              <w:rPr>
                <w:rFonts w:ascii="Times New Roman" w:eastAsia="Calibri" w:hAnsi="Times New Roman" w:cs="Times New Roman"/>
                <w:color w:val="000000"/>
                <w:sz w:val="26"/>
                <w:szCs w:val="26"/>
              </w:rPr>
              <w:t xml:space="preserve">papildus savām ikdienas </w:t>
            </w:r>
            <w:r w:rsidR="003136C3" w:rsidRPr="000560B5">
              <w:rPr>
                <w:rFonts w:ascii="Times New Roman" w:eastAsia="Calibri" w:hAnsi="Times New Roman" w:cs="Times New Roman"/>
                <w:color w:val="000000"/>
                <w:sz w:val="26"/>
                <w:szCs w:val="26"/>
              </w:rPr>
              <w:t>aktivitātēm,</w:t>
            </w:r>
            <w:r w:rsidR="00166E66" w:rsidRPr="000560B5">
              <w:rPr>
                <w:rFonts w:ascii="Times New Roman" w:eastAsia="Calibri" w:hAnsi="Times New Roman" w:cs="Times New Roman"/>
                <w:color w:val="000000"/>
                <w:sz w:val="26"/>
                <w:szCs w:val="26"/>
              </w:rPr>
              <w:t xml:space="preserve"> intensīvāk reklamēs Latviju kā tūrisma galamērķi </w:t>
            </w:r>
            <w:r w:rsidR="00AC3871" w:rsidRPr="000560B5">
              <w:rPr>
                <w:rFonts w:ascii="Times New Roman" w:eastAsia="Calibri" w:hAnsi="Times New Roman" w:cs="Times New Roman"/>
                <w:color w:val="000000"/>
                <w:sz w:val="26"/>
                <w:szCs w:val="26"/>
              </w:rPr>
              <w:t xml:space="preserve">augsti </w:t>
            </w:r>
            <w:r w:rsidR="00166E66" w:rsidRPr="000560B5">
              <w:rPr>
                <w:rFonts w:ascii="Times New Roman" w:eastAsia="Calibri" w:hAnsi="Times New Roman" w:cs="Times New Roman"/>
                <w:color w:val="000000"/>
                <w:sz w:val="26"/>
                <w:szCs w:val="26"/>
              </w:rPr>
              <w:t>prioritār</w:t>
            </w:r>
            <w:r w:rsidR="003C7F3B" w:rsidRPr="000560B5">
              <w:rPr>
                <w:rFonts w:ascii="Times New Roman" w:eastAsia="Calibri" w:hAnsi="Times New Roman" w:cs="Times New Roman"/>
                <w:color w:val="000000"/>
                <w:sz w:val="26"/>
                <w:szCs w:val="26"/>
              </w:rPr>
              <w:t>aj</w:t>
            </w:r>
            <w:r w:rsidR="00166E66" w:rsidRPr="000560B5">
              <w:rPr>
                <w:rFonts w:ascii="Times New Roman" w:eastAsia="Calibri" w:hAnsi="Times New Roman" w:cs="Times New Roman"/>
                <w:color w:val="000000"/>
                <w:sz w:val="26"/>
                <w:szCs w:val="26"/>
              </w:rPr>
              <w:t xml:space="preserve">os tūrisma mērķa tirgos – Vācijā, Krievijā, Somijā, Zviedrijā, Lietuvā, Igaunijā. </w:t>
            </w:r>
            <w:r w:rsidR="00D0796F" w:rsidRPr="000560B5">
              <w:rPr>
                <w:rFonts w:ascii="Times New Roman" w:eastAsia="Calibri" w:hAnsi="Times New Roman" w:cs="Times New Roman"/>
                <w:color w:val="000000"/>
                <w:sz w:val="26"/>
                <w:szCs w:val="26"/>
              </w:rPr>
              <w:t xml:space="preserve">Atsaucoties uz TAVA </w:t>
            </w:r>
            <w:r w:rsidR="00B4562C" w:rsidRPr="000560B5">
              <w:rPr>
                <w:rFonts w:ascii="Times New Roman" w:eastAsia="Calibri" w:hAnsi="Times New Roman" w:cs="Times New Roman"/>
                <w:color w:val="000000"/>
                <w:sz w:val="26"/>
                <w:szCs w:val="26"/>
              </w:rPr>
              <w:t>„Latvijas tūrisma mārketinga stratēģija 2010. – 2015.gadam”</w:t>
            </w:r>
            <w:r w:rsidR="00712CFB" w:rsidRPr="000560B5">
              <w:rPr>
                <w:rFonts w:ascii="Times New Roman" w:eastAsia="Calibri" w:hAnsi="Times New Roman" w:cs="Times New Roman"/>
                <w:color w:val="000000"/>
                <w:sz w:val="26"/>
                <w:szCs w:val="26"/>
              </w:rPr>
              <w:t xml:space="preserve"> būs nepieciešami papildus līdzekļi reklām</w:t>
            </w:r>
            <w:r w:rsidR="00497B5E" w:rsidRPr="000560B5">
              <w:rPr>
                <w:rFonts w:ascii="Times New Roman" w:eastAsia="Calibri" w:hAnsi="Times New Roman" w:cs="Times New Roman"/>
                <w:color w:val="000000"/>
                <w:sz w:val="26"/>
                <w:szCs w:val="26"/>
              </w:rPr>
              <w:t>as kampaņu organizēšanai</w:t>
            </w:r>
            <w:r w:rsidR="00712CFB" w:rsidRPr="000560B5">
              <w:rPr>
                <w:rFonts w:ascii="Times New Roman" w:eastAsia="Calibri" w:hAnsi="Times New Roman" w:cs="Times New Roman"/>
                <w:color w:val="000000"/>
                <w:sz w:val="26"/>
                <w:szCs w:val="26"/>
              </w:rPr>
              <w:t>, ne tikai minētajos augst</w:t>
            </w:r>
            <w:r w:rsidR="00AC3871" w:rsidRPr="000560B5">
              <w:rPr>
                <w:rFonts w:ascii="Times New Roman" w:eastAsia="Calibri" w:hAnsi="Times New Roman" w:cs="Times New Roman"/>
                <w:color w:val="000000"/>
                <w:sz w:val="26"/>
                <w:szCs w:val="26"/>
              </w:rPr>
              <w:t>i</w:t>
            </w:r>
            <w:r w:rsidR="00712CFB" w:rsidRPr="000560B5">
              <w:rPr>
                <w:rFonts w:ascii="Times New Roman" w:eastAsia="Calibri" w:hAnsi="Times New Roman" w:cs="Times New Roman"/>
                <w:color w:val="000000"/>
                <w:sz w:val="26"/>
                <w:szCs w:val="26"/>
              </w:rPr>
              <w:t xml:space="preserve"> </w:t>
            </w:r>
            <w:r w:rsidR="00AC3871" w:rsidRPr="000560B5">
              <w:rPr>
                <w:rFonts w:ascii="Times New Roman" w:eastAsia="Calibri" w:hAnsi="Times New Roman" w:cs="Times New Roman"/>
                <w:color w:val="000000"/>
                <w:sz w:val="26"/>
                <w:szCs w:val="26"/>
              </w:rPr>
              <w:t xml:space="preserve">prioritārajos </w:t>
            </w:r>
            <w:r w:rsidR="00712CFB" w:rsidRPr="000560B5">
              <w:rPr>
                <w:rFonts w:ascii="Times New Roman" w:eastAsia="Calibri" w:hAnsi="Times New Roman" w:cs="Times New Roman"/>
                <w:color w:val="000000"/>
                <w:sz w:val="26"/>
                <w:szCs w:val="26"/>
              </w:rPr>
              <w:t xml:space="preserve">tirgos, bet arī </w:t>
            </w:r>
            <w:r w:rsidR="00AC3871" w:rsidRPr="000560B5">
              <w:rPr>
                <w:rFonts w:ascii="Times New Roman" w:eastAsia="Calibri" w:hAnsi="Times New Roman" w:cs="Times New Roman"/>
                <w:color w:val="000000"/>
                <w:sz w:val="26"/>
                <w:szCs w:val="26"/>
              </w:rPr>
              <w:t xml:space="preserve">prioritārajos un sekundārajos </w:t>
            </w:r>
            <w:r w:rsidR="00712CFB" w:rsidRPr="000560B5">
              <w:rPr>
                <w:rFonts w:ascii="Times New Roman" w:eastAsia="Calibri" w:hAnsi="Times New Roman" w:cs="Times New Roman"/>
                <w:color w:val="000000"/>
                <w:sz w:val="26"/>
                <w:szCs w:val="26"/>
              </w:rPr>
              <w:t>tirgos - Norvēģijā, Lielbritānijā, Itālijā, Dānijā, Spānijā</w:t>
            </w:r>
            <w:r w:rsidR="00AC3871" w:rsidRPr="000560B5">
              <w:rPr>
                <w:rFonts w:ascii="Times New Roman" w:eastAsia="Calibri" w:hAnsi="Times New Roman" w:cs="Times New Roman"/>
                <w:color w:val="000000"/>
                <w:sz w:val="26"/>
                <w:szCs w:val="26"/>
              </w:rPr>
              <w:t>,</w:t>
            </w:r>
            <w:r w:rsidR="00712CFB" w:rsidRPr="000560B5">
              <w:rPr>
                <w:rFonts w:ascii="Times New Roman" w:eastAsia="Calibri" w:hAnsi="Times New Roman" w:cs="Times New Roman"/>
                <w:color w:val="000000"/>
                <w:sz w:val="26"/>
                <w:szCs w:val="26"/>
              </w:rPr>
              <w:t xml:space="preserve"> Nīderlandē</w:t>
            </w:r>
            <w:r w:rsidR="00AC3871" w:rsidRPr="000560B5">
              <w:t xml:space="preserve"> </w:t>
            </w:r>
            <w:r w:rsidR="00AC3871" w:rsidRPr="000560B5">
              <w:rPr>
                <w:rFonts w:ascii="Times New Roman" w:eastAsia="Calibri" w:hAnsi="Times New Roman" w:cs="Times New Roman"/>
                <w:color w:val="000000"/>
                <w:sz w:val="26"/>
                <w:szCs w:val="26"/>
              </w:rPr>
              <w:t>Beļģijā, Austrijā, Ukrainā, Baltkrievijā un Polijā</w:t>
            </w:r>
            <w:r w:rsidR="00712CFB" w:rsidRPr="000560B5">
              <w:rPr>
                <w:rFonts w:ascii="Times New Roman" w:eastAsia="Calibri" w:hAnsi="Times New Roman" w:cs="Times New Roman"/>
                <w:color w:val="000000"/>
                <w:sz w:val="26"/>
                <w:szCs w:val="26"/>
              </w:rPr>
              <w:t xml:space="preserve">. </w:t>
            </w:r>
            <w:r w:rsidR="00AC3871" w:rsidRPr="000560B5">
              <w:rPr>
                <w:rFonts w:ascii="Times New Roman" w:eastAsia="Calibri" w:hAnsi="Times New Roman" w:cs="Times New Roman"/>
                <w:color w:val="000000"/>
                <w:sz w:val="26"/>
                <w:szCs w:val="26"/>
              </w:rPr>
              <w:t xml:space="preserve">No augstāk minētajiem tirgiem ir intensīvāka tūristu plūsma, kā arī ērti un pieejami transporta savienojumi ar Latviju. </w:t>
            </w:r>
            <w:r w:rsidR="00712CFB" w:rsidRPr="000560B5">
              <w:rPr>
                <w:rFonts w:ascii="Times New Roman" w:eastAsia="Calibri" w:hAnsi="Times New Roman" w:cs="Times New Roman"/>
                <w:color w:val="000000"/>
                <w:sz w:val="26"/>
                <w:szCs w:val="26"/>
              </w:rPr>
              <w:t>Tā kā šīs darbības ir saistītas ar Rīgu, kā Eiropas kultūras galvaspilsētu, tad attiecīgi TAVA ir nepieciešams lielāks Eiropas Reģionālās attīstības fonda līdzfinansējums salīdzinot</w:t>
            </w:r>
            <w:r w:rsidR="00712CFB" w:rsidRPr="0004084E">
              <w:rPr>
                <w:rFonts w:ascii="Times New Roman" w:eastAsia="Calibri" w:hAnsi="Times New Roman" w:cs="Times New Roman"/>
                <w:color w:val="000000"/>
                <w:sz w:val="26"/>
                <w:szCs w:val="26"/>
              </w:rPr>
              <w:t xml:space="preserve"> ar LIAA.</w:t>
            </w:r>
          </w:p>
          <w:p w:rsidR="006E24E5" w:rsidRPr="000560B5" w:rsidRDefault="00664470" w:rsidP="00D90174">
            <w:pPr>
              <w:spacing w:after="0" w:line="240" w:lineRule="auto"/>
              <w:ind w:firstLine="567"/>
              <w:jc w:val="both"/>
              <w:rPr>
                <w:rFonts w:ascii="Times New Roman" w:eastAsia="Calibri" w:hAnsi="Times New Roman" w:cs="Times New Roman"/>
                <w:color w:val="000000"/>
                <w:sz w:val="26"/>
                <w:szCs w:val="26"/>
              </w:rPr>
            </w:pPr>
            <w:r w:rsidRPr="000560B5">
              <w:rPr>
                <w:rFonts w:ascii="Times New Roman" w:eastAsia="Times New Roman" w:hAnsi="Times New Roman" w:cs="Times New Roman"/>
                <w:bCs/>
                <w:sz w:val="26"/>
                <w:szCs w:val="26"/>
                <w:lang w:eastAsia="lv-LV"/>
              </w:rPr>
              <w:t>Finansējuma pārdale notiek no 2.3.1.1.1.apakšaktivitātes „Ārējo tirgu apgūšana – ārējais mārketings</w:t>
            </w:r>
            <w:r w:rsidR="00722173" w:rsidRPr="000560B5">
              <w:rPr>
                <w:rFonts w:ascii="Times New Roman" w:eastAsia="Times New Roman" w:hAnsi="Times New Roman" w:cs="Times New Roman"/>
                <w:bCs/>
                <w:sz w:val="26"/>
                <w:szCs w:val="26"/>
                <w:lang w:eastAsia="lv-LV"/>
              </w:rPr>
              <w:t xml:space="preserve">” (turpmāk - </w:t>
            </w:r>
            <w:r w:rsidRPr="000560B5">
              <w:rPr>
                <w:rFonts w:ascii="Times New Roman" w:eastAsia="Times New Roman" w:hAnsi="Times New Roman" w:cs="Times New Roman"/>
                <w:bCs/>
                <w:sz w:val="26"/>
                <w:szCs w:val="26"/>
                <w:lang w:eastAsia="lv-LV"/>
              </w:rPr>
              <w:t>2.3.1.1.1.aktivitāte</w:t>
            </w:r>
            <w:r w:rsidR="005E6AF0" w:rsidRPr="000560B5">
              <w:rPr>
                <w:rFonts w:ascii="Times New Roman" w:eastAsia="Calibri" w:hAnsi="Times New Roman" w:cs="Times New Roman"/>
                <w:color w:val="000000"/>
                <w:sz w:val="26"/>
                <w:szCs w:val="26"/>
              </w:rPr>
              <w:t>)</w:t>
            </w:r>
            <w:r w:rsidR="00722173" w:rsidRPr="000560B5">
              <w:rPr>
                <w:rFonts w:ascii="Times New Roman" w:eastAsia="Calibri" w:hAnsi="Times New Roman" w:cs="Times New Roman"/>
                <w:color w:val="000000"/>
                <w:sz w:val="26"/>
                <w:szCs w:val="26"/>
              </w:rPr>
              <w:t xml:space="preserve">, kur ir pieejami brīvi līdzekļi. </w:t>
            </w:r>
            <w:r w:rsidR="00E81A11" w:rsidRPr="000560B5">
              <w:rPr>
                <w:rFonts w:ascii="Times New Roman" w:eastAsia="Calibri" w:hAnsi="Times New Roman" w:cs="Times New Roman"/>
                <w:color w:val="000000"/>
                <w:sz w:val="26"/>
                <w:szCs w:val="26"/>
              </w:rPr>
              <w:t xml:space="preserve">Eiropas Reģionālā attīstības fonda līdzfinansējuma </w:t>
            </w:r>
            <w:r w:rsidR="00722173" w:rsidRPr="000560B5">
              <w:rPr>
                <w:rFonts w:ascii="Times New Roman" w:eastAsia="Calibri" w:hAnsi="Times New Roman" w:cs="Times New Roman"/>
                <w:color w:val="000000"/>
                <w:sz w:val="26"/>
                <w:szCs w:val="26"/>
              </w:rPr>
              <w:t>pārdales apjoms</w:t>
            </w:r>
            <w:r w:rsidR="005E6AF0" w:rsidRPr="000560B5">
              <w:rPr>
                <w:rFonts w:ascii="Times New Roman" w:eastAsia="Calibri" w:hAnsi="Times New Roman" w:cs="Times New Roman"/>
                <w:color w:val="000000"/>
                <w:sz w:val="26"/>
                <w:szCs w:val="26"/>
              </w:rPr>
              <w:t>,</w:t>
            </w:r>
            <w:r w:rsidR="00722173" w:rsidRPr="000560B5">
              <w:rPr>
                <w:rFonts w:ascii="Times New Roman" w:eastAsia="Calibri" w:hAnsi="Times New Roman" w:cs="Times New Roman"/>
                <w:color w:val="000000"/>
                <w:sz w:val="26"/>
                <w:szCs w:val="26"/>
              </w:rPr>
              <w:t xml:space="preserve"> kas tiek pārdalīts no 2.3.1.1.1.aktivitāt</w:t>
            </w:r>
            <w:r w:rsidR="005E6AF0" w:rsidRPr="000560B5">
              <w:rPr>
                <w:rFonts w:ascii="Times New Roman" w:eastAsia="Calibri" w:hAnsi="Times New Roman" w:cs="Times New Roman"/>
                <w:color w:val="000000"/>
                <w:sz w:val="26"/>
                <w:szCs w:val="26"/>
              </w:rPr>
              <w:t>es</w:t>
            </w:r>
            <w:r w:rsidR="00722173" w:rsidRPr="000560B5">
              <w:rPr>
                <w:rFonts w:ascii="Times New Roman" w:eastAsia="Calibri" w:hAnsi="Times New Roman" w:cs="Times New Roman"/>
                <w:color w:val="000000"/>
                <w:sz w:val="26"/>
                <w:szCs w:val="26"/>
              </w:rPr>
              <w:t xml:space="preserve"> uz 2.3.1.1.2.ak</w:t>
            </w:r>
            <w:r w:rsidR="005E6AF0" w:rsidRPr="000560B5">
              <w:rPr>
                <w:rFonts w:ascii="Times New Roman" w:eastAsia="Calibri" w:hAnsi="Times New Roman" w:cs="Times New Roman"/>
                <w:color w:val="000000"/>
                <w:sz w:val="26"/>
                <w:szCs w:val="26"/>
              </w:rPr>
              <w:t>t</w:t>
            </w:r>
            <w:r w:rsidR="00722173" w:rsidRPr="000560B5">
              <w:rPr>
                <w:rFonts w:ascii="Times New Roman" w:eastAsia="Calibri" w:hAnsi="Times New Roman" w:cs="Times New Roman"/>
                <w:color w:val="000000"/>
                <w:sz w:val="26"/>
                <w:szCs w:val="26"/>
              </w:rPr>
              <w:t>ivitāt</w:t>
            </w:r>
            <w:r w:rsidR="005E6AF0" w:rsidRPr="000560B5">
              <w:rPr>
                <w:rFonts w:ascii="Times New Roman" w:eastAsia="Calibri" w:hAnsi="Times New Roman" w:cs="Times New Roman"/>
                <w:color w:val="000000"/>
                <w:sz w:val="26"/>
                <w:szCs w:val="26"/>
              </w:rPr>
              <w:t>i</w:t>
            </w:r>
            <w:r w:rsidR="00722173" w:rsidRPr="000560B5">
              <w:rPr>
                <w:rFonts w:ascii="Times New Roman" w:eastAsia="Calibri" w:hAnsi="Times New Roman" w:cs="Times New Roman"/>
                <w:color w:val="000000"/>
                <w:sz w:val="26"/>
                <w:szCs w:val="26"/>
              </w:rPr>
              <w:t xml:space="preserve"> ir </w:t>
            </w:r>
            <w:r w:rsidR="008D4B3C" w:rsidRPr="000560B5">
              <w:rPr>
                <w:rFonts w:ascii="Times New Roman" w:eastAsia="Calibri" w:hAnsi="Times New Roman" w:cs="Times New Roman"/>
                <w:color w:val="000000"/>
                <w:sz w:val="26"/>
                <w:szCs w:val="26"/>
              </w:rPr>
              <w:t>2</w:t>
            </w:r>
            <w:r w:rsidR="00722173" w:rsidRPr="000560B5">
              <w:rPr>
                <w:rFonts w:ascii="Times New Roman" w:eastAsia="Calibri" w:hAnsi="Times New Roman" w:cs="Times New Roman"/>
                <w:color w:val="000000"/>
                <w:sz w:val="26"/>
                <w:szCs w:val="26"/>
              </w:rPr>
              <w:t> </w:t>
            </w:r>
            <w:r w:rsidR="00AE550C" w:rsidRPr="000560B5">
              <w:rPr>
                <w:rFonts w:ascii="Times New Roman" w:eastAsia="Calibri" w:hAnsi="Times New Roman" w:cs="Times New Roman"/>
                <w:color w:val="000000"/>
                <w:sz w:val="26"/>
                <w:szCs w:val="26"/>
              </w:rPr>
              <w:t>5</w:t>
            </w:r>
            <w:r w:rsidR="00722173" w:rsidRPr="000560B5">
              <w:rPr>
                <w:rFonts w:ascii="Times New Roman" w:eastAsia="Calibri" w:hAnsi="Times New Roman" w:cs="Times New Roman"/>
                <w:color w:val="000000"/>
                <w:sz w:val="26"/>
                <w:szCs w:val="26"/>
              </w:rPr>
              <w:t>00 000 lati.</w:t>
            </w:r>
          </w:p>
          <w:p w:rsidR="006E6D43" w:rsidRPr="000560B5" w:rsidRDefault="006E6D43" w:rsidP="00D90174">
            <w:pPr>
              <w:spacing w:after="0" w:line="240" w:lineRule="auto"/>
              <w:ind w:firstLine="567"/>
              <w:jc w:val="both"/>
              <w:rPr>
                <w:rFonts w:ascii="Times New Roman" w:eastAsia="Calibri" w:hAnsi="Times New Roman" w:cs="Times New Roman"/>
                <w:bCs/>
                <w:color w:val="000000"/>
                <w:sz w:val="26"/>
                <w:szCs w:val="26"/>
              </w:rPr>
            </w:pPr>
            <w:r w:rsidRPr="000560B5">
              <w:rPr>
                <w:rFonts w:ascii="Times New Roman" w:eastAsia="Calibri" w:hAnsi="Times New Roman" w:cs="Times New Roman"/>
                <w:bCs/>
                <w:color w:val="000000"/>
                <w:sz w:val="26"/>
                <w:szCs w:val="26"/>
              </w:rPr>
              <w:t>Grozījumi 2.3.1.1.2.aktivitātes 3.2.apakšpunktā paredz paplašināt atbalstāmās darbības ar ārvalstu žurnālistu un komercsabiedrību iepazīšanās vizītēm Latvijā</w:t>
            </w:r>
            <w:r w:rsidR="00F5215C" w:rsidRPr="000560B5">
              <w:rPr>
                <w:rFonts w:ascii="Times New Roman" w:eastAsia="Calibri" w:hAnsi="Times New Roman" w:cs="Times New Roman"/>
                <w:bCs/>
                <w:color w:val="000000"/>
                <w:sz w:val="26"/>
                <w:szCs w:val="26"/>
              </w:rPr>
              <w:t>, kā arī ar mārketinga kampaņām</w:t>
            </w:r>
            <w:r w:rsidR="00431DF3" w:rsidRPr="000560B5">
              <w:rPr>
                <w:rFonts w:ascii="Times New Roman" w:eastAsia="Calibri" w:hAnsi="Times New Roman" w:cs="Times New Roman"/>
                <w:bCs/>
                <w:color w:val="000000"/>
                <w:sz w:val="26"/>
                <w:szCs w:val="26"/>
              </w:rPr>
              <w:t xml:space="preserve"> ārvalstu tūristu piesaistei</w:t>
            </w:r>
            <w:r w:rsidRPr="000560B5">
              <w:rPr>
                <w:rFonts w:ascii="Times New Roman" w:eastAsia="Calibri" w:hAnsi="Times New Roman" w:cs="Times New Roman"/>
                <w:bCs/>
                <w:color w:val="000000"/>
                <w:sz w:val="26"/>
                <w:szCs w:val="26"/>
              </w:rPr>
              <w:t xml:space="preserve">. Grozījumi ar identisku redakciju arī tiek veikti darbības programmas „Uzņēmējdarbība un inovācijas” papildinājumā, kas tiks izskatīti pirms vai vienlaikus </w:t>
            </w:r>
            <w:r w:rsidR="00604A6A">
              <w:rPr>
                <w:rFonts w:ascii="Times New Roman" w:eastAsia="Calibri" w:hAnsi="Times New Roman" w:cs="Times New Roman"/>
                <w:bCs/>
                <w:color w:val="000000"/>
                <w:sz w:val="26"/>
                <w:szCs w:val="26"/>
              </w:rPr>
              <w:t xml:space="preserve">ar </w:t>
            </w:r>
            <w:r w:rsidRPr="000560B5">
              <w:rPr>
                <w:rFonts w:ascii="Times New Roman" w:eastAsia="Calibri" w:hAnsi="Times New Roman" w:cs="Times New Roman"/>
                <w:bCs/>
                <w:color w:val="000000"/>
                <w:sz w:val="26"/>
                <w:szCs w:val="26"/>
              </w:rPr>
              <w:t>š</w:t>
            </w:r>
            <w:r w:rsidR="00604A6A">
              <w:rPr>
                <w:rFonts w:ascii="Times New Roman" w:eastAsia="Calibri" w:hAnsi="Times New Roman" w:cs="Times New Roman"/>
                <w:bCs/>
                <w:color w:val="000000"/>
                <w:sz w:val="26"/>
                <w:szCs w:val="26"/>
              </w:rPr>
              <w:t>o</w:t>
            </w:r>
            <w:r w:rsidRPr="000560B5">
              <w:rPr>
                <w:rFonts w:ascii="Times New Roman" w:eastAsia="Calibri" w:hAnsi="Times New Roman" w:cs="Times New Roman"/>
                <w:bCs/>
                <w:color w:val="000000"/>
                <w:sz w:val="26"/>
                <w:szCs w:val="26"/>
              </w:rPr>
              <w:t xml:space="preserve"> noteikumu projekt</w:t>
            </w:r>
            <w:r w:rsidR="00604A6A">
              <w:rPr>
                <w:rFonts w:ascii="Times New Roman" w:eastAsia="Calibri" w:hAnsi="Times New Roman" w:cs="Times New Roman"/>
                <w:bCs/>
                <w:color w:val="000000"/>
                <w:sz w:val="26"/>
                <w:szCs w:val="26"/>
              </w:rPr>
              <w:t>u</w:t>
            </w:r>
            <w:r w:rsidRPr="000560B5">
              <w:rPr>
                <w:rFonts w:ascii="Times New Roman" w:eastAsia="Calibri" w:hAnsi="Times New Roman" w:cs="Times New Roman"/>
                <w:bCs/>
                <w:color w:val="000000"/>
                <w:sz w:val="26"/>
                <w:szCs w:val="26"/>
              </w:rPr>
              <w:t xml:space="preserve">. </w:t>
            </w:r>
          </w:p>
          <w:p w:rsidR="00993A38" w:rsidRPr="000560B5" w:rsidRDefault="003C7F3B"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 xml:space="preserve">Noteikumu grozījumi 2.3.1.1.2.aktivitātes </w:t>
            </w:r>
            <w:r w:rsidR="00993A38" w:rsidRPr="000560B5">
              <w:rPr>
                <w:rFonts w:ascii="Times New Roman" w:eastAsia="Times New Roman" w:hAnsi="Times New Roman" w:cs="Times New Roman"/>
                <w:bCs/>
                <w:sz w:val="26"/>
                <w:szCs w:val="26"/>
                <w:lang w:eastAsia="lv-LV"/>
              </w:rPr>
              <w:t>19.un 21.punktos maina attiecināmo izmaksu nosacījumus</w:t>
            </w:r>
            <w:r w:rsidR="00BB3E03" w:rsidRPr="000560B5">
              <w:rPr>
                <w:rFonts w:ascii="Times New Roman" w:eastAsia="Times New Roman" w:hAnsi="Times New Roman" w:cs="Times New Roman"/>
                <w:bCs/>
                <w:sz w:val="26"/>
                <w:szCs w:val="26"/>
                <w:lang w:eastAsia="lv-LV"/>
              </w:rPr>
              <w:t>.</w:t>
            </w:r>
            <w:r w:rsidR="00993A38" w:rsidRPr="000560B5">
              <w:rPr>
                <w:rFonts w:ascii="Times New Roman" w:eastAsia="Times New Roman" w:hAnsi="Times New Roman" w:cs="Times New Roman"/>
                <w:bCs/>
                <w:sz w:val="26"/>
                <w:szCs w:val="26"/>
                <w:lang w:eastAsia="lv-LV"/>
              </w:rPr>
              <w:t xml:space="preserve"> </w:t>
            </w:r>
            <w:r w:rsidR="00BB3E03" w:rsidRPr="000560B5">
              <w:rPr>
                <w:rFonts w:ascii="Times New Roman" w:eastAsia="Times New Roman" w:hAnsi="Times New Roman" w:cs="Times New Roman"/>
                <w:bCs/>
                <w:sz w:val="26"/>
                <w:szCs w:val="26"/>
                <w:lang w:eastAsia="lv-LV"/>
              </w:rPr>
              <w:t>I</w:t>
            </w:r>
            <w:r w:rsidR="00993A38" w:rsidRPr="000560B5">
              <w:rPr>
                <w:rFonts w:ascii="Times New Roman" w:eastAsia="Times New Roman" w:hAnsi="Times New Roman" w:cs="Times New Roman"/>
                <w:bCs/>
                <w:sz w:val="26"/>
                <w:szCs w:val="26"/>
                <w:lang w:eastAsia="lv-LV"/>
              </w:rPr>
              <w:t>zmaiņas paredz p</w:t>
            </w:r>
            <w:r w:rsidRPr="000560B5">
              <w:rPr>
                <w:rFonts w:ascii="Times New Roman" w:eastAsia="Times New Roman" w:hAnsi="Times New Roman" w:cs="Times New Roman"/>
                <w:bCs/>
                <w:sz w:val="26"/>
                <w:szCs w:val="26"/>
                <w:lang w:eastAsia="lv-LV"/>
              </w:rPr>
              <w:t xml:space="preserve">recizēt </w:t>
            </w:r>
            <w:r w:rsidR="00993A38" w:rsidRPr="000560B5">
              <w:rPr>
                <w:rFonts w:ascii="Times New Roman" w:eastAsia="Times New Roman" w:hAnsi="Times New Roman" w:cs="Times New Roman"/>
                <w:bCs/>
                <w:sz w:val="26"/>
                <w:szCs w:val="26"/>
                <w:lang w:eastAsia="lv-LV"/>
              </w:rPr>
              <w:t xml:space="preserve">attiecināmo izmaksu nosacījumus, kas nozīmē ka personu tiesiskā paļāvība netiek aizskarta. </w:t>
            </w:r>
            <w:r w:rsidRPr="000560B5">
              <w:rPr>
                <w:rFonts w:ascii="Times New Roman" w:eastAsia="Times New Roman" w:hAnsi="Times New Roman" w:cs="Times New Roman"/>
                <w:bCs/>
                <w:sz w:val="26"/>
                <w:szCs w:val="26"/>
                <w:lang w:eastAsia="lv-LV"/>
              </w:rPr>
              <w:t>Attiecināmās izmaksas tiek precizētas attiecībā uz</w:t>
            </w:r>
            <w:r w:rsidR="00993A38" w:rsidRPr="000560B5">
              <w:rPr>
                <w:rFonts w:ascii="Times New Roman" w:eastAsia="Times New Roman" w:hAnsi="Times New Roman" w:cs="Times New Roman"/>
                <w:bCs/>
                <w:sz w:val="26"/>
                <w:szCs w:val="26"/>
                <w:lang w:eastAsia="lv-LV"/>
              </w:rPr>
              <w:t>:</w:t>
            </w:r>
          </w:p>
          <w:p w:rsidR="003C7F3B" w:rsidRPr="000560B5" w:rsidRDefault="003C7F3B"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w:t>
            </w:r>
            <w:r w:rsidRPr="000560B5">
              <w:rPr>
                <w:rFonts w:ascii="Times New Roman" w:eastAsia="Times New Roman" w:hAnsi="Times New Roman" w:cs="Times New Roman"/>
                <w:bCs/>
                <w:sz w:val="26"/>
                <w:szCs w:val="26"/>
                <w:lang w:eastAsia="lv-LV"/>
              </w:rPr>
              <w:tab/>
              <w:t>tīrīšanas līdzekļu un saimniecības preču iegādes izmaksām stenda ikdienas uzkopšanai un tīrīšanai</w:t>
            </w:r>
            <w:r w:rsidR="00BB2916" w:rsidRPr="000560B5">
              <w:rPr>
                <w:rFonts w:ascii="Times New Roman" w:eastAsia="Times New Roman" w:hAnsi="Times New Roman" w:cs="Times New Roman"/>
                <w:bCs/>
                <w:sz w:val="26"/>
                <w:szCs w:val="26"/>
                <w:lang w:eastAsia="lv-LV"/>
              </w:rPr>
              <w:t xml:space="preserve"> (stenda darbības nodrošināšana izstādes laikā)</w:t>
            </w:r>
            <w:r w:rsidRPr="000560B5">
              <w:rPr>
                <w:rFonts w:ascii="Times New Roman" w:eastAsia="Times New Roman" w:hAnsi="Times New Roman" w:cs="Times New Roman"/>
                <w:bCs/>
                <w:sz w:val="26"/>
                <w:szCs w:val="26"/>
                <w:lang w:eastAsia="lv-LV"/>
              </w:rPr>
              <w:t>;</w:t>
            </w:r>
          </w:p>
          <w:p w:rsidR="003C7F3B" w:rsidRPr="000560B5" w:rsidRDefault="003C7F3B"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w:t>
            </w:r>
            <w:r w:rsidRPr="000560B5">
              <w:rPr>
                <w:rFonts w:ascii="Times New Roman" w:eastAsia="Times New Roman" w:hAnsi="Times New Roman" w:cs="Times New Roman"/>
                <w:bCs/>
                <w:sz w:val="26"/>
                <w:szCs w:val="26"/>
                <w:lang w:eastAsia="lv-LV"/>
              </w:rPr>
              <w:tab/>
              <w:t>produktu degustāciju;</w:t>
            </w:r>
          </w:p>
          <w:p w:rsidR="003C7F3B" w:rsidRPr="000560B5" w:rsidRDefault="003C7F3B"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w:t>
            </w:r>
            <w:r w:rsidRPr="000560B5">
              <w:rPr>
                <w:rFonts w:ascii="Times New Roman" w:eastAsia="Times New Roman" w:hAnsi="Times New Roman" w:cs="Times New Roman"/>
                <w:bCs/>
                <w:sz w:val="26"/>
                <w:szCs w:val="26"/>
                <w:lang w:eastAsia="lv-LV"/>
              </w:rPr>
              <w:tab/>
              <w:t>reprezentācijas izdevumiem izstādēs un ar izstādi saistītājos pasākumos;</w:t>
            </w:r>
          </w:p>
          <w:p w:rsidR="00993A38" w:rsidRPr="000560B5" w:rsidRDefault="003C7F3B"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w:t>
            </w:r>
            <w:r w:rsidRPr="000560B5">
              <w:rPr>
                <w:rFonts w:ascii="Times New Roman" w:eastAsia="Times New Roman" w:hAnsi="Times New Roman" w:cs="Times New Roman"/>
                <w:bCs/>
                <w:sz w:val="26"/>
                <w:szCs w:val="26"/>
                <w:lang w:eastAsia="lv-LV"/>
              </w:rPr>
              <w:tab/>
              <w:t>ārvalstu uzņēmēju un žurnālistu vizīšu tūrisma objektu apmeklēšanas izdevumiem.</w:t>
            </w:r>
          </w:p>
          <w:p w:rsidR="00993A38" w:rsidRPr="000560B5" w:rsidRDefault="00853098"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Grozījumi noteikumu 19.2.</w:t>
            </w:r>
            <w:r w:rsidR="007B286B" w:rsidRPr="000560B5">
              <w:rPr>
                <w:rFonts w:ascii="Times New Roman" w:eastAsia="Times New Roman" w:hAnsi="Times New Roman" w:cs="Times New Roman"/>
                <w:bCs/>
                <w:sz w:val="26"/>
                <w:szCs w:val="26"/>
                <w:lang w:eastAsia="lv-LV"/>
              </w:rPr>
              <w:t xml:space="preserve">apakšpunktā paredz paplašināt attiecināmās izmaksas ar stenda darbības nodrošināšanas izmaksām </w:t>
            </w:r>
            <w:r w:rsidR="007B286B" w:rsidRPr="000560B5">
              <w:rPr>
                <w:rFonts w:ascii="Times New Roman" w:eastAsia="Times New Roman" w:hAnsi="Times New Roman" w:cs="Times New Roman"/>
                <w:bCs/>
                <w:sz w:val="26"/>
                <w:szCs w:val="26"/>
                <w:lang w:eastAsia="lv-LV"/>
              </w:rPr>
              <w:lastRenderedPageBreak/>
              <w:t>izstādes laikā.</w:t>
            </w:r>
          </w:p>
          <w:p w:rsidR="00993A38" w:rsidRPr="000560B5" w:rsidRDefault="00993A38"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 xml:space="preserve">Grozījumi </w:t>
            </w:r>
            <w:r w:rsidR="00F45918" w:rsidRPr="000560B5">
              <w:rPr>
                <w:rFonts w:ascii="Times New Roman" w:eastAsia="Times New Roman" w:hAnsi="Times New Roman" w:cs="Times New Roman"/>
                <w:bCs/>
                <w:sz w:val="26"/>
                <w:szCs w:val="26"/>
                <w:lang w:eastAsia="lv-LV"/>
              </w:rPr>
              <w:t xml:space="preserve">noteikumu </w:t>
            </w:r>
            <w:r w:rsidRPr="000560B5">
              <w:rPr>
                <w:rFonts w:ascii="Times New Roman" w:eastAsia="Times New Roman" w:hAnsi="Times New Roman" w:cs="Times New Roman"/>
                <w:bCs/>
                <w:sz w:val="26"/>
                <w:szCs w:val="26"/>
                <w:lang w:eastAsia="lv-LV"/>
              </w:rPr>
              <w:t>19.5.</w:t>
            </w:r>
            <w:r w:rsidR="00357621" w:rsidRPr="000560B5">
              <w:rPr>
                <w:rFonts w:ascii="Times New Roman" w:eastAsia="Times New Roman" w:hAnsi="Times New Roman" w:cs="Times New Roman"/>
                <w:bCs/>
                <w:sz w:val="26"/>
                <w:szCs w:val="26"/>
                <w:lang w:eastAsia="lv-LV"/>
              </w:rPr>
              <w:t>apakš</w:t>
            </w:r>
            <w:r w:rsidRPr="000560B5">
              <w:rPr>
                <w:rFonts w:ascii="Times New Roman" w:eastAsia="Times New Roman" w:hAnsi="Times New Roman" w:cs="Times New Roman"/>
                <w:bCs/>
                <w:sz w:val="26"/>
                <w:szCs w:val="26"/>
                <w:lang w:eastAsia="lv-LV"/>
              </w:rPr>
              <w:t>punktā nepieciešami, jo patreizējā noteikumu redakcijā attiecināmās izmaksas nacionālo stendu organizēšanai starptautiskajās izstādēs ārvalstīs ir tikai telpu nomas izmaksas darba semināriem, iekļaujot tehniskā aprīkojuma izmaksas, kas neietver visas nepieciešamās izmaksas darba semināru organizēšanai, lai kvalitatīvi noorganizētu darba semināru tūrisma izstādes laikā, tādējādi veicinot Latvijas kā tūrisma galamērķa starptautisko konkurētspēju.</w:t>
            </w:r>
            <w:r w:rsidR="00357621" w:rsidRPr="000560B5">
              <w:rPr>
                <w:rFonts w:ascii="Times New Roman" w:eastAsia="Times New Roman" w:hAnsi="Times New Roman" w:cs="Times New Roman"/>
                <w:bCs/>
                <w:sz w:val="26"/>
                <w:szCs w:val="26"/>
                <w:lang w:eastAsia="lv-LV"/>
              </w:rPr>
              <w:t xml:space="preserve"> Papildus iepriekšminētaj</w:t>
            </w:r>
            <w:r w:rsidR="00CC14AE" w:rsidRPr="000560B5">
              <w:rPr>
                <w:rFonts w:ascii="Times New Roman" w:eastAsia="Times New Roman" w:hAnsi="Times New Roman" w:cs="Times New Roman"/>
                <w:bCs/>
                <w:sz w:val="26"/>
                <w:szCs w:val="26"/>
                <w:lang w:eastAsia="lv-LV"/>
              </w:rPr>
              <w:t>iem grozījumiem</w:t>
            </w:r>
            <w:r w:rsidR="00357621" w:rsidRPr="000560B5">
              <w:rPr>
                <w:rFonts w:ascii="Times New Roman" w:eastAsia="Times New Roman" w:hAnsi="Times New Roman" w:cs="Times New Roman"/>
                <w:bCs/>
                <w:sz w:val="26"/>
                <w:szCs w:val="26"/>
                <w:lang w:eastAsia="lv-LV"/>
              </w:rPr>
              <w:t>, pas</w:t>
            </w:r>
            <w:r w:rsidR="00CC14AE" w:rsidRPr="000560B5">
              <w:rPr>
                <w:rFonts w:ascii="Times New Roman" w:eastAsia="Times New Roman" w:hAnsi="Times New Roman" w:cs="Times New Roman"/>
                <w:bCs/>
                <w:sz w:val="26"/>
                <w:szCs w:val="26"/>
                <w:lang w:eastAsia="lv-LV"/>
              </w:rPr>
              <w:t>ā</w:t>
            </w:r>
            <w:r w:rsidR="00357621" w:rsidRPr="000560B5">
              <w:rPr>
                <w:rFonts w:ascii="Times New Roman" w:eastAsia="Times New Roman" w:hAnsi="Times New Roman" w:cs="Times New Roman"/>
                <w:bCs/>
                <w:sz w:val="26"/>
                <w:szCs w:val="26"/>
                <w:lang w:eastAsia="lv-LV"/>
              </w:rPr>
              <w:t>kumu veidi, kuros izmaksas ir attiecināmas, ir paplašināti ar prezentācijām, konferencēm un ar projekta mērķa sasniegšanu saistītiem pasākumiem.</w:t>
            </w:r>
          </w:p>
          <w:p w:rsidR="006E6D43" w:rsidRPr="000560B5" w:rsidRDefault="006E6D43"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Grozījumi 19.</w:t>
            </w:r>
            <w:r w:rsidR="0004084E" w:rsidRPr="000560B5">
              <w:rPr>
                <w:rFonts w:ascii="Times New Roman" w:eastAsia="Times New Roman" w:hAnsi="Times New Roman" w:cs="Times New Roman"/>
                <w:bCs/>
                <w:sz w:val="26"/>
                <w:szCs w:val="26"/>
                <w:lang w:eastAsia="lv-LV"/>
              </w:rPr>
              <w:t>6</w:t>
            </w:r>
            <w:r w:rsidRPr="000560B5">
              <w:rPr>
                <w:rFonts w:ascii="Times New Roman" w:eastAsia="Times New Roman" w:hAnsi="Times New Roman" w:cs="Times New Roman"/>
                <w:bCs/>
                <w:sz w:val="26"/>
                <w:szCs w:val="26"/>
                <w:lang w:eastAsia="lv-LV"/>
              </w:rPr>
              <w:t>.apakšpunktā ļauj attiecināt izdevumus, kas saistīti ar</w:t>
            </w:r>
            <w:r w:rsidR="002511D9" w:rsidRPr="000560B5">
              <w:rPr>
                <w:rFonts w:ascii="Times New Roman" w:eastAsia="Times New Roman" w:hAnsi="Times New Roman" w:cs="Times New Roman"/>
                <w:bCs/>
                <w:sz w:val="26"/>
                <w:szCs w:val="26"/>
                <w:lang w:eastAsia="lv-LV"/>
              </w:rPr>
              <w:t xml:space="preserve"> izstādēm un to saistītajiem pasākumiem</w:t>
            </w:r>
            <w:r w:rsidRPr="000560B5">
              <w:rPr>
                <w:rFonts w:ascii="Times New Roman" w:eastAsia="Times New Roman" w:hAnsi="Times New Roman" w:cs="Times New Roman"/>
                <w:bCs/>
                <w:sz w:val="26"/>
                <w:szCs w:val="26"/>
                <w:lang w:eastAsia="lv-LV"/>
              </w:rPr>
              <w:t xml:space="preserve">, piemēram - papīra glāzes, stikla tīrāmie līdzekļi, papīra dvieļi, vaska aplīši ar Latvijas logo, šokolādes konfektes Latvijas produktu degustācijas  nodrošināšanai, maisiņi ar Latvijas logo, tēja, kafija, kafijas piens, salvetes. </w:t>
            </w:r>
          </w:p>
          <w:p w:rsidR="002511D9" w:rsidRPr="000560B5" w:rsidRDefault="002511D9"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Grozījumi 20.8.apakšpunktā nepi</w:t>
            </w:r>
            <w:r w:rsidR="008C626D" w:rsidRPr="000560B5">
              <w:rPr>
                <w:rFonts w:ascii="Times New Roman" w:eastAsia="Times New Roman" w:hAnsi="Times New Roman" w:cs="Times New Roman"/>
                <w:bCs/>
                <w:sz w:val="26"/>
                <w:szCs w:val="26"/>
                <w:lang w:eastAsia="lv-LV"/>
              </w:rPr>
              <w:t xml:space="preserve">eciešami lai attiecināmās izmaksas nepārklātos ar 19.punktu par nacionālo stendu organizēšanas attiecināmajām izmaksām. </w:t>
            </w:r>
          </w:p>
          <w:p w:rsidR="008C626D" w:rsidRPr="000560B5" w:rsidRDefault="008C626D"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 xml:space="preserve">Grozījumi 21.punktā paredz </w:t>
            </w:r>
            <w:r w:rsidR="000C4540" w:rsidRPr="000560B5">
              <w:rPr>
                <w:rFonts w:ascii="Times New Roman" w:eastAsia="Times New Roman" w:hAnsi="Times New Roman" w:cs="Times New Roman"/>
                <w:bCs/>
                <w:sz w:val="26"/>
                <w:szCs w:val="26"/>
                <w:lang w:eastAsia="lv-LV"/>
              </w:rPr>
              <w:t>paplašināt pasākumu veidus, kuros izmaksas būtu attiecināmas, ar mārketinga kampaņām, kuru mērķis ir ārvalstu tūristu piesaiste.</w:t>
            </w:r>
          </w:p>
          <w:p w:rsidR="000C4540" w:rsidRPr="000560B5" w:rsidRDefault="000C4540"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 xml:space="preserve">Grozījumi paredz apvienot vecās redakcijas 21.2.apakšpunktu ar 21.4.apakšpunktu, jaunajā redakcijā veidojot jaunu 21.3.apakšpunktu, kā arī papildinot šo punktu ar </w:t>
            </w:r>
            <w:r w:rsidR="00786B54" w:rsidRPr="000560B5">
              <w:rPr>
                <w:rFonts w:ascii="Times New Roman" w:eastAsia="Times New Roman" w:hAnsi="Times New Roman" w:cs="Times New Roman"/>
                <w:bCs/>
                <w:sz w:val="26"/>
                <w:szCs w:val="26"/>
                <w:lang w:eastAsia="lv-LV"/>
              </w:rPr>
              <w:t xml:space="preserve">izdevumiem, kas saistīti ar reklamēšanos sociālajos tīklos un mobilo aplikāciju izveidei. Uzglabāšanas izmaksas ir attiecināmas tikai ārpakalpojumiem, jo šobrīd TAVA un LIAA neattiecina izmaksas, kas radušās uzglabājot materiālus savās telpās, attiecīgi šāda definīcija precīzāk atbilstu esošai </w:t>
            </w:r>
            <w:r w:rsidR="00D4622A" w:rsidRPr="000560B5">
              <w:rPr>
                <w:rFonts w:ascii="Times New Roman" w:eastAsia="Times New Roman" w:hAnsi="Times New Roman" w:cs="Times New Roman"/>
                <w:bCs/>
                <w:sz w:val="26"/>
                <w:szCs w:val="26"/>
                <w:lang w:eastAsia="lv-LV"/>
              </w:rPr>
              <w:t>situācijai.</w:t>
            </w:r>
          </w:p>
          <w:p w:rsidR="006E6D43" w:rsidRPr="000560B5" w:rsidRDefault="006E6D43"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Grozījumi 21.</w:t>
            </w:r>
            <w:r w:rsidR="00D4622A" w:rsidRPr="000560B5">
              <w:rPr>
                <w:rFonts w:ascii="Times New Roman" w:eastAsia="Times New Roman" w:hAnsi="Times New Roman" w:cs="Times New Roman"/>
                <w:bCs/>
                <w:sz w:val="26"/>
                <w:szCs w:val="26"/>
                <w:lang w:eastAsia="lv-LV"/>
              </w:rPr>
              <w:t>3</w:t>
            </w:r>
            <w:r w:rsidRPr="000560B5">
              <w:rPr>
                <w:rFonts w:ascii="Times New Roman" w:eastAsia="Times New Roman" w:hAnsi="Times New Roman" w:cs="Times New Roman"/>
                <w:bCs/>
                <w:sz w:val="26"/>
                <w:szCs w:val="26"/>
                <w:lang w:eastAsia="lv-LV"/>
              </w:rPr>
              <w:t>.apakšpunktā paplašina attiecināmās izmaksas ar interaktīvajiem risinājumiem, kas nepieciešams nacionālo stendu apmeklētāju piesaistei. Tūrisma informācijas materiāli tiek izplatīti izstāžu laikā un sūtīti adresātiem pēc pieprasījuma, attiecīgi tas ir svarīgs informācijas avots tūristiem. Interaktīvie risinājumi izmantojami portāla un tūrisma piedāvājumu popularizēšanai interneta vidē. Reklāmas kampaņām tiek izstrādāti uzmanību piesaistoši reklāmkarogi, portāla satura pilnveidošanai izstrādātas virtuālās aktivitātes, ko var izmantot arī izstāžu apmeklētāju piesaistei.</w:t>
            </w:r>
          </w:p>
          <w:p w:rsidR="006E6D43" w:rsidRPr="000560B5" w:rsidRDefault="006E6D43"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Grozījumi 21.</w:t>
            </w:r>
            <w:r w:rsidR="00D4622A" w:rsidRPr="000560B5">
              <w:rPr>
                <w:rFonts w:ascii="Times New Roman" w:eastAsia="Times New Roman" w:hAnsi="Times New Roman" w:cs="Times New Roman"/>
                <w:bCs/>
                <w:sz w:val="26"/>
                <w:szCs w:val="26"/>
                <w:lang w:eastAsia="lv-LV"/>
              </w:rPr>
              <w:t>4</w:t>
            </w:r>
            <w:r w:rsidRPr="000560B5">
              <w:rPr>
                <w:rFonts w:ascii="Times New Roman" w:eastAsia="Times New Roman" w:hAnsi="Times New Roman" w:cs="Times New Roman"/>
                <w:bCs/>
                <w:sz w:val="26"/>
                <w:szCs w:val="26"/>
                <w:lang w:eastAsia="lv-LV"/>
              </w:rPr>
              <w:t xml:space="preserve">.apakšpunktā nepieciešami, jo ārvalstu tūrisma uzņēmumiem un žurnālistiem ir būtiski klātienē iepazīties ar tūrisma objektiem un to piedāvātajām atrakcijām lai izzinātu Latvijas </w:t>
            </w:r>
            <w:r w:rsidRPr="000560B5">
              <w:rPr>
                <w:rFonts w:ascii="Times New Roman" w:eastAsia="Times New Roman" w:hAnsi="Times New Roman" w:cs="Times New Roman"/>
                <w:bCs/>
                <w:sz w:val="26"/>
                <w:szCs w:val="26"/>
                <w:lang w:eastAsia="lv-LV"/>
              </w:rPr>
              <w:lastRenderedPageBreak/>
              <w:t>tūrisma piedāvājumu.</w:t>
            </w:r>
          </w:p>
          <w:p w:rsidR="006E6D43" w:rsidRPr="000560B5" w:rsidRDefault="00D4622A" w:rsidP="00D31F95">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 xml:space="preserve">Vecās redakcijas 21.6.apakšpunktus ir svītrots, jo tas ietvēra visas 21.punkta iekļautās izmaksas, attiecīgi dublējot citus punktus. </w:t>
            </w:r>
            <w:r w:rsidR="006E6D43" w:rsidRPr="000560B5">
              <w:rPr>
                <w:rFonts w:ascii="Times New Roman" w:eastAsia="Times New Roman" w:hAnsi="Times New Roman" w:cs="Times New Roman"/>
                <w:bCs/>
                <w:sz w:val="26"/>
                <w:szCs w:val="26"/>
                <w:lang w:eastAsia="lv-LV"/>
              </w:rPr>
              <w:t>Grozījumi 21.</w:t>
            </w:r>
            <w:r w:rsidR="00D31F95" w:rsidRPr="000560B5">
              <w:rPr>
                <w:rFonts w:ascii="Times New Roman" w:eastAsia="Times New Roman" w:hAnsi="Times New Roman" w:cs="Times New Roman"/>
                <w:bCs/>
                <w:sz w:val="26"/>
                <w:szCs w:val="26"/>
                <w:lang w:eastAsia="lv-LV"/>
              </w:rPr>
              <w:t>5</w:t>
            </w:r>
            <w:r w:rsidR="006E6D43" w:rsidRPr="000560B5">
              <w:rPr>
                <w:rFonts w:ascii="Times New Roman" w:eastAsia="Times New Roman" w:hAnsi="Times New Roman" w:cs="Times New Roman"/>
                <w:bCs/>
                <w:sz w:val="26"/>
                <w:szCs w:val="26"/>
                <w:lang w:eastAsia="lv-LV"/>
              </w:rPr>
              <w:t xml:space="preserve">.apakšpunktā ir nepieciešami, jo </w:t>
            </w:r>
            <w:r w:rsidR="00D31F95" w:rsidRPr="000560B5">
              <w:rPr>
                <w:rFonts w:ascii="Times New Roman" w:eastAsia="Times New Roman" w:hAnsi="Times New Roman" w:cs="Times New Roman"/>
                <w:bCs/>
                <w:sz w:val="26"/>
                <w:szCs w:val="26"/>
                <w:lang w:eastAsia="lv-LV"/>
              </w:rPr>
              <w:t>ārvalstu specializē</w:t>
            </w:r>
            <w:r w:rsidR="00CC14AE" w:rsidRPr="000560B5">
              <w:rPr>
                <w:rFonts w:ascii="Times New Roman" w:eastAsia="Times New Roman" w:hAnsi="Times New Roman" w:cs="Times New Roman"/>
                <w:bCs/>
                <w:sz w:val="26"/>
                <w:szCs w:val="26"/>
                <w:lang w:eastAsia="lv-LV"/>
              </w:rPr>
              <w:t>tajos</w:t>
            </w:r>
            <w:r w:rsidR="00D31F95" w:rsidRPr="000560B5">
              <w:rPr>
                <w:rFonts w:ascii="Times New Roman" w:eastAsia="Times New Roman" w:hAnsi="Times New Roman" w:cs="Times New Roman"/>
                <w:bCs/>
                <w:sz w:val="26"/>
                <w:szCs w:val="26"/>
                <w:lang w:eastAsia="lv-LV"/>
              </w:rPr>
              <w:t xml:space="preserve"> tūrisma veicināšanas pasākumos</w:t>
            </w:r>
            <w:r w:rsidR="006E6D43" w:rsidRPr="000560B5">
              <w:rPr>
                <w:rFonts w:ascii="Times New Roman" w:eastAsia="Times New Roman" w:hAnsi="Times New Roman" w:cs="Times New Roman"/>
                <w:bCs/>
                <w:sz w:val="26"/>
                <w:szCs w:val="26"/>
                <w:lang w:eastAsia="lv-LV"/>
              </w:rPr>
              <w:t>, lai veicinātu to veiksmīgu norisi, tiek organizētas kafijas pauzes, tādēļ nepieciešams papildināt organizēšanas izmaksas ar reprezentācijas izdevumiem.</w:t>
            </w:r>
            <w:r w:rsidR="00D31F95" w:rsidRPr="000560B5">
              <w:t xml:space="preserve"> </w:t>
            </w:r>
            <w:r w:rsidR="00CE3CF2" w:rsidRPr="000560B5">
              <w:rPr>
                <w:rFonts w:ascii="Times New Roman" w:eastAsia="Times New Roman" w:hAnsi="Times New Roman" w:cs="Times New Roman"/>
                <w:bCs/>
                <w:sz w:val="26"/>
                <w:szCs w:val="26"/>
                <w:lang w:eastAsia="lv-LV"/>
              </w:rPr>
              <w:t>Grozījumu 21.</w:t>
            </w:r>
            <w:r w:rsidR="00D31F95" w:rsidRPr="000560B5">
              <w:rPr>
                <w:rFonts w:ascii="Times New Roman" w:eastAsia="Times New Roman" w:hAnsi="Times New Roman" w:cs="Times New Roman"/>
                <w:bCs/>
                <w:sz w:val="26"/>
                <w:szCs w:val="26"/>
                <w:lang w:eastAsia="lv-LV"/>
              </w:rPr>
              <w:t>5</w:t>
            </w:r>
            <w:r w:rsidR="00E81A11" w:rsidRPr="000560B5">
              <w:rPr>
                <w:rFonts w:ascii="Times New Roman" w:eastAsia="Times New Roman" w:hAnsi="Times New Roman" w:cs="Times New Roman"/>
                <w:bCs/>
                <w:sz w:val="26"/>
                <w:szCs w:val="26"/>
                <w:lang w:eastAsia="lv-LV"/>
              </w:rPr>
              <w:t>.</w:t>
            </w:r>
            <w:r w:rsidR="00CE3CF2" w:rsidRPr="000560B5">
              <w:rPr>
                <w:rFonts w:ascii="Times New Roman" w:eastAsia="Times New Roman" w:hAnsi="Times New Roman" w:cs="Times New Roman"/>
                <w:bCs/>
                <w:sz w:val="26"/>
                <w:szCs w:val="26"/>
                <w:lang w:eastAsia="lv-LV"/>
              </w:rPr>
              <w:t xml:space="preserve">apakšpunkts paredz precizēt attiecināmās izmaksas attiecībā uz dalību specializētājos tūrisma pasākumos. Specializētais tūrisms ietver aktīvo tūrismu, ekotūrismu, sporta tūrismu, veselības tūrismu </w:t>
            </w:r>
            <w:proofErr w:type="spellStart"/>
            <w:r w:rsidR="00CE3CF2" w:rsidRPr="000560B5">
              <w:rPr>
                <w:rFonts w:ascii="Times New Roman" w:eastAsia="Times New Roman" w:hAnsi="Times New Roman" w:cs="Times New Roman"/>
                <w:bCs/>
                <w:sz w:val="26"/>
                <w:szCs w:val="26"/>
                <w:lang w:eastAsia="lv-LV"/>
              </w:rPr>
              <w:t>utml</w:t>
            </w:r>
            <w:proofErr w:type="spellEnd"/>
            <w:r w:rsidR="00CE3CF2" w:rsidRPr="000560B5">
              <w:rPr>
                <w:rFonts w:ascii="Times New Roman" w:eastAsia="Times New Roman" w:hAnsi="Times New Roman" w:cs="Times New Roman"/>
                <w:bCs/>
                <w:sz w:val="26"/>
                <w:szCs w:val="26"/>
                <w:lang w:eastAsia="lv-LV"/>
              </w:rPr>
              <w:t>. Latvijas mērķa tirgos ārvalstīs regulāri tiek rīkoti pasākumi, kas paredzēti specializētā tūrisma veicināšanai, līdz ar to šajos pasākumos ļoti precīzi ir iespējams uzrunāt mērķauditorijas un prezentēt Latvijas stratēģiskos tūrisma produktus.</w:t>
            </w:r>
          </w:p>
          <w:p w:rsidR="00C6475A" w:rsidRPr="000560B5" w:rsidRDefault="00D31F95" w:rsidP="00C6475A">
            <w:pPr>
              <w:spacing w:after="0" w:line="240" w:lineRule="auto"/>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 xml:space="preserve">Vecās redakcijas 21.8.apakšpunkts dublē jaunās redakcijas </w:t>
            </w:r>
            <w:r w:rsidR="00C6475A" w:rsidRPr="000560B5">
              <w:rPr>
                <w:rFonts w:ascii="Times New Roman" w:eastAsia="Times New Roman" w:hAnsi="Times New Roman" w:cs="Times New Roman"/>
                <w:bCs/>
                <w:sz w:val="26"/>
                <w:szCs w:val="26"/>
                <w:lang w:eastAsia="lv-LV"/>
              </w:rPr>
              <w:t xml:space="preserve">21.3.apakšpunktu, attiecīgi tas tiek svītrots. </w:t>
            </w:r>
          </w:p>
          <w:p w:rsidR="003C7F3B" w:rsidRPr="000560B5" w:rsidRDefault="00C6475A" w:rsidP="00C6475A">
            <w:pPr>
              <w:spacing w:after="0" w:line="240" w:lineRule="auto"/>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Ministru</w:t>
            </w:r>
            <w:r w:rsidR="003C7F3B" w:rsidRPr="000560B5">
              <w:rPr>
                <w:rFonts w:ascii="Times New Roman" w:eastAsia="Times New Roman" w:hAnsi="Times New Roman" w:cs="Times New Roman"/>
                <w:bCs/>
                <w:sz w:val="26"/>
                <w:szCs w:val="26"/>
                <w:lang w:eastAsia="lv-LV"/>
              </w:rPr>
              <w:t xml:space="preserve"> kabineta noteikumu Nr.887 grozījumu projektā Ekonomikas ministrija ir noteikusi, ka attiecīgās sadarbības partneru </w:t>
            </w:r>
            <w:r w:rsidR="0004084E" w:rsidRPr="000560B5">
              <w:rPr>
                <w:rFonts w:ascii="Times New Roman" w:eastAsia="Times New Roman" w:hAnsi="Times New Roman" w:cs="Times New Roman"/>
                <w:bCs/>
                <w:sz w:val="26"/>
                <w:szCs w:val="26"/>
                <w:lang w:eastAsia="lv-LV"/>
              </w:rPr>
              <w:t xml:space="preserve">19.6. un </w:t>
            </w:r>
            <w:r w:rsidRPr="000560B5">
              <w:rPr>
                <w:rFonts w:ascii="Times New Roman" w:eastAsia="Times New Roman" w:hAnsi="Times New Roman" w:cs="Times New Roman"/>
                <w:bCs/>
                <w:sz w:val="26"/>
                <w:szCs w:val="26"/>
                <w:lang w:eastAsia="lv-LV"/>
              </w:rPr>
              <w:t xml:space="preserve">19.9.apakšpunktā minētās </w:t>
            </w:r>
            <w:r w:rsidR="003C7F3B" w:rsidRPr="000560B5">
              <w:rPr>
                <w:rFonts w:ascii="Times New Roman" w:eastAsia="Times New Roman" w:hAnsi="Times New Roman" w:cs="Times New Roman"/>
                <w:bCs/>
                <w:sz w:val="26"/>
                <w:szCs w:val="26"/>
                <w:lang w:eastAsia="lv-LV"/>
              </w:rPr>
              <w:t>izmaksas ir attiecināmas no līguma par projekta īstenošanu noslēgšanas brīža. Izmaksu attiecināšana ir nepieciešama, jo noteikumu grozījumu projekts paredz precizēt terminus, kā  uzturēšanas izmaksas,  mārketinga materiālu iegādes,  izmaksas nacionālā stenda darbības nodrošināšanai, kas iepriekš arī bijuši interpretējami zem tādiem terminiem kā uzstādīšanas izmaksas, tehniskā aprīkojuma izmaksas, mārketinga materiālu izgatavošanas izmaksas</w:t>
            </w:r>
            <w:r w:rsidR="00401248" w:rsidRPr="000560B5">
              <w:rPr>
                <w:rFonts w:ascii="Times New Roman" w:eastAsia="Times New Roman" w:hAnsi="Times New Roman" w:cs="Times New Roman"/>
                <w:bCs/>
                <w:sz w:val="26"/>
                <w:szCs w:val="26"/>
                <w:lang w:eastAsia="lv-LV"/>
              </w:rPr>
              <w:t xml:space="preserve">. </w:t>
            </w:r>
            <w:r w:rsidR="003C7F3B" w:rsidRPr="000560B5">
              <w:rPr>
                <w:rFonts w:ascii="Times New Roman" w:eastAsia="Times New Roman" w:hAnsi="Times New Roman" w:cs="Times New Roman"/>
                <w:bCs/>
                <w:sz w:val="26"/>
                <w:szCs w:val="26"/>
                <w:lang w:eastAsia="lv-LV"/>
              </w:rPr>
              <w:t>Noteikumu grozījumu projekts paredz skaidri definēt iepriekš minētās izmaksas.</w:t>
            </w:r>
          </w:p>
          <w:p w:rsidR="00E456E3" w:rsidRPr="000560B5" w:rsidRDefault="00E456E3"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 xml:space="preserve">Papildus vēršam uzmanību, ka 2.3.1.1.1.aktivitātes ietvaros neapgūtā publiskā finansējuma summā 2 500 000 LVL apmērā, kas tiek pārdalīta uz 2.3.1.1.2.aktivitāti, neietilpst neatbilstības un lauzto līgumu summa 155 435,37 LVL apmērā. Atbilstoši Ministru kabineta š.g. 8.maija </w:t>
            </w:r>
            <w:proofErr w:type="spellStart"/>
            <w:r w:rsidRPr="000560B5">
              <w:rPr>
                <w:rFonts w:ascii="Times New Roman" w:eastAsia="Times New Roman" w:hAnsi="Times New Roman" w:cs="Times New Roman"/>
                <w:bCs/>
                <w:sz w:val="26"/>
                <w:szCs w:val="26"/>
                <w:lang w:eastAsia="lv-LV"/>
              </w:rPr>
              <w:t>protokollēmuma</w:t>
            </w:r>
            <w:proofErr w:type="spellEnd"/>
            <w:r w:rsidRPr="000560B5">
              <w:rPr>
                <w:rFonts w:ascii="Times New Roman" w:eastAsia="Times New Roman" w:hAnsi="Times New Roman" w:cs="Times New Roman"/>
                <w:bCs/>
                <w:sz w:val="26"/>
                <w:szCs w:val="26"/>
                <w:lang w:eastAsia="lv-LV"/>
              </w:rPr>
              <w:t xml:space="preserve"> (prot.Nr.25, 26.§) 7.punktam, prioritātēs, kurās ir uzņemtas virssaistības, pēc </w:t>
            </w:r>
            <w:proofErr w:type="spellStart"/>
            <w:r w:rsidRPr="000560B5">
              <w:rPr>
                <w:rFonts w:ascii="Times New Roman" w:eastAsia="Times New Roman" w:hAnsi="Times New Roman" w:cs="Times New Roman"/>
                <w:bCs/>
                <w:sz w:val="26"/>
                <w:szCs w:val="26"/>
                <w:lang w:eastAsia="lv-LV"/>
              </w:rPr>
              <w:t>š.g</w:t>
            </w:r>
            <w:proofErr w:type="spellEnd"/>
            <w:r w:rsidRPr="000560B5">
              <w:rPr>
                <w:rFonts w:ascii="Times New Roman" w:eastAsia="Times New Roman" w:hAnsi="Times New Roman" w:cs="Times New Roman"/>
                <w:bCs/>
                <w:sz w:val="26"/>
                <w:szCs w:val="26"/>
                <w:lang w:eastAsia="lv-LV"/>
              </w:rPr>
              <w:t>. 8.maija atbrīvotais finansējums (neatbilstību un pārtraukto līgumu summa) nevar tikt novirzīts citu Eiropas Savienības struktūrfondu un Kohēzijas fonda projektu īstenošanai.</w:t>
            </w:r>
          </w:p>
          <w:p w:rsidR="00E456E3" w:rsidRPr="000560B5" w:rsidRDefault="00E456E3" w:rsidP="00D90174">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 xml:space="preserve">Gadījumā, ja 2.3.1.1.2. aktivitātes ietvaros tiks lauztas vienošanās par projektu īstenošanu vai esošo projektu ietvaros tiks konstatētas neatbilstības, finansējums par lauzto vienošanos par projektu īstenošanu un konstatēto neatbilstību apjomu pēc 2012.gada 8.maija  netiks novirzīts papildu darbību finansēšanai esošā projekta ietvaros, nodrošinot MK </w:t>
            </w:r>
            <w:proofErr w:type="spellStart"/>
            <w:r w:rsidRPr="000560B5">
              <w:rPr>
                <w:rFonts w:ascii="Times New Roman" w:eastAsia="Times New Roman" w:hAnsi="Times New Roman" w:cs="Times New Roman"/>
                <w:bCs/>
                <w:sz w:val="26"/>
                <w:szCs w:val="26"/>
                <w:lang w:eastAsia="lv-LV"/>
              </w:rPr>
              <w:t>protokollēmuma</w:t>
            </w:r>
            <w:proofErr w:type="spellEnd"/>
            <w:r w:rsidRPr="000560B5">
              <w:rPr>
                <w:rFonts w:ascii="Times New Roman" w:eastAsia="Times New Roman" w:hAnsi="Times New Roman" w:cs="Times New Roman"/>
                <w:bCs/>
                <w:sz w:val="26"/>
                <w:szCs w:val="26"/>
                <w:lang w:eastAsia="lv-LV"/>
              </w:rPr>
              <w:t xml:space="preserve"> Nr.25 26.§ 7.punktā noteikto.</w:t>
            </w:r>
          </w:p>
          <w:p w:rsidR="00E81A11" w:rsidRPr="0004084E" w:rsidRDefault="00E81A11" w:rsidP="00604A6A">
            <w:pPr>
              <w:spacing w:after="0" w:line="240" w:lineRule="auto"/>
              <w:ind w:firstLine="567"/>
              <w:jc w:val="both"/>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bCs/>
                <w:sz w:val="26"/>
                <w:szCs w:val="26"/>
                <w:lang w:eastAsia="lv-LV"/>
              </w:rPr>
              <w:t xml:space="preserve">Viens no projekta mērķiem ir tūrisma informācijas materiālu izplatīšana un nosūtīšana adresātiem. Lai pēc iespējas ātrāk reaģētu </w:t>
            </w:r>
            <w:r w:rsidRPr="000560B5">
              <w:rPr>
                <w:rFonts w:ascii="Times New Roman" w:eastAsia="Times New Roman" w:hAnsi="Times New Roman" w:cs="Times New Roman"/>
                <w:bCs/>
                <w:sz w:val="26"/>
                <w:szCs w:val="26"/>
                <w:lang w:eastAsia="lv-LV"/>
              </w:rPr>
              <w:lastRenderedPageBreak/>
              <w:t>uz iesniegtajiem pieprasījumiem un ņemot vērā, ka mārketinga materiālu, t.i. tūrisma produktu brošūru, bukletu, tūrisma karšu, drukāšanai nepieciešamas piecas kalendāras dienas un izdevīgāk veikt lielākus pasūtījumus, jo katra pasūtījuma pirmais tūkstotis eksemplāru maksā četrreiz dārgāk par katru nākamo tūkstoti, mārketinga materiāli tiek uzglabāti un izņemti no noliktavas pēc nepieciešamības. Katra gada sākumā divu mēnešu laikā TAVA ar Latvijas nacionālo stendu piedalās piecās starptautiskajās tūrisma izstādes</w:t>
            </w:r>
            <w:r w:rsidR="00604A6A">
              <w:rPr>
                <w:rFonts w:ascii="Times New Roman" w:eastAsia="Times New Roman" w:hAnsi="Times New Roman" w:cs="Times New Roman"/>
                <w:bCs/>
                <w:sz w:val="26"/>
                <w:szCs w:val="26"/>
                <w:lang w:eastAsia="lv-LV"/>
              </w:rPr>
              <w:t>.</w:t>
            </w:r>
            <w:r w:rsidRPr="000560B5">
              <w:rPr>
                <w:rFonts w:ascii="Times New Roman" w:eastAsia="Times New Roman" w:hAnsi="Times New Roman" w:cs="Times New Roman"/>
                <w:bCs/>
                <w:sz w:val="26"/>
                <w:szCs w:val="26"/>
                <w:lang w:eastAsia="lv-LV"/>
              </w:rPr>
              <w:t xml:space="preserve"> </w:t>
            </w:r>
            <w:r w:rsidR="00604A6A">
              <w:rPr>
                <w:rFonts w:ascii="Times New Roman" w:eastAsia="Times New Roman" w:hAnsi="Times New Roman" w:cs="Times New Roman"/>
                <w:bCs/>
                <w:sz w:val="26"/>
                <w:szCs w:val="26"/>
                <w:lang w:eastAsia="lv-LV"/>
              </w:rPr>
              <w:t>L</w:t>
            </w:r>
            <w:r w:rsidRPr="000560B5">
              <w:rPr>
                <w:rFonts w:ascii="Times New Roman" w:eastAsia="Times New Roman" w:hAnsi="Times New Roman" w:cs="Times New Roman"/>
                <w:bCs/>
                <w:sz w:val="26"/>
                <w:szCs w:val="26"/>
                <w:lang w:eastAsia="lv-LV"/>
              </w:rPr>
              <w:t xml:space="preserve">ai ietaupītu līdzekļus un laikus sagatavotu kravu nosūtīšanai uz izstādi, mārketinga materiāli tiek pasūtīti visām izstādēm uzreiz un dažas dienas/nedēļas tiek uzglabāti noliktavā, attiecīgi iepriekš minēto iemeslu dēļ ir nepieciešams attiecināt uzglabāšanas izdevumus. </w:t>
            </w:r>
          </w:p>
        </w:tc>
      </w:tr>
      <w:tr w:rsidR="00D40CFC" w:rsidRPr="0004084E" w:rsidTr="000E6F7E">
        <w:trPr>
          <w:trHeight w:val="360"/>
        </w:trPr>
        <w:tc>
          <w:tcPr>
            <w:tcW w:w="18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lastRenderedPageBreak/>
              <w:t>3. Saistītie politikas ietekmes novērtējumi un pētījumi</w:t>
            </w:r>
          </w:p>
        </w:tc>
        <w:tc>
          <w:tcPr>
            <w:tcW w:w="72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722173" w:rsidP="00D90174">
            <w:pPr>
              <w:spacing w:after="0" w:line="240" w:lineRule="auto"/>
              <w:ind w:firstLine="567"/>
              <w:jc w:val="both"/>
              <w:rPr>
                <w:rFonts w:ascii="Times New Roman" w:eastAsia="Calibri" w:hAnsi="Times New Roman" w:cs="Times New Roman"/>
                <w:color w:val="000000"/>
                <w:sz w:val="26"/>
                <w:szCs w:val="26"/>
              </w:rPr>
            </w:pPr>
            <w:r w:rsidRPr="0004084E">
              <w:rPr>
                <w:rFonts w:ascii="Times New Roman" w:eastAsia="Calibri" w:hAnsi="Times New Roman" w:cs="Times New Roman"/>
                <w:color w:val="000000"/>
                <w:sz w:val="26"/>
                <w:szCs w:val="26"/>
              </w:rPr>
              <w:t>Projekts šo jomu neskar.</w:t>
            </w:r>
          </w:p>
        </w:tc>
      </w:tr>
      <w:tr w:rsidR="00D40CFC" w:rsidRPr="0004084E" w:rsidTr="000E6F7E">
        <w:trPr>
          <w:trHeight w:val="1068"/>
        </w:trPr>
        <w:tc>
          <w:tcPr>
            <w:tcW w:w="18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4. Tiesiskā regulējuma mērķis un būtība</w:t>
            </w:r>
          </w:p>
        </w:tc>
        <w:tc>
          <w:tcPr>
            <w:tcW w:w="7258" w:type="dxa"/>
            <w:tcBorders>
              <w:top w:val="thickThinLargeGap" w:sz="6" w:space="0" w:color="C0C0C0"/>
              <w:left w:val="thickThinLargeGap" w:sz="6" w:space="0" w:color="C0C0C0"/>
              <w:bottom w:val="thickThinLargeGap" w:sz="6" w:space="0" w:color="C0C0C0"/>
              <w:right w:val="thickThinLargeGap" w:sz="6" w:space="0" w:color="C0C0C0"/>
            </w:tcBorders>
            <w:hideMark/>
          </w:tcPr>
          <w:p w:rsidR="004F067D" w:rsidRPr="0004084E" w:rsidRDefault="004F067D" w:rsidP="00D90174">
            <w:pPr>
              <w:spacing w:after="0" w:line="240" w:lineRule="auto"/>
              <w:ind w:firstLine="709"/>
              <w:jc w:val="both"/>
              <w:rPr>
                <w:rFonts w:ascii="Times New Roman" w:eastAsia="Calibri" w:hAnsi="Times New Roman" w:cs="Times New Roman"/>
                <w:bCs/>
                <w:sz w:val="26"/>
                <w:szCs w:val="26"/>
              </w:rPr>
            </w:pPr>
            <w:r w:rsidRPr="0004084E">
              <w:rPr>
                <w:rFonts w:ascii="Times New Roman" w:eastAsia="Calibri" w:hAnsi="Times New Roman" w:cs="Times New Roman"/>
                <w:bCs/>
                <w:sz w:val="26"/>
                <w:szCs w:val="26"/>
              </w:rPr>
              <w:t>Noteikumu projekts paredz veikt grozījumus MK noteikumos Nr.887, izdarot šādas izmaiņas:</w:t>
            </w:r>
          </w:p>
          <w:p w:rsidR="00E4531E" w:rsidRPr="0004084E" w:rsidRDefault="008D678E" w:rsidP="00D90174">
            <w:pPr>
              <w:pStyle w:val="ListParagraph"/>
              <w:numPr>
                <w:ilvl w:val="0"/>
                <w:numId w:val="4"/>
              </w:numPr>
              <w:spacing w:after="0" w:line="240" w:lineRule="auto"/>
              <w:jc w:val="both"/>
              <w:rPr>
                <w:rFonts w:ascii="Times New Roman" w:eastAsia="Calibri" w:hAnsi="Times New Roman" w:cs="Times New Roman"/>
                <w:bCs/>
                <w:sz w:val="26"/>
                <w:szCs w:val="26"/>
              </w:rPr>
            </w:pPr>
            <w:r w:rsidRPr="0004084E">
              <w:rPr>
                <w:rFonts w:ascii="Times New Roman" w:eastAsia="Calibri" w:hAnsi="Times New Roman" w:cs="Times New Roman"/>
                <w:bCs/>
                <w:sz w:val="26"/>
                <w:szCs w:val="26"/>
              </w:rPr>
              <w:t>precizēt 10.punktu</w:t>
            </w:r>
            <w:r w:rsidR="0091261D" w:rsidRPr="0004084E">
              <w:rPr>
                <w:rFonts w:ascii="Times New Roman" w:eastAsia="Calibri" w:hAnsi="Times New Roman" w:cs="Times New Roman"/>
                <w:bCs/>
                <w:sz w:val="26"/>
                <w:szCs w:val="26"/>
              </w:rPr>
              <w:t xml:space="preserve">, </w:t>
            </w:r>
            <w:r w:rsidRPr="0004084E">
              <w:rPr>
                <w:rFonts w:ascii="Times New Roman" w:eastAsia="Calibri" w:hAnsi="Times New Roman" w:cs="Times New Roman"/>
                <w:bCs/>
                <w:sz w:val="26"/>
                <w:szCs w:val="26"/>
              </w:rPr>
              <w:t xml:space="preserve"> palielinot Eiropas Reģionālās attīstības fonda līdzfinansējumu līdz </w:t>
            </w:r>
            <w:r w:rsidR="008D4B3C" w:rsidRPr="0004084E">
              <w:rPr>
                <w:rFonts w:ascii="Times New Roman" w:eastAsia="Calibri" w:hAnsi="Times New Roman" w:cs="Times New Roman"/>
                <w:bCs/>
                <w:sz w:val="26"/>
                <w:szCs w:val="26"/>
              </w:rPr>
              <w:t>5</w:t>
            </w:r>
            <w:r w:rsidRPr="0004084E">
              <w:rPr>
                <w:rFonts w:ascii="Times New Roman" w:eastAsia="Calibri" w:hAnsi="Times New Roman" w:cs="Times New Roman"/>
                <w:bCs/>
                <w:sz w:val="26"/>
                <w:szCs w:val="26"/>
              </w:rPr>
              <w:t> </w:t>
            </w:r>
            <w:r w:rsidR="00FE5AFF" w:rsidRPr="0004084E">
              <w:rPr>
                <w:rFonts w:ascii="Times New Roman" w:eastAsia="Calibri" w:hAnsi="Times New Roman" w:cs="Times New Roman"/>
                <w:bCs/>
                <w:sz w:val="26"/>
                <w:szCs w:val="26"/>
              </w:rPr>
              <w:t>5</w:t>
            </w:r>
            <w:r w:rsidRPr="0004084E">
              <w:rPr>
                <w:rFonts w:ascii="Times New Roman" w:eastAsia="Calibri" w:hAnsi="Times New Roman" w:cs="Times New Roman"/>
                <w:bCs/>
                <w:sz w:val="26"/>
                <w:szCs w:val="26"/>
              </w:rPr>
              <w:t>00 000 latiem.</w:t>
            </w:r>
            <w:r w:rsidR="00E4531E" w:rsidRPr="0004084E">
              <w:rPr>
                <w:rFonts w:ascii="Times New Roman" w:eastAsia="Calibri" w:hAnsi="Times New Roman" w:cs="Times New Roman"/>
                <w:bCs/>
                <w:sz w:val="26"/>
                <w:szCs w:val="26"/>
              </w:rPr>
              <w:t xml:space="preserve"> Sekojošajā</w:t>
            </w:r>
            <w:r w:rsidR="0091261D" w:rsidRPr="0004084E">
              <w:rPr>
                <w:rFonts w:ascii="Times New Roman" w:eastAsia="Calibri" w:hAnsi="Times New Roman" w:cs="Times New Roman"/>
                <w:bCs/>
                <w:sz w:val="26"/>
                <w:szCs w:val="26"/>
              </w:rPr>
              <w:t xml:space="preserve"> tabulā</w:t>
            </w:r>
            <w:r w:rsidR="00E4531E" w:rsidRPr="0004084E">
              <w:rPr>
                <w:rFonts w:ascii="Times New Roman" w:eastAsia="Calibri" w:hAnsi="Times New Roman" w:cs="Times New Roman"/>
                <w:bCs/>
                <w:sz w:val="26"/>
                <w:szCs w:val="26"/>
              </w:rPr>
              <w:t xml:space="preserve"> ir uzrādīts šī brīža finansējuma un finansējums pēc grozījumu ieviešanas:</w:t>
            </w:r>
            <w:r w:rsidR="008D4B3C" w:rsidRPr="0004084E">
              <w:rPr>
                <w:rFonts w:ascii="Times New Roman" w:eastAsia="Calibri" w:hAnsi="Times New Roman" w:cs="Times New Roman"/>
                <w:bCs/>
                <w:sz w:val="26"/>
                <w:szCs w:val="26"/>
              </w:rPr>
              <w:t xml:space="preserve"> </w:t>
            </w:r>
          </w:p>
          <w:p w:rsidR="008D4B3C" w:rsidRPr="0004084E" w:rsidRDefault="008D4B3C" w:rsidP="00D90174">
            <w:pPr>
              <w:spacing w:after="0" w:line="240" w:lineRule="auto"/>
              <w:jc w:val="both"/>
              <w:rPr>
                <w:rFonts w:ascii="Times New Roman" w:eastAsia="Calibri" w:hAnsi="Times New Roman" w:cs="Times New Roman"/>
                <w:bCs/>
                <w:sz w:val="26"/>
                <w:szCs w:val="26"/>
              </w:rPr>
            </w:pPr>
          </w:p>
          <w:tbl>
            <w:tblPr>
              <w:tblW w:w="5203" w:type="dxa"/>
              <w:tblInd w:w="827" w:type="dxa"/>
              <w:tblCellMar>
                <w:left w:w="0" w:type="dxa"/>
                <w:right w:w="0" w:type="dxa"/>
              </w:tblCellMar>
              <w:tblLook w:val="04A0" w:firstRow="1" w:lastRow="0" w:firstColumn="1" w:lastColumn="0" w:noHBand="0" w:noVBand="1"/>
            </w:tblPr>
            <w:tblGrid>
              <w:gridCol w:w="962"/>
              <w:gridCol w:w="1418"/>
              <w:gridCol w:w="1559"/>
              <w:gridCol w:w="1376"/>
            </w:tblGrid>
            <w:tr w:rsidR="008D4B3C" w:rsidRPr="0004084E" w:rsidTr="008D4B3C">
              <w:trPr>
                <w:trHeight w:val="444"/>
              </w:trPr>
              <w:tc>
                <w:tcPr>
                  <w:tcW w:w="8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center"/>
                    <w:rPr>
                      <w:rFonts w:ascii="Times New Roman" w:hAnsi="Times New Roman" w:cs="Times New Roman"/>
                      <w:color w:val="000000"/>
                    </w:rPr>
                  </w:pPr>
                  <w:r w:rsidRPr="0004084E">
                    <w:rPr>
                      <w:rFonts w:ascii="Times New Roman" w:hAnsi="Times New Roman" w:cs="Times New Roman"/>
                      <w:color w:val="000000"/>
                    </w:rPr>
                    <w:t>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4B3C" w:rsidRPr="0004084E" w:rsidRDefault="008D4B3C" w:rsidP="00D90174">
                  <w:pPr>
                    <w:spacing w:after="0"/>
                    <w:jc w:val="center"/>
                    <w:rPr>
                      <w:rFonts w:ascii="Times New Roman" w:hAnsi="Times New Roman" w:cs="Times New Roman"/>
                      <w:color w:val="000000"/>
                    </w:rPr>
                  </w:pPr>
                  <w:r w:rsidRPr="0004084E">
                    <w:rPr>
                      <w:rFonts w:ascii="Times New Roman" w:hAnsi="Times New Roman" w:cs="Times New Roman"/>
                      <w:color w:val="000000"/>
                    </w:rPr>
                    <w:t>ERAF</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4B3C" w:rsidRPr="0004084E" w:rsidRDefault="008D4B3C" w:rsidP="00D90174">
                  <w:pPr>
                    <w:spacing w:after="0"/>
                    <w:jc w:val="center"/>
                    <w:rPr>
                      <w:rFonts w:ascii="Times New Roman" w:hAnsi="Times New Roman" w:cs="Times New Roman"/>
                      <w:color w:val="000000"/>
                    </w:rPr>
                  </w:pPr>
                  <w:r w:rsidRPr="0004084E">
                    <w:rPr>
                      <w:rFonts w:ascii="Times New Roman" w:hAnsi="Times New Roman" w:cs="Times New Roman"/>
                      <w:color w:val="000000"/>
                    </w:rPr>
                    <w:t xml:space="preserve">Valsts budžets </w:t>
                  </w:r>
                </w:p>
              </w:tc>
              <w:tc>
                <w:tcPr>
                  <w:tcW w:w="13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center"/>
                    <w:rPr>
                      <w:rFonts w:ascii="Times New Roman" w:hAnsi="Times New Roman" w:cs="Times New Roman"/>
                      <w:color w:val="000000"/>
                    </w:rPr>
                  </w:pPr>
                  <w:r w:rsidRPr="0004084E">
                    <w:rPr>
                      <w:rFonts w:ascii="Times New Roman" w:hAnsi="Times New Roman" w:cs="Times New Roman"/>
                      <w:color w:val="000000"/>
                    </w:rPr>
                    <w:t>Kopā</w:t>
                  </w:r>
                </w:p>
              </w:tc>
            </w:tr>
            <w:tr w:rsidR="008D4B3C" w:rsidRPr="0004084E" w:rsidTr="00F45918">
              <w:trPr>
                <w:trHeight w:val="142"/>
              </w:trPr>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rPr>
                      <w:rFonts w:ascii="Times New Roman" w:hAnsi="Times New Roman" w:cs="Times New Roman"/>
                      <w:color w:val="000000"/>
                    </w:rPr>
                  </w:pPr>
                  <w:r w:rsidRPr="0004084E">
                    <w:rPr>
                      <w:rFonts w:ascii="Times New Roman" w:hAnsi="Times New Roman" w:cs="Times New Roman"/>
                      <w:color w:val="000000"/>
                    </w:rPr>
                    <w:t xml:space="preserve">TAVA šobrīd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1 500 000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1 000 000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2 500 000</w:t>
                  </w:r>
                </w:p>
              </w:tc>
            </w:tr>
            <w:tr w:rsidR="008D4B3C" w:rsidRPr="0004084E" w:rsidTr="00F45918">
              <w:trPr>
                <w:trHeight w:val="60"/>
              </w:trPr>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rPr>
                      <w:rFonts w:ascii="Times New Roman" w:hAnsi="Times New Roman" w:cs="Times New Roman"/>
                      <w:color w:val="000000"/>
                    </w:rPr>
                  </w:pPr>
                  <w:r w:rsidRPr="0004084E">
                    <w:rPr>
                      <w:rFonts w:ascii="Times New Roman" w:hAnsi="Times New Roman" w:cs="Times New Roman"/>
                      <w:color w:val="000000"/>
                    </w:rPr>
                    <w:t xml:space="preserve">papildus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bCs/>
                      <w:color w:val="000000"/>
                    </w:rPr>
                  </w:pPr>
                  <w:r w:rsidRPr="0004084E">
                    <w:rPr>
                      <w:rFonts w:ascii="Times New Roman" w:hAnsi="Times New Roman" w:cs="Times New Roman"/>
                      <w:bCs/>
                      <w:color w:val="000000"/>
                    </w:rPr>
                    <w:t>Ls 1 500 000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bCs/>
                      <w:color w:val="000000"/>
                    </w:rPr>
                  </w:pPr>
                  <w:r w:rsidRPr="0004084E">
                    <w:rPr>
                      <w:rFonts w:ascii="Times New Roman" w:hAnsi="Times New Roman" w:cs="Times New Roman"/>
                      <w:bCs/>
                      <w:color w:val="000000"/>
                    </w:rPr>
                    <w:t>Ls 1 000 000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bCs/>
                      <w:color w:val="000000"/>
                    </w:rPr>
                  </w:pPr>
                  <w:r w:rsidRPr="0004084E">
                    <w:rPr>
                      <w:rFonts w:ascii="Times New Roman" w:hAnsi="Times New Roman" w:cs="Times New Roman"/>
                      <w:bCs/>
                      <w:color w:val="000000"/>
                    </w:rPr>
                    <w:t>Ls 2 500 000</w:t>
                  </w:r>
                </w:p>
              </w:tc>
            </w:tr>
            <w:tr w:rsidR="008D4B3C" w:rsidRPr="0004084E" w:rsidTr="00F45918">
              <w:trPr>
                <w:trHeight w:val="60"/>
              </w:trPr>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rPr>
                      <w:rFonts w:ascii="Times New Roman" w:hAnsi="Times New Roman" w:cs="Times New Roman"/>
                      <w:color w:val="000000"/>
                    </w:rPr>
                  </w:pPr>
                  <w:r w:rsidRPr="0004084E">
                    <w:rPr>
                      <w:rFonts w:ascii="Times New Roman" w:hAnsi="Times New Roman" w:cs="Times New Roman"/>
                      <w:color w:val="000000"/>
                    </w:rPr>
                    <w:t>kopā, pēc pārdales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3 000 000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2 000 000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5 000 000</w:t>
                  </w:r>
                </w:p>
              </w:tc>
            </w:tr>
            <w:tr w:rsidR="008D4B3C" w:rsidRPr="0004084E" w:rsidTr="008D4B3C">
              <w:trPr>
                <w:trHeight w:val="336"/>
              </w:trPr>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rPr>
                      <w:rFonts w:ascii="Times New Roman" w:hAnsi="Times New Roman" w:cs="Times New Roman"/>
                      <w:color w:val="000000"/>
                    </w:rPr>
                  </w:pPr>
                  <w:r w:rsidRPr="0004084E">
                    <w:rPr>
                      <w:rFonts w:ascii="Times New Roman" w:hAnsi="Times New Roman" w:cs="Times New Roman"/>
                      <w:color w:val="00000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3C" w:rsidRPr="0004084E" w:rsidRDefault="008D4B3C" w:rsidP="00D90174">
                  <w:pPr>
                    <w:spacing w:after="0"/>
                    <w:jc w:val="center"/>
                    <w:rPr>
                      <w:rFonts w:ascii="Times New Roman" w:hAnsi="Times New Roman" w:cs="Times New Roman"/>
                      <w:color w:val="000000"/>
                    </w:rPr>
                  </w:pPr>
                  <w:r w:rsidRPr="0004084E">
                    <w:rPr>
                      <w:rFonts w:ascii="Times New Roman" w:hAnsi="Times New Roman" w:cs="Times New Roman"/>
                      <w:color w:val="000000"/>
                    </w:rPr>
                    <w:t>ERAF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4B3C" w:rsidRPr="0004084E" w:rsidRDefault="008D4B3C" w:rsidP="00D90174">
                  <w:pPr>
                    <w:spacing w:after="0"/>
                    <w:jc w:val="center"/>
                    <w:rPr>
                      <w:rFonts w:ascii="Times New Roman" w:hAnsi="Times New Roman" w:cs="Times New Roman"/>
                      <w:color w:val="000000"/>
                    </w:rPr>
                  </w:pPr>
                  <w:r w:rsidRPr="0004084E">
                    <w:rPr>
                      <w:rFonts w:ascii="Times New Roman" w:hAnsi="Times New Roman" w:cs="Times New Roman"/>
                      <w:color w:val="000000"/>
                    </w:rPr>
                    <w:t xml:space="preserve">Valsts budžets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center"/>
                    <w:rPr>
                      <w:rFonts w:ascii="Times New Roman" w:hAnsi="Times New Roman" w:cs="Times New Roman"/>
                      <w:color w:val="000000"/>
                    </w:rPr>
                  </w:pPr>
                  <w:r w:rsidRPr="0004084E">
                    <w:rPr>
                      <w:rFonts w:ascii="Times New Roman" w:hAnsi="Times New Roman" w:cs="Times New Roman"/>
                      <w:color w:val="000000"/>
                    </w:rPr>
                    <w:t>Kopā</w:t>
                  </w:r>
                </w:p>
              </w:tc>
            </w:tr>
            <w:tr w:rsidR="008D4B3C" w:rsidRPr="0004084E" w:rsidTr="008D4B3C">
              <w:trPr>
                <w:trHeight w:val="336"/>
              </w:trPr>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rPr>
                      <w:rFonts w:ascii="Times New Roman" w:hAnsi="Times New Roman" w:cs="Times New Roman"/>
                      <w:color w:val="000000"/>
                    </w:rPr>
                  </w:pPr>
                  <w:r w:rsidRPr="0004084E">
                    <w:rPr>
                      <w:rFonts w:ascii="Times New Roman" w:hAnsi="Times New Roman" w:cs="Times New Roman"/>
                      <w:color w:val="000000"/>
                    </w:rPr>
                    <w:t xml:space="preserve">LIAA šobrīd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1 500 000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1 000 000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2 500 000</w:t>
                  </w:r>
                </w:p>
              </w:tc>
            </w:tr>
            <w:tr w:rsidR="008D4B3C" w:rsidRPr="0004084E" w:rsidTr="008D4B3C">
              <w:trPr>
                <w:trHeight w:val="336"/>
              </w:trPr>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rPr>
                      <w:rFonts w:ascii="Times New Roman" w:hAnsi="Times New Roman" w:cs="Times New Roman"/>
                      <w:color w:val="000000"/>
                    </w:rPr>
                  </w:pPr>
                  <w:r w:rsidRPr="0004084E">
                    <w:rPr>
                      <w:rFonts w:ascii="Times New Roman" w:hAnsi="Times New Roman" w:cs="Times New Roman"/>
                      <w:color w:val="000000"/>
                    </w:rPr>
                    <w:t xml:space="preserve">papildus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bCs/>
                      <w:color w:val="000000"/>
                    </w:rPr>
                  </w:pPr>
                  <w:r w:rsidRPr="0004084E">
                    <w:rPr>
                      <w:rFonts w:ascii="Times New Roman" w:hAnsi="Times New Roman" w:cs="Times New Roman"/>
                      <w:bCs/>
                      <w:color w:val="000000"/>
                    </w:rPr>
                    <w:t>Ls 1 000 000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bCs/>
                      <w:color w:val="000000"/>
                    </w:rPr>
                  </w:pPr>
                  <w:r w:rsidRPr="0004084E">
                    <w:rPr>
                      <w:rFonts w:ascii="Times New Roman" w:hAnsi="Times New Roman" w:cs="Times New Roman"/>
                      <w:bCs/>
                      <w:color w:val="000000"/>
                    </w:rPr>
                    <w:t>Ls 666 667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bCs/>
                      <w:color w:val="000000"/>
                    </w:rPr>
                  </w:pPr>
                  <w:r w:rsidRPr="0004084E">
                    <w:rPr>
                      <w:rFonts w:ascii="Times New Roman" w:hAnsi="Times New Roman" w:cs="Times New Roman"/>
                      <w:bCs/>
                      <w:color w:val="000000"/>
                    </w:rPr>
                    <w:t>Ls 1 666 667</w:t>
                  </w:r>
                </w:p>
              </w:tc>
            </w:tr>
            <w:tr w:rsidR="008D4B3C" w:rsidRPr="0004084E" w:rsidTr="008D4B3C">
              <w:trPr>
                <w:trHeight w:val="336"/>
              </w:trPr>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rPr>
                      <w:rFonts w:ascii="Times New Roman" w:hAnsi="Times New Roman" w:cs="Times New Roman"/>
                      <w:color w:val="000000"/>
                    </w:rPr>
                  </w:pPr>
                  <w:r w:rsidRPr="0004084E">
                    <w:rPr>
                      <w:rFonts w:ascii="Times New Roman" w:hAnsi="Times New Roman" w:cs="Times New Roman"/>
                      <w:color w:val="000000"/>
                    </w:rPr>
                    <w:t xml:space="preserve">kopā, pēc pārdales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2 500 000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1 666 667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D4B3C" w:rsidRPr="0004084E" w:rsidRDefault="008D4B3C" w:rsidP="00D90174">
                  <w:pPr>
                    <w:spacing w:after="0"/>
                    <w:jc w:val="right"/>
                    <w:rPr>
                      <w:rFonts w:ascii="Times New Roman" w:hAnsi="Times New Roman" w:cs="Times New Roman"/>
                      <w:color w:val="000000"/>
                    </w:rPr>
                  </w:pPr>
                  <w:r w:rsidRPr="0004084E">
                    <w:rPr>
                      <w:rFonts w:ascii="Times New Roman" w:hAnsi="Times New Roman" w:cs="Times New Roman"/>
                      <w:color w:val="000000"/>
                    </w:rPr>
                    <w:t>Ls 4 166 667</w:t>
                  </w:r>
                </w:p>
              </w:tc>
            </w:tr>
          </w:tbl>
          <w:p w:rsidR="008D4B3C" w:rsidRPr="0004084E" w:rsidRDefault="008D4B3C" w:rsidP="00D90174">
            <w:pPr>
              <w:spacing w:after="0" w:line="240" w:lineRule="auto"/>
              <w:jc w:val="both"/>
              <w:rPr>
                <w:rFonts w:ascii="Times New Roman" w:eastAsia="Calibri" w:hAnsi="Times New Roman" w:cs="Times New Roman"/>
                <w:bCs/>
                <w:sz w:val="26"/>
                <w:szCs w:val="26"/>
              </w:rPr>
            </w:pPr>
          </w:p>
          <w:p w:rsidR="004F067D" w:rsidRPr="0004084E" w:rsidRDefault="000515D4" w:rsidP="00D90174">
            <w:pPr>
              <w:pStyle w:val="ListParagraph"/>
              <w:numPr>
                <w:ilvl w:val="0"/>
                <w:numId w:val="4"/>
              </w:numPr>
              <w:spacing w:after="0" w:line="240" w:lineRule="auto"/>
              <w:jc w:val="both"/>
              <w:rPr>
                <w:rFonts w:ascii="Times New Roman" w:eastAsia="Calibri" w:hAnsi="Times New Roman" w:cs="Times New Roman"/>
                <w:bCs/>
                <w:sz w:val="26"/>
                <w:szCs w:val="26"/>
              </w:rPr>
            </w:pPr>
            <w:r w:rsidRPr="000560B5">
              <w:rPr>
                <w:rFonts w:ascii="Times New Roman" w:eastAsia="Calibri" w:hAnsi="Times New Roman" w:cs="Times New Roman"/>
                <w:bCs/>
                <w:sz w:val="26"/>
                <w:szCs w:val="26"/>
              </w:rPr>
              <w:t>precizēt</w:t>
            </w:r>
            <w:r w:rsidR="008D678E" w:rsidRPr="000560B5">
              <w:rPr>
                <w:rFonts w:ascii="Times New Roman" w:eastAsia="Calibri" w:hAnsi="Times New Roman" w:cs="Times New Roman"/>
                <w:bCs/>
                <w:sz w:val="26"/>
                <w:szCs w:val="26"/>
              </w:rPr>
              <w:t xml:space="preserve"> </w:t>
            </w:r>
            <w:r w:rsidR="00D97D2E" w:rsidRPr="000560B5">
              <w:rPr>
                <w:rFonts w:ascii="Times New Roman" w:eastAsia="Calibri" w:hAnsi="Times New Roman" w:cs="Times New Roman"/>
                <w:bCs/>
                <w:sz w:val="26"/>
                <w:szCs w:val="26"/>
              </w:rPr>
              <w:t xml:space="preserve">11.punktu, palielinot </w:t>
            </w:r>
            <w:r w:rsidR="0091261D" w:rsidRPr="000560B5">
              <w:rPr>
                <w:rFonts w:ascii="Times New Roman" w:eastAsia="Calibri" w:hAnsi="Times New Roman" w:cs="Times New Roman"/>
                <w:bCs/>
                <w:sz w:val="26"/>
                <w:szCs w:val="26"/>
              </w:rPr>
              <w:t xml:space="preserve">katram </w:t>
            </w:r>
            <w:r w:rsidR="008D678E" w:rsidRPr="000560B5">
              <w:rPr>
                <w:rFonts w:ascii="Times New Roman" w:eastAsia="Calibri" w:hAnsi="Times New Roman" w:cs="Times New Roman"/>
                <w:bCs/>
                <w:sz w:val="26"/>
                <w:szCs w:val="26"/>
              </w:rPr>
              <w:t>finansējuma saņēmējam maksimāli pieejamo</w:t>
            </w:r>
            <w:r w:rsidR="008D678E" w:rsidRPr="0004084E">
              <w:rPr>
                <w:rFonts w:ascii="Times New Roman" w:eastAsia="Calibri" w:hAnsi="Times New Roman" w:cs="Times New Roman"/>
                <w:bCs/>
                <w:sz w:val="26"/>
                <w:szCs w:val="26"/>
              </w:rPr>
              <w:t xml:space="preserve"> Eiropas </w:t>
            </w:r>
            <w:r w:rsidR="009D0A29" w:rsidRPr="0004084E">
              <w:rPr>
                <w:rFonts w:ascii="Times New Roman" w:eastAsia="Calibri" w:hAnsi="Times New Roman" w:cs="Times New Roman"/>
                <w:bCs/>
                <w:sz w:val="26"/>
                <w:szCs w:val="26"/>
              </w:rPr>
              <w:t>Reģionālo a</w:t>
            </w:r>
            <w:r w:rsidR="00497B5E" w:rsidRPr="0004084E">
              <w:rPr>
                <w:rFonts w:ascii="Times New Roman" w:eastAsia="Calibri" w:hAnsi="Times New Roman" w:cs="Times New Roman"/>
                <w:bCs/>
                <w:sz w:val="26"/>
                <w:szCs w:val="26"/>
              </w:rPr>
              <w:t>ttīstības fondu līdzfinansējumu</w:t>
            </w:r>
            <w:r w:rsidR="0091261D" w:rsidRPr="0004084E">
              <w:rPr>
                <w:rFonts w:ascii="Times New Roman" w:eastAsia="Calibri" w:hAnsi="Times New Roman" w:cs="Times New Roman"/>
                <w:bCs/>
                <w:sz w:val="26"/>
                <w:szCs w:val="26"/>
              </w:rPr>
              <w:t>;</w:t>
            </w:r>
            <w:r w:rsidR="009D0A29" w:rsidRPr="0004084E">
              <w:rPr>
                <w:rFonts w:ascii="Times New Roman" w:eastAsia="Calibri" w:hAnsi="Times New Roman" w:cs="Times New Roman"/>
                <w:bCs/>
                <w:sz w:val="26"/>
                <w:szCs w:val="26"/>
              </w:rPr>
              <w:t xml:space="preserve"> </w:t>
            </w:r>
          </w:p>
          <w:p w:rsidR="001752F1" w:rsidRPr="000560B5" w:rsidRDefault="001752F1" w:rsidP="00D90174">
            <w:pPr>
              <w:pStyle w:val="ListParagraph"/>
              <w:numPr>
                <w:ilvl w:val="0"/>
                <w:numId w:val="4"/>
              </w:numPr>
              <w:spacing w:after="0" w:line="240" w:lineRule="auto"/>
              <w:jc w:val="both"/>
              <w:rPr>
                <w:rFonts w:ascii="Times New Roman" w:eastAsia="Calibri" w:hAnsi="Times New Roman" w:cs="Times New Roman"/>
                <w:bCs/>
                <w:sz w:val="26"/>
                <w:szCs w:val="26"/>
              </w:rPr>
            </w:pPr>
            <w:r w:rsidRPr="000560B5">
              <w:rPr>
                <w:rFonts w:ascii="Times New Roman" w:eastAsia="Calibri" w:hAnsi="Times New Roman" w:cs="Times New Roman"/>
                <w:bCs/>
                <w:sz w:val="26"/>
                <w:szCs w:val="26"/>
              </w:rPr>
              <w:t xml:space="preserve">precizēt </w:t>
            </w:r>
            <w:r w:rsidR="00D97D2E" w:rsidRPr="000560B5">
              <w:rPr>
                <w:rFonts w:ascii="Times New Roman" w:eastAsia="Calibri" w:hAnsi="Times New Roman" w:cs="Times New Roman"/>
                <w:bCs/>
                <w:sz w:val="26"/>
                <w:szCs w:val="26"/>
              </w:rPr>
              <w:t xml:space="preserve">15.punktu, precizējot </w:t>
            </w:r>
            <w:r w:rsidRPr="000560B5">
              <w:rPr>
                <w:rFonts w:ascii="Times New Roman" w:eastAsia="Calibri" w:hAnsi="Times New Roman" w:cs="Times New Roman"/>
                <w:bCs/>
                <w:sz w:val="26"/>
                <w:szCs w:val="26"/>
              </w:rPr>
              <w:t xml:space="preserve">grūtībās nonākuša </w:t>
            </w:r>
            <w:r w:rsidRPr="000560B5">
              <w:rPr>
                <w:rFonts w:ascii="Times New Roman" w:eastAsia="Calibri" w:hAnsi="Times New Roman" w:cs="Times New Roman"/>
                <w:bCs/>
                <w:sz w:val="26"/>
                <w:szCs w:val="26"/>
              </w:rPr>
              <w:lastRenderedPageBreak/>
              <w:t>saimnieciskās darbība veicēja pazīmes;</w:t>
            </w:r>
          </w:p>
          <w:p w:rsidR="00881F0A" w:rsidRPr="000560B5" w:rsidRDefault="00881F0A" w:rsidP="00D90174">
            <w:pPr>
              <w:pStyle w:val="ListParagraph"/>
              <w:numPr>
                <w:ilvl w:val="0"/>
                <w:numId w:val="4"/>
              </w:numPr>
              <w:spacing w:after="0" w:line="240" w:lineRule="auto"/>
              <w:jc w:val="both"/>
              <w:rPr>
                <w:rFonts w:ascii="Times New Roman" w:eastAsia="Calibri" w:hAnsi="Times New Roman" w:cs="Times New Roman"/>
                <w:bCs/>
                <w:sz w:val="26"/>
                <w:szCs w:val="26"/>
              </w:rPr>
            </w:pPr>
            <w:r w:rsidRPr="000560B5">
              <w:rPr>
                <w:rFonts w:ascii="Times New Roman" w:eastAsia="Calibri" w:hAnsi="Times New Roman" w:cs="Times New Roman"/>
                <w:bCs/>
                <w:sz w:val="26"/>
                <w:szCs w:val="26"/>
              </w:rPr>
              <w:t xml:space="preserve">precizēt </w:t>
            </w:r>
            <w:r w:rsidR="00D97D2E" w:rsidRPr="000560B5">
              <w:rPr>
                <w:rFonts w:ascii="Times New Roman" w:eastAsia="Calibri" w:hAnsi="Times New Roman" w:cs="Times New Roman"/>
                <w:bCs/>
                <w:sz w:val="26"/>
                <w:szCs w:val="26"/>
              </w:rPr>
              <w:t xml:space="preserve">18.punktu, precizējot </w:t>
            </w:r>
            <w:r w:rsidR="007075A1" w:rsidRPr="000560B5">
              <w:rPr>
                <w:rFonts w:ascii="Times New Roman" w:eastAsia="Calibri" w:hAnsi="Times New Roman" w:cs="Times New Roman"/>
                <w:bCs/>
                <w:sz w:val="26"/>
                <w:szCs w:val="26"/>
              </w:rPr>
              <w:t>prasības par pamatojumu atbalstam dalībā nacionālajos stendos st</w:t>
            </w:r>
            <w:r w:rsidR="0091261D" w:rsidRPr="000560B5">
              <w:rPr>
                <w:rFonts w:ascii="Times New Roman" w:eastAsia="Calibri" w:hAnsi="Times New Roman" w:cs="Times New Roman"/>
                <w:bCs/>
                <w:sz w:val="26"/>
                <w:szCs w:val="26"/>
              </w:rPr>
              <w:t>arptautiskajās tūrisma izstādēs</w:t>
            </w:r>
            <w:r w:rsidR="00D97D2E" w:rsidRPr="000560B5">
              <w:rPr>
                <w:rFonts w:ascii="Times New Roman" w:eastAsia="Calibri" w:hAnsi="Times New Roman" w:cs="Times New Roman"/>
                <w:bCs/>
                <w:sz w:val="26"/>
                <w:szCs w:val="26"/>
              </w:rPr>
              <w:t>;</w:t>
            </w:r>
          </w:p>
          <w:p w:rsidR="0004084E" w:rsidRPr="000560B5" w:rsidRDefault="00D97D2E" w:rsidP="00D90174">
            <w:pPr>
              <w:pStyle w:val="ListParagraph"/>
              <w:numPr>
                <w:ilvl w:val="0"/>
                <w:numId w:val="4"/>
              </w:numPr>
              <w:spacing w:after="0" w:line="240" w:lineRule="auto"/>
              <w:jc w:val="both"/>
              <w:rPr>
                <w:rFonts w:ascii="Times New Roman" w:eastAsia="Calibri" w:hAnsi="Times New Roman" w:cs="Times New Roman"/>
                <w:bCs/>
                <w:sz w:val="26"/>
                <w:szCs w:val="26"/>
              </w:rPr>
            </w:pPr>
            <w:r w:rsidRPr="000560B5">
              <w:rPr>
                <w:rFonts w:ascii="Times New Roman" w:eastAsia="Calibri" w:hAnsi="Times New Roman" w:cs="Times New Roman"/>
                <w:bCs/>
                <w:sz w:val="26"/>
                <w:szCs w:val="26"/>
              </w:rPr>
              <w:t>precizēt 19.punktu, precizējot mārketinga un reprezentācijas izdevumus;</w:t>
            </w:r>
          </w:p>
          <w:p w:rsidR="0091261D" w:rsidRPr="0004084E" w:rsidRDefault="00D97D2E" w:rsidP="0004084E">
            <w:pPr>
              <w:pStyle w:val="ListParagraph"/>
              <w:numPr>
                <w:ilvl w:val="0"/>
                <w:numId w:val="4"/>
              </w:numPr>
              <w:spacing w:after="0" w:line="240" w:lineRule="auto"/>
              <w:jc w:val="both"/>
            </w:pPr>
            <w:r w:rsidRPr="000560B5">
              <w:rPr>
                <w:rFonts w:ascii="Times New Roman" w:eastAsia="Calibri" w:hAnsi="Times New Roman" w:cs="Times New Roman"/>
                <w:bCs/>
                <w:sz w:val="26"/>
                <w:szCs w:val="26"/>
              </w:rPr>
              <w:t>precizēt 21.punktu, precizējot mārketinga materiālu, mārketinga aktivitāšu un darba semināru organizēšanas izmaksas un pievienojot dalības izmaksas specializētajos tūrisma veicināšanas pasākumos, pārdošanas veicināšanas pasākumu izmaksas un komandējuma izmaksas;</w:t>
            </w:r>
            <w:r w:rsidRPr="000560B5" w:rsidDel="00D97D2E">
              <w:rPr>
                <w:rFonts w:ascii="Times New Roman" w:eastAsia="Calibri" w:hAnsi="Times New Roman" w:cs="Times New Roman"/>
                <w:bCs/>
                <w:sz w:val="26"/>
                <w:szCs w:val="26"/>
              </w:rPr>
              <w:t xml:space="preserve"> </w:t>
            </w:r>
          </w:p>
        </w:tc>
      </w:tr>
      <w:tr w:rsidR="00D40CFC" w:rsidRPr="0004084E" w:rsidTr="000E6F7E">
        <w:tc>
          <w:tcPr>
            <w:tcW w:w="18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lastRenderedPageBreak/>
              <w:t>5. Projekta izstrādē iesaistītās institūcijas</w:t>
            </w:r>
          </w:p>
        </w:tc>
        <w:tc>
          <w:tcPr>
            <w:tcW w:w="72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9D0A29" w:rsidP="00D90174">
            <w:pPr>
              <w:spacing w:after="0" w:line="240" w:lineRule="auto"/>
              <w:ind w:right="142" w:firstLine="567"/>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LIAA un TAVA</w:t>
            </w:r>
          </w:p>
        </w:tc>
      </w:tr>
      <w:tr w:rsidR="00D40CFC" w:rsidRPr="0004084E" w:rsidTr="000E6F7E">
        <w:tc>
          <w:tcPr>
            <w:tcW w:w="18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6. Iemesli, kādēļ netika nodrošināta sabiedrības līdzdalība</w:t>
            </w:r>
          </w:p>
        </w:tc>
        <w:tc>
          <w:tcPr>
            <w:tcW w:w="72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8D678E" w:rsidP="00D90174">
            <w:pPr>
              <w:spacing w:after="0" w:line="240" w:lineRule="auto"/>
              <w:ind w:right="142" w:firstLine="567"/>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Projekts šo jomu neskar.</w:t>
            </w:r>
          </w:p>
        </w:tc>
      </w:tr>
      <w:tr w:rsidR="00D40CFC" w:rsidRPr="0004084E" w:rsidTr="000E6F7E">
        <w:tc>
          <w:tcPr>
            <w:tcW w:w="18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 7. Cita informācija</w:t>
            </w:r>
          </w:p>
        </w:tc>
        <w:tc>
          <w:tcPr>
            <w:tcW w:w="7258"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4084E" w:rsidRDefault="008D678E" w:rsidP="00D90174">
            <w:pPr>
              <w:spacing w:after="0" w:line="240" w:lineRule="auto"/>
              <w:ind w:firstLine="567"/>
              <w:jc w:val="both"/>
              <w:rPr>
                <w:rFonts w:ascii="Times New Roman" w:eastAsia="Calibri" w:hAnsi="Times New Roman" w:cs="Times New Roman"/>
                <w:sz w:val="26"/>
                <w:szCs w:val="26"/>
              </w:rPr>
            </w:pPr>
            <w:r w:rsidRPr="0004084E">
              <w:rPr>
                <w:rFonts w:ascii="Times New Roman" w:eastAsia="Calibri" w:hAnsi="Times New Roman" w:cs="Times New Roman"/>
                <w:sz w:val="26"/>
                <w:szCs w:val="26"/>
              </w:rPr>
              <w:t>Projekts šo jomu neskar.</w:t>
            </w:r>
          </w:p>
        </w:tc>
      </w:tr>
    </w:tbl>
    <w:p w:rsidR="00D40CFC" w:rsidRPr="0004084E" w:rsidRDefault="00D40CFC" w:rsidP="00D90174">
      <w:pPr>
        <w:spacing w:after="0" w:line="240" w:lineRule="auto"/>
        <w:jc w:val="center"/>
        <w:rPr>
          <w:rFonts w:ascii="Times New Roman" w:eastAsia="Arial Unicode MS" w:hAnsi="Times New Roman" w:cs="Times New Roman"/>
          <w:b/>
          <w:sz w:val="26"/>
          <w:szCs w:val="26"/>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851"/>
        <w:gridCol w:w="3007"/>
        <w:gridCol w:w="5498"/>
      </w:tblGrid>
      <w:tr w:rsidR="00D40CFC" w:rsidRPr="0004084E" w:rsidTr="00CB11A9">
        <w:tc>
          <w:tcPr>
            <w:tcW w:w="9356" w:type="dxa"/>
            <w:gridSpan w:val="3"/>
            <w:vAlign w:val="center"/>
          </w:tcPr>
          <w:p w:rsidR="00D40CFC" w:rsidRPr="0004084E" w:rsidRDefault="00D40CFC" w:rsidP="00D90174">
            <w:pPr>
              <w:spacing w:after="0" w:line="240" w:lineRule="auto"/>
              <w:jc w:val="center"/>
              <w:rPr>
                <w:rFonts w:ascii="Times New Roman" w:eastAsia="Times New Roman" w:hAnsi="Times New Roman" w:cs="Times New Roman"/>
                <w:b/>
                <w:bCs/>
                <w:sz w:val="26"/>
                <w:szCs w:val="26"/>
                <w:lang w:eastAsia="lv-LV"/>
              </w:rPr>
            </w:pPr>
            <w:r w:rsidRPr="0004084E">
              <w:rPr>
                <w:rFonts w:ascii="Times New Roman" w:eastAsia="Times New Roman" w:hAnsi="Times New Roman" w:cs="Times New Roman"/>
                <w:b/>
                <w:bCs/>
                <w:sz w:val="26"/>
                <w:szCs w:val="26"/>
                <w:lang w:eastAsia="lv-LV"/>
              </w:rPr>
              <w:t>II. Tiesību akta projekta ietekme uz sabiedrību</w:t>
            </w:r>
          </w:p>
        </w:tc>
      </w:tr>
      <w:tr w:rsidR="00D40CFC" w:rsidRPr="0004084E" w:rsidTr="00A654F1">
        <w:trPr>
          <w:trHeight w:val="467"/>
        </w:trPr>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1.</w:t>
            </w:r>
          </w:p>
        </w:tc>
        <w:tc>
          <w:tcPr>
            <w:tcW w:w="3007"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Sabiedrības mērķgrupa</w:t>
            </w:r>
          </w:p>
        </w:tc>
        <w:tc>
          <w:tcPr>
            <w:tcW w:w="5498" w:type="dxa"/>
          </w:tcPr>
          <w:p w:rsidR="00382775" w:rsidRPr="0004084E" w:rsidRDefault="005A5F0D" w:rsidP="00D90174">
            <w:pPr>
              <w:spacing w:after="0" w:line="240" w:lineRule="auto"/>
              <w:ind w:firstLine="450"/>
              <w:jc w:val="both"/>
              <w:rPr>
                <w:rFonts w:ascii="Times New Roman" w:eastAsia="Times New Roman" w:hAnsi="Times New Roman" w:cs="Times New Roman"/>
                <w:iCs/>
                <w:sz w:val="26"/>
                <w:szCs w:val="26"/>
                <w:lang w:eastAsia="lv-LV"/>
              </w:rPr>
            </w:pPr>
            <w:r w:rsidRPr="0004084E">
              <w:rPr>
                <w:rFonts w:ascii="Times New Roman" w:eastAsia="Times New Roman" w:hAnsi="Times New Roman" w:cs="Times New Roman"/>
                <w:iCs/>
                <w:sz w:val="26"/>
                <w:szCs w:val="26"/>
                <w:lang w:eastAsia="lv-LV"/>
              </w:rPr>
              <w:t>K</w:t>
            </w:r>
            <w:r w:rsidR="00382775" w:rsidRPr="0004084E">
              <w:rPr>
                <w:rFonts w:ascii="Times New Roman" w:eastAsia="Times New Roman" w:hAnsi="Times New Roman" w:cs="Times New Roman"/>
                <w:iCs/>
                <w:sz w:val="26"/>
                <w:szCs w:val="26"/>
                <w:lang w:eastAsia="lv-LV"/>
              </w:rPr>
              <w:t>omersanti, pašvaldības, biedrības, nodibinājumi, kooperatīvās sabiedrības un ostu pārvaldes.</w:t>
            </w:r>
          </w:p>
        </w:tc>
      </w:tr>
      <w:tr w:rsidR="00D40CFC" w:rsidRPr="0004084E" w:rsidTr="00A654F1">
        <w:trPr>
          <w:trHeight w:val="523"/>
        </w:trPr>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2.</w:t>
            </w:r>
          </w:p>
        </w:tc>
        <w:tc>
          <w:tcPr>
            <w:tcW w:w="3007"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Citas sabiedrības grupas (bez mērķgrupas), kuras tiesiskais regulējums arī ietekmē vai varētu ietekmēt</w:t>
            </w:r>
          </w:p>
        </w:tc>
        <w:tc>
          <w:tcPr>
            <w:tcW w:w="5498" w:type="dxa"/>
          </w:tcPr>
          <w:p w:rsidR="00D40CFC" w:rsidRPr="0004084E" w:rsidRDefault="00382775" w:rsidP="00D90174">
            <w:pPr>
              <w:spacing w:after="0" w:line="240" w:lineRule="auto"/>
              <w:ind w:firstLine="450"/>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iCs/>
                <w:sz w:val="26"/>
                <w:szCs w:val="26"/>
                <w:lang w:eastAsia="lv-LV"/>
              </w:rPr>
              <w:t>LIAA un TAVA</w:t>
            </w:r>
          </w:p>
        </w:tc>
      </w:tr>
      <w:tr w:rsidR="00D40CFC" w:rsidRPr="0004084E" w:rsidTr="00A654F1">
        <w:trPr>
          <w:trHeight w:val="517"/>
        </w:trPr>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3.</w:t>
            </w:r>
          </w:p>
        </w:tc>
        <w:tc>
          <w:tcPr>
            <w:tcW w:w="3007"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Tiesiskā regulējuma finansiālā ietekme</w:t>
            </w:r>
          </w:p>
        </w:tc>
        <w:tc>
          <w:tcPr>
            <w:tcW w:w="5498" w:type="dxa"/>
          </w:tcPr>
          <w:p w:rsidR="00D40CFC" w:rsidRPr="0004084E" w:rsidRDefault="005A5F0D" w:rsidP="00D90174">
            <w:pPr>
              <w:spacing w:after="0" w:line="240" w:lineRule="auto"/>
              <w:ind w:firstLine="450"/>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color w:val="000000"/>
                <w:sz w:val="26"/>
                <w:szCs w:val="26"/>
                <w:lang w:eastAsia="lv-LV"/>
              </w:rPr>
              <w:t>Noteikumu proj</w:t>
            </w:r>
            <w:r w:rsidR="00A00AC9" w:rsidRPr="0004084E">
              <w:rPr>
                <w:rFonts w:ascii="Times New Roman" w:eastAsia="Times New Roman" w:hAnsi="Times New Roman" w:cs="Times New Roman"/>
                <w:color w:val="000000"/>
                <w:sz w:val="26"/>
                <w:szCs w:val="26"/>
                <w:lang w:eastAsia="lv-LV"/>
              </w:rPr>
              <w:t>ekts paredz palielināt 2.3.1.1.2</w:t>
            </w:r>
            <w:r w:rsidRPr="0004084E">
              <w:rPr>
                <w:rFonts w:ascii="Times New Roman" w:eastAsia="Times New Roman" w:hAnsi="Times New Roman" w:cs="Times New Roman"/>
                <w:color w:val="000000"/>
                <w:sz w:val="26"/>
                <w:szCs w:val="26"/>
                <w:lang w:eastAsia="lv-LV"/>
              </w:rPr>
              <w:t>.apakšaktivitātes ietvaros pieejamo finansējumu LIAA un TAVA, līdz ar to nodrošinot lielāku finansējumu</w:t>
            </w:r>
            <w:r w:rsidRPr="0004084E">
              <w:rPr>
                <w:rFonts w:ascii="Times New Roman" w:eastAsia="Times New Roman" w:hAnsi="Times New Roman" w:cs="Times New Roman"/>
                <w:iCs/>
                <w:sz w:val="26"/>
                <w:szCs w:val="26"/>
                <w:lang w:eastAsia="lv-LV"/>
              </w:rPr>
              <w:t xml:space="preserve"> atbalsta sniegšanai komersantiem, pašvaldībām, biedrībām, nodibinājumiem, kooperatīvās sabiedrībām un ostu pārvaldēm</w:t>
            </w:r>
            <w:r w:rsidRPr="0004084E">
              <w:rPr>
                <w:rFonts w:ascii="Times New Roman" w:eastAsia="Times New Roman" w:hAnsi="Times New Roman" w:cs="Times New Roman"/>
                <w:color w:val="000000"/>
                <w:sz w:val="26"/>
                <w:szCs w:val="26"/>
                <w:lang w:eastAsia="lv-LV"/>
              </w:rPr>
              <w:t>.</w:t>
            </w:r>
          </w:p>
        </w:tc>
      </w:tr>
      <w:tr w:rsidR="00D40CFC" w:rsidRPr="0004084E" w:rsidTr="00A654F1">
        <w:trPr>
          <w:trHeight w:val="517"/>
        </w:trPr>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4.</w:t>
            </w:r>
          </w:p>
        </w:tc>
        <w:tc>
          <w:tcPr>
            <w:tcW w:w="3007"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Tiesiskā regulējuma nefinansiālā ietekme</w:t>
            </w:r>
          </w:p>
        </w:tc>
        <w:tc>
          <w:tcPr>
            <w:tcW w:w="5498" w:type="dxa"/>
          </w:tcPr>
          <w:p w:rsidR="00D40CFC" w:rsidRPr="0004084E" w:rsidRDefault="00D40CFC" w:rsidP="00D90174">
            <w:pPr>
              <w:spacing w:after="0" w:line="240" w:lineRule="auto"/>
              <w:ind w:firstLine="450"/>
              <w:jc w:val="both"/>
              <w:rPr>
                <w:rFonts w:ascii="Times New Roman" w:eastAsia="Times New Roman" w:hAnsi="Times New Roman" w:cs="Times New Roman"/>
                <w:iCs/>
                <w:sz w:val="26"/>
                <w:szCs w:val="26"/>
                <w:lang w:eastAsia="lv-LV"/>
              </w:rPr>
            </w:pPr>
            <w:r w:rsidRPr="0004084E">
              <w:rPr>
                <w:rFonts w:ascii="Times New Roman" w:eastAsia="Times New Roman" w:hAnsi="Times New Roman" w:cs="Times New Roman"/>
                <w:color w:val="000000"/>
                <w:sz w:val="26"/>
                <w:szCs w:val="26"/>
                <w:lang w:eastAsia="lv-LV"/>
              </w:rPr>
              <w:t>Projekts šo jomu neskar.</w:t>
            </w:r>
          </w:p>
        </w:tc>
      </w:tr>
      <w:tr w:rsidR="00D40CFC" w:rsidRPr="0004084E" w:rsidTr="00A654F1">
        <w:trPr>
          <w:trHeight w:val="531"/>
        </w:trPr>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5.</w:t>
            </w:r>
          </w:p>
        </w:tc>
        <w:tc>
          <w:tcPr>
            <w:tcW w:w="3007"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Administratīvās procedūras raksturojums</w:t>
            </w:r>
          </w:p>
        </w:tc>
        <w:tc>
          <w:tcPr>
            <w:tcW w:w="5498" w:type="dxa"/>
          </w:tcPr>
          <w:p w:rsidR="00D40CFC" w:rsidRPr="0004084E" w:rsidRDefault="00D40CFC" w:rsidP="00D90174">
            <w:pPr>
              <w:spacing w:after="0" w:line="240" w:lineRule="auto"/>
              <w:ind w:firstLine="450"/>
              <w:rPr>
                <w:rFonts w:ascii="Times New Roman" w:eastAsia="Times New Roman" w:hAnsi="Times New Roman" w:cs="Times New Roman"/>
                <w:sz w:val="26"/>
                <w:szCs w:val="26"/>
                <w:lang w:eastAsia="lv-LV"/>
              </w:rPr>
            </w:pPr>
            <w:r w:rsidRPr="0004084E">
              <w:rPr>
                <w:rFonts w:ascii="Times New Roman" w:eastAsia="Times New Roman" w:hAnsi="Times New Roman" w:cs="Times New Roman"/>
                <w:color w:val="000000"/>
                <w:sz w:val="26"/>
                <w:szCs w:val="26"/>
                <w:lang w:eastAsia="lv-LV"/>
              </w:rPr>
              <w:t>Projekts šo jomu neskar.</w:t>
            </w:r>
          </w:p>
        </w:tc>
      </w:tr>
      <w:tr w:rsidR="00D40CFC" w:rsidRPr="0004084E" w:rsidTr="00A654F1">
        <w:trPr>
          <w:trHeight w:val="357"/>
        </w:trPr>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lastRenderedPageBreak/>
              <w:t>6.</w:t>
            </w:r>
          </w:p>
        </w:tc>
        <w:tc>
          <w:tcPr>
            <w:tcW w:w="3007"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Administratīvo izmaksu monetārs novērtējums</w:t>
            </w:r>
          </w:p>
        </w:tc>
        <w:tc>
          <w:tcPr>
            <w:tcW w:w="5498" w:type="dxa"/>
          </w:tcPr>
          <w:p w:rsidR="00D40CFC" w:rsidRPr="0004084E" w:rsidRDefault="00D40CFC" w:rsidP="00D90174">
            <w:pPr>
              <w:spacing w:after="0" w:line="240" w:lineRule="auto"/>
              <w:ind w:firstLine="450"/>
              <w:rPr>
                <w:rFonts w:ascii="Times New Roman" w:eastAsia="Times New Roman" w:hAnsi="Times New Roman" w:cs="Times New Roman"/>
                <w:sz w:val="26"/>
                <w:szCs w:val="26"/>
                <w:lang w:eastAsia="lv-LV"/>
              </w:rPr>
            </w:pPr>
            <w:r w:rsidRPr="0004084E">
              <w:rPr>
                <w:rFonts w:ascii="Times New Roman" w:eastAsia="Times New Roman" w:hAnsi="Times New Roman" w:cs="Times New Roman"/>
                <w:color w:val="000000"/>
                <w:sz w:val="26"/>
                <w:szCs w:val="26"/>
                <w:lang w:eastAsia="lv-LV"/>
              </w:rPr>
              <w:t>Projekts šo jomu neskar.</w:t>
            </w:r>
          </w:p>
        </w:tc>
      </w:tr>
      <w:tr w:rsidR="00D40CFC" w:rsidRPr="0004084E" w:rsidTr="00A654F1">
        <w:trPr>
          <w:trHeight w:val="489"/>
        </w:trPr>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7.</w:t>
            </w:r>
          </w:p>
        </w:tc>
        <w:tc>
          <w:tcPr>
            <w:tcW w:w="3007"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Cita informācija</w:t>
            </w:r>
          </w:p>
        </w:tc>
        <w:tc>
          <w:tcPr>
            <w:tcW w:w="5498" w:type="dxa"/>
          </w:tcPr>
          <w:p w:rsidR="00D40CFC" w:rsidRPr="0004084E" w:rsidRDefault="00D40CFC" w:rsidP="00D90174">
            <w:pPr>
              <w:spacing w:after="0" w:line="240" w:lineRule="auto"/>
              <w:ind w:firstLine="450"/>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Nav.</w:t>
            </w:r>
          </w:p>
        </w:tc>
      </w:tr>
    </w:tbl>
    <w:p w:rsidR="00830152" w:rsidRPr="0004084E" w:rsidRDefault="00830152" w:rsidP="00D90174">
      <w:pPr>
        <w:spacing w:after="0" w:line="240" w:lineRule="auto"/>
        <w:jc w:val="center"/>
        <w:rPr>
          <w:rFonts w:ascii="Times New Roman" w:eastAsia="Calibri" w:hAnsi="Times New Roman" w:cs="Times New Roman"/>
          <w:b/>
          <w:sz w:val="26"/>
          <w:szCs w:val="26"/>
        </w:rPr>
      </w:pPr>
    </w:p>
    <w:tbl>
      <w:tblPr>
        <w:tblW w:w="0" w:type="auto"/>
        <w:tblBorders>
          <w:top w:val="thickThinLargeGap" w:sz="6" w:space="0" w:color="BFBFBF" w:themeColor="background1" w:themeShade="BF"/>
          <w:left w:val="thickThinLargeGap" w:sz="6" w:space="0" w:color="BFBFBF" w:themeColor="background1" w:themeShade="BF"/>
          <w:bottom w:val="thickThinLargeGap" w:sz="6" w:space="0" w:color="BFBFBF" w:themeColor="background1" w:themeShade="BF"/>
          <w:right w:val="thickThinLargeGap" w:sz="6" w:space="0" w:color="BFBFBF" w:themeColor="background1" w:themeShade="BF"/>
          <w:insideH w:val="thickThinLargeGap" w:sz="6" w:space="0" w:color="BFBFBF" w:themeColor="background1" w:themeShade="BF"/>
          <w:insideV w:val="thickThinLargeGap" w:sz="6" w:space="0" w:color="BFBFBF" w:themeColor="background1" w:themeShade="BF"/>
        </w:tblBorders>
        <w:tblLayout w:type="fixed"/>
        <w:tblLook w:val="01E0" w:firstRow="1" w:lastRow="1" w:firstColumn="1" w:lastColumn="1" w:noHBand="0" w:noVBand="0"/>
      </w:tblPr>
      <w:tblGrid>
        <w:gridCol w:w="1947"/>
        <w:gridCol w:w="1463"/>
        <w:gridCol w:w="1539"/>
        <w:gridCol w:w="1446"/>
        <w:gridCol w:w="1446"/>
        <w:gridCol w:w="1446"/>
      </w:tblGrid>
      <w:tr w:rsidR="00993A38" w:rsidRPr="0004084E" w:rsidTr="00F45918">
        <w:tc>
          <w:tcPr>
            <w:tcW w:w="9287" w:type="dxa"/>
            <w:gridSpan w:val="6"/>
            <w:hideMark/>
          </w:tcPr>
          <w:p w:rsidR="00993A38" w:rsidRPr="0004084E" w:rsidRDefault="00993A38" w:rsidP="00D90174">
            <w:pPr>
              <w:spacing w:after="0" w:line="240" w:lineRule="auto"/>
              <w:jc w:val="center"/>
              <w:rPr>
                <w:rFonts w:ascii="Times New Roman" w:eastAsia="Times New Roman" w:hAnsi="Times New Roman" w:cs="Times New Roman"/>
                <w:b/>
                <w:sz w:val="26"/>
                <w:szCs w:val="26"/>
                <w:lang w:eastAsia="lv-LV"/>
              </w:rPr>
            </w:pPr>
            <w:r w:rsidRPr="0004084E">
              <w:rPr>
                <w:rFonts w:ascii="Times New Roman" w:eastAsia="Times New Roman" w:hAnsi="Times New Roman" w:cs="Times New Roman"/>
                <w:b/>
                <w:sz w:val="26"/>
                <w:szCs w:val="26"/>
                <w:lang w:eastAsia="lv-LV"/>
              </w:rPr>
              <w:t> III Tiesību akta projekta ietekme uz valsts budžetu un pašvaldību budžetiem</w:t>
            </w:r>
          </w:p>
        </w:tc>
      </w:tr>
      <w:tr w:rsidR="00993A38" w:rsidRPr="0004084E" w:rsidTr="00F45918">
        <w:tc>
          <w:tcPr>
            <w:tcW w:w="4949" w:type="dxa"/>
            <w:gridSpan w:val="3"/>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4338" w:type="dxa"/>
            <w:gridSpan w:val="3"/>
            <w:vAlign w:val="center"/>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(tūkst. latu)</w:t>
            </w:r>
          </w:p>
        </w:tc>
      </w:tr>
      <w:tr w:rsidR="00993A38" w:rsidRPr="0004084E" w:rsidTr="00F45918">
        <w:tc>
          <w:tcPr>
            <w:tcW w:w="1947" w:type="dxa"/>
            <w:vMerge w:val="restart"/>
            <w:vAlign w:val="bottom"/>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Rādītāji</w:t>
            </w:r>
          </w:p>
        </w:tc>
        <w:tc>
          <w:tcPr>
            <w:tcW w:w="3002" w:type="dxa"/>
            <w:gridSpan w:val="2"/>
            <w:vMerge w:val="restart"/>
            <w:vAlign w:val="bottom"/>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2012</w:t>
            </w:r>
          </w:p>
        </w:tc>
        <w:tc>
          <w:tcPr>
            <w:tcW w:w="4338" w:type="dxa"/>
            <w:gridSpan w:val="3"/>
            <w:vAlign w:val="center"/>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Turpmākie trīs gadi</w:t>
            </w:r>
          </w:p>
        </w:tc>
      </w:tr>
      <w:tr w:rsidR="00993A38" w:rsidRPr="0004084E" w:rsidTr="00F45918">
        <w:tc>
          <w:tcPr>
            <w:tcW w:w="1947" w:type="dxa"/>
            <w:vMerge/>
            <w:vAlign w:val="center"/>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3002" w:type="dxa"/>
            <w:gridSpan w:val="2"/>
            <w:vMerge/>
            <w:vAlign w:val="center"/>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1446" w:type="dxa"/>
            <w:vAlign w:val="bottom"/>
            <w:hideMark/>
          </w:tcPr>
          <w:p w:rsidR="00993A38" w:rsidRPr="000560B5" w:rsidRDefault="00993A38" w:rsidP="00D90174">
            <w:pPr>
              <w:spacing w:after="0" w:line="240" w:lineRule="auto"/>
              <w:jc w:val="center"/>
              <w:rPr>
                <w:rFonts w:ascii="Times New Roman" w:eastAsia="Times New Roman" w:hAnsi="Times New Roman" w:cs="Times New Roman"/>
                <w:i/>
                <w:sz w:val="26"/>
                <w:szCs w:val="26"/>
                <w:lang w:eastAsia="lv-LV"/>
              </w:rPr>
            </w:pPr>
            <w:r w:rsidRPr="000560B5">
              <w:rPr>
                <w:rFonts w:ascii="Times New Roman" w:eastAsia="Times New Roman" w:hAnsi="Times New Roman" w:cs="Times New Roman"/>
                <w:bCs/>
                <w:sz w:val="26"/>
                <w:szCs w:val="26"/>
                <w:lang w:eastAsia="lv-LV"/>
              </w:rPr>
              <w:t>2013</w:t>
            </w:r>
          </w:p>
        </w:tc>
        <w:tc>
          <w:tcPr>
            <w:tcW w:w="1446" w:type="dxa"/>
            <w:vAlign w:val="bottom"/>
            <w:hideMark/>
          </w:tcPr>
          <w:p w:rsidR="00993A38" w:rsidRPr="000560B5" w:rsidRDefault="00993A38" w:rsidP="00D90174">
            <w:pPr>
              <w:spacing w:after="0" w:line="240" w:lineRule="auto"/>
              <w:jc w:val="center"/>
              <w:rPr>
                <w:rFonts w:ascii="Times New Roman" w:eastAsia="Times New Roman" w:hAnsi="Times New Roman" w:cs="Times New Roman"/>
                <w:i/>
                <w:sz w:val="26"/>
                <w:szCs w:val="26"/>
                <w:lang w:eastAsia="lv-LV"/>
              </w:rPr>
            </w:pPr>
            <w:r w:rsidRPr="000560B5">
              <w:rPr>
                <w:rFonts w:ascii="Times New Roman" w:eastAsia="Times New Roman" w:hAnsi="Times New Roman" w:cs="Times New Roman"/>
                <w:bCs/>
                <w:sz w:val="26"/>
                <w:szCs w:val="26"/>
                <w:lang w:eastAsia="lv-LV"/>
              </w:rPr>
              <w:t>2014</w:t>
            </w:r>
          </w:p>
        </w:tc>
        <w:tc>
          <w:tcPr>
            <w:tcW w:w="1446" w:type="dxa"/>
            <w:vAlign w:val="bottom"/>
            <w:hideMark/>
          </w:tcPr>
          <w:p w:rsidR="00993A38" w:rsidRPr="000560B5" w:rsidRDefault="00993A38" w:rsidP="00D90174">
            <w:pPr>
              <w:spacing w:after="0" w:line="240" w:lineRule="auto"/>
              <w:jc w:val="center"/>
              <w:rPr>
                <w:rFonts w:ascii="Times New Roman" w:eastAsia="Times New Roman" w:hAnsi="Times New Roman" w:cs="Times New Roman"/>
                <w:i/>
                <w:sz w:val="26"/>
                <w:szCs w:val="26"/>
                <w:lang w:eastAsia="lv-LV"/>
              </w:rPr>
            </w:pPr>
            <w:r w:rsidRPr="000560B5">
              <w:rPr>
                <w:rFonts w:ascii="Times New Roman" w:eastAsia="Times New Roman" w:hAnsi="Times New Roman" w:cs="Times New Roman"/>
                <w:bCs/>
                <w:sz w:val="26"/>
                <w:szCs w:val="26"/>
                <w:lang w:eastAsia="lv-LV"/>
              </w:rPr>
              <w:t>2015</w:t>
            </w:r>
          </w:p>
        </w:tc>
      </w:tr>
      <w:tr w:rsidR="00993A38" w:rsidRPr="0004084E" w:rsidTr="00F45918">
        <w:tc>
          <w:tcPr>
            <w:tcW w:w="1947" w:type="dxa"/>
            <w:vMerge/>
            <w:vAlign w:val="center"/>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1463" w:type="dxa"/>
            <w:vAlign w:val="bottom"/>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Saskaņā ar valsts budžetu kārtējam gadam</w:t>
            </w:r>
          </w:p>
        </w:tc>
        <w:tc>
          <w:tcPr>
            <w:tcW w:w="1539" w:type="dxa"/>
            <w:vAlign w:val="bottom"/>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Izmaiņas kārtējā gadā salīdzinot ar budžetu kārtējam gadam</w:t>
            </w:r>
          </w:p>
        </w:tc>
        <w:tc>
          <w:tcPr>
            <w:tcW w:w="1446" w:type="dxa"/>
            <w:vAlign w:val="bottom"/>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Izmaiņas salīdzinot ar kārtējo (n) gadu</w:t>
            </w:r>
          </w:p>
        </w:tc>
        <w:tc>
          <w:tcPr>
            <w:tcW w:w="1446" w:type="dxa"/>
            <w:vAlign w:val="bottom"/>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Izmaiņas salīdzinot ar kārtējo (n) gadu</w:t>
            </w:r>
          </w:p>
        </w:tc>
        <w:tc>
          <w:tcPr>
            <w:tcW w:w="1446" w:type="dxa"/>
            <w:vAlign w:val="bottom"/>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Izmaiņas salīdzinot ar kārtējo (n) gadu</w:t>
            </w:r>
          </w:p>
        </w:tc>
      </w:tr>
      <w:tr w:rsidR="00993A38" w:rsidRPr="0004084E" w:rsidTr="00F45918">
        <w:trPr>
          <w:trHeight w:val="70"/>
        </w:trPr>
        <w:tc>
          <w:tcPr>
            <w:tcW w:w="1947"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1</w:t>
            </w:r>
          </w:p>
        </w:tc>
        <w:tc>
          <w:tcPr>
            <w:tcW w:w="1463"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2</w:t>
            </w:r>
          </w:p>
        </w:tc>
        <w:tc>
          <w:tcPr>
            <w:tcW w:w="1539"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3</w:t>
            </w:r>
          </w:p>
        </w:tc>
        <w:tc>
          <w:tcPr>
            <w:tcW w:w="1446"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4</w:t>
            </w:r>
          </w:p>
        </w:tc>
        <w:tc>
          <w:tcPr>
            <w:tcW w:w="1446"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5</w:t>
            </w:r>
          </w:p>
        </w:tc>
        <w:tc>
          <w:tcPr>
            <w:tcW w:w="1446"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6</w:t>
            </w:r>
          </w:p>
        </w:tc>
      </w:tr>
      <w:tr w:rsidR="00993A38" w:rsidRPr="0004084E" w:rsidTr="00F45918">
        <w:tc>
          <w:tcPr>
            <w:tcW w:w="1947" w:type="dxa"/>
            <w:hideMark/>
          </w:tcPr>
          <w:p w:rsidR="00993A38" w:rsidRPr="000560B5" w:rsidRDefault="00993A38" w:rsidP="00D90174">
            <w:pPr>
              <w:spacing w:after="0" w:line="240" w:lineRule="auto"/>
              <w:jc w:val="center"/>
              <w:rPr>
                <w:rFonts w:ascii="Times New Roman" w:eastAsia="Times New Roman" w:hAnsi="Times New Roman" w:cs="Times New Roman"/>
                <w:i/>
                <w:sz w:val="26"/>
                <w:szCs w:val="26"/>
                <w:lang w:eastAsia="lv-LV"/>
              </w:rPr>
            </w:pPr>
            <w:r w:rsidRPr="000560B5">
              <w:rPr>
                <w:rFonts w:ascii="Times New Roman" w:eastAsia="Times New Roman" w:hAnsi="Times New Roman" w:cs="Times New Roman"/>
                <w:sz w:val="26"/>
                <w:szCs w:val="26"/>
                <w:lang w:eastAsia="lv-LV"/>
              </w:rPr>
              <w:t>1. Budžeta ieņēmumi:</w:t>
            </w:r>
          </w:p>
        </w:tc>
        <w:tc>
          <w:tcPr>
            <w:tcW w:w="1463"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539"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vAlign w:val="center"/>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vAlign w:val="center"/>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vAlign w:val="center"/>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r>
      <w:tr w:rsidR="00993A38" w:rsidRPr="0004084E" w:rsidTr="00F45918">
        <w:trPr>
          <w:trHeight w:val="725"/>
        </w:trPr>
        <w:tc>
          <w:tcPr>
            <w:tcW w:w="1947" w:type="dxa"/>
            <w:vAlign w:val="center"/>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1.1. valsts pamatbudžets, tai skaitā ieņēmumi no maksas pakalpojumiem un citi pašu ieņēmumi;</w:t>
            </w:r>
          </w:p>
        </w:tc>
        <w:tc>
          <w:tcPr>
            <w:tcW w:w="1463"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Nav attiecināms</w:t>
            </w:r>
          </w:p>
        </w:tc>
        <w:tc>
          <w:tcPr>
            <w:tcW w:w="1539"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Nav attiecināms</w:t>
            </w:r>
          </w:p>
        </w:tc>
        <w:tc>
          <w:tcPr>
            <w:tcW w:w="1446"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Nav attiecināms</w:t>
            </w:r>
          </w:p>
        </w:tc>
        <w:tc>
          <w:tcPr>
            <w:tcW w:w="1446"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Nav attiecināms</w:t>
            </w:r>
          </w:p>
        </w:tc>
        <w:tc>
          <w:tcPr>
            <w:tcW w:w="1446"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Nav attiecināms</w:t>
            </w: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i/>
                <w:sz w:val="26"/>
                <w:szCs w:val="26"/>
                <w:lang w:eastAsia="lv-LV"/>
              </w:rPr>
            </w:pPr>
            <w:r w:rsidRPr="000560B5">
              <w:rPr>
                <w:rFonts w:ascii="Times New Roman" w:eastAsia="Times New Roman" w:hAnsi="Times New Roman" w:cs="Times New Roman"/>
                <w:sz w:val="26"/>
                <w:szCs w:val="26"/>
                <w:lang w:eastAsia="lv-LV"/>
              </w:rPr>
              <w:t>1.2. valsts speciālais budžets;</w:t>
            </w:r>
          </w:p>
        </w:tc>
        <w:tc>
          <w:tcPr>
            <w:tcW w:w="7340" w:type="dxa"/>
            <w:gridSpan w:val="5"/>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Projekts šo jomu neskar.</w:t>
            </w: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1.3. pašvaldību budžets</w:t>
            </w:r>
          </w:p>
        </w:tc>
        <w:tc>
          <w:tcPr>
            <w:tcW w:w="7340" w:type="dxa"/>
            <w:gridSpan w:val="5"/>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Projekts šo jomu neskar.</w:t>
            </w: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2. Budžeta izdevumi:</w:t>
            </w:r>
          </w:p>
        </w:tc>
        <w:tc>
          <w:tcPr>
            <w:tcW w:w="1463"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1539"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2.1. valsts pamatbudžets</w:t>
            </w:r>
          </w:p>
        </w:tc>
        <w:tc>
          <w:tcPr>
            <w:tcW w:w="1463" w:type="dxa"/>
            <w:vAlign w:val="center"/>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0</w:t>
            </w:r>
          </w:p>
        </w:tc>
        <w:tc>
          <w:tcPr>
            <w:tcW w:w="1539"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0</w:t>
            </w:r>
          </w:p>
        </w:tc>
        <w:tc>
          <w:tcPr>
            <w:tcW w:w="1446"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0</w:t>
            </w:r>
          </w:p>
        </w:tc>
        <w:tc>
          <w:tcPr>
            <w:tcW w:w="1446"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0</w:t>
            </w:r>
          </w:p>
        </w:tc>
        <w:tc>
          <w:tcPr>
            <w:tcW w:w="1446"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0</w:t>
            </w: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2.2. valsts speciālais budžets;</w:t>
            </w:r>
          </w:p>
        </w:tc>
        <w:tc>
          <w:tcPr>
            <w:tcW w:w="7340" w:type="dxa"/>
            <w:gridSpan w:val="5"/>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Projekts šo jomu neskar.</w:t>
            </w: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 xml:space="preserve">2.3. pašvaldību budžets </w:t>
            </w:r>
          </w:p>
        </w:tc>
        <w:tc>
          <w:tcPr>
            <w:tcW w:w="7340" w:type="dxa"/>
            <w:gridSpan w:val="5"/>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Projekts šo jomu neskar.</w:t>
            </w: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3. Finansiālā ietekme:</w:t>
            </w:r>
          </w:p>
        </w:tc>
        <w:tc>
          <w:tcPr>
            <w:tcW w:w="1463" w:type="dxa"/>
            <w:vAlign w:val="center"/>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1539"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1446" w:type="dxa"/>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r>
      <w:tr w:rsidR="00993A38" w:rsidRPr="0004084E" w:rsidTr="00F45918">
        <w:tc>
          <w:tcPr>
            <w:tcW w:w="1947" w:type="dxa"/>
            <w:hideMark/>
          </w:tcPr>
          <w:p w:rsidR="00993A38" w:rsidRPr="000560B5" w:rsidRDefault="00993A38" w:rsidP="00D90174">
            <w:pPr>
              <w:spacing w:after="0" w:line="240" w:lineRule="auto"/>
              <w:ind w:left="-120" w:firstLine="120"/>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lastRenderedPageBreak/>
              <w:t>3.1. valsts pamatbudžets;</w:t>
            </w:r>
          </w:p>
        </w:tc>
        <w:tc>
          <w:tcPr>
            <w:tcW w:w="1463" w:type="dxa"/>
            <w:vAlign w:val="center"/>
            <w:hideMark/>
          </w:tcPr>
          <w:p w:rsidR="00993A38" w:rsidRPr="000560B5" w:rsidRDefault="00993A38" w:rsidP="00D90174">
            <w:pPr>
              <w:spacing w:after="0" w:line="240" w:lineRule="auto"/>
              <w:jc w:val="center"/>
              <w:rPr>
                <w:rFonts w:ascii="Times New Roman" w:eastAsia="Times New Roman" w:hAnsi="Times New Roman" w:cs="Times New Roman"/>
                <w:bCs/>
                <w:sz w:val="26"/>
                <w:szCs w:val="26"/>
                <w:lang w:eastAsia="lv-LV"/>
              </w:rPr>
            </w:pPr>
            <w:r w:rsidRPr="000560B5">
              <w:rPr>
                <w:rFonts w:ascii="Times New Roman" w:eastAsia="Times New Roman" w:hAnsi="Times New Roman" w:cs="Times New Roman"/>
                <w:sz w:val="26"/>
                <w:szCs w:val="26"/>
                <w:lang w:eastAsia="lv-LV"/>
              </w:rPr>
              <w:t>Nav attiecināms</w:t>
            </w:r>
          </w:p>
        </w:tc>
        <w:tc>
          <w:tcPr>
            <w:tcW w:w="1539" w:type="dxa"/>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Nav attiecināms</w:t>
            </w:r>
          </w:p>
        </w:tc>
        <w:tc>
          <w:tcPr>
            <w:tcW w:w="1446" w:type="dxa"/>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Nav attiecināms</w:t>
            </w:r>
          </w:p>
        </w:tc>
        <w:tc>
          <w:tcPr>
            <w:tcW w:w="1446" w:type="dxa"/>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Nav attiecināms</w:t>
            </w:r>
          </w:p>
        </w:tc>
        <w:tc>
          <w:tcPr>
            <w:tcW w:w="1446" w:type="dxa"/>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Nav attiecināms</w:t>
            </w:r>
          </w:p>
        </w:tc>
      </w:tr>
      <w:tr w:rsidR="00993A38" w:rsidRPr="0004084E" w:rsidTr="00F45918">
        <w:trPr>
          <w:trHeight w:val="393"/>
        </w:trPr>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3.2. speciālais budžets;</w:t>
            </w:r>
          </w:p>
        </w:tc>
        <w:tc>
          <w:tcPr>
            <w:tcW w:w="7340" w:type="dxa"/>
            <w:gridSpan w:val="5"/>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Projekts šo jomu neskar.</w:t>
            </w: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 xml:space="preserve">3.3. pašvaldību budžets </w:t>
            </w:r>
          </w:p>
        </w:tc>
        <w:tc>
          <w:tcPr>
            <w:tcW w:w="7340" w:type="dxa"/>
            <w:gridSpan w:val="5"/>
            <w:hideMark/>
          </w:tcPr>
          <w:p w:rsidR="00993A38" w:rsidRPr="000560B5" w:rsidRDefault="00993A38" w:rsidP="00D90174">
            <w:pPr>
              <w:spacing w:after="0" w:line="240" w:lineRule="auto"/>
              <w:rPr>
                <w:rFonts w:ascii="Times New Roman" w:eastAsia="Times New Roman" w:hAnsi="Times New Roman" w:cs="Times New Roman"/>
                <w:i/>
                <w:sz w:val="26"/>
                <w:szCs w:val="26"/>
                <w:lang w:eastAsia="lv-LV"/>
              </w:rPr>
            </w:pPr>
            <w:r w:rsidRPr="000560B5">
              <w:rPr>
                <w:rFonts w:ascii="Times New Roman" w:eastAsia="Times New Roman" w:hAnsi="Times New Roman" w:cs="Times New Roman"/>
                <w:sz w:val="26"/>
                <w:szCs w:val="26"/>
                <w:lang w:eastAsia="lv-LV"/>
              </w:rPr>
              <w:t>Projekts šo jomu neskar.</w:t>
            </w: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 xml:space="preserve">4. Finanšu līdzekļi papildu izdevumu finansēšanai (kompensējošu izdevumu samazinājumu norāda ar "+" zīmi) </w:t>
            </w:r>
          </w:p>
        </w:tc>
        <w:tc>
          <w:tcPr>
            <w:tcW w:w="7340" w:type="dxa"/>
            <w:gridSpan w:val="5"/>
            <w:vAlign w:val="center"/>
            <w:hideMark/>
          </w:tcPr>
          <w:p w:rsidR="00993A38" w:rsidRPr="000560B5" w:rsidRDefault="00993A38" w:rsidP="00D90174">
            <w:pPr>
              <w:spacing w:after="0" w:line="240" w:lineRule="auto"/>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Pēc projekta apstiprināšanas Ekonomikas ministrija normatīvajos aktos noteiktajos gadījumos un noteiktajā kārtībā no gadskārtējā valsts budžeta izpildes procesā pārdalāmā finansējuma  programmas 80.00.00 „Nesadalītais finansējums Eiropas Savienības politiku instrumentu un pārējās ārvalstu finanšu palīdzības līdzfinansēto projektu un pasākumu īstenošanai” var pieprasīt valsts budžeta līdzekļus apstiprināto projektu īstenošanai.</w:t>
            </w:r>
          </w:p>
        </w:tc>
      </w:tr>
      <w:tr w:rsidR="00993A38" w:rsidRPr="0004084E" w:rsidTr="00F45918">
        <w:trPr>
          <w:trHeight w:val="563"/>
        </w:trPr>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5. Precizēta finansiālā ietekme:</w:t>
            </w:r>
          </w:p>
        </w:tc>
        <w:tc>
          <w:tcPr>
            <w:tcW w:w="1463"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539"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vAlign w:val="center"/>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vAlign w:val="center"/>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446" w:type="dxa"/>
            <w:vAlign w:val="center"/>
            <w:hideMark/>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r>
      <w:tr w:rsidR="00993A38" w:rsidRPr="0004084E" w:rsidTr="00F45918">
        <w:trPr>
          <w:trHeight w:val="563"/>
        </w:trPr>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5.1. valsts pamatbudžets;</w:t>
            </w:r>
          </w:p>
        </w:tc>
        <w:tc>
          <w:tcPr>
            <w:tcW w:w="1463" w:type="dxa"/>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c>
          <w:tcPr>
            <w:tcW w:w="1539" w:type="dxa"/>
            <w:vAlign w:val="center"/>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1446" w:type="dxa"/>
            <w:vAlign w:val="center"/>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1446" w:type="dxa"/>
            <w:vAlign w:val="center"/>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1446" w:type="dxa"/>
            <w:vAlign w:val="center"/>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5.2. speciālais budžets;</w:t>
            </w:r>
          </w:p>
        </w:tc>
        <w:tc>
          <w:tcPr>
            <w:tcW w:w="1463" w:type="dxa"/>
            <w:vMerge w:val="restart"/>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p w:rsidR="00993A38" w:rsidRPr="000560B5" w:rsidRDefault="00993A38" w:rsidP="00D90174">
            <w:pPr>
              <w:spacing w:after="0" w:line="240" w:lineRule="auto"/>
              <w:rPr>
                <w:rFonts w:ascii="Times New Roman" w:eastAsia="Times New Roman" w:hAnsi="Times New Roman" w:cs="Times New Roman"/>
                <w:sz w:val="26"/>
                <w:szCs w:val="26"/>
                <w:lang w:eastAsia="lv-LV"/>
              </w:rPr>
            </w:pPr>
          </w:p>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5877" w:type="dxa"/>
            <w:gridSpan w:val="4"/>
            <w:vMerge w:val="restart"/>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Projekts šo jomu neskar.</w:t>
            </w: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 xml:space="preserve">5.3. pašvaldību budžets </w:t>
            </w:r>
          </w:p>
        </w:tc>
        <w:tc>
          <w:tcPr>
            <w:tcW w:w="1463" w:type="dxa"/>
            <w:vMerge/>
            <w:vAlign w:val="center"/>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c>
          <w:tcPr>
            <w:tcW w:w="5877" w:type="dxa"/>
            <w:gridSpan w:val="4"/>
            <w:vMerge/>
            <w:vAlign w:val="center"/>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7340" w:type="dxa"/>
            <w:gridSpan w:val="5"/>
            <w:hideMark/>
          </w:tcPr>
          <w:p w:rsidR="00993A38" w:rsidRPr="000560B5" w:rsidRDefault="00993A38" w:rsidP="00D90174">
            <w:pPr>
              <w:spacing w:after="0" w:line="240" w:lineRule="auto"/>
              <w:ind w:firstLine="540"/>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 xml:space="preserve"> </w:t>
            </w:r>
          </w:p>
        </w:tc>
      </w:tr>
      <w:tr w:rsidR="00993A38" w:rsidRPr="0004084E" w:rsidTr="00F45918">
        <w:tc>
          <w:tcPr>
            <w:tcW w:w="1947" w:type="dxa"/>
            <w:hideMark/>
          </w:tcPr>
          <w:p w:rsidR="00993A38" w:rsidRPr="000560B5" w:rsidRDefault="00993A38"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6.1. Detalizēts ieņēmumu aprēķins;</w:t>
            </w:r>
          </w:p>
        </w:tc>
        <w:tc>
          <w:tcPr>
            <w:tcW w:w="7340" w:type="dxa"/>
            <w:gridSpan w:val="5"/>
            <w:vAlign w:val="center"/>
          </w:tcPr>
          <w:p w:rsidR="00993A38" w:rsidRPr="000560B5" w:rsidRDefault="00993A38" w:rsidP="00D90174">
            <w:pPr>
              <w:spacing w:after="0" w:line="240" w:lineRule="auto"/>
              <w:jc w:val="center"/>
              <w:rPr>
                <w:rFonts w:ascii="Times New Roman" w:eastAsia="Times New Roman" w:hAnsi="Times New Roman" w:cs="Times New Roman"/>
                <w:sz w:val="26"/>
                <w:szCs w:val="26"/>
                <w:lang w:eastAsia="lv-LV"/>
              </w:rPr>
            </w:pPr>
          </w:p>
        </w:tc>
      </w:tr>
      <w:tr w:rsidR="00993A38" w:rsidRPr="0004084E" w:rsidTr="00F45918">
        <w:tc>
          <w:tcPr>
            <w:tcW w:w="1947" w:type="dxa"/>
            <w:hideMark/>
          </w:tcPr>
          <w:p w:rsidR="00993A38" w:rsidRPr="000560B5" w:rsidRDefault="00993A38" w:rsidP="00D90174">
            <w:pPr>
              <w:spacing w:after="0" w:line="240" w:lineRule="auto"/>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6.2. Detalizēts izdevumu aprēķins</w:t>
            </w:r>
          </w:p>
        </w:tc>
        <w:tc>
          <w:tcPr>
            <w:tcW w:w="7340" w:type="dxa"/>
            <w:gridSpan w:val="5"/>
            <w:hideMark/>
          </w:tcPr>
          <w:p w:rsidR="00993A38" w:rsidRPr="000560B5" w:rsidRDefault="00993A38" w:rsidP="00604A6A">
            <w:pPr>
              <w:spacing w:after="0" w:line="240" w:lineRule="auto"/>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 xml:space="preserve">Darbības programmas „Uzņēmējdarbība un inovācijas” papildinājuma 2.3.1.1.aktivitātes „Ārējo tirgu apgūšana” 2.3.1.1.2.apakšaktivitāti „Ārējo tirgu apgūšana – nozaru starptautiskās konkurētspējas stiprināšana” 11.punkts nosaka ka </w:t>
            </w:r>
            <w:r w:rsidRPr="000560B5">
              <w:rPr>
                <w:rFonts w:ascii="Times New Roman" w:eastAsia="Times New Roman" w:hAnsi="Times New Roman" w:cs="Times New Roman"/>
                <w:sz w:val="26"/>
                <w:szCs w:val="26"/>
                <w:lang w:eastAsia="lv-LV"/>
              </w:rPr>
              <w:lastRenderedPageBreak/>
              <w:t xml:space="preserve">finansējuma saņēmējs (LIAA un TAVA) nodrošina līdzfinansējumu no valsts budžeta ietvaros piešķirtajiem līdzekļiem ne mazāk kā 40 % apmērā. Palielinot finansējumu 2.3.1.1.2.apakšaktivitātei „Ārējo tirgu apgūšana – nozaru starptautiskās konkurētspējas stiprināšana” ir nepieciešams </w:t>
            </w:r>
            <w:r w:rsidR="00604A6A">
              <w:rPr>
                <w:rFonts w:ascii="Times New Roman" w:eastAsia="Times New Roman" w:hAnsi="Times New Roman" w:cs="Times New Roman"/>
                <w:sz w:val="26"/>
                <w:szCs w:val="26"/>
                <w:lang w:eastAsia="lv-LV"/>
              </w:rPr>
              <w:t xml:space="preserve">precizēt </w:t>
            </w:r>
            <w:r w:rsidRPr="000560B5">
              <w:rPr>
                <w:rFonts w:ascii="Times New Roman" w:eastAsia="Times New Roman" w:hAnsi="Times New Roman" w:cs="Times New Roman"/>
                <w:sz w:val="26"/>
                <w:szCs w:val="26"/>
                <w:lang w:eastAsia="lv-LV"/>
              </w:rPr>
              <w:t>arī valsts budžeta ietvaros piešķirto līdzekļu</w:t>
            </w:r>
            <w:r w:rsidR="00604A6A">
              <w:rPr>
                <w:rFonts w:ascii="Times New Roman" w:eastAsia="Times New Roman" w:hAnsi="Times New Roman" w:cs="Times New Roman"/>
                <w:sz w:val="26"/>
                <w:szCs w:val="26"/>
                <w:lang w:eastAsia="lv-LV"/>
              </w:rPr>
              <w:t xml:space="preserve"> apjomu</w:t>
            </w:r>
            <w:r w:rsidRPr="000560B5">
              <w:rPr>
                <w:rFonts w:ascii="Times New Roman" w:eastAsia="Times New Roman" w:hAnsi="Times New Roman" w:cs="Times New Roman"/>
                <w:sz w:val="26"/>
                <w:szCs w:val="26"/>
                <w:lang w:eastAsia="lv-LV"/>
              </w:rPr>
              <w:t>. Ņemot vērā ka Eiropas Reģionālās attīstības fonda līdzfinansējums palielinās par 2 500 000 latiem, attiecīgi valsts budžeta piešķirtajiem līdzekļiem jāpalielinās par 1 666 667 latiem, jeb 40% no kopējā finansējuma.</w:t>
            </w:r>
          </w:p>
        </w:tc>
      </w:tr>
      <w:tr w:rsidR="00993A38" w:rsidRPr="0004084E" w:rsidTr="00F45918">
        <w:tc>
          <w:tcPr>
            <w:tcW w:w="1947" w:type="dxa"/>
            <w:hideMark/>
          </w:tcPr>
          <w:p w:rsidR="00993A38" w:rsidRPr="000560B5" w:rsidRDefault="00993A38" w:rsidP="00D90174">
            <w:pPr>
              <w:spacing w:after="0" w:line="240" w:lineRule="auto"/>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lastRenderedPageBreak/>
              <w:t>7. Cita informācija</w:t>
            </w:r>
          </w:p>
        </w:tc>
        <w:tc>
          <w:tcPr>
            <w:tcW w:w="7340" w:type="dxa"/>
            <w:gridSpan w:val="5"/>
            <w:hideMark/>
          </w:tcPr>
          <w:p w:rsidR="00993A38" w:rsidRPr="000560B5" w:rsidRDefault="00993A38" w:rsidP="00D90174">
            <w:pPr>
              <w:spacing w:after="0" w:line="240" w:lineRule="auto"/>
              <w:jc w:val="both"/>
              <w:rPr>
                <w:rFonts w:ascii="Times New Roman" w:eastAsia="Times New Roman" w:hAnsi="Times New Roman" w:cs="Times New Roman"/>
                <w:sz w:val="26"/>
                <w:szCs w:val="26"/>
                <w:lang w:eastAsia="lv-LV"/>
              </w:rPr>
            </w:pPr>
          </w:p>
        </w:tc>
      </w:tr>
    </w:tbl>
    <w:p w:rsidR="00993A38" w:rsidRPr="0004084E" w:rsidRDefault="00993A38" w:rsidP="00D90174">
      <w:pPr>
        <w:spacing w:after="0" w:line="240" w:lineRule="auto"/>
        <w:jc w:val="center"/>
        <w:rPr>
          <w:rFonts w:ascii="Times New Roman" w:eastAsia="Calibri" w:hAnsi="Times New Roman" w:cs="Times New Roman"/>
          <w:b/>
          <w:sz w:val="26"/>
          <w:szCs w:val="26"/>
        </w:rPr>
      </w:pPr>
    </w:p>
    <w:p w:rsidR="00D40CFC" w:rsidRPr="0004084E" w:rsidRDefault="00D40CFC" w:rsidP="00D90174">
      <w:pPr>
        <w:spacing w:after="0" w:line="240" w:lineRule="auto"/>
        <w:jc w:val="center"/>
        <w:rPr>
          <w:rFonts w:ascii="Times New Roman" w:eastAsia="Arial Unicode MS" w:hAnsi="Times New Roman" w:cs="Times New Roman"/>
          <w:b/>
          <w:sz w:val="26"/>
          <w:szCs w:val="26"/>
        </w:rPr>
      </w:pPr>
    </w:p>
    <w:tbl>
      <w:tblPr>
        <w:tblW w:w="9229"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568"/>
        <w:gridCol w:w="2409"/>
        <w:gridCol w:w="6252"/>
      </w:tblGrid>
      <w:tr w:rsidR="00D40CFC" w:rsidRPr="0004084E" w:rsidTr="00DC4C09">
        <w:tc>
          <w:tcPr>
            <w:tcW w:w="568" w:type="dxa"/>
            <w:tcBorders>
              <w:top w:val="thickThinLargeGap" w:sz="6" w:space="0" w:color="C0C0C0"/>
              <w:bottom w:val="thickThinLargeGap" w:sz="6" w:space="0" w:color="C0C0C0"/>
            </w:tcBorders>
          </w:tcPr>
          <w:p w:rsidR="00D40CFC" w:rsidRPr="0004084E" w:rsidRDefault="00D40CFC" w:rsidP="00D90174">
            <w:pPr>
              <w:spacing w:after="0" w:line="240" w:lineRule="auto"/>
              <w:ind w:firstLine="720"/>
              <w:jc w:val="center"/>
              <w:rPr>
                <w:rFonts w:ascii="Times New Roman" w:eastAsia="Calibri" w:hAnsi="Times New Roman" w:cs="Times New Roman"/>
                <w:b/>
                <w:sz w:val="26"/>
                <w:szCs w:val="26"/>
                <w:lang w:eastAsia="lv-LV"/>
              </w:rPr>
            </w:pPr>
          </w:p>
        </w:tc>
        <w:tc>
          <w:tcPr>
            <w:tcW w:w="8661" w:type="dxa"/>
            <w:gridSpan w:val="2"/>
            <w:tcBorders>
              <w:top w:val="thickThinLargeGap" w:sz="6" w:space="0" w:color="C0C0C0"/>
              <w:bottom w:val="thickThinLargeGap" w:sz="6" w:space="0" w:color="C0C0C0"/>
            </w:tcBorders>
          </w:tcPr>
          <w:p w:rsidR="00D40CFC" w:rsidRPr="0004084E" w:rsidRDefault="00D40CFC" w:rsidP="00D90174">
            <w:pPr>
              <w:spacing w:after="0" w:line="240" w:lineRule="auto"/>
              <w:rPr>
                <w:rFonts w:ascii="Times New Roman" w:eastAsia="Calibri" w:hAnsi="Times New Roman" w:cs="Times New Roman"/>
                <w:b/>
                <w:sz w:val="26"/>
                <w:szCs w:val="26"/>
                <w:lang w:eastAsia="lv-LV"/>
              </w:rPr>
            </w:pPr>
            <w:r w:rsidRPr="0004084E">
              <w:rPr>
                <w:rFonts w:ascii="Times New Roman" w:eastAsia="Calibri" w:hAnsi="Times New Roman" w:cs="Times New Roman"/>
                <w:b/>
                <w:sz w:val="26"/>
                <w:szCs w:val="26"/>
                <w:lang w:eastAsia="lv-LV"/>
              </w:rPr>
              <w:t>IV. Tiesību akta projekta ietekme uz spēkā esošo tiesību normu sistēmu</w:t>
            </w:r>
          </w:p>
        </w:tc>
      </w:tr>
      <w:tr w:rsidR="00D40CFC" w:rsidRPr="0004084E" w:rsidTr="00DC4C09">
        <w:tc>
          <w:tcPr>
            <w:tcW w:w="568" w:type="dxa"/>
            <w:tcBorders>
              <w:top w:val="thickThinLargeGap" w:sz="6" w:space="0" w:color="C0C0C0"/>
              <w:bottom w:val="thickThinLargeGap" w:sz="6" w:space="0" w:color="C0C0C0"/>
              <w:right w:val="thickThinLargeGap" w:sz="6" w:space="0" w:color="C0C0C0"/>
            </w:tcBorders>
          </w:tcPr>
          <w:p w:rsidR="00D40CFC" w:rsidRPr="0004084E" w:rsidRDefault="00D40CFC" w:rsidP="00D90174">
            <w:pPr>
              <w:spacing w:after="0" w:line="240" w:lineRule="auto"/>
              <w:jc w:val="both"/>
              <w:rPr>
                <w:rFonts w:ascii="Times New Roman" w:eastAsia="Calibri" w:hAnsi="Times New Roman" w:cs="Times New Roman"/>
                <w:sz w:val="26"/>
                <w:szCs w:val="26"/>
                <w:lang w:eastAsia="lv-LV"/>
              </w:rPr>
            </w:pPr>
            <w:r w:rsidRPr="0004084E">
              <w:rPr>
                <w:rFonts w:ascii="Times New Roman" w:eastAsia="Calibri" w:hAnsi="Times New Roman" w:cs="Times New Roman"/>
                <w:sz w:val="26"/>
                <w:szCs w:val="26"/>
                <w:lang w:eastAsia="lv-LV"/>
              </w:rPr>
              <w:t>1.</w:t>
            </w:r>
          </w:p>
        </w:tc>
        <w:tc>
          <w:tcPr>
            <w:tcW w:w="2409" w:type="dxa"/>
            <w:tcBorders>
              <w:top w:val="thickThinLargeGap" w:sz="6" w:space="0" w:color="C0C0C0"/>
              <w:bottom w:val="thickThinLargeGap" w:sz="6" w:space="0" w:color="C0C0C0"/>
              <w:right w:val="thickThinLargeGap" w:sz="6" w:space="0" w:color="C0C0C0"/>
            </w:tcBorders>
          </w:tcPr>
          <w:p w:rsidR="00D40CFC" w:rsidRPr="0004084E" w:rsidRDefault="00D40CFC" w:rsidP="00D90174">
            <w:pPr>
              <w:spacing w:after="0" w:line="240" w:lineRule="auto"/>
              <w:jc w:val="both"/>
              <w:rPr>
                <w:rFonts w:ascii="Times New Roman" w:eastAsia="Calibri" w:hAnsi="Times New Roman" w:cs="Times New Roman"/>
                <w:sz w:val="26"/>
                <w:szCs w:val="26"/>
                <w:lang w:eastAsia="lv-LV"/>
              </w:rPr>
            </w:pPr>
            <w:r w:rsidRPr="0004084E">
              <w:rPr>
                <w:rFonts w:ascii="Times New Roman" w:eastAsia="Calibri" w:hAnsi="Times New Roman" w:cs="Times New Roman"/>
                <w:sz w:val="26"/>
                <w:szCs w:val="26"/>
                <w:lang w:eastAsia="lv-LV"/>
              </w:rPr>
              <w:t>Nepieciešamie saistītie tiesību aktu projekti</w:t>
            </w:r>
          </w:p>
        </w:tc>
        <w:tc>
          <w:tcPr>
            <w:tcW w:w="6252" w:type="dxa"/>
            <w:tcBorders>
              <w:top w:val="thickThinLargeGap" w:sz="6" w:space="0" w:color="C0C0C0"/>
              <w:left w:val="thickThinLargeGap" w:sz="6" w:space="0" w:color="C0C0C0"/>
              <w:bottom w:val="thickThinLargeGap" w:sz="6" w:space="0" w:color="C0C0C0"/>
            </w:tcBorders>
          </w:tcPr>
          <w:p w:rsidR="00C127AA" w:rsidRPr="0004084E" w:rsidRDefault="000515D4" w:rsidP="00D90174">
            <w:pPr>
              <w:spacing w:after="0" w:line="240" w:lineRule="auto"/>
              <w:ind w:firstLine="426"/>
              <w:jc w:val="both"/>
              <w:rPr>
                <w:rFonts w:ascii="Times New Roman" w:eastAsia="Calibri" w:hAnsi="Times New Roman" w:cs="Times New Roman"/>
                <w:bCs/>
                <w:sz w:val="26"/>
                <w:szCs w:val="26"/>
              </w:rPr>
            </w:pPr>
            <w:r w:rsidRPr="0004084E">
              <w:rPr>
                <w:rFonts w:ascii="Times New Roman" w:eastAsia="Calibri" w:hAnsi="Times New Roman" w:cs="Times New Roman"/>
                <w:bCs/>
                <w:sz w:val="26"/>
                <w:szCs w:val="26"/>
              </w:rPr>
              <w:t>Papildus nepieciešams veikt g</w:t>
            </w:r>
            <w:r w:rsidR="00D40CFC" w:rsidRPr="0004084E">
              <w:rPr>
                <w:rFonts w:ascii="Times New Roman" w:eastAsia="Calibri" w:hAnsi="Times New Roman" w:cs="Times New Roman"/>
                <w:sz w:val="26"/>
                <w:szCs w:val="26"/>
              </w:rPr>
              <w:t>rozījum</w:t>
            </w:r>
            <w:r w:rsidRPr="0004084E">
              <w:rPr>
                <w:rFonts w:ascii="Times New Roman" w:eastAsia="Calibri" w:hAnsi="Times New Roman" w:cs="Times New Roman"/>
                <w:sz w:val="26"/>
                <w:szCs w:val="26"/>
              </w:rPr>
              <w:t>u</w:t>
            </w:r>
            <w:r w:rsidR="00D40CFC" w:rsidRPr="0004084E">
              <w:rPr>
                <w:rFonts w:ascii="Times New Roman" w:eastAsia="Calibri" w:hAnsi="Times New Roman" w:cs="Times New Roman"/>
                <w:sz w:val="26"/>
                <w:szCs w:val="26"/>
              </w:rPr>
              <w:t>s darbības programmas „</w:t>
            </w:r>
            <w:r w:rsidR="00382775" w:rsidRPr="0004084E">
              <w:rPr>
                <w:rFonts w:ascii="Times New Roman" w:eastAsia="Calibri" w:hAnsi="Times New Roman" w:cs="Times New Roman"/>
                <w:sz w:val="26"/>
                <w:szCs w:val="26"/>
              </w:rPr>
              <w:t>Uzņēmējdarbība un inovācijas</w:t>
            </w:r>
            <w:r w:rsidR="00D40CFC" w:rsidRPr="0004084E">
              <w:rPr>
                <w:rFonts w:ascii="Times New Roman" w:eastAsia="Calibri" w:hAnsi="Times New Roman" w:cs="Times New Roman"/>
                <w:sz w:val="26"/>
                <w:szCs w:val="26"/>
              </w:rPr>
              <w:t>” papildinājumā</w:t>
            </w:r>
            <w:r w:rsidRPr="0004084E">
              <w:rPr>
                <w:rFonts w:ascii="Times New Roman" w:eastAsia="Calibri" w:hAnsi="Times New Roman" w:cs="Times New Roman"/>
                <w:bCs/>
                <w:sz w:val="26"/>
                <w:szCs w:val="26"/>
              </w:rPr>
              <w:t xml:space="preserve">, lai pārdalītu </w:t>
            </w:r>
            <w:r w:rsidR="00C127AA" w:rsidRPr="0004084E">
              <w:rPr>
                <w:rFonts w:ascii="Times New Roman" w:eastAsia="Calibri" w:hAnsi="Times New Roman" w:cs="Times New Roman"/>
                <w:bCs/>
                <w:sz w:val="26"/>
                <w:szCs w:val="26"/>
              </w:rPr>
              <w:t xml:space="preserve">Eiropas Reģionālās attīstības </w:t>
            </w:r>
            <w:r w:rsidR="00C127AA" w:rsidRPr="000560B5">
              <w:rPr>
                <w:rFonts w:ascii="Times New Roman" w:eastAsia="Calibri" w:hAnsi="Times New Roman" w:cs="Times New Roman"/>
                <w:bCs/>
                <w:sz w:val="26"/>
                <w:szCs w:val="26"/>
              </w:rPr>
              <w:t>fonda</w:t>
            </w:r>
            <w:r w:rsidRPr="000560B5">
              <w:rPr>
                <w:rFonts w:ascii="Times New Roman" w:eastAsia="Calibri" w:hAnsi="Times New Roman" w:cs="Times New Roman"/>
                <w:bCs/>
                <w:sz w:val="26"/>
                <w:szCs w:val="26"/>
              </w:rPr>
              <w:t xml:space="preserve"> </w:t>
            </w:r>
            <w:r w:rsidR="00C127AA" w:rsidRPr="000560B5">
              <w:rPr>
                <w:rFonts w:ascii="Times New Roman" w:eastAsia="Calibri" w:hAnsi="Times New Roman" w:cs="Times New Roman"/>
                <w:bCs/>
                <w:sz w:val="26"/>
                <w:szCs w:val="26"/>
              </w:rPr>
              <w:t>finansējumu no 2.3.1.1.1.</w:t>
            </w:r>
            <w:r w:rsidR="00B262B8" w:rsidRPr="000560B5">
              <w:rPr>
                <w:rFonts w:ascii="Times New Roman" w:eastAsia="Calibri" w:hAnsi="Times New Roman" w:cs="Times New Roman"/>
                <w:bCs/>
                <w:sz w:val="26"/>
                <w:szCs w:val="26"/>
              </w:rPr>
              <w:t>apakš</w:t>
            </w:r>
            <w:r w:rsidR="00C127AA" w:rsidRPr="000560B5">
              <w:rPr>
                <w:rFonts w:ascii="Times New Roman" w:eastAsia="Calibri" w:hAnsi="Times New Roman" w:cs="Times New Roman"/>
                <w:bCs/>
                <w:sz w:val="26"/>
                <w:szCs w:val="26"/>
              </w:rPr>
              <w:t>aktivitātes uz 2.3.1.1.2.</w:t>
            </w:r>
            <w:r w:rsidR="00B262B8" w:rsidRPr="000560B5">
              <w:rPr>
                <w:rFonts w:ascii="Times New Roman" w:eastAsia="Calibri" w:hAnsi="Times New Roman" w:cs="Times New Roman"/>
                <w:bCs/>
                <w:sz w:val="26"/>
                <w:szCs w:val="26"/>
              </w:rPr>
              <w:t>apakš</w:t>
            </w:r>
            <w:r w:rsidR="00C127AA" w:rsidRPr="000560B5">
              <w:rPr>
                <w:rFonts w:ascii="Times New Roman" w:eastAsia="Calibri" w:hAnsi="Times New Roman" w:cs="Times New Roman"/>
                <w:bCs/>
                <w:sz w:val="26"/>
                <w:szCs w:val="26"/>
              </w:rPr>
              <w:t xml:space="preserve">aktivitāti </w:t>
            </w:r>
            <w:r w:rsidR="00E85846" w:rsidRPr="000560B5">
              <w:rPr>
                <w:rFonts w:ascii="Times New Roman" w:eastAsia="Calibri" w:hAnsi="Times New Roman" w:cs="Times New Roman"/>
                <w:bCs/>
                <w:sz w:val="26"/>
                <w:szCs w:val="26"/>
              </w:rPr>
              <w:t>2</w:t>
            </w:r>
            <w:r w:rsidR="00C127AA" w:rsidRPr="000560B5">
              <w:rPr>
                <w:rFonts w:ascii="Times New Roman" w:eastAsia="Calibri" w:hAnsi="Times New Roman" w:cs="Times New Roman"/>
                <w:bCs/>
                <w:sz w:val="26"/>
                <w:szCs w:val="26"/>
              </w:rPr>
              <w:t xml:space="preserve"> 500 000 latu apmērā.</w:t>
            </w:r>
            <w:r w:rsidR="006A1537" w:rsidRPr="000560B5">
              <w:t xml:space="preserve"> </w:t>
            </w:r>
            <w:r w:rsidR="006A1537" w:rsidRPr="000560B5">
              <w:rPr>
                <w:rFonts w:ascii="Times New Roman" w:eastAsia="Calibri" w:hAnsi="Times New Roman" w:cs="Times New Roman"/>
                <w:bCs/>
                <w:sz w:val="26"/>
                <w:szCs w:val="26"/>
              </w:rPr>
              <w:t>Nepieciešams veikt arī grozījumus Ministru kabineta 2009.gada 17.jūnija noteikumos Nr.582 "Noteikumi par darbības programmas "Uzņēmējdarbība un inovācijas" papildinājuma 2.3.1.1.1.apakšaktivitātes "Ārējo tirgu apgūšana – ārējais mārketings" sesto un turpmākajām kārtām" .  Vēršam uzmanību, ka grozījumi apakšaktivitātes 2.3.1.1.1. un 2.3.1.1.2. noteikumos virzāmi tikai pēc vai vienlaikus ar attiecīgiem grozījumiem darbības programmas „Uzņēmējdarbība un inovācijas” papildinājumā</w:t>
            </w:r>
            <w:r w:rsidR="00E456E3" w:rsidRPr="000560B5">
              <w:rPr>
                <w:rFonts w:ascii="Times New Roman" w:eastAsia="Calibri" w:hAnsi="Times New Roman" w:cs="Times New Roman"/>
                <w:bCs/>
                <w:sz w:val="26"/>
                <w:szCs w:val="26"/>
              </w:rPr>
              <w:t xml:space="preserve">, kā arī grozījumi Ministru kabineta 2009.gada 17.jūnija noteikumos Nr.582 "Noteikumi par darbības programmas "Uzņēmējdarbība un inovācijas" papildinājuma 2.3.1.1.1.apakšaktivitātes "Ārējo tirgu apgūšana – ārējais mārketings" sesto un turpmākajām kārtām" ir iekļauti </w:t>
            </w:r>
            <w:proofErr w:type="spellStart"/>
            <w:r w:rsidR="00E456E3" w:rsidRPr="000560B5">
              <w:rPr>
                <w:rFonts w:ascii="Times New Roman" w:eastAsia="Calibri" w:hAnsi="Times New Roman" w:cs="Times New Roman"/>
                <w:bCs/>
                <w:sz w:val="26"/>
                <w:szCs w:val="26"/>
              </w:rPr>
              <w:t>protokollēmumā</w:t>
            </w:r>
            <w:proofErr w:type="spellEnd"/>
            <w:r w:rsidR="00E456E3" w:rsidRPr="000560B5">
              <w:rPr>
                <w:rFonts w:ascii="Times New Roman" w:eastAsia="Calibri" w:hAnsi="Times New Roman" w:cs="Times New Roman"/>
                <w:bCs/>
                <w:sz w:val="26"/>
                <w:szCs w:val="26"/>
              </w:rPr>
              <w:t xml:space="preserve"> par rīkojuma projektu „Grozījumi darbības programmas „Uzņēmējdarbība un inovācijas” papildinājumā”.</w:t>
            </w:r>
          </w:p>
        </w:tc>
      </w:tr>
      <w:tr w:rsidR="00D40CFC" w:rsidRPr="0004084E" w:rsidTr="00DC4C09">
        <w:tc>
          <w:tcPr>
            <w:tcW w:w="568" w:type="dxa"/>
            <w:tcBorders>
              <w:top w:val="thickThinLargeGap" w:sz="6" w:space="0" w:color="C0C0C0"/>
              <w:bottom w:val="thickThinLargeGap" w:sz="6" w:space="0" w:color="C0C0C0"/>
              <w:right w:val="thickThinLargeGap" w:sz="6" w:space="0" w:color="C0C0C0"/>
            </w:tcBorders>
          </w:tcPr>
          <w:p w:rsidR="00D40CFC" w:rsidRPr="0004084E" w:rsidRDefault="00D40CFC" w:rsidP="00D90174">
            <w:pPr>
              <w:spacing w:after="0" w:line="240" w:lineRule="auto"/>
              <w:jc w:val="both"/>
              <w:rPr>
                <w:rFonts w:ascii="Times New Roman" w:eastAsia="Calibri" w:hAnsi="Times New Roman" w:cs="Times New Roman"/>
                <w:sz w:val="26"/>
                <w:szCs w:val="26"/>
                <w:lang w:eastAsia="lv-LV"/>
              </w:rPr>
            </w:pPr>
            <w:r w:rsidRPr="0004084E">
              <w:rPr>
                <w:rFonts w:ascii="Times New Roman" w:eastAsia="Calibri" w:hAnsi="Times New Roman" w:cs="Times New Roman"/>
                <w:sz w:val="26"/>
                <w:szCs w:val="26"/>
                <w:lang w:eastAsia="lv-LV"/>
              </w:rPr>
              <w:t>2.</w:t>
            </w:r>
          </w:p>
        </w:tc>
        <w:tc>
          <w:tcPr>
            <w:tcW w:w="2409" w:type="dxa"/>
            <w:tcBorders>
              <w:top w:val="thickThinLargeGap" w:sz="6" w:space="0" w:color="C0C0C0"/>
              <w:bottom w:val="thickThinLargeGap" w:sz="6" w:space="0" w:color="C0C0C0"/>
              <w:right w:val="thickThinLargeGap" w:sz="6" w:space="0" w:color="C0C0C0"/>
            </w:tcBorders>
          </w:tcPr>
          <w:p w:rsidR="00D40CFC" w:rsidRPr="0004084E" w:rsidRDefault="00D40CFC" w:rsidP="00D90174">
            <w:pPr>
              <w:spacing w:after="0" w:line="240" w:lineRule="auto"/>
              <w:jc w:val="both"/>
              <w:rPr>
                <w:rFonts w:ascii="Times New Roman" w:eastAsia="Calibri" w:hAnsi="Times New Roman" w:cs="Times New Roman"/>
                <w:sz w:val="26"/>
                <w:szCs w:val="26"/>
                <w:lang w:eastAsia="lv-LV"/>
              </w:rPr>
            </w:pPr>
            <w:r w:rsidRPr="0004084E">
              <w:rPr>
                <w:rFonts w:ascii="Times New Roman" w:eastAsia="Calibri" w:hAnsi="Times New Roman" w:cs="Times New Roman"/>
                <w:sz w:val="26"/>
                <w:szCs w:val="26"/>
                <w:lang w:eastAsia="lv-LV"/>
              </w:rPr>
              <w:t>Cita informācija</w:t>
            </w:r>
          </w:p>
        </w:tc>
        <w:tc>
          <w:tcPr>
            <w:tcW w:w="6252" w:type="dxa"/>
            <w:tcBorders>
              <w:top w:val="thickThinLargeGap" w:sz="6" w:space="0" w:color="C0C0C0"/>
              <w:left w:val="thickThinLargeGap" w:sz="6" w:space="0" w:color="C0C0C0"/>
              <w:bottom w:val="thickThinLargeGap" w:sz="6" w:space="0" w:color="C0C0C0"/>
            </w:tcBorders>
          </w:tcPr>
          <w:p w:rsidR="00D40CFC" w:rsidRPr="0004084E" w:rsidRDefault="00D40CFC" w:rsidP="00D90174">
            <w:pPr>
              <w:spacing w:after="0" w:line="240" w:lineRule="auto"/>
              <w:ind w:firstLine="426"/>
              <w:jc w:val="both"/>
              <w:rPr>
                <w:rFonts w:ascii="Times New Roman" w:eastAsia="Calibri" w:hAnsi="Times New Roman" w:cs="Times New Roman"/>
                <w:sz w:val="26"/>
                <w:szCs w:val="26"/>
                <w:lang w:eastAsia="lv-LV"/>
              </w:rPr>
            </w:pPr>
            <w:r w:rsidRPr="0004084E">
              <w:rPr>
                <w:rFonts w:ascii="Times New Roman" w:eastAsia="Calibri" w:hAnsi="Times New Roman" w:cs="Times New Roman"/>
                <w:sz w:val="26"/>
                <w:szCs w:val="26"/>
                <w:lang w:eastAsia="lv-LV"/>
              </w:rPr>
              <w:t>Nav.</w:t>
            </w:r>
          </w:p>
        </w:tc>
      </w:tr>
    </w:tbl>
    <w:p w:rsidR="00D40CFC" w:rsidRPr="0004084E" w:rsidRDefault="00D40CFC" w:rsidP="00D90174">
      <w:pPr>
        <w:tabs>
          <w:tab w:val="left" w:pos="7655"/>
        </w:tabs>
        <w:spacing w:after="0" w:line="240" w:lineRule="auto"/>
        <w:jc w:val="both"/>
        <w:rPr>
          <w:rFonts w:ascii="Times New Roman" w:eastAsia="Calibri" w:hAnsi="Times New Roman" w:cs="Times New Roman"/>
          <w:bCs/>
          <w:sz w:val="26"/>
          <w:szCs w:val="26"/>
        </w:rPr>
      </w:pPr>
    </w:p>
    <w:tbl>
      <w:tblPr>
        <w:tblW w:w="5057" w:type="pct"/>
        <w:tblInd w:w="-104"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30" w:type="dxa"/>
          <w:left w:w="30" w:type="dxa"/>
          <w:bottom w:w="30" w:type="dxa"/>
          <w:right w:w="30" w:type="dxa"/>
        </w:tblCellMar>
        <w:tblLook w:val="04A0" w:firstRow="1" w:lastRow="0" w:firstColumn="1" w:lastColumn="0" w:noHBand="0" w:noVBand="1"/>
      </w:tblPr>
      <w:tblGrid>
        <w:gridCol w:w="652"/>
        <w:gridCol w:w="3168"/>
        <w:gridCol w:w="5415"/>
      </w:tblGrid>
      <w:tr w:rsidR="006A1537" w:rsidRPr="0004084E" w:rsidTr="00CB11A9">
        <w:tc>
          <w:tcPr>
            <w:tcW w:w="5000" w:type="pct"/>
            <w:gridSpan w:val="3"/>
            <w:vAlign w:val="center"/>
            <w:hideMark/>
          </w:tcPr>
          <w:p w:rsidR="006A1537" w:rsidRPr="0004084E" w:rsidRDefault="006A1537" w:rsidP="00D90174">
            <w:pPr>
              <w:spacing w:after="0" w:line="240" w:lineRule="auto"/>
              <w:jc w:val="center"/>
              <w:rPr>
                <w:rFonts w:ascii="Times New Roman" w:eastAsia="Times New Roman" w:hAnsi="Times New Roman" w:cs="Times New Roman"/>
                <w:b/>
                <w:sz w:val="26"/>
                <w:szCs w:val="26"/>
                <w:lang w:eastAsia="lv-LV"/>
              </w:rPr>
            </w:pPr>
            <w:r w:rsidRPr="0004084E">
              <w:rPr>
                <w:rFonts w:ascii="Times New Roman" w:eastAsia="Times New Roman" w:hAnsi="Times New Roman" w:cs="Times New Roman"/>
                <w:b/>
                <w:bCs/>
                <w:sz w:val="26"/>
                <w:szCs w:val="26"/>
                <w:bdr w:val="none" w:sz="0" w:space="0" w:color="auto" w:frame="1"/>
                <w:lang w:eastAsia="lv-LV"/>
              </w:rPr>
              <w:t>V. Tiesību akta projekta atbilstība Latvijas Republikas starptautiskajām saistībām</w:t>
            </w:r>
          </w:p>
        </w:tc>
      </w:tr>
      <w:tr w:rsidR="006A1537" w:rsidRPr="0004084E" w:rsidTr="00DC4C09">
        <w:tc>
          <w:tcPr>
            <w:tcW w:w="353" w:type="pct"/>
            <w:hideMark/>
          </w:tcPr>
          <w:p w:rsidR="006A1537" w:rsidRPr="000560B5" w:rsidRDefault="006A1537"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1.</w:t>
            </w:r>
          </w:p>
        </w:tc>
        <w:tc>
          <w:tcPr>
            <w:tcW w:w="1715" w:type="pct"/>
            <w:hideMark/>
          </w:tcPr>
          <w:p w:rsidR="006A1537" w:rsidRPr="000560B5" w:rsidRDefault="006A1537"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Saistības pret Eiropas Savienību</w:t>
            </w:r>
          </w:p>
        </w:tc>
        <w:tc>
          <w:tcPr>
            <w:tcW w:w="2932" w:type="pct"/>
            <w:hideMark/>
          </w:tcPr>
          <w:p w:rsidR="006A1537" w:rsidRPr="000560B5" w:rsidRDefault="006A1537"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Ar noteikumu projektu tiks ieviestas šāda Eiropas Savienības tiesību akta prasības:</w:t>
            </w:r>
          </w:p>
          <w:p w:rsidR="006A1537" w:rsidRPr="000560B5" w:rsidRDefault="006A1537" w:rsidP="00D90174">
            <w:pPr>
              <w:numPr>
                <w:ilvl w:val="0"/>
                <w:numId w:val="6"/>
              </w:numPr>
              <w:spacing w:after="0" w:line="245" w:lineRule="atLeast"/>
              <w:jc w:val="both"/>
              <w:rPr>
                <w:rFonts w:ascii="Times New Roman" w:eastAsia="Calibri" w:hAnsi="Times New Roman" w:cs="Times New Roman"/>
                <w:sz w:val="26"/>
                <w:szCs w:val="26"/>
              </w:rPr>
            </w:pPr>
            <w:r w:rsidRPr="000560B5">
              <w:rPr>
                <w:rFonts w:ascii="Times New Roman" w:eastAsia="Calibri" w:hAnsi="Times New Roman" w:cs="Times New Roman"/>
                <w:sz w:val="26"/>
                <w:szCs w:val="26"/>
              </w:rPr>
              <w:t xml:space="preserve">Komisijas paziņojums Kopienas </w:t>
            </w:r>
            <w:r w:rsidRPr="000560B5">
              <w:rPr>
                <w:rFonts w:ascii="Times New Roman" w:eastAsia="Calibri" w:hAnsi="Times New Roman" w:cs="Times New Roman"/>
                <w:sz w:val="26"/>
                <w:szCs w:val="26"/>
              </w:rPr>
              <w:lastRenderedPageBreak/>
              <w:t>pamatnostādnes par valsts atbalstu grūtībās nonākušu uzņēmumu glābšanai un pārstrukturēšanai (2004/C 244/02);</w:t>
            </w:r>
          </w:p>
        </w:tc>
      </w:tr>
      <w:tr w:rsidR="006A1537" w:rsidRPr="0004084E" w:rsidTr="00DC4C09">
        <w:tc>
          <w:tcPr>
            <w:tcW w:w="353" w:type="pct"/>
            <w:hideMark/>
          </w:tcPr>
          <w:p w:rsidR="006A1537" w:rsidRPr="000560B5" w:rsidRDefault="006A1537"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lastRenderedPageBreak/>
              <w:t>2.</w:t>
            </w:r>
          </w:p>
        </w:tc>
        <w:tc>
          <w:tcPr>
            <w:tcW w:w="1715" w:type="pct"/>
            <w:hideMark/>
          </w:tcPr>
          <w:p w:rsidR="006A1537" w:rsidRPr="000560B5" w:rsidRDefault="006A1537"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Citas starptautiskās saistības</w:t>
            </w:r>
          </w:p>
        </w:tc>
        <w:tc>
          <w:tcPr>
            <w:tcW w:w="2932" w:type="pct"/>
            <w:hideMark/>
          </w:tcPr>
          <w:p w:rsidR="006A1537" w:rsidRPr="000560B5" w:rsidRDefault="006A1537"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 xml:space="preserve"> Nav</w:t>
            </w:r>
          </w:p>
        </w:tc>
      </w:tr>
      <w:tr w:rsidR="006A1537" w:rsidRPr="0004084E" w:rsidTr="000560B5">
        <w:trPr>
          <w:trHeight w:val="321"/>
        </w:trPr>
        <w:tc>
          <w:tcPr>
            <w:tcW w:w="353" w:type="pct"/>
            <w:hideMark/>
          </w:tcPr>
          <w:p w:rsidR="006A1537" w:rsidRPr="000560B5" w:rsidRDefault="006A1537"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3.</w:t>
            </w:r>
          </w:p>
        </w:tc>
        <w:tc>
          <w:tcPr>
            <w:tcW w:w="1715" w:type="pct"/>
            <w:hideMark/>
          </w:tcPr>
          <w:p w:rsidR="006A1537" w:rsidRPr="000560B5" w:rsidRDefault="006A1537"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Cita informācija</w:t>
            </w:r>
          </w:p>
        </w:tc>
        <w:tc>
          <w:tcPr>
            <w:tcW w:w="2932" w:type="pct"/>
            <w:hideMark/>
          </w:tcPr>
          <w:p w:rsidR="006A1537" w:rsidRPr="000560B5" w:rsidRDefault="006A1537"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 xml:space="preserve"> Nav</w:t>
            </w:r>
          </w:p>
        </w:tc>
      </w:tr>
    </w:tbl>
    <w:p w:rsidR="006A1537" w:rsidRPr="0004084E" w:rsidRDefault="006A1537" w:rsidP="00D90174">
      <w:pPr>
        <w:tabs>
          <w:tab w:val="left" w:pos="7655"/>
        </w:tabs>
        <w:spacing w:after="0" w:line="240" w:lineRule="auto"/>
        <w:jc w:val="both"/>
        <w:rPr>
          <w:rFonts w:ascii="Times New Roman" w:eastAsia="Calibri" w:hAnsi="Times New Roman" w:cs="Times New Roman"/>
          <w:b/>
          <w:bCs/>
          <w:sz w:val="26"/>
          <w:szCs w:val="26"/>
        </w:rPr>
      </w:pPr>
    </w:p>
    <w:tbl>
      <w:tblPr>
        <w:tblW w:w="5061" w:type="pct"/>
        <w:tblInd w:w="-112"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30" w:type="dxa"/>
          <w:left w:w="30" w:type="dxa"/>
          <w:bottom w:w="30" w:type="dxa"/>
          <w:right w:w="30" w:type="dxa"/>
        </w:tblCellMar>
        <w:tblLook w:val="04A0" w:firstRow="1" w:lastRow="0" w:firstColumn="1" w:lastColumn="0" w:noHBand="0" w:noVBand="1"/>
      </w:tblPr>
      <w:tblGrid>
        <w:gridCol w:w="1830"/>
        <w:gridCol w:w="1901"/>
        <w:gridCol w:w="247"/>
        <w:gridCol w:w="2634"/>
        <w:gridCol w:w="2630"/>
      </w:tblGrid>
      <w:tr w:rsidR="00C03D4F" w:rsidRPr="0004084E" w:rsidTr="00CB11A9">
        <w:trPr>
          <w:trHeight w:val="510"/>
        </w:trPr>
        <w:tc>
          <w:tcPr>
            <w:tcW w:w="5000" w:type="pct"/>
            <w:gridSpan w:val="5"/>
            <w:vAlign w:val="center"/>
            <w:hideMark/>
          </w:tcPr>
          <w:p w:rsidR="00C03D4F" w:rsidRPr="0004084E" w:rsidRDefault="00C03D4F" w:rsidP="00D90174">
            <w:pPr>
              <w:spacing w:after="0" w:line="240" w:lineRule="auto"/>
              <w:jc w:val="center"/>
              <w:rPr>
                <w:rFonts w:ascii="Times New Roman" w:eastAsia="Times New Roman" w:hAnsi="Times New Roman" w:cs="Times New Roman"/>
                <w:b/>
                <w:sz w:val="26"/>
                <w:szCs w:val="26"/>
                <w:lang w:eastAsia="lv-LV"/>
              </w:rPr>
            </w:pPr>
            <w:r w:rsidRPr="0004084E">
              <w:rPr>
                <w:rFonts w:ascii="Times New Roman" w:eastAsia="Times New Roman" w:hAnsi="Times New Roman" w:cs="Times New Roman"/>
                <w:b/>
                <w:bCs/>
                <w:sz w:val="26"/>
                <w:szCs w:val="26"/>
                <w:bdr w:val="none" w:sz="0" w:space="0" w:color="auto" w:frame="1"/>
                <w:lang w:eastAsia="lv-LV"/>
              </w:rPr>
              <w:t>1.tabula</w:t>
            </w:r>
            <w:r w:rsidRPr="0004084E">
              <w:rPr>
                <w:rFonts w:ascii="Times New Roman" w:eastAsia="Times New Roman" w:hAnsi="Times New Roman" w:cs="Times New Roman"/>
                <w:b/>
                <w:bCs/>
                <w:sz w:val="26"/>
                <w:szCs w:val="26"/>
                <w:bdr w:val="none" w:sz="0" w:space="0" w:color="auto" w:frame="1"/>
                <w:lang w:eastAsia="lv-LV"/>
              </w:rPr>
              <w:br/>
              <w:t>Tiesību akta projekta atbilstība ES tiesību aktiem</w:t>
            </w:r>
          </w:p>
        </w:tc>
      </w:tr>
      <w:tr w:rsidR="00C03D4F" w:rsidRPr="0004084E" w:rsidTr="006C7230">
        <w:tc>
          <w:tcPr>
            <w:tcW w:w="1006" w:type="pct"/>
            <w:hideMark/>
          </w:tcPr>
          <w:p w:rsidR="00C03D4F" w:rsidRPr="000560B5" w:rsidRDefault="00C03D4F"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Attiecīgā ES tiesību akta datums, numurs un nosaukums</w:t>
            </w:r>
          </w:p>
        </w:tc>
        <w:tc>
          <w:tcPr>
            <w:tcW w:w="3994" w:type="pct"/>
            <w:gridSpan w:val="4"/>
            <w:hideMark/>
          </w:tcPr>
          <w:p w:rsidR="00C03D4F" w:rsidRPr="000560B5" w:rsidRDefault="00C03D4F" w:rsidP="00D90174">
            <w:pPr>
              <w:spacing w:after="0" w:line="245" w:lineRule="atLeast"/>
              <w:jc w:val="both"/>
              <w:rPr>
                <w:rFonts w:ascii="Times New Roman" w:eastAsia="Calibri" w:hAnsi="Times New Roman" w:cs="Times New Roman"/>
                <w:sz w:val="26"/>
                <w:szCs w:val="26"/>
              </w:rPr>
            </w:pPr>
            <w:r w:rsidRPr="000560B5">
              <w:rPr>
                <w:rFonts w:ascii="Times New Roman" w:eastAsia="Calibri" w:hAnsi="Times New Roman" w:cs="Times New Roman"/>
                <w:sz w:val="26"/>
                <w:szCs w:val="26"/>
              </w:rPr>
              <w:t>Ar normatīvo aktu tiek ieviestas šāda Eiropas Savienības tiesību akta prasības:</w:t>
            </w:r>
          </w:p>
          <w:p w:rsidR="00C03D4F" w:rsidRPr="000560B5" w:rsidRDefault="00C03D4F" w:rsidP="00D90174">
            <w:pPr>
              <w:spacing w:after="0" w:line="245" w:lineRule="atLeast"/>
              <w:jc w:val="both"/>
              <w:rPr>
                <w:rFonts w:ascii="Times New Roman" w:eastAsia="Calibri" w:hAnsi="Times New Roman" w:cs="Times New Roman"/>
                <w:sz w:val="26"/>
                <w:szCs w:val="26"/>
              </w:rPr>
            </w:pPr>
            <w:r w:rsidRPr="000560B5">
              <w:rPr>
                <w:rFonts w:ascii="Times New Roman" w:eastAsia="Times New Roman" w:hAnsi="Times New Roman" w:cs="Times New Roman"/>
                <w:sz w:val="26"/>
                <w:szCs w:val="26"/>
                <w:lang w:eastAsia="lv-LV"/>
              </w:rPr>
              <w:t>Komisijas paziņojums „Kopienas pamatnostādnes par valsts atbalstu grūtībās nonākušu uzņēmumu glābšanai un pārstrukturēšanai” (2004/C 244/02) (turpmāk – Komisijas paziņojums).</w:t>
            </w:r>
          </w:p>
        </w:tc>
      </w:tr>
      <w:tr w:rsidR="00C03D4F" w:rsidRPr="0004084E" w:rsidTr="006C7230">
        <w:tc>
          <w:tcPr>
            <w:tcW w:w="1006" w:type="pct"/>
            <w:vAlign w:val="center"/>
            <w:hideMark/>
          </w:tcPr>
          <w:p w:rsidR="00C03D4F" w:rsidRPr="000560B5" w:rsidRDefault="00C03D4F"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A</w:t>
            </w:r>
          </w:p>
        </w:tc>
        <w:tc>
          <w:tcPr>
            <w:tcW w:w="1116" w:type="pct"/>
            <w:gridSpan w:val="2"/>
            <w:vAlign w:val="center"/>
            <w:hideMark/>
          </w:tcPr>
          <w:p w:rsidR="00C03D4F" w:rsidRPr="000560B5" w:rsidRDefault="00C03D4F"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B</w:t>
            </w:r>
          </w:p>
        </w:tc>
        <w:tc>
          <w:tcPr>
            <w:tcW w:w="1440" w:type="pct"/>
            <w:vAlign w:val="center"/>
            <w:hideMark/>
          </w:tcPr>
          <w:p w:rsidR="00C03D4F" w:rsidRPr="000560B5" w:rsidRDefault="00C03D4F"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C</w:t>
            </w:r>
          </w:p>
        </w:tc>
        <w:tc>
          <w:tcPr>
            <w:tcW w:w="1438" w:type="pct"/>
            <w:vAlign w:val="center"/>
            <w:hideMark/>
          </w:tcPr>
          <w:p w:rsidR="00C03D4F" w:rsidRPr="000560B5" w:rsidRDefault="00C03D4F" w:rsidP="00D90174">
            <w:pPr>
              <w:spacing w:after="0" w:line="240" w:lineRule="auto"/>
              <w:jc w:val="center"/>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D</w:t>
            </w:r>
          </w:p>
        </w:tc>
      </w:tr>
      <w:tr w:rsidR="00C03D4F" w:rsidRPr="0004084E" w:rsidTr="006C7230">
        <w:tc>
          <w:tcPr>
            <w:tcW w:w="1006" w:type="pct"/>
            <w:hideMark/>
          </w:tcPr>
          <w:p w:rsidR="00C03D4F" w:rsidRPr="000560B5" w:rsidRDefault="00C03D4F" w:rsidP="00D90174">
            <w:pPr>
              <w:spacing w:after="0" w:line="245" w:lineRule="atLeast"/>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Attiecīgā ES tiesību akta panta numurs (uzskaitot katru tiesību akta vienību – pantu, daļu, punktu, apakšpunktu)</w:t>
            </w:r>
          </w:p>
        </w:tc>
        <w:tc>
          <w:tcPr>
            <w:tcW w:w="1116" w:type="pct"/>
            <w:gridSpan w:val="2"/>
            <w:hideMark/>
          </w:tcPr>
          <w:p w:rsidR="00C03D4F" w:rsidRPr="000560B5" w:rsidRDefault="00C03D4F" w:rsidP="00D90174">
            <w:pPr>
              <w:spacing w:after="0" w:line="245" w:lineRule="atLeast"/>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Projekta vienība, kas pārņem vai ievieš katru šīs tabulas A ailē minēto ES tiesību akta vienību, vai tiesību akts, kur attiecīgā ES tiesību akta vienība pārņemta vai ieviesta</w:t>
            </w:r>
          </w:p>
        </w:tc>
        <w:tc>
          <w:tcPr>
            <w:tcW w:w="1440" w:type="pct"/>
            <w:hideMark/>
          </w:tcPr>
          <w:p w:rsidR="00C03D4F" w:rsidRPr="000560B5" w:rsidRDefault="00C03D4F" w:rsidP="00D90174">
            <w:pPr>
              <w:spacing w:after="0" w:line="245" w:lineRule="atLeast"/>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Informācija par to, vai šīs tabulas A ailē minētās ES tiesību akta vienības tiek pārņemtas vai ieviestas pilnībā vai daļēji.</w:t>
            </w:r>
          </w:p>
          <w:p w:rsidR="00C03D4F" w:rsidRPr="000560B5" w:rsidRDefault="00C03D4F" w:rsidP="00D90174">
            <w:pPr>
              <w:spacing w:after="0" w:line="240" w:lineRule="auto"/>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rsidR="00C03D4F" w:rsidRPr="000560B5" w:rsidRDefault="00C03D4F" w:rsidP="00D90174">
            <w:pPr>
              <w:spacing w:after="0" w:line="240" w:lineRule="auto"/>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Norāda institūciju, kas ir atbildīga par šo saistību izpildi pilnībā</w:t>
            </w:r>
          </w:p>
        </w:tc>
        <w:tc>
          <w:tcPr>
            <w:tcW w:w="1438" w:type="pct"/>
            <w:hideMark/>
          </w:tcPr>
          <w:p w:rsidR="00C03D4F" w:rsidRPr="000560B5" w:rsidRDefault="00C03D4F" w:rsidP="00D90174">
            <w:pPr>
              <w:spacing w:after="0" w:line="245" w:lineRule="atLeast"/>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Informācija par to, vai šīs tabulas B ailē minētās projekta vienības paredz stingrākas prasības nekā šīs tabulas A ailē minētās ES tiesību akta vienības.</w:t>
            </w:r>
          </w:p>
          <w:p w:rsidR="00C03D4F" w:rsidRPr="000560B5" w:rsidRDefault="00C03D4F" w:rsidP="00D90174">
            <w:pPr>
              <w:spacing w:after="0" w:line="240" w:lineRule="auto"/>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Ja projekts satur stingrākas prasības nekā attiecīgais ES tiesību akts, norāda pamatojumu un samērīgumu.</w:t>
            </w:r>
          </w:p>
          <w:p w:rsidR="00C03D4F" w:rsidRPr="000560B5" w:rsidRDefault="00C03D4F" w:rsidP="00D90174">
            <w:pPr>
              <w:spacing w:after="0" w:line="240" w:lineRule="auto"/>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03D4F" w:rsidRPr="0004084E" w:rsidTr="006C7230">
        <w:tc>
          <w:tcPr>
            <w:tcW w:w="1006" w:type="pct"/>
            <w:hideMark/>
          </w:tcPr>
          <w:p w:rsidR="00C03D4F" w:rsidRPr="000560B5" w:rsidRDefault="00C03D4F" w:rsidP="00D90174">
            <w:pPr>
              <w:spacing w:after="0" w:line="245" w:lineRule="atLeast"/>
              <w:jc w:val="both"/>
              <w:rPr>
                <w:rFonts w:ascii="Times New Roman" w:eastAsia="Calibri" w:hAnsi="Times New Roman" w:cs="Times New Roman"/>
                <w:sz w:val="26"/>
                <w:szCs w:val="26"/>
              </w:rPr>
            </w:pPr>
            <w:r w:rsidRPr="000560B5">
              <w:rPr>
                <w:rFonts w:ascii="Times New Roman" w:eastAsia="Calibri" w:hAnsi="Times New Roman" w:cs="Times New Roman"/>
                <w:sz w:val="26"/>
                <w:szCs w:val="26"/>
              </w:rPr>
              <w:t>Komisijas paziņojuma 9.punkts.</w:t>
            </w:r>
          </w:p>
        </w:tc>
        <w:tc>
          <w:tcPr>
            <w:tcW w:w="1116" w:type="pct"/>
            <w:gridSpan w:val="2"/>
            <w:hideMark/>
          </w:tcPr>
          <w:p w:rsidR="00C03D4F" w:rsidRPr="000560B5" w:rsidRDefault="00C03D4F" w:rsidP="00F508A8">
            <w:pPr>
              <w:spacing w:after="0" w:line="245" w:lineRule="atLeast"/>
              <w:jc w:val="both"/>
              <w:rPr>
                <w:rFonts w:ascii="Times New Roman" w:eastAsia="Calibri" w:hAnsi="Times New Roman" w:cs="Times New Roman"/>
                <w:sz w:val="26"/>
                <w:szCs w:val="26"/>
              </w:rPr>
            </w:pPr>
            <w:r w:rsidRPr="000560B5">
              <w:rPr>
                <w:rFonts w:ascii="Times New Roman" w:eastAsia="Calibri" w:hAnsi="Times New Roman" w:cs="Times New Roman"/>
                <w:sz w:val="26"/>
                <w:szCs w:val="26"/>
              </w:rPr>
              <w:t xml:space="preserve">Noteikumu projekta </w:t>
            </w:r>
            <w:r w:rsidR="00F508A8" w:rsidRPr="000560B5">
              <w:rPr>
                <w:rFonts w:ascii="Times New Roman" w:eastAsia="Calibri" w:hAnsi="Times New Roman" w:cs="Times New Roman"/>
                <w:sz w:val="26"/>
                <w:szCs w:val="26"/>
              </w:rPr>
              <w:t>4</w:t>
            </w:r>
            <w:r w:rsidR="00CC7D03" w:rsidRPr="000560B5">
              <w:rPr>
                <w:rFonts w:ascii="Times New Roman" w:eastAsia="Calibri" w:hAnsi="Times New Roman" w:cs="Times New Roman"/>
                <w:sz w:val="26"/>
                <w:szCs w:val="26"/>
              </w:rPr>
              <w:t xml:space="preserve">.un </w:t>
            </w:r>
            <w:r w:rsidR="00F508A8" w:rsidRPr="000560B5">
              <w:rPr>
                <w:rFonts w:ascii="Times New Roman" w:eastAsia="Calibri" w:hAnsi="Times New Roman" w:cs="Times New Roman"/>
                <w:sz w:val="26"/>
                <w:szCs w:val="26"/>
              </w:rPr>
              <w:t>7</w:t>
            </w:r>
            <w:r w:rsidR="00CC7D03" w:rsidRPr="000560B5">
              <w:rPr>
                <w:rFonts w:ascii="Times New Roman" w:eastAsia="Calibri" w:hAnsi="Times New Roman" w:cs="Times New Roman"/>
                <w:sz w:val="26"/>
                <w:szCs w:val="26"/>
              </w:rPr>
              <w:t xml:space="preserve">.punkts (MK noteikumu </w:t>
            </w:r>
            <w:r w:rsidRPr="000560B5">
              <w:rPr>
                <w:rFonts w:ascii="Times New Roman" w:eastAsia="Calibri" w:hAnsi="Times New Roman" w:cs="Times New Roman"/>
                <w:sz w:val="26"/>
                <w:szCs w:val="26"/>
              </w:rPr>
              <w:lastRenderedPageBreak/>
              <w:t>15.3.4.un 18.7.4.apakšpunkts</w:t>
            </w:r>
            <w:r w:rsidR="00CC7D03" w:rsidRPr="000560B5">
              <w:rPr>
                <w:rFonts w:ascii="Times New Roman" w:eastAsia="Calibri" w:hAnsi="Times New Roman" w:cs="Times New Roman"/>
                <w:sz w:val="26"/>
                <w:szCs w:val="26"/>
              </w:rPr>
              <w:t>)</w:t>
            </w:r>
            <w:r w:rsidRPr="000560B5">
              <w:rPr>
                <w:rFonts w:ascii="Times New Roman" w:eastAsia="Calibri" w:hAnsi="Times New Roman" w:cs="Times New Roman"/>
                <w:sz w:val="26"/>
                <w:szCs w:val="26"/>
              </w:rPr>
              <w:t xml:space="preserve"> </w:t>
            </w:r>
          </w:p>
        </w:tc>
        <w:tc>
          <w:tcPr>
            <w:tcW w:w="1440" w:type="pct"/>
            <w:hideMark/>
          </w:tcPr>
          <w:p w:rsidR="00C03D4F" w:rsidRPr="000560B5" w:rsidRDefault="00C03D4F" w:rsidP="00D90174">
            <w:pPr>
              <w:spacing w:after="0" w:line="240" w:lineRule="auto"/>
              <w:jc w:val="both"/>
              <w:rPr>
                <w:rFonts w:ascii="Times New Roman" w:eastAsia="Times New Roman" w:hAnsi="Times New Roman" w:cs="Times New Roman"/>
                <w:sz w:val="26"/>
                <w:szCs w:val="26"/>
                <w:lang w:eastAsia="lv-LV"/>
              </w:rPr>
            </w:pPr>
            <w:r w:rsidRPr="000560B5">
              <w:rPr>
                <w:rFonts w:ascii="Times New Roman" w:eastAsia="Calibri" w:hAnsi="Times New Roman" w:cs="Times New Roman"/>
                <w:sz w:val="26"/>
                <w:szCs w:val="26"/>
              </w:rPr>
              <w:lastRenderedPageBreak/>
              <w:t>Ieviesta pilnībā</w:t>
            </w:r>
            <w:r w:rsidRPr="000560B5">
              <w:rPr>
                <w:rFonts w:ascii="Times New Roman" w:eastAsia="Times New Roman" w:hAnsi="Times New Roman" w:cs="Times New Roman"/>
                <w:sz w:val="26"/>
                <w:szCs w:val="26"/>
                <w:lang w:eastAsia="lv-LV"/>
              </w:rPr>
              <w:t>.</w:t>
            </w:r>
          </w:p>
        </w:tc>
        <w:tc>
          <w:tcPr>
            <w:tcW w:w="1438" w:type="pct"/>
            <w:hideMark/>
          </w:tcPr>
          <w:p w:rsidR="00C03D4F" w:rsidRPr="000560B5" w:rsidRDefault="00C03D4F" w:rsidP="00D90174">
            <w:pPr>
              <w:spacing w:after="0" w:line="240" w:lineRule="auto"/>
              <w:rPr>
                <w:rFonts w:ascii="Times New Roman" w:eastAsia="Calibri" w:hAnsi="Times New Roman" w:cs="Times New Roman"/>
                <w:sz w:val="26"/>
                <w:szCs w:val="26"/>
              </w:rPr>
            </w:pPr>
            <w:r w:rsidRPr="000560B5">
              <w:rPr>
                <w:rFonts w:ascii="Times New Roman" w:eastAsia="Calibri" w:hAnsi="Times New Roman" w:cs="Times New Roman"/>
                <w:sz w:val="26"/>
                <w:szCs w:val="26"/>
              </w:rPr>
              <w:t>Neparedz stingrākas prasības.</w:t>
            </w:r>
          </w:p>
        </w:tc>
      </w:tr>
      <w:tr w:rsidR="00C03D4F" w:rsidRPr="0004084E" w:rsidTr="006C7230">
        <w:tc>
          <w:tcPr>
            <w:tcW w:w="1006" w:type="pct"/>
          </w:tcPr>
          <w:p w:rsidR="00C03D4F" w:rsidRPr="000560B5" w:rsidRDefault="00C03D4F" w:rsidP="00D90174">
            <w:pPr>
              <w:spacing w:after="0" w:line="245" w:lineRule="atLeast"/>
              <w:jc w:val="both"/>
              <w:rPr>
                <w:rFonts w:ascii="Times New Roman" w:eastAsia="Calibri" w:hAnsi="Times New Roman" w:cs="Times New Roman"/>
                <w:sz w:val="26"/>
                <w:szCs w:val="26"/>
              </w:rPr>
            </w:pPr>
            <w:r w:rsidRPr="000560B5">
              <w:rPr>
                <w:rFonts w:ascii="Times New Roman" w:eastAsia="Calibri" w:hAnsi="Times New Roman" w:cs="Times New Roman"/>
                <w:sz w:val="26"/>
                <w:szCs w:val="26"/>
              </w:rPr>
              <w:lastRenderedPageBreak/>
              <w:t>Komisijas paziņojuma 10.punkts.</w:t>
            </w:r>
          </w:p>
        </w:tc>
        <w:tc>
          <w:tcPr>
            <w:tcW w:w="1116" w:type="pct"/>
            <w:gridSpan w:val="2"/>
          </w:tcPr>
          <w:p w:rsidR="00C03D4F" w:rsidRPr="000560B5" w:rsidRDefault="00C03D4F" w:rsidP="00F508A8">
            <w:pPr>
              <w:spacing w:after="0" w:line="245" w:lineRule="atLeast"/>
              <w:jc w:val="both"/>
              <w:rPr>
                <w:rFonts w:ascii="Times New Roman" w:eastAsia="Calibri" w:hAnsi="Times New Roman" w:cs="Times New Roman"/>
                <w:sz w:val="26"/>
                <w:szCs w:val="26"/>
              </w:rPr>
            </w:pPr>
            <w:r w:rsidRPr="000560B5">
              <w:rPr>
                <w:rFonts w:ascii="Times New Roman" w:eastAsia="Calibri" w:hAnsi="Times New Roman" w:cs="Times New Roman"/>
                <w:sz w:val="26"/>
                <w:szCs w:val="26"/>
              </w:rPr>
              <w:t xml:space="preserve">Noteikumu projekta </w:t>
            </w:r>
            <w:r w:rsidR="00CC7D03" w:rsidRPr="000560B5">
              <w:rPr>
                <w:rFonts w:ascii="Times New Roman" w:eastAsia="Calibri" w:hAnsi="Times New Roman" w:cs="Times New Roman"/>
                <w:sz w:val="26"/>
                <w:szCs w:val="26"/>
              </w:rPr>
              <w:t xml:space="preserve">4.un </w:t>
            </w:r>
            <w:r w:rsidR="00F508A8" w:rsidRPr="000560B5">
              <w:rPr>
                <w:rFonts w:ascii="Times New Roman" w:eastAsia="Calibri" w:hAnsi="Times New Roman" w:cs="Times New Roman"/>
                <w:sz w:val="26"/>
                <w:szCs w:val="26"/>
              </w:rPr>
              <w:t>7</w:t>
            </w:r>
            <w:r w:rsidR="00CC7D03" w:rsidRPr="000560B5">
              <w:rPr>
                <w:rFonts w:ascii="Times New Roman" w:eastAsia="Calibri" w:hAnsi="Times New Roman" w:cs="Times New Roman"/>
                <w:sz w:val="26"/>
                <w:szCs w:val="26"/>
              </w:rPr>
              <w:t xml:space="preserve">.punkts (MK noteikumu </w:t>
            </w:r>
            <w:r w:rsidR="00F508A8" w:rsidRPr="000560B5">
              <w:rPr>
                <w:rFonts w:ascii="Times New Roman" w:eastAsia="Calibri" w:hAnsi="Times New Roman" w:cs="Times New Roman"/>
                <w:sz w:val="26"/>
                <w:szCs w:val="26"/>
              </w:rPr>
              <w:t xml:space="preserve">15.3.1.; </w:t>
            </w:r>
            <w:r w:rsidRPr="000560B5">
              <w:rPr>
                <w:rFonts w:ascii="Times New Roman" w:eastAsia="Calibri" w:hAnsi="Times New Roman" w:cs="Times New Roman"/>
                <w:sz w:val="26"/>
                <w:szCs w:val="26"/>
              </w:rPr>
              <w:t>15.3.2.</w:t>
            </w:r>
            <w:r w:rsidR="00F508A8" w:rsidRPr="000560B5">
              <w:rPr>
                <w:rFonts w:ascii="Times New Roman" w:eastAsia="Calibri" w:hAnsi="Times New Roman" w:cs="Times New Roman"/>
                <w:sz w:val="26"/>
                <w:szCs w:val="26"/>
              </w:rPr>
              <w:t xml:space="preserve">; 18.7.1. </w:t>
            </w:r>
            <w:r w:rsidRPr="000560B5">
              <w:rPr>
                <w:rFonts w:ascii="Times New Roman" w:eastAsia="Calibri" w:hAnsi="Times New Roman" w:cs="Times New Roman"/>
                <w:sz w:val="26"/>
                <w:szCs w:val="26"/>
              </w:rPr>
              <w:t>un 18.7.2.apakšpunkts</w:t>
            </w:r>
            <w:r w:rsidR="00CC7D03" w:rsidRPr="000560B5">
              <w:rPr>
                <w:rFonts w:ascii="Times New Roman" w:eastAsia="Calibri" w:hAnsi="Times New Roman" w:cs="Times New Roman"/>
                <w:sz w:val="26"/>
                <w:szCs w:val="26"/>
              </w:rPr>
              <w:t>)</w:t>
            </w:r>
          </w:p>
        </w:tc>
        <w:tc>
          <w:tcPr>
            <w:tcW w:w="1440" w:type="pct"/>
          </w:tcPr>
          <w:p w:rsidR="00C03D4F" w:rsidRPr="000560B5" w:rsidRDefault="00C03D4F" w:rsidP="00D90174">
            <w:pPr>
              <w:spacing w:after="0" w:line="240" w:lineRule="auto"/>
              <w:jc w:val="both"/>
              <w:rPr>
                <w:rFonts w:ascii="Times New Roman" w:eastAsia="Calibri" w:hAnsi="Times New Roman" w:cs="Times New Roman"/>
                <w:sz w:val="26"/>
                <w:szCs w:val="26"/>
              </w:rPr>
            </w:pPr>
            <w:r w:rsidRPr="000560B5">
              <w:rPr>
                <w:rFonts w:ascii="Times New Roman" w:eastAsia="Calibri" w:hAnsi="Times New Roman" w:cs="Times New Roman"/>
                <w:sz w:val="26"/>
                <w:szCs w:val="26"/>
              </w:rPr>
              <w:t>Ieviesta pilnībā</w:t>
            </w:r>
            <w:r w:rsidRPr="000560B5">
              <w:rPr>
                <w:rFonts w:ascii="Times New Roman" w:eastAsia="Times New Roman" w:hAnsi="Times New Roman" w:cs="Times New Roman"/>
                <w:sz w:val="26"/>
                <w:szCs w:val="26"/>
                <w:lang w:eastAsia="lv-LV"/>
              </w:rPr>
              <w:t>.</w:t>
            </w:r>
          </w:p>
        </w:tc>
        <w:tc>
          <w:tcPr>
            <w:tcW w:w="1438" w:type="pct"/>
          </w:tcPr>
          <w:p w:rsidR="00C03D4F" w:rsidRPr="000560B5" w:rsidRDefault="00C03D4F" w:rsidP="00D90174">
            <w:pPr>
              <w:spacing w:after="0" w:line="240" w:lineRule="auto"/>
              <w:rPr>
                <w:rFonts w:ascii="Times New Roman" w:eastAsia="Calibri" w:hAnsi="Times New Roman" w:cs="Times New Roman"/>
                <w:sz w:val="26"/>
                <w:szCs w:val="26"/>
              </w:rPr>
            </w:pPr>
            <w:r w:rsidRPr="000560B5">
              <w:rPr>
                <w:rFonts w:ascii="Times New Roman" w:eastAsia="Calibri" w:hAnsi="Times New Roman" w:cs="Times New Roman"/>
                <w:sz w:val="26"/>
                <w:szCs w:val="26"/>
              </w:rPr>
              <w:t>Neparedz stingrākas prasības.</w:t>
            </w:r>
          </w:p>
        </w:tc>
      </w:tr>
      <w:tr w:rsidR="00C03D4F" w:rsidRPr="0004084E" w:rsidTr="006C7230">
        <w:tc>
          <w:tcPr>
            <w:tcW w:w="1006" w:type="pct"/>
          </w:tcPr>
          <w:p w:rsidR="00C03D4F" w:rsidRPr="000560B5" w:rsidRDefault="00C03D4F" w:rsidP="00D90174">
            <w:pPr>
              <w:spacing w:after="0" w:line="245" w:lineRule="atLeast"/>
              <w:jc w:val="both"/>
              <w:rPr>
                <w:rFonts w:ascii="Times New Roman" w:eastAsia="Calibri" w:hAnsi="Times New Roman" w:cs="Times New Roman"/>
                <w:sz w:val="26"/>
                <w:szCs w:val="26"/>
              </w:rPr>
            </w:pPr>
            <w:r w:rsidRPr="000560B5">
              <w:rPr>
                <w:rFonts w:ascii="Times New Roman" w:eastAsia="Calibri" w:hAnsi="Times New Roman" w:cs="Times New Roman"/>
                <w:sz w:val="26"/>
                <w:szCs w:val="26"/>
              </w:rPr>
              <w:t>Komisijas paziņojuma 11.punkts.</w:t>
            </w:r>
          </w:p>
        </w:tc>
        <w:tc>
          <w:tcPr>
            <w:tcW w:w="1116" w:type="pct"/>
            <w:gridSpan w:val="2"/>
          </w:tcPr>
          <w:p w:rsidR="00C03D4F" w:rsidRPr="000560B5" w:rsidRDefault="00C03D4F" w:rsidP="00F508A8">
            <w:pPr>
              <w:spacing w:after="0" w:line="245" w:lineRule="atLeast"/>
              <w:jc w:val="both"/>
              <w:rPr>
                <w:rFonts w:ascii="Times New Roman" w:eastAsia="Calibri" w:hAnsi="Times New Roman" w:cs="Times New Roman"/>
                <w:sz w:val="26"/>
                <w:szCs w:val="26"/>
              </w:rPr>
            </w:pPr>
            <w:r w:rsidRPr="000560B5">
              <w:rPr>
                <w:rFonts w:ascii="Times New Roman" w:eastAsia="Calibri" w:hAnsi="Times New Roman" w:cs="Times New Roman"/>
                <w:sz w:val="26"/>
                <w:szCs w:val="26"/>
              </w:rPr>
              <w:t xml:space="preserve">Noteikumu projekta </w:t>
            </w:r>
            <w:r w:rsidR="00F508A8" w:rsidRPr="000560B5">
              <w:rPr>
                <w:rFonts w:ascii="Times New Roman" w:eastAsia="Calibri" w:hAnsi="Times New Roman" w:cs="Times New Roman"/>
                <w:sz w:val="26"/>
                <w:szCs w:val="26"/>
              </w:rPr>
              <w:t>4</w:t>
            </w:r>
            <w:r w:rsidR="00CC7D03" w:rsidRPr="000560B5">
              <w:rPr>
                <w:rFonts w:ascii="Times New Roman" w:eastAsia="Calibri" w:hAnsi="Times New Roman" w:cs="Times New Roman"/>
                <w:sz w:val="26"/>
                <w:szCs w:val="26"/>
              </w:rPr>
              <w:t xml:space="preserve">.un </w:t>
            </w:r>
            <w:r w:rsidR="00F508A8" w:rsidRPr="000560B5">
              <w:rPr>
                <w:rFonts w:ascii="Times New Roman" w:eastAsia="Calibri" w:hAnsi="Times New Roman" w:cs="Times New Roman"/>
                <w:sz w:val="26"/>
                <w:szCs w:val="26"/>
              </w:rPr>
              <w:t>7</w:t>
            </w:r>
            <w:r w:rsidR="00CC7D03" w:rsidRPr="000560B5">
              <w:rPr>
                <w:rFonts w:ascii="Times New Roman" w:eastAsia="Calibri" w:hAnsi="Times New Roman" w:cs="Times New Roman"/>
                <w:sz w:val="26"/>
                <w:szCs w:val="26"/>
              </w:rPr>
              <w:t xml:space="preserve">.punkts (MK noteikumu </w:t>
            </w:r>
            <w:r w:rsidRPr="000560B5">
              <w:rPr>
                <w:rFonts w:ascii="Times New Roman" w:eastAsia="Calibri" w:hAnsi="Times New Roman" w:cs="Times New Roman"/>
                <w:sz w:val="26"/>
                <w:szCs w:val="26"/>
              </w:rPr>
              <w:t>15.3.3.un 18.7.3.apakšpunkts</w:t>
            </w:r>
            <w:r w:rsidR="00CC7D03" w:rsidRPr="000560B5">
              <w:rPr>
                <w:rFonts w:ascii="Times New Roman" w:eastAsia="Calibri" w:hAnsi="Times New Roman" w:cs="Times New Roman"/>
                <w:sz w:val="26"/>
                <w:szCs w:val="26"/>
              </w:rPr>
              <w:t>)</w:t>
            </w:r>
          </w:p>
        </w:tc>
        <w:tc>
          <w:tcPr>
            <w:tcW w:w="1440" w:type="pct"/>
          </w:tcPr>
          <w:p w:rsidR="00C03D4F" w:rsidRPr="000560B5" w:rsidRDefault="00C03D4F" w:rsidP="00D90174">
            <w:pPr>
              <w:spacing w:after="0" w:line="240" w:lineRule="auto"/>
              <w:jc w:val="both"/>
              <w:rPr>
                <w:rFonts w:ascii="Times New Roman" w:eastAsia="Calibri" w:hAnsi="Times New Roman" w:cs="Times New Roman"/>
                <w:sz w:val="26"/>
                <w:szCs w:val="26"/>
              </w:rPr>
            </w:pPr>
            <w:r w:rsidRPr="000560B5">
              <w:rPr>
                <w:rFonts w:ascii="Times New Roman" w:eastAsia="Calibri" w:hAnsi="Times New Roman" w:cs="Times New Roman"/>
                <w:sz w:val="26"/>
                <w:szCs w:val="26"/>
              </w:rPr>
              <w:t>Ieviesta pilnībā</w:t>
            </w:r>
            <w:r w:rsidRPr="000560B5">
              <w:rPr>
                <w:rFonts w:ascii="Times New Roman" w:eastAsia="Times New Roman" w:hAnsi="Times New Roman" w:cs="Times New Roman"/>
                <w:sz w:val="26"/>
                <w:szCs w:val="26"/>
                <w:lang w:eastAsia="lv-LV"/>
              </w:rPr>
              <w:t>.</w:t>
            </w:r>
          </w:p>
        </w:tc>
        <w:tc>
          <w:tcPr>
            <w:tcW w:w="1438" w:type="pct"/>
          </w:tcPr>
          <w:p w:rsidR="00C03D4F" w:rsidRPr="000560B5" w:rsidRDefault="00C03D4F" w:rsidP="00D90174">
            <w:pPr>
              <w:spacing w:after="0" w:line="240" w:lineRule="auto"/>
              <w:rPr>
                <w:rFonts w:ascii="Times New Roman" w:eastAsia="Calibri" w:hAnsi="Times New Roman" w:cs="Times New Roman"/>
                <w:sz w:val="26"/>
                <w:szCs w:val="26"/>
              </w:rPr>
            </w:pPr>
            <w:r w:rsidRPr="000560B5">
              <w:rPr>
                <w:rFonts w:ascii="Times New Roman" w:eastAsia="Calibri" w:hAnsi="Times New Roman" w:cs="Times New Roman"/>
                <w:sz w:val="26"/>
                <w:szCs w:val="26"/>
              </w:rPr>
              <w:t>Neparedz stingrākas prasības.</w:t>
            </w:r>
          </w:p>
        </w:tc>
      </w:tr>
      <w:tr w:rsidR="00C03D4F" w:rsidRPr="0004084E" w:rsidTr="006C7230">
        <w:tc>
          <w:tcPr>
            <w:tcW w:w="1994" w:type="pct"/>
            <w:gridSpan w:val="2"/>
            <w:hideMark/>
          </w:tcPr>
          <w:p w:rsidR="00C03D4F" w:rsidRPr="000560B5" w:rsidRDefault="00C03D4F"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w:t>
            </w:r>
          </w:p>
          <w:p w:rsidR="00C03D4F" w:rsidRPr="000560B5" w:rsidRDefault="00C03D4F"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Kādēļ?</w:t>
            </w:r>
          </w:p>
        </w:tc>
        <w:tc>
          <w:tcPr>
            <w:tcW w:w="3006" w:type="pct"/>
            <w:gridSpan w:val="3"/>
            <w:hideMark/>
          </w:tcPr>
          <w:p w:rsidR="00C03D4F" w:rsidRPr="000560B5" w:rsidRDefault="00C03D4F" w:rsidP="00D90174">
            <w:pPr>
              <w:spacing w:after="0" w:line="240" w:lineRule="auto"/>
              <w:jc w:val="both"/>
              <w:rPr>
                <w:rFonts w:ascii="Times New Roman" w:eastAsia="Times New Roman" w:hAnsi="Times New Roman" w:cs="Times New Roman"/>
                <w:iCs/>
                <w:sz w:val="26"/>
                <w:szCs w:val="26"/>
                <w:lang w:eastAsia="lv-LV"/>
              </w:rPr>
            </w:pPr>
            <w:r w:rsidRPr="000560B5">
              <w:rPr>
                <w:rFonts w:ascii="Times New Roman" w:eastAsia="Times New Roman" w:hAnsi="Times New Roman" w:cs="Times New Roman"/>
                <w:iCs/>
                <w:sz w:val="26"/>
                <w:szCs w:val="26"/>
                <w:lang w:eastAsia="lv-LV"/>
              </w:rPr>
              <w:t>Lai sniegtu valsts atbalstu, kā arī piešķirtu struktūrfondu līdzfinansējumu,  dalībvalstij ir jāpiemēro Komisijas paziņojums, lai saskaņotu grūtībās nonākuša komersanta definīciju;</w:t>
            </w:r>
          </w:p>
        </w:tc>
      </w:tr>
      <w:tr w:rsidR="00C03D4F" w:rsidRPr="0004084E" w:rsidTr="006C7230">
        <w:tc>
          <w:tcPr>
            <w:tcW w:w="1994" w:type="pct"/>
            <w:gridSpan w:val="2"/>
            <w:hideMark/>
          </w:tcPr>
          <w:p w:rsidR="00C03D4F" w:rsidRPr="000560B5" w:rsidRDefault="00C03D4F" w:rsidP="00D90174">
            <w:pPr>
              <w:spacing w:after="0" w:line="245" w:lineRule="atLeast"/>
              <w:jc w:val="both"/>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06" w:type="pct"/>
            <w:gridSpan w:val="3"/>
            <w:hideMark/>
          </w:tcPr>
          <w:p w:rsidR="00C03D4F" w:rsidRPr="000560B5" w:rsidRDefault="00C03D4F" w:rsidP="00D90174">
            <w:pPr>
              <w:spacing w:after="0" w:line="245" w:lineRule="atLeast"/>
              <w:jc w:val="both"/>
              <w:rPr>
                <w:rFonts w:ascii="Times New Roman" w:eastAsia="Times New Roman" w:hAnsi="Times New Roman" w:cs="Times New Roman"/>
                <w:sz w:val="26"/>
                <w:szCs w:val="26"/>
                <w:lang w:eastAsia="lv-LV"/>
              </w:rPr>
            </w:pPr>
            <w:r w:rsidRPr="000560B5">
              <w:rPr>
                <w:rFonts w:ascii="Times New Roman" w:eastAsia="Calibri" w:hAnsi="Times New Roman" w:cs="Times New Roman"/>
                <w:sz w:val="26"/>
                <w:szCs w:val="26"/>
              </w:rPr>
              <w:t>Paziņojumu Eiropas Komisijai (turpmāk – EK) nav nepieciešams sniegt, jo MK noteikumu projekts saskaņā ar Regulas Nr.1998/2006 2.pantu ir atbrīvots no iepriekšējas paziņošanas EK.</w:t>
            </w:r>
          </w:p>
        </w:tc>
      </w:tr>
      <w:tr w:rsidR="00C03D4F" w:rsidRPr="0004084E" w:rsidTr="006C7230">
        <w:tc>
          <w:tcPr>
            <w:tcW w:w="1994" w:type="pct"/>
            <w:gridSpan w:val="2"/>
            <w:hideMark/>
          </w:tcPr>
          <w:p w:rsidR="00C03D4F" w:rsidRPr="000560B5" w:rsidRDefault="00C03D4F" w:rsidP="00D90174">
            <w:pPr>
              <w:spacing w:after="0" w:line="245" w:lineRule="atLeast"/>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Cita informācija</w:t>
            </w:r>
          </w:p>
        </w:tc>
        <w:tc>
          <w:tcPr>
            <w:tcW w:w="3006" w:type="pct"/>
            <w:gridSpan w:val="3"/>
            <w:hideMark/>
          </w:tcPr>
          <w:p w:rsidR="00C03D4F" w:rsidRPr="000560B5" w:rsidRDefault="00C03D4F" w:rsidP="00D90174">
            <w:pPr>
              <w:spacing w:after="0" w:line="240" w:lineRule="auto"/>
              <w:rPr>
                <w:rFonts w:ascii="Times New Roman" w:eastAsia="Times New Roman" w:hAnsi="Times New Roman" w:cs="Times New Roman"/>
                <w:sz w:val="26"/>
                <w:szCs w:val="26"/>
                <w:lang w:eastAsia="lv-LV"/>
              </w:rPr>
            </w:pPr>
            <w:r w:rsidRPr="000560B5">
              <w:rPr>
                <w:rFonts w:ascii="Times New Roman" w:eastAsia="Times New Roman" w:hAnsi="Times New Roman" w:cs="Times New Roman"/>
                <w:sz w:val="26"/>
                <w:szCs w:val="26"/>
                <w:lang w:eastAsia="lv-LV"/>
              </w:rPr>
              <w:t xml:space="preserve"> Nav</w:t>
            </w:r>
          </w:p>
        </w:tc>
      </w:tr>
    </w:tbl>
    <w:p w:rsidR="00C03D4F" w:rsidRPr="0004084E" w:rsidRDefault="00C03D4F" w:rsidP="00D90174">
      <w:pPr>
        <w:tabs>
          <w:tab w:val="left" w:pos="7655"/>
        </w:tabs>
        <w:spacing w:after="0" w:line="240" w:lineRule="auto"/>
        <w:jc w:val="both"/>
        <w:rPr>
          <w:rFonts w:ascii="Times New Roman" w:eastAsia="Calibri" w:hAnsi="Times New Roman" w:cs="Times New Roman"/>
          <w:bCs/>
          <w:sz w:val="26"/>
          <w:szCs w:val="26"/>
        </w:rPr>
      </w:pPr>
    </w:p>
    <w:p w:rsidR="00830152" w:rsidRPr="0004084E" w:rsidRDefault="00830152" w:rsidP="00D90174">
      <w:pPr>
        <w:tabs>
          <w:tab w:val="left" w:pos="7655"/>
        </w:tabs>
        <w:spacing w:after="0" w:line="240" w:lineRule="auto"/>
        <w:jc w:val="both"/>
        <w:rPr>
          <w:rFonts w:ascii="Times New Roman" w:eastAsia="Calibri" w:hAnsi="Times New Roman" w:cs="Times New Roman"/>
          <w:bCs/>
          <w:sz w:val="26"/>
          <w:szCs w:val="26"/>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2977"/>
        <w:gridCol w:w="5386"/>
      </w:tblGrid>
      <w:tr w:rsidR="00D40CFC" w:rsidRPr="0004084E" w:rsidTr="00CB11A9">
        <w:tc>
          <w:tcPr>
            <w:tcW w:w="9214" w:type="dxa"/>
            <w:gridSpan w:val="3"/>
          </w:tcPr>
          <w:p w:rsidR="00D40CFC" w:rsidRPr="0004084E" w:rsidRDefault="00D40CFC" w:rsidP="00D90174">
            <w:pPr>
              <w:spacing w:after="0" w:line="240" w:lineRule="auto"/>
              <w:jc w:val="center"/>
              <w:rPr>
                <w:rFonts w:ascii="Times New Roman" w:eastAsia="Times New Roman" w:hAnsi="Times New Roman" w:cs="Times New Roman"/>
                <w:b/>
                <w:sz w:val="26"/>
                <w:szCs w:val="26"/>
                <w:lang w:eastAsia="lv-LV"/>
              </w:rPr>
            </w:pPr>
            <w:r w:rsidRPr="0004084E">
              <w:rPr>
                <w:rFonts w:ascii="Times New Roman" w:eastAsia="Times New Roman" w:hAnsi="Times New Roman" w:cs="Times New Roman"/>
                <w:b/>
                <w:sz w:val="26"/>
                <w:szCs w:val="26"/>
                <w:lang w:eastAsia="lv-LV"/>
              </w:rPr>
              <w:t>VII. Tiesību akta projekta izpildes nodrošināšana un tās ietekme uz institūcijām</w:t>
            </w:r>
          </w:p>
        </w:tc>
      </w:tr>
      <w:tr w:rsidR="00D40CFC" w:rsidRPr="0004084E" w:rsidTr="00A654F1">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1.</w:t>
            </w:r>
          </w:p>
        </w:tc>
        <w:tc>
          <w:tcPr>
            <w:tcW w:w="2977" w:type="dxa"/>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Projekta izpildē iesaistītās institūcijas</w:t>
            </w:r>
          </w:p>
        </w:tc>
        <w:tc>
          <w:tcPr>
            <w:tcW w:w="5386" w:type="dxa"/>
            <w:hideMark/>
          </w:tcPr>
          <w:p w:rsidR="00D40CFC" w:rsidRPr="0004084E" w:rsidRDefault="00D40CFC" w:rsidP="00D90174">
            <w:pPr>
              <w:spacing w:after="0" w:line="240" w:lineRule="auto"/>
              <w:ind w:firstLine="485"/>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Projekta izpild</w:t>
            </w:r>
            <w:r w:rsidR="00830152" w:rsidRPr="0004084E">
              <w:rPr>
                <w:rFonts w:ascii="Times New Roman" w:eastAsia="Times New Roman" w:hAnsi="Times New Roman" w:cs="Times New Roman"/>
                <w:sz w:val="26"/>
                <w:szCs w:val="26"/>
                <w:lang w:eastAsia="lv-LV"/>
              </w:rPr>
              <w:t>ē ir iesaistīta Ekonomikas ministrija, LIAA un TAVA.</w:t>
            </w:r>
          </w:p>
        </w:tc>
      </w:tr>
      <w:tr w:rsidR="00D40CFC" w:rsidRPr="0004084E" w:rsidTr="00A654F1">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2.</w:t>
            </w:r>
          </w:p>
        </w:tc>
        <w:tc>
          <w:tcPr>
            <w:tcW w:w="2977" w:type="dxa"/>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Projekta izpildes ietekme uz pārvaldes funkcijā</w:t>
            </w:r>
          </w:p>
        </w:tc>
        <w:tc>
          <w:tcPr>
            <w:tcW w:w="5386" w:type="dxa"/>
            <w:hideMark/>
          </w:tcPr>
          <w:p w:rsidR="00D40CFC" w:rsidRPr="0004084E" w:rsidRDefault="00D40CFC" w:rsidP="00D90174">
            <w:pPr>
              <w:spacing w:after="0" w:line="240" w:lineRule="auto"/>
              <w:ind w:firstLine="485"/>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 xml:space="preserve">Projekta izpilde tiks nodrošināta </w:t>
            </w:r>
            <w:r w:rsidR="00830152" w:rsidRPr="0004084E">
              <w:rPr>
                <w:rFonts w:ascii="Times New Roman" w:eastAsia="Times New Roman" w:hAnsi="Times New Roman" w:cs="Times New Roman"/>
                <w:sz w:val="26"/>
                <w:szCs w:val="26"/>
                <w:lang w:eastAsia="lv-LV"/>
              </w:rPr>
              <w:t xml:space="preserve">LIAA un TAVA </w:t>
            </w:r>
            <w:r w:rsidRPr="0004084E">
              <w:rPr>
                <w:rFonts w:ascii="Times New Roman" w:eastAsia="Times New Roman" w:hAnsi="Times New Roman" w:cs="Times New Roman"/>
                <w:sz w:val="26"/>
                <w:szCs w:val="26"/>
                <w:lang w:eastAsia="lv-LV"/>
              </w:rPr>
              <w:t>funkciju ietvaros.</w:t>
            </w:r>
          </w:p>
        </w:tc>
      </w:tr>
      <w:tr w:rsidR="00D40CFC" w:rsidRPr="0004084E" w:rsidTr="00A654F1">
        <w:trPr>
          <w:trHeight w:val="930"/>
        </w:trPr>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3.</w:t>
            </w:r>
          </w:p>
        </w:tc>
        <w:tc>
          <w:tcPr>
            <w:tcW w:w="2977" w:type="dxa"/>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Projekta izpildes ietekme uz pārvaldes institucionālo struktūru. Jaunu institūciju izveide</w:t>
            </w:r>
          </w:p>
        </w:tc>
        <w:tc>
          <w:tcPr>
            <w:tcW w:w="5386" w:type="dxa"/>
            <w:hideMark/>
          </w:tcPr>
          <w:p w:rsidR="00D40CFC" w:rsidRPr="0004084E" w:rsidRDefault="00830152" w:rsidP="00D90174">
            <w:pPr>
              <w:spacing w:after="0" w:line="240" w:lineRule="auto"/>
              <w:ind w:firstLine="485"/>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Noteikumu projekta izpildei nav nepieciešams radīt jaunas institūcijas.</w:t>
            </w:r>
          </w:p>
        </w:tc>
      </w:tr>
      <w:tr w:rsidR="00D40CFC" w:rsidRPr="0004084E" w:rsidTr="00A654F1">
        <w:trPr>
          <w:trHeight w:val="927"/>
        </w:trPr>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4.</w:t>
            </w:r>
          </w:p>
        </w:tc>
        <w:tc>
          <w:tcPr>
            <w:tcW w:w="2977" w:type="dxa"/>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Projekta izpildes ietekmes uz pārvaldes institucionālo struktūru. Esošu institūciju likvidācija</w:t>
            </w:r>
          </w:p>
        </w:tc>
        <w:tc>
          <w:tcPr>
            <w:tcW w:w="5386" w:type="dxa"/>
            <w:hideMark/>
          </w:tcPr>
          <w:p w:rsidR="00D40CFC" w:rsidRPr="0004084E" w:rsidRDefault="00D40CFC" w:rsidP="00D90174">
            <w:pPr>
              <w:spacing w:after="0" w:line="240" w:lineRule="auto"/>
              <w:ind w:firstLine="284"/>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iCs/>
                <w:sz w:val="26"/>
                <w:szCs w:val="26"/>
                <w:lang w:eastAsia="lv-LV"/>
              </w:rPr>
              <w:t>Projekts šo jomu neskar. </w:t>
            </w:r>
          </w:p>
        </w:tc>
      </w:tr>
      <w:tr w:rsidR="00D40CFC" w:rsidRPr="0004084E" w:rsidTr="00A654F1">
        <w:trPr>
          <w:trHeight w:val="912"/>
        </w:trPr>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lastRenderedPageBreak/>
              <w:t>5.</w:t>
            </w:r>
          </w:p>
        </w:tc>
        <w:tc>
          <w:tcPr>
            <w:tcW w:w="2977" w:type="dxa"/>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Projekta izpildes ietekmes uz pārvaldes institucionālo struktūru. Esošu institūciju reorganizācija</w:t>
            </w:r>
          </w:p>
        </w:tc>
        <w:tc>
          <w:tcPr>
            <w:tcW w:w="5386" w:type="dxa"/>
            <w:hideMark/>
          </w:tcPr>
          <w:p w:rsidR="00D40CFC" w:rsidRPr="0004084E" w:rsidRDefault="00D40CFC" w:rsidP="00D90174">
            <w:pPr>
              <w:spacing w:after="0" w:line="240" w:lineRule="auto"/>
              <w:ind w:firstLine="284"/>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iCs/>
                <w:sz w:val="26"/>
                <w:szCs w:val="26"/>
                <w:lang w:eastAsia="lv-LV"/>
              </w:rPr>
              <w:t>Projekts šo jomu neskar. </w:t>
            </w:r>
          </w:p>
        </w:tc>
      </w:tr>
      <w:tr w:rsidR="00D40CFC" w:rsidRPr="0004084E" w:rsidTr="00A654F1">
        <w:tc>
          <w:tcPr>
            <w:tcW w:w="851" w:type="dxa"/>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6.</w:t>
            </w:r>
          </w:p>
        </w:tc>
        <w:tc>
          <w:tcPr>
            <w:tcW w:w="2977" w:type="dxa"/>
            <w:hideMark/>
          </w:tcPr>
          <w:p w:rsidR="00D40CFC" w:rsidRPr="0004084E" w:rsidRDefault="00D40CFC" w:rsidP="00D90174">
            <w:pPr>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Cita informācija</w:t>
            </w:r>
          </w:p>
        </w:tc>
        <w:tc>
          <w:tcPr>
            <w:tcW w:w="5386" w:type="dxa"/>
            <w:hideMark/>
          </w:tcPr>
          <w:p w:rsidR="00D40CFC" w:rsidRPr="0004084E" w:rsidRDefault="00D40CFC" w:rsidP="00D90174">
            <w:pPr>
              <w:spacing w:after="0" w:line="240" w:lineRule="auto"/>
              <w:ind w:firstLine="284"/>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Nav.</w:t>
            </w:r>
          </w:p>
        </w:tc>
      </w:tr>
    </w:tbl>
    <w:p w:rsidR="007A0E70" w:rsidRPr="0004084E" w:rsidRDefault="007A0E70" w:rsidP="00D90174">
      <w:pPr>
        <w:tabs>
          <w:tab w:val="left" w:pos="7655"/>
        </w:tabs>
        <w:spacing w:after="0" w:line="240" w:lineRule="auto"/>
        <w:jc w:val="center"/>
        <w:rPr>
          <w:rFonts w:ascii="Times New Roman" w:eastAsia="Calibri" w:hAnsi="Times New Roman" w:cs="Times New Roman"/>
          <w:b/>
          <w:sz w:val="26"/>
          <w:szCs w:val="26"/>
        </w:rPr>
      </w:pPr>
    </w:p>
    <w:p w:rsidR="007A0E70" w:rsidRPr="0004084E" w:rsidRDefault="007A0E70" w:rsidP="00D90174">
      <w:pPr>
        <w:tabs>
          <w:tab w:val="left" w:pos="7655"/>
        </w:tabs>
        <w:spacing w:after="0" w:line="240" w:lineRule="auto"/>
        <w:jc w:val="center"/>
        <w:rPr>
          <w:rFonts w:ascii="Times New Roman" w:eastAsia="Calibri" w:hAnsi="Times New Roman" w:cs="Times New Roman"/>
          <w:bCs/>
          <w:sz w:val="26"/>
          <w:szCs w:val="26"/>
        </w:rPr>
      </w:pPr>
      <w:r w:rsidRPr="0004084E">
        <w:rPr>
          <w:rFonts w:ascii="Times New Roman" w:eastAsia="Calibri" w:hAnsi="Times New Roman" w:cs="Times New Roman"/>
          <w:b/>
          <w:sz w:val="26"/>
          <w:szCs w:val="26"/>
        </w:rPr>
        <w:t>Anotācijas VI. sadaļa – projekts šo jomu neskar.</w:t>
      </w:r>
    </w:p>
    <w:p w:rsidR="000862E6" w:rsidRPr="0004084E" w:rsidRDefault="000862E6" w:rsidP="00D90174">
      <w:pPr>
        <w:tabs>
          <w:tab w:val="right" w:pos="9071"/>
        </w:tabs>
        <w:spacing w:after="0"/>
        <w:jc w:val="both"/>
        <w:rPr>
          <w:rFonts w:ascii="Times New Roman" w:eastAsia="Times New Roman" w:hAnsi="Times New Roman" w:cs="Times New Roman"/>
          <w:sz w:val="26"/>
          <w:szCs w:val="26"/>
          <w:lang w:eastAsia="lv-LV"/>
        </w:rPr>
      </w:pPr>
    </w:p>
    <w:p w:rsidR="000560B5" w:rsidRDefault="000560B5" w:rsidP="00D90174">
      <w:pPr>
        <w:tabs>
          <w:tab w:val="right" w:pos="9071"/>
        </w:tabs>
        <w:spacing w:after="0"/>
        <w:jc w:val="both"/>
        <w:rPr>
          <w:rFonts w:ascii="Times New Roman" w:eastAsia="Times New Roman" w:hAnsi="Times New Roman" w:cs="Times New Roman"/>
          <w:sz w:val="26"/>
          <w:szCs w:val="26"/>
          <w:lang w:eastAsia="lv-LV"/>
        </w:rPr>
      </w:pPr>
    </w:p>
    <w:p w:rsidR="009D0A29" w:rsidRPr="0004084E" w:rsidRDefault="009D0A29" w:rsidP="00D90174">
      <w:pPr>
        <w:tabs>
          <w:tab w:val="right" w:pos="9071"/>
        </w:tabs>
        <w:spacing w:after="0"/>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Ministru prezidents</w:t>
      </w:r>
      <w:r w:rsidR="00830152" w:rsidRPr="0004084E">
        <w:rPr>
          <w:rFonts w:ascii="Times New Roman" w:eastAsia="Times New Roman" w:hAnsi="Times New Roman" w:cs="Times New Roman"/>
          <w:sz w:val="26"/>
          <w:szCs w:val="26"/>
          <w:lang w:eastAsia="lv-LV"/>
        </w:rPr>
        <w:tab/>
      </w:r>
      <w:proofErr w:type="spellStart"/>
      <w:r w:rsidRPr="0004084E">
        <w:rPr>
          <w:rFonts w:ascii="Times New Roman" w:eastAsia="Times New Roman" w:hAnsi="Times New Roman" w:cs="Times New Roman"/>
          <w:sz w:val="26"/>
          <w:szCs w:val="26"/>
          <w:lang w:eastAsia="lv-LV"/>
        </w:rPr>
        <w:t>V.Dombrovskis</w:t>
      </w:r>
      <w:proofErr w:type="spellEnd"/>
    </w:p>
    <w:p w:rsidR="000560B5" w:rsidRDefault="000560B5" w:rsidP="00D90174">
      <w:pPr>
        <w:tabs>
          <w:tab w:val="right" w:pos="9071"/>
        </w:tabs>
        <w:spacing w:after="0" w:line="240" w:lineRule="auto"/>
        <w:jc w:val="both"/>
        <w:rPr>
          <w:rFonts w:ascii="Times New Roman" w:eastAsia="Times New Roman" w:hAnsi="Times New Roman" w:cs="Times New Roman"/>
          <w:sz w:val="26"/>
          <w:szCs w:val="26"/>
          <w:lang w:eastAsia="lv-LV"/>
        </w:rPr>
      </w:pPr>
    </w:p>
    <w:p w:rsidR="000560B5" w:rsidRDefault="000560B5" w:rsidP="00D90174">
      <w:pPr>
        <w:tabs>
          <w:tab w:val="right" w:pos="9071"/>
        </w:tabs>
        <w:spacing w:after="0" w:line="240" w:lineRule="auto"/>
        <w:jc w:val="both"/>
        <w:rPr>
          <w:rFonts w:ascii="Times New Roman" w:eastAsia="Times New Roman" w:hAnsi="Times New Roman" w:cs="Times New Roman"/>
          <w:sz w:val="26"/>
          <w:szCs w:val="26"/>
          <w:lang w:eastAsia="lv-LV"/>
        </w:rPr>
      </w:pPr>
    </w:p>
    <w:p w:rsidR="000560B5" w:rsidRDefault="000560B5" w:rsidP="00D90174">
      <w:pPr>
        <w:tabs>
          <w:tab w:val="right" w:pos="9071"/>
        </w:tabs>
        <w:spacing w:after="0" w:line="240" w:lineRule="auto"/>
        <w:jc w:val="both"/>
        <w:rPr>
          <w:rFonts w:ascii="Times New Roman" w:eastAsia="Times New Roman" w:hAnsi="Times New Roman" w:cs="Times New Roman"/>
          <w:sz w:val="26"/>
          <w:szCs w:val="26"/>
          <w:lang w:eastAsia="lv-LV"/>
        </w:rPr>
      </w:pPr>
    </w:p>
    <w:p w:rsidR="009D0A29" w:rsidRPr="0004084E" w:rsidRDefault="009D0A29" w:rsidP="00D90174">
      <w:pPr>
        <w:tabs>
          <w:tab w:val="right" w:pos="9071"/>
        </w:tabs>
        <w:spacing w:after="0" w:line="240" w:lineRule="auto"/>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Ekonomikas ministrs</w:t>
      </w:r>
      <w:r w:rsidR="00830152" w:rsidRPr="0004084E">
        <w:rPr>
          <w:rFonts w:ascii="Times New Roman" w:eastAsia="Times New Roman" w:hAnsi="Times New Roman" w:cs="Times New Roman"/>
          <w:sz w:val="26"/>
          <w:szCs w:val="26"/>
          <w:lang w:eastAsia="lv-LV"/>
        </w:rPr>
        <w:tab/>
      </w:r>
      <w:proofErr w:type="spellStart"/>
      <w:r w:rsidRPr="0004084E">
        <w:rPr>
          <w:rFonts w:ascii="Times New Roman" w:eastAsia="Times New Roman" w:hAnsi="Times New Roman" w:cs="Times New Roman"/>
          <w:sz w:val="26"/>
          <w:szCs w:val="26"/>
          <w:lang w:eastAsia="lv-LV"/>
        </w:rPr>
        <w:t>D.Pavļuts</w:t>
      </w:r>
      <w:proofErr w:type="spellEnd"/>
    </w:p>
    <w:p w:rsidR="001B1ADF" w:rsidRPr="0004084E" w:rsidRDefault="001B1ADF" w:rsidP="00D90174">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1B1ADF" w:rsidRPr="0004084E" w:rsidRDefault="001B1ADF" w:rsidP="00D90174">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0560B5" w:rsidRDefault="000560B5" w:rsidP="00D90174">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0560B5" w:rsidRDefault="000560B5" w:rsidP="00D90174">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0560B5" w:rsidRDefault="000560B5" w:rsidP="00D90174">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0560B5" w:rsidRDefault="000560B5" w:rsidP="00D90174">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9D0A29" w:rsidRPr="0004084E" w:rsidRDefault="009D0A29" w:rsidP="00D90174">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Iesniedzējs:</w:t>
      </w:r>
    </w:p>
    <w:p w:rsidR="009D0A29" w:rsidRPr="0004084E" w:rsidRDefault="009D0A29" w:rsidP="00D90174">
      <w:pPr>
        <w:tabs>
          <w:tab w:val="right" w:pos="9071"/>
        </w:tabs>
        <w:spacing w:after="0" w:line="240" w:lineRule="auto"/>
        <w:jc w:val="both"/>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Ekonomikas ministrs</w:t>
      </w:r>
      <w:r w:rsidR="00830152" w:rsidRPr="0004084E">
        <w:rPr>
          <w:rFonts w:ascii="Times New Roman" w:eastAsia="Times New Roman" w:hAnsi="Times New Roman" w:cs="Times New Roman"/>
          <w:sz w:val="26"/>
          <w:szCs w:val="26"/>
          <w:lang w:eastAsia="lv-LV"/>
        </w:rPr>
        <w:tab/>
      </w:r>
      <w:r w:rsidRPr="0004084E">
        <w:rPr>
          <w:rFonts w:ascii="Times New Roman" w:eastAsia="Times New Roman" w:hAnsi="Times New Roman" w:cs="Times New Roman"/>
          <w:sz w:val="26"/>
          <w:szCs w:val="26"/>
          <w:lang w:eastAsia="lv-LV"/>
        </w:rPr>
        <w:t>D.Pavļuts</w:t>
      </w:r>
    </w:p>
    <w:p w:rsidR="001B1ADF" w:rsidRDefault="001B1ADF" w:rsidP="00D90174">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0560B5" w:rsidRPr="0004084E" w:rsidRDefault="000560B5" w:rsidP="00D90174">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0862E6" w:rsidRPr="0004084E" w:rsidRDefault="000862E6" w:rsidP="00D90174">
      <w:pPr>
        <w:keepLines/>
        <w:widowControl w:val="0"/>
        <w:tabs>
          <w:tab w:val="right" w:pos="9071"/>
        </w:tabs>
        <w:spacing w:after="0" w:line="240" w:lineRule="auto"/>
        <w:rPr>
          <w:rFonts w:ascii="Times New Roman" w:eastAsia="Times New Roman" w:hAnsi="Times New Roman" w:cs="Times New Roman"/>
          <w:sz w:val="26"/>
          <w:szCs w:val="26"/>
          <w:lang w:eastAsia="lv-LV"/>
        </w:rPr>
      </w:pPr>
    </w:p>
    <w:p w:rsidR="009D0A29" w:rsidRPr="0004084E" w:rsidRDefault="009D0A29" w:rsidP="00D90174">
      <w:pPr>
        <w:keepLines/>
        <w:widowControl w:val="0"/>
        <w:tabs>
          <w:tab w:val="right" w:pos="9071"/>
        </w:tabs>
        <w:spacing w:after="0" w:line="240" w:lineRule="auto"/>
        <w:rPr>
          <w:rFonts w:ascii="Times New Roman" w:eastAsia="Times New Roman" w:hAnsi="Times New Roman" w:cs="Times New Roman"/>
          <w:sz w:val="26"/>
          <w:szCs w:val="26"/>
          <w:lang w:eastAsia="lv-LV"/>
        </w:rPr>
      </w:pPr>
      <w:r w:rsidRPr="0004084E">
        <w:rPr>
          <w:rFonts w:ascii="Times New Roman" w:eastAsia="Times New Roman" w:hAnsi="Times New Roman" w:cs="Times New Roman"/>
          <w:sz w:val="26"/>
          <w:szCs w:val="26"/>
          <w:lang w:eastAsia="lv-LV"/>
        </w:rPr>
        <w:t>Vīza: Valsts sekretārs</w:t>
      </w:r>
      <w:r w:rsidR="00830152" w:rsidRPr="0004084E">
        <w:rPr>
          <w:rFonts w:ascii="Times New Roman" w:eastAsia="Times New Roman" w:hAnsi="Times New Roman" w:cs="Times New Roman"/>
          <w:sz w:val="26"/>
          <w:szCs w:val="26"/>
          <w:lang w:eastAsia="lv-LV"/>
        </w:rPr>
        <w:tab/>
      </w:r>
      <w:r w:rsidRPr="0004084E">
        <w:rPr>
          <w:rFonts w:ascii="Times New Roman" w:eastAsia="Times New Roman" w:hAnsi="Times New Roman" w:cs="Times New Roman"/>
          <w:sz w:val="26"/>
          <w:szCs w:val="26"/>
          <w:lang w:eastAsia="lv-LV"/>
        </w:rPr>
        <w:t>J.Pūce</w:t>
      </w:r>
    </w:p>
    <w:p w:rsidR="001B1ADF" w:rsidRDefault="001B1ADF" w:rsidP="00D90174">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0560B5" w:rsidRDefault="000560B5" w:rsidP="00D90174">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0560B5" w:rsidRDefault="000560B5" w:rsidP="00D90174">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0560B5" w:rsidRDefault="000560B5" w:rsidP="00D90174">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0560B5" w:rsidRDefault="000560B5" w:rsidP="00D90174">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11442E" w:rsidRDefault="0011442E" w:rsidP="00D90174">
      <w:pPr>
        <w:widowControl w:val="0"/>
        <w:spacing w:after="0" w:line="240" w:lineRule="auto"/>
        <w:jc w:val="both"/>
        <w:rPr>
          <w:rFonts w:ascii="Times New Roman" w:eastAsia="Times New Roman" w:hAnsi="Times New Roman" w:cs="Times New Roman"/>
          <w:sz w:val="20"/>
          <w:szCs w:val="20"/>
        </w:rPr>
      </w:pPr>
    </w:p>
    <w:p w:rsidR="008062DC" w:rsidRPr="0004084E" w:rsidRDefault="00D367F2" w:rsidP="00D9017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2012.11.21. 11:41</w:t>
      </w:r>
    </w:p>
    <w:p w:rsidR="00AE550C" w:rsidRPr="0004084E" w:rsidRDefault="003D0713" w:rsidP="00D90174">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Pr="003D0713">
        <w:rPr>
          <w:rFonts w:ascii="Times New Roman" w:eastAsia="Times New Roman" w:hAnsi="Times New Roman" w:cs="Times New Roman"/>
          <w:noProof/>
          <w:sz w:val="20"/>
          <w:szCs w:val="20"/>
        </w:rPr>
        <w:t>2672</w:t>
      </w:r>
      <w:r>
        <w:rPr>
          <w:rFonts w:ascii="Times New Roman" w:eastAsia="Times New Roman" w:hAnsi="Times New Roman" w:cs="Times New Roman"/>
          <w:noProof/>
          <w:sz w:val="20"/>
          <w:szCs w:val="20"/>
        </w:rPr>
        <w:fldChar w:fldCharType="end"/>
      </w:r>
      <w:bookmarkStart w:id="8" w:name="_GoBack"/>
      <w:bookmarkEnd w:id="8"/>
    </w:p>
    <w:p w:rsidR="00AE550C" w:rsidRPr="0004084E" w:rsidRDefault="00AE550C" w:rsidP="00D90174">
      <w:pPr>
        <w:widowControl w:val="0"/>
        <w:spacing w:after="0" w:line="240" w:lineRule="auto"/>
        <w:jc w:val="both"/>
        <w:rPr>
          <w:rFonts w:ascii="Times New Roman" w:eastAsia="Times New Roman" w:hAnsi="Times New Roman" w:cs="Times New Roman"/>
          <w:sz w:val="20"/>
          <w:szCs w:val="20"/>
        </w:rPr>
      </w:pPr>
      <w:r w:rsidRPr="0004084E">
        <w:rPr>
          <w:rFonts w:ascii="Times New Roman" w:eastAsia="Times New Roman" w:hAnsi="Times New Roman" w:cs="Times New Roman"/>
          <w:sz w:val="20"/>
          <w:szCs w:val="20"/>
        </w:rPr>
        <w:t>Gatis Silovs</w:t>
      </w:r>
    </w:p>
    <w:p w:rsidR="00AE550C" w:rsidRPr="00151EEF" w:rsidRDefault="00AE550C" w:rsidP="00D90174">
      <w:pPr>
        <w:widowControl w:val="0"/>
        <w:spacing w:after="0" w:line="240" w:lineRule="auto"/>
        <w:jc w:val="both"/>
        <w:rPr>
          <w:rFonts w:ascii="Times New Roman" w:eastAsia="Times New Roman" w:hAnsi="Times New Roman" w:cs="Times New Roman"/>
          <w:sz w:val="20"/>
          <w:szCs w:val="20"/>
        </w:rPr>
      </w:pPr>
      <w:r w:rsidRPr="0004084E">
        <w:rPr>
          <w:rFonts w:ascii="Times New Roman" w:eastAsia="Times New Roman" w:hAnsi="Times New Roman" w:cs="Times New Roman"/>
          <w:sz w:val="20"/>
          <w:szCs w:val="20"/>
        </w:rPr>
        <w:t>67013209, Gatis.Silovs@em.gov.lv</w:t>
      </w:r>
    </w:p>
    <w:p w:rsidR="00D40CFC" w:rsidRPr="00FB371E" w:rsidRDefault="00D40CFC" w:rsidP="00D90174">
      <w:pPr>
        <w:spacing w:after="0" w:line="240" w:lineRule="auto"/>
        <w:rPr>
          <w:rFonts w:ascii="Times New Roman" w:eastAsia="Times New Roman" w:hAnsi="Times New Roman" w:cs="Times New Roman"/>
          <w:sz w:val="20"/>
          <w:szCs w:val="26"/>
          <w:lang w:val="en-AU" w:eastAsia="lv-LV"/>
        </w:rPr>
      </w:pPr>
    </w:p>
    <w:sectPr w:rsidR="00D40CFC" w:rsidRPr="00FB371E" w:rsidSect="00C03D4F">
      <w:footerReference w:type="default" r:id="rId9"/>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43" w:rsidRDefault="00486A43" w:rsidP="002A617A">
      <w:pPr>
        <w:spacing w:after="0" w:line="240" w:lineRule="auto"/>
      </w:pPr>
      <w:r>
        <w:separator/>
      </w:r>
    </w:p>
  </w:endnote>
  <w:endnote w:type="continuationSeparator" w:id="0">
    <w:p w:rsidR="00486A43" w:rsidRDefault="00486A43"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43" w:rsidRDefault="003D0713" w:rsidP="002A617A">
    <w:pPr>
      <w:spacing w:after="0" w:line="240" w:lineRule="auto"/>
      <w:jc w:val="both"/>
      <w:outlineLvl w:val="0"/>
    </w:pPr>
    <w:r>
      <w:fldChar w:fldCharType="begin"/>
    </w:r>
    <w:r>
      <w:instrText xml:space="preserve"> FILENAME   \* MERGEFORMAT </w:instrText>
    </w:r>
    <w:r>
      <w:fldChar w:fldCharType="separate"/>
    </w:r>
    <w:r w:rsidR="00D367F2" w:rsidRPr="00D367F2">
      <w:rPr>
        <w:rFonts w:ascii="Times New Roman" w:eastAsia="Calibri" w:hAnsi="Times New Roman" w:cs="Times New Roman"/>
        <w:noProof/>
        <w:sz w:val="20"/>
        <w:szCs w:val="20"/>
        <w:lang w:val="en-AU"/>
      </w:rPr>
      <w:t>EMAnot_211112_groz887</w:t>
    </w:r>
    <w:r>
      <w:rPr>
        <w:rFonts w:ascii="Times New Roman" w:eastAsia="Calibri" w:hAnsi="Times New Roman" w:cs="Times New Roman"/>
        <w:noProof/>
        <w:sz w:val="20"/>
        <w:szCs w:val="20"/>
        <w:lang w:val="en-AU"/>
      </w:rPr>
      <w:fldChar w:fldCharType="end"/>
    </w:r>
    <w:r w:rsidR="00486A43" w:rsidRPr="002A617A">
      <w:rPr>
        <w:rFonts w:ascii="Times New Roman" w:eastAsia="Calibri" w:hAnsi="Times New Roman" w:cs="Times New Roman"/>
        <w:sz w:val="20"/>
        <w:szCs w:val="20"/>
        <w:lang w:val="en-AU"/>
      </w:rPr>
      <w:t xml:space="preserve">; </w:t>
    </w:r>
    <w:r w:rsidR="00486A43" w:rsidRPr="002A617A">
      <w:rPr>
        <w:rFonts w:ascii="Times New Roman" w:eastAsia="Times New Roman" w:hAnsi="Times New Roman" w:cs="Times New Roman"/>
        <w:sz w:val="20"/>
        <w:szCs w:val="20"/>
        <w:lang w:eastAsia="lv-LV"/>
      </w:rPr>
      <w:t xml:space="preserve">Ministru kabineta noteikumu projekta „Grozījumi Ministru </w:t>
    </w:r>
    <w:r w:rsidR="00486A43">
      <w:rPr>
        <w:rFonts w:ascii="Times New Roman" w:eastAsia="Times New Roman" w:hAnsi="Times New Roman" w:cs="Times New Roman"/>
        <w:sz w:val="20"/>
        <w:szCs w:val="20"/>
        <w:lang w:eastAsia="lv-LV"/>
      </w:rPr>
      <w:t>k</w:t>
    </w:r>
    <w:r w:rsidR="00486A43" w:rsidRPr="002A617A">
      <w:rPr>
        <w:rFonts w:ascii="Times New Roman" w:eastAsia="Times New Roman" w:hAnsi="Times New Roman" w:cs="Times New Roman"/>
        <w:sz w:val="20"/>
        <w:szCs w:val="20"/>
        <w:lang w:eastAsia="lv-LV"/>
      </w:rPr>
      <w:t>abineta 2010.gada 21. Septembra  noteikumos Nr.887 „Noteikumi par darbības programmas „Uzņēmējdarbība un inovācijas" papildinājuma 2.3.1.1.aktivitātes "Ārējo tirgu apgūšana" 2.3.1.1.2.apakšaktivitāti "Ārējo tirgu apgūšana – nozaru starptautiskās konkurētspējas stiprināšana"”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43" w:rsidRDefault="00486A43" w:rsidP="002A617A">
      <w:pPr>
        <w:spacing w:after="0" w:line="240" w:lineRule="auto"/>
      </w:pPr>
      <w:r>
        <w:separator/>
      </w:r>
    </w:p>
  </w:footnote>
  <w:footnote w:type="continuationSeparator" w:id="0">
    <w:p w:rsidR="00486A43" w:rsidRDefault="00486A43"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3">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1F5390"/>
    <w:rsid w:val="000068AE"/>
    <w:rsid w:val="00007E31"/>
    <w:rsid w:val="0004084E"/>
    <w:rsid w:val="000515D4"/>
    <w:rsid w:val="000560B5"/>
    <w:rsid w:val="00070EB1"/>
    <w:rsid w:val="000862E6"/>
    <w:rsid w:val="000B65D2"/>
    <w:rsid w:val="000C4540"/>
    <w:rsid w:val="000C5EDA"/>
    <w:rsid w:val="000E36E8"/>
    <w:rsid w:val="000E6F7E"/>
    <w:rsid w:val="000F742A"/>
    <w:rsid w:val="0011442E"/>
    <w:rsid w:val="00132AD0"/>
    <w:rsid w:val="00164EBA"/>
    <w:rsid w:val="00166E66"/>
    <w:rsid w:val="001752F1"/>
    <w:rsid w:val="001B1ADF"/>
    <w:rsid w:val="001B4263"/>
    <w:rsid w:val="001F5390"/>
    <w:rsid w:val="002352C2"/>
    <w:rsid w:val="002511D9"/>
    <w:rsid w:val="00252BAC"/>
    <w:rsid w:val="002659E9"/>
    <w:rsid w:val="002751A8"/>
    <w:rsid w:val="00281EE5"/>
    <w:rsid w:val="002A617A"/>
    <w:rsid w:val="003136C3"/>
    <w:rsid w:val="0034089F"/>
    <w:rsid w:val="00357621"/>
    <w:rsid w:val="00382775"/>
    <w:rsid w:val="003B7EEB"/>
    <w:rsid w:val="003C7F3B"/>
    <w:rsid w:val="003D0713"/>
    <w:rsid w:val="00401248"/>
    <w:rsid w:val="00431DF3"/>
    <w:rsid w:val="00486A43"/>
    <w:rsid w:val="00497B5E"/>
    <w:rsid w:val="004F067D"/>
    <w:rsid w:val="004F3C75"/>
    <w:rsid w:val="0054453C"/>
    <w:rsid w:val="0056109D"/>
    <w:rsid w:val="00593999"/>
    <w:rsid w:val="005A5F0D"/>
    <w:rsid w:val="005D51F4"/>
    <w:rsid w:val="005E59DB"/>
    <w:rsid w:val="005E6AF0"/>
    <w:rsid w:val="00604A6A"/>
    <w:rsid w:val="00607320"/>
    <w:rsid w:val="00646AAE"/>
    <w:rsid w:val="00664470"/>
    <w:rsid w:val="006751E6"/>
    <w:rsid w:val="006A1537"/>
    <w:rsid w:val="006A555B"/>
    <w:rsid w:val="006C7230"/>
    <w:rsid w:val="006C7599"/>
    <w:rsid w:val="006E24E5"/>
    <w:rsid w:val="006E4B26"/>
    <w:rsid w:val="006E6D43"/>
    <w:rsid w:val="006F390C"/>
    <w:rsid w:val="007075A1"/>
    <w:rsid w:val="00712CFB"/>
    <w:rsid w:val="00722173"/>
    <w:rsid w:val="00732ED7"/>
    <w:rsid w:val="00780D5D"/>
    <w:rsid w:val="00781EA6"/>
    <w:rsid w:val="007835EF"/>
    <w:rsid w:val="00786B54"/>
    <w:rsid w:val="007A0E70"/>
    <w:rsid w:val="007B08DD"/>
    <w:rsid w:val="007B286B"/>
    <w:rsid w:val="008062DC"/>
    <w:rsid w:val="00813DD9"/>
    <w:rsid w:val="00817F69"/>
    <w:rsid w:val="00823DA2"/>
    <w:rsid w:val="00830152"/>
    <w:rsid w:val="00840469"/>
    <w:rsid w:val="00850E4D"/>
    <w:rsid w:val="00851C26"/>
    <w:rsid w:val="00853098"/>
    <w:rsid w:val="00853732"/>
    <w:rsid w:val="00881F0A"/>
    <w:rsid w:val="008A4C46"/>
    <w:rsid w:val="008C34E8"/>
    <w:rsid w:val="008C626D"/>
    <w:rsid w:val="008D4B3C"/>
    <w:rsid w:val="008D678E"/>
    <w:rsid w:val="0091261D"/>
    <w:rsid w:val="009167E6"/>
    <w:rsid w:val="00964A74"/>
    <w:rsid w:val="00993A38"/>
    <w:rsid w:val="009C4581"/>
    <w:rsid w:val="009D0A29"/>
    <w:rsid w:val="00A00AC9"/>
    <w:rsid w:val="00A07FA4"/>
    <w:rsid w:val="00A11A29"/>
    <w:rsid w:val="00A3157F"/>
    <w:rsid w:val="00A56D36"/>
    <w:rsid w:val="00A63568"/>
    <w:rsid w:val="00A654F1"/>
    <w:rsid w:val="00A71CCF"/>
    <w:rsid w:val="00AC3871"/>
    <w:rsid w:val="00AD4ACC"/>
    <w:rsid w:val="00AE550C"/>
    <w:rsid w:val="00B14A9C"/>
    <w:rsid w:val="00B23043"/>
    <w:rsid w:val="00B241E4"/>
    <w:rsid w:val="00B262B8"/>
    <w:rsid w:val="00B4562C"/>
    <w:rsid w:val="00B56B6A"/>
    <w:rsid w:val="00B8276F"/>
    <w:rsid w:val="00BB2916"/>
    <w:rsid w:val="00BB3E03"/>
    <w:rsid w:val="00BB4BE5"/>
    <w:rsid w:val="00BC3294"/>
    <w:rsid w:val="00C03D4F"/>
    <w:rsid w:val="00C127AA"/>
    <w:rsid w:val="00C6475A"/>
    <w:rsid w:val="00C675E8"/>
    <w:rsid w:val="00C93A3B"/>
    <w:rsid w:val="00CA0CB4"/>
    <w:rsid w:val="00CA41D5"/>
    <w:rsid w:val="00CB11A9"/>
    <w:rsid w:val="00CB7697"/>
    <w:rsid w:val="00CC14AE"/>
    <w:rsid w:val="00CC7D03"/>
    <w:rsid w:val="00CD6D5E"/>
    <w:rsid w:val="00CE1CBD"/>
    <w:rsid w:val="00CE3CF2"/>
    <w:rsid w:val="00D0796F"/>
    <w:rsid w:val="00D31F95"/>
    <w:rsid w:val="00D367F2"/>
    <w:rsid w:val="00D40CFC"/>
    <w:rsid w:val="00D4622A"/>
    <w:rsid w:val="00D534CC"/>
    <w:rsid w:val="00D5361F"/>
    <w:rsid w:val="00D61469"/>
    <w:rsid w:val="00D90174"/>
    <w:rsid w:val="00D928E0"/>
    <w:rsid w:val="00D97D2E"/>
    <w:rsid w:val="00DC2CF0"/>
    <w:rsid w:val="00DC4C09"/>
    <w:rsid w:val="00DD3400"/>
    <w:rsid w:val="00DD3B50"/>
    <w:rsid w:val="00E0184B"/>
    <w:rsid w:val="00E4531E"/>
    <w:rsid w:val="00E456E3"/>
    <w:rsid w:val="00E50FD4"/>
    <w:rsid w:val="00E81A11"/>
    <w:rsid w:val="00E85846"/>
    <w:rsid w:val="00E92A51"/>
    <w:rsid w:val="00EA6403"/>
    <w:rsid w:val="00ED5D6D"/>
    <w:rsid w:val="00EE64AD"/>
    <w:rsid w:val="00EE7B8D"/>
    <w:rsid w:val="00F0182C"/>
    <w:rsid w:val="00F07DF3"/>
    <w:rsid w:val="00F120A7"/>
    <w:rsid w:val="00F30C1B"/>
    <w:rsid w:val="00F40BB2"/>
    <w:rsid w:val="00F45918"/>
    <w:rsid w:val="00F463CC"/>
    <w:rsid w:val="00F508A8"/>
    <w:rsid w:val="00F5215C"/>
    <w:rsid w:val="00F676D0"/>
    <w:rsid w:val="00F84F92"/>
    <w:rsid w:val="00F9482F"/>
    <w:rsid w:val="00FB371E"/>
    <w:rsid w:val="00FD0D9D"/>
    <w:rsid w:val="00FE5AFF"/>
    <w:rsid w:val="00FE6C49"/>
    <w:rsid w:val="00FF3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1821">
      <w:bodyDiv w:val="1"/>
      <w:marLeft w:val="0"/>
      <w:marRight w:val="0"/>
      <w:marTop w:val="0"/>
      <w:marBottom w:val="0"/>
      <w:divBdr>
        <w:top w:val="none" w:sz="0" w:space="0" w:color="auto"/>
        <w:left w:val="none" w:sz="0" w:space="0" w:color="auto"/>
        <w:bottom w:val="none" w:sz="0" w:space="0" w:color="auto"/>
        <w:right w:val="none" w:sz="0" w:space="0" w:color="auto"/>
      </w:divBdr>
    </w:div>
    <w:div w:id="263850939">
      <w:bodyDiv w:val="1"/>
      <w:marLeft w:val="0"/>
      <w:marRight w:val="0"/>
      <w:marTop w:val="0"/>
      <w:marBottom w:val="0"/>
      <w:divBdr>
        <w:top w:val="none" w:sz="0" w:space="0" w:color="auto"/>
        <w:left w:val="none" w:sz="0" w:space="0" w:color="auto"/>
        <w:bottom w:val="none" w:sz="0" w:space="0" w:color="auto"/>
        <w:right w:val="none" w:sz="0" w:space="0" w:color="auto"/>
      </w:divBdr>
    </w:div>
    <w:div w:id="413555348">
      <w:bodyDiv w:val="1"/>
      <w:marLeft w:val="0"/>
      <w:marRight w:val="0"/>
      <w:marTop w:val="0"/>
      <w:marBottom w:val="0"/>
      <w:divBdr>
        <w:top w:val="none" w:sz="0" w:space="0" w:color="auto"/>
        <w:left w:val="none" w:sz="0" w:space="0" w:color="auto"/>
        <w:bottom w:val="none" w:sz="0" w:space="0" w:color="auto"/>
        <w:right w:val="none" w:sz="0" w:space="0" w:color="auto"/>
      </w:divBdr>
    </w:div>
    <w:div w:id="427191840">
      <w:bodyDiv w:val="1"/>
      <w:marLeft w:val="0"/>
      <w:marRight w:val="0"/>
      <w:marTop w:val="0"/>
      <w:marBottom w:val="0"/>
      <w:divBdr>
        <w:top w:val="none" w:sz="0" w:space="0" w:color="auto"/>
        <w:left w:val="none" w:sz="0" w:space="0" w:color="auto"/>
        <w:bottom w:val="none" w:sz="0" w:space="0" w:color="auto"/>
        <w:right w:val="none" w:sz="0" w:space="0" w:color="auto"/>
      </w:divBdr>
    </w:div>
    <w:div w:id="1805998836">
      <w:bodyDiv w:val="1"/>
      <w:marLeft w:val="0"/>
      <w:marRight w:val="0"/>
      <w:marTop w:val="0"/>
      <w:marBottom w:val="0"/>
      <w:divBdr>
        <w:top w:val="none" w:sz="0" w:space="0" w:color="auto"/>
        <w:left w:val="none" w:sz="0" w:space="0" w:color="auto"/>
        <w:bottom w:val="none" w:sz="0" w:space="0" w:color="auto"/>
        <w:right w:val="none" w:sz="0" w:space="0" w:color="auto"/>
      </w:divBdr>
    </w:div>
    <w:div w:id="18923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2937-9327-42B6-BFFA-42B4F1F1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12</Pages>
  <Words>2700</Words>
  <Characters>19580</Characters>
  <Application>Microsoft Office Word</Application>
  <DocSecurity>0</DocSecurity>
  <Lines>783</Lines>
  <Paragraphs>278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21.septembra  noteikumos Nr.887 „Noteikumi par darbības programmas „Uzņēmējdarbība un inovācijas” papildinājuma 2.3.1.1.aktivitātes „Ārējo tirgu apgūšana” 2.3.1.1.2.apakšaktivitāt</vt:lpstr>
    </vt:vector>
  </TitlesOfParts>
  <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 sākotnējās ietekmes novērtējuma ziņojums (anotācija)</dc:title>
  <dc:subject>Anotācijas</dc:subject>
  <dc:creator>Gatis Silovs</dc:creator>
  <dc:description>67013209, Gatis.Silovs@em.gov.lv</dc:description>
  <cp:lastModifiedBy>Mārtiņš Zvejnieks</cp:lastModifiedBy>
  <cp:revision>46</cp:revision>
  <dcterms:created xsi:type="dcterms:W3CDTF">2012-07-26T13:07:00Z</dcterms:created>
  <dcterms:modified xsi:type="dcterms:W3CDTF">2012-11-21T09:41:00Z</dcterms:modified>
</cp:coreProperties>
</file>